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32" w:rsidRPr="00F24966" w:rsidRDefault="00A71632" w:rsidP="00F24966">
      <w:pPr>
        <w:rPr>
          <w:lang w:val="fr-FR"/>
        </w:rPr>
      </w:pPr>
      <w:bookmarkStart w:id="0" w:name="_GoBack"/>
      <w:bookmarkEnd w:id="0"/>
    </w:p>
    <w:p w:rsidR="00A71632" w:rsidRPr="00F24966" w:rsidRDefault="00A046D8" w:rsidP="00F24966">
      <w:pPr>
        <w:pStyle w:val="DecHTitle"/>
        <w:rPr>
          <w:lang w:val="fr-FR"/>
        </w:rPr>
      </w:pPr>
      <w:r w:rsidRPr="00F24966">
        <w:rPr>
          <w:szCs w:val="24"/>
          <w:lang w:val="fr-FR"/>
        </w:rPr>
        <w:t>PREMIÈRE SECTION</w:t>
      </w:r>
    </w:p>
    <w:p w:rsidR="00A71632" w:rsidRPr="00F24966" w:rsidRDefault="00A71632" w:rsidP="00F24966">
      <w:pPr>
        <w:pStyle w:val="DecHTitle"/>
        <w:rPr>
          <w:caps/>
          <w:sz w:val="32"/>
          <w:lang w:val="fr-FR"/>
        </w:rPr>
      </w:pPr>
      <w:r w:rsidRPr="00F24966">
        <w:rPr>
          <w:lang w:val="fr-FR"/>
        </w:rPr>
        <w:t>DÉCISION</w:t>
      </w:r>
    </w:p>
    <w:p w:rsidR="00A71632" w:rsidRPr="00F24966" w:rsidRDefault="00A046D8" w:rsidP="00F24966">
      <w:pPr>
        <w:pStyle w:val="ECHRTitleCentre2"/>
        <w:rPr>
          <w:lang w:val="fr-FR"/>
        </w:rPr>
      </w:pPr>
      <w:r w:rsidRPr="00F24966">
        <w:rPr>
          <w:lang w:val="fr-FR"/>
        </w:rPr>
        <w:t>Requête no</w:t>
      </w:r>
      <w:r w:rsidR="00A7338E" w:rsidRPr="00F24966">
        <w:rPr>
          <w:lang w:val="fr-FR"/>
        </w:rPr>
        <w:t xml:space="preserve"> </w:t>
      </w:r>
      <w:r w:rsidRPr="00F24966">
        <w:rPr>
          <w:lang w:val="fr-FR"/>
        </w:rPr>
        <w:t>63289/17</w:t>
      </w:r>
      <w:r w:rsidR="00A7338E" w:rsidRPr="00F24966">
        <w:rPr>
          <w:lang w:val="fr-FR"/>
        </w:rPr>
        <w:br/>
      </w:r>
      <w:r w:rsidRPr="00F24966">
        <w:rPr>
          <w:lang w:val="fr-FR"/>
        </w:rPr>
        <w:t>Massimo</w:t>
      </w:r>
      <w:r w:rsidR="00A7338E" w:rsidRPr="00F24966">
        <w:rPr>
          <w:lang w:val="fr-FR"/>
        </w:rPr>
        <w:t xml:space="preserve"> </w:t>
      </w:r>
      <w:r w:rsidRPr="00F24966">
        <w:rPr>
          <w:lang w:val="fr-FR"/>
        </w:rPr>
        <w:t xml:space="preserve">MINERVINO et Isabella TRAUSI </w:t>
      </w:r>
      <w:r w:rsidR="00F24966" w:rsidRPr="00F24966">
        <w:rPr>
          <w:lang w:val="fr-FR"/>
        </w:rPr>
        <w:br/>
      </w:r>
      <w:r w:rsidR="00A7338E" w:rsidRPr="00F24966">
        <w:rPr>
          <w:lang w:val="fr-FR"/>
        </w:rPr>
        <w:t xml:space="preserve">contre </w:t>
      </w:r>
      <w:r w:rsidRPr="00F24966">
        <w:rPr>
          <w:lang w:val="fr-FR"/>
        </w:rPr>
        <w:t>l</w:t>
      </w:r>
      <w:r w:rsidR="00F24966" w:rsidRPr="00F24966">
        <w:rPr>
          <w:lang w:val="fr-FR"/>
        </w:rPr>
        <w:t>’</w:t>
      </w:r>
      <w:r w:rsidRPr="00F24966">
        <w:rPr>
          <w:lang w:val="fr-FR"/>
        </w:rPr>
        <w:t>Italie</w:t>
      </w:r>
    </w:p>
    <w:p w:rsidR="00A71632" w:rsidRPr="00F24966" w:rsidRDefault="00A71632" w:rsidP="00F24966">
      <w:pPr>
        <w:pStyle w:val="ECHRPara"/>
        <w:rPr>
          <w:lang w:val="fr-FR"/>
        </w:rPr>
      </w:pPr>
      <w:r w:rsidRPr="00F24966">
        <w:rPr>
          <w:lang w:val="fr-FR"/>
        </w:rPr>
        <w:t>La Cour européenne des droits de l</w:t>
      </w:r>
      <w:r w:rsidR="00F24966" w:rsidRPr="00F24966">
        <w:rPr>
          <w:lang w:val="fr-FR"/>
        </w:rPr>
        <w:t>’</w:t>
      </w:r>
      <w:r w:rsidRPr="00F24966">
        <w:rPr>
          <w:lang w:val="fr-FR"/>
        </w:rPr>
        <w:t>homme</w:t>
      </w:r>
      <w:r w:rsidR="00A046D8" w:rsidRPr="00F24966">
        <w:rPr>
          <w:lang w:val="fr-FR"/>
        </w:rPr>
        <w:t xml:space="preserve"> (première section)</w:t>
      </w:r>
      <w:r w:rsidRPr="00F24966">
        <w:rPr>
          <w:lang w:val="fr-FR"/>
        </w:rPr>
        <w:t xml:space="preserve">, siégeant le </w:t>
      </w:r>
      <w:r w:rsidR="00A046D8" w:rsidRPr="00F24966">
        <w:rPr>
          <w:lang w:val="fr-FR"/>
        </w:rPr>
        <w:t>12 février 2019</w:t>
      </w:r>
      <w:r w:rsidRPr="00F24966">
        <w:rPr>
          <w:lang w:val="fr-FR"/>
        </w:rPr>
        <w:t xml:space="preserve"> en </w:t>
      </w:r>
      <w:r w:rsidR="00A046D8" w:rsidRPr="00F24966">
        <w:rPr>
          <w:lang w:val="fr-FR"/>
        </w:rPr>
        <w:t xml:space="preserve">un comité composé </w:t>
      </w:r>
      <w:r w:rsidRPr="00F24966">
        <w:rPr>
          <w:lang w:val="fr-FR"/>
        </w:rPr>
        <w:t>de :</w:t>
      </w:r>
    </w:p>
    <w:p w:rsidR="00A71632" w:rsidRPr="00F24966" w:rsidRDefault="00A046D8" w:rsidP="00F24966">
      <w:pPr>
        <w:pStyle w:val="ECHRDecisionBody"/>
        <w:rPr>
          <w:lang w:val="fr-FR"/>
        </w:rPr>
      </w:pPr>
      <w:r w:rsidRPr="00F24966">
        <w:rPr>
          <w:lang w:val="fr-FR"/>
        </w:rPr>
        <w:tab/>
        <w:t>Tim Eicke,</w:t>
      </w:r>
      <w:r w:rsidRPr="00F24966">
        <w:rPr>
          <w:i/>
          <w:lang w:val="fr-FR"/>
        </w:rPr>
        <w:t xml:space="preserve"> président,</w:t>
      </w:r>
      <w:r w:rsidRPr="00F24966">
        <w:rPr>
          <w:i/>
          <w:lang w:val="fr-FR"/>
        </w:rPr>
        <w:br/>
      </w:r>
      <w:r w:rsidRPr="00F24966">
        <w:rPr>
          <w:lang w:val="fr-FR"/>
        </w:rPr>
        <w:tab/>
        <w:t>Jovan Ilievski,</w:t>
      </w:r>
      <w:r w:rsidRPr="00F24966">
        <w:rPr>
          <w:i/>
          <w:lang w:val="fr-FR"/>
        </w:rPr>
        <w:br/>
      </w:r>
      <w:r w:rsidRPr="00F24966">
        <w:rPr>
          <w:lang w:val="fr-FR"/>
        </w:rPr>
        <w:tab/>
        <w:t>Gilberto Felici,</w:t>
      </w:r>
      <w:r w:rsidRPr="00F24966">
        <w:rPr>
          <w:i/>
          <w:lang w:val="fr-FR"/>
        </w:rPr>
        <w:t xml:space="preserve"> juges,</w:t>
      </w:r>
      <w:r w:rsidRPr="00F24966">
        <w:rPr>
          <w:i/>
          <w:lang w:val="fr-FR"/>
        </w:rPr>
        <w:br/>
      </w:r>
      <w:r w:rsidR="00A71632" w:rsidRPr="00F24966">
        <w:rPr>
          <w:lang w:val="fr-FR"/>
        </w:rPr>
        <w:t xml:space="preserve">et de </w:t>
      </w:r>
      <w:r w:rsidRPr="00F24966">
        <w:rPr>
          <w:lang w:val="fr-FR"/>
        </w:rPr>
        <w:t xml:space="preserve">Renata Degener, </w:t>
      </w:r>
      <w:r w:rsidRPr="00F24966">
        <w:rPr>
          <w:i/>
          <w:lang w:val="fr-FR"/>
        </w:rPr>
        <w:t>greffière adjointe de section</w:t>
      </w:r>
      <w:r w:rsidR="00A71632" w:rsidRPr="00F24966">
        <w:rPr>
          <w:i/>
          <w:lang w:val="fr-FR"/>
        </w:rPr>
        <w:t>,</w:t>
      </w:r>
    </w:p>
    <w:p w:rsidR="00A046D8" w:rsidRPr="00F24966" w:rsidRDefault="00A046D8" w:rsidP="00F24966">
      <w:pPr>
        <w:pStyle w:val="ECHRPara"/>
        <w:rPr>
          <w:lang w:val="fr-FR"/>
        </w:rPr>
      </w:pPr>
      <w:r w:rsidRPr="00F24966">
        <w:rPr>
          <w:lang w:val="fr-FR"/>
        </w:rPr>
        <w:t>Vu la requête susmentionnée introduite le 19 août 2017,</w:t>
      </w:r>
    </w:p>
    <w:p w:rsidR="00A046D8" w:rsidRPr="00F24966" w:rsidRDefault="00A046D8" w:rsidP="00F24966">
      <w:pPr>
        <w:pStyle w:val="ECHRPara"/>
        <w:rPr>
          <w:lang w:val="fr-FR"/>
        </w:rPr>
      </w:pPr>
      <w:r w:rsidRPr="00F24966">
        <w:rPr>
          <w:lang w:val="fr-FR"/>
        </w:rPr>
        <w:t>Vu les observations soumises par le gouvernement défendeur et celles présentées en réponse par les requérants,</w:t>
      </w:r>
    </w:p>
    <w:p w:rsidR="00A71632" w:rsidRPr="00F24966" w:rsidRDefault="00A71632" w:rsidP="00F24966">
      <w:pPr>
        <w:pStyle w:val="ECHRPara"/>
        <w:rPr>
          <w:lang w:val="fr-FR"/>
        </w:rPr>
      </w:pPr>
      <w:r w:rsidRPr="00F24966">
        <w:rPr>
          <w:lang w:val="fr-FR"/>
        </w:rPr>
        <w:t>Après en avoir délibéré, rend la décision suivante :</w:t>
      </w:r>
    </w:p>
    <w:p w:rsidR="00A71632" w:rsidRPr="00F24966" w:rsidRDefault="00A71632" w:rsidP="00F24966">
      <w:pPr>
        <w:pStyle w:val="ECHRTitle1"/>
        <w:rPr>
          <w:lang w:val="fr-FR"/>
        </w:rPr>
      </w:pPr>
      <w:r w:rsidRPr="00F24966">
        <w:rPr>
          <w:lang w:val="fr-FR"/>
        </w:rPr>
        <w:t>EN FAIT</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1</w:t>
      </w:r>
      <w:r w:rsidRPr="00F24966">
        <w:rPr>
          <w:lang w:val="fr-FR"/>
        </w:rPr>
        <w:fldChar w:fldCharType="end"/>
      </w:r>
      <w:r w:rsidRPr="00F24966">
        <w:rPr>
          <w:lang w:val="fr-FR"/>
        </w:rPr>
        <w:t>.  Les requérants, M. Massimo Minervino (« le requérant ») et M</w:t>
      </w:r>
      <w:r w:rsidRPr="00F24966">
        <w:rPr>
          <w:vertAlign w:val="superscript"/>
          <w:lang w:val="fr-FR"/>
        </w:rPr>
        <w:t>me</w:t>
      </w:r>
      <w:r w:rsidRPr="00F24966">
        <w:rPr>
          <w:lang w:val="fr-FR"/>
        </w:rPr>
        <w:t> Isabella Trausi (« la requérante »), sont des ressortissants italiens nés respectivement en 1975 et en 1982 et résidant à Cosenza. Ils ont été représentés devant la Cour par M</w:t>
      </w:r>
      <w:r w:rsidRPr="00F24966">
        <w:rPr>
          <w:vertAlign w:val="superscript"/>
          <w:lang w:val="fr-FR"/>
        </w:rPr>
        <w:t>e</w:t>
      </w:r>
      <w:r w:rsidRPr="00F24966">
        <w:rPr>
          <w:lang w:val="fr-FR"/>
        </w:rPr>
        <w:t> A.M. Pisano, avocat exerçant à Catanzaro.</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2</w:t>
      </w:r>
      <w:r w:rsidRPr="00F24966">
        <w:rPr>
          <w:lang w:val="fr-FR"/>
        </w:rPr>
        <w:fldChar w:fldCharType="end"/>
      </w:r>
      <w:r w:rsidRPr="00F24966">
        <w:rPr>
          <w:lang w:val="fr-FR"/>
        </w:rPr>
        <w:t>.  Le gouvernement italien (« le Gouvernement ») a été représenté par son ancien agent, M</w:t>
      </w:r>
      <w:r w:rsidRPr="00F24966">
        <w:rPr>
          <w:vertAlign w:val="superscript"/>
          <w:lang w:val="fr-FR"/>
        </w:rPr>
        <w:t xml:space="preserve">me </w:t>
      </w:r>
      <w:r w:rsidRPr="00F24966">
        <w:rPr>
          <w:lang w:val="fr-FR"/>
        </w:rPr>
        <w:t>E. Spatafora, et par son coagent, M</w:t>
      </w:r>
      <w:r w:rsidRPr="00F24966">
        <w:rPr>
          <w:vertAlign w:val="superscript"/>
          <w:lang w:val="fr-FR"/>
        </w:rPr>
        <w:t xml:space="preserve">me </w:t>
      </w:r>
      <w:r w:rsidRPr="00F24966">
        <w:rPr>
          <w:lang w:val="fr-FR"/>
        </w:rPr>
        <w:t>M. G. Civinini.</w:t>
      </w:r>
    </w:p>
    <w:p w:rsidR="00A046D8" w:rsidRPr="00F24966" w:rsidRDefault="00A046D8" w:rsidP="00F24966">
      <w:pPr>
        <w:pStyle w:val="ECHRHeading2"/>
        <w:rPr>
          <w:lang w:val="fr-FR"/>
        </w:rPr>
      </w:pPr>
      <w:r w:rsidRPr="00F24966">
        <w:rPr>
          <w:lang w:val="fr-FR"/>
        </w:rPr>
        <w:t>A.  Les circonstances de l</w:t>
      </w:r>
      <w:r w:rsidR="00F24966" w:rsidRPr="00F24966">
        <w:rPr>
          <w:lang w:val="fr-FR"/>
        </w:rPr>
        <w:t>’</w:t>
      </w:r>
      <w:r w:rsidRPr="00F24966">
        <w:rPr>
          <w:lang w:val="fr-FR"/>
        </w:rPr>
        <w:t>espèce</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3</w:t>
      </w:r>
      <w:r w:rsidRPr="00F24966">
        <w:rPr>
          <w:lang w:val="fr-FR"/>
        </w:rPr>
        <w:fldChar w:fldCharType="end"/>
      </w:r>
      <w:r w:rsidRPr="00F24966">
        <w:rPr>
          <w:lang w:val="fr-FR"/>
        </w:rPr>
        <w:t>.  Les faits de la cause, tels qu</w:t>
      </w:r>
      <w:r w:rsidR="00F24966" w:rsidRPr="00F24966">
        <w:rPr>
          <w:lang w:val="fr-FR"/>
        </w:rPr>
        <w:t>’</w:t>
      </w:r>
      <w:r w:rsidRPr="00F24966">
        <w:rPr>
          <w:lang w:val="fr-FR"/>
        </w:rPr>
        <w:t>ils ont été exposés par les parties, peuvent se résumer comme suit.</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4</w:t>
      </w:r>
      <w:r w:rsidRPr="00F24966">
        <w:rPr>
          <w:lang w:val="fr-FR"/>
        </w:rPr>
        <w:fldChar w:fldCharType="end"/>
      </w:r>
      <w:r w:rsidRPr="00F24966">
        <w:rPr>
          <w:lang w:val="fr-FR"/>
        </w:rPr>
        <w:t>.  Les requérants sont les parents de cinq enfants nés en 2000, 2003, 2005, 2008 et 2012.</w:t>
      </w:r>
    </w:p>
    <w:p w:rsidR="00A046D8" w:rsidRPr="00F24966" w:rsidRDefault="00A046D8" w:rsidP="00F24966">
      <w:pPr>
        <w:pStyle w:val="ECHRPara"/>
        <w:rPr>
          <w:lang w:val="fr-FR"/>
        </w:rPr>
      </w:pPr>
      <w:r w:rsidRPr="00F24966">
        <w:rPr>
          <w:lang w:val="fr-FR"/>
        </w:rPr>
        <w:lastRenderedPageBreak/>
        <w:fldChar w:fldCharType="begin"/>
      </w:r>
      <w:r w:rsidRPr="00F24966">
        <w:rPr>
          <w:lang w:val="fr-FR"/>
        </w:rPr>
        <w:instrText xml:space="preserve"> SEQ level0 \*arabic </w:instrText>
      </w:r>
      <w:r w:rsidRPr="00F24966">
        <w:rPr>
          <w:lang w:val="fr-FR"/>
        </w:rPr>
        <w:fldChar w:fldCharType="separate"/>
      </w:r>
      <w:r w:rsidR="00F24966">
        <w:rPr>
          <w:noProof/>
          <w:lang w:val="fr-FR"/>
        </w:rPr>
        <w:t>5</w:t>
      </w:r>
      <w:r w:rsidRPr="00F24966">
        <w:rPr>
          <w:lang w:val="fr-FR"/>
        </w:rPr>
        <w:fldChar w:fldCharType="end"/>
      </w:r>
      <w:r w:rsidRPr="00F24966">
        <w:rPr>
          <w:lang w:val="fr-FR"/>
        </w:rPr>
        <w:t>.  En 2008, la famille fut prise en charge par les services sociaux en raison d</w:t>
      </w:r>
      <w:r w:rsidR="00F24966" w:rsidRPr="00F24966">
        <w:rPr>
          <w:lang w:val="fr-FR"/>
        </w:rPr>
        <w:t>’</w:t>
      </w:r>
      <w:r w:rsidRPr="00F24966">
        <w:rPr>
          <w:lang w:val="fr-FR"/>
        </w:rPr>
        <w:t>une situation sociale et sanitaire difficile.</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6</w:t>
      </w:r>
      <w:r w:rsidRPr="00F24966">
        <w:rPr>
          <w:lang w:val="fr-FR"/>
        </w:rPr>
        <w:fldChar w:fldCharType="end"/>
      </w:r>
      <w:r w:rsidRPr="00F24966">
        <w:rPr>
          <w:lang w:val="fr-FR"/>
        </w:rPr>
        <w:t>.  Le 10 septembre 2009, lors d</w:t>
      </w:r>
      <w:r w:rsidR="00F24966" w:rsidRPr="00F24966">
        <w:rPr>
          <w:lang w:val="fr-FR"/>
        </w:rPr>
        <w:t>’</w:t>
      </w:r>
      <w:r w:rsidRPr="00F24966">
        <w:rPr>
          <w:lang w:val="fr-FR"/>
        </w:rPr>
        <w:t>une visite au domicile familial, une équipe d</w:t>
      </w:r>
      <w:r w:rsidR="00F24966" w:rsidRPr="00F24966">
        <w:rPr>
          <w:lang w:val="fr-FR"/>
        </w:rPr>
        <w:t>’</w:t>
      </w:r>
      <w:r w:rsidRPr="00F24966">
        <w:rPr>
          <w:lang w:val="fr-FR"/>
        </w:rPr>
        <w:t>assistants sociaux releva une dégradation évidente de l</w:t>
      </w:r>
      <w:r w:rsidR="00F24966" w:rsidRPr="00F24966">
        <w:rPr>
          <w:lang w:val="fr-FR"/>
        </w:rPr>
        <w:t>’</w:t>
      </w:r>
      <w:r w:rsidRPr="00F24966">
        <w:rPr>
          <w:lang w:val="fr-FR"/>
        </w:rPr>
        <w:t>habitat caractérisée par des carences en matière d</w:t>
      </w:r>
      <w:r w:rsidR="00F24966" w:rsidRPr="00F24966">
        <w:rPr>
          <w:lang w:val="fr-FR"/>
        </w:rPr>
        <w:t>’</w:t>
      </w:r>
      <w:r w:rsidRPr="00F24966">
        <w:rPr>
          <w:lang w:val="fr-FR"/>
        </w:rPr>
        <w:t>hygiène, un manque de soins, et une inaptitude des parents à s</w:t>
      </w:r>
      <w:r w:rsidR="00F24966" w:rsidRPr="00F24966">
        <w:rPr>
          <w:lang w:val="fr-FR"/>
        </w:rPr>
        <w:t>’</w:t>
      </w:r>
      <w:r w:rsidRPr="00F24966">
        <w:rPr>
          <w:lang w:val="fr-FR"/>
        </w:rPr>
        <w:t>occuper des enfants et à subvenir à leurs besoins. Elle releva en outre que le requérant était alcoolique, et que la requérante avait quant à elle une faible personnalité et peu de ressources personnelles et affectives. Elle nota que les deux parents semblaient incapables de garantir aux enfants un développement psycho-physique correct.</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7</w:t>
      </w:r>
      <w:r w:rsidRPr="00F24966">
        <w:rPr>
          <w:lang w:val="fr-FR"/>
        </w:rPr>
        <w:fldChar w:fldCharType="end"/>
      </w:r>
      <w:r w:rsidRPr="00F24966">
        <w:rPr>
          <w:lang w:val="fr-FR"/>
        </w:rPr>
        <w:t>.  À une date non précisée, les requérants demandèrent aux services sociaux le placement temporaire de leurs enfants dans une structure adaptée en raison des difficultés qu</w:t>
      </w:r>
      <w:r w:rsidR="00F24966" w:rsidRPr="00F24966">
        <w:rPr>
          <w:lang w:val="fr-FR"/>
        </w:rPr>
        <w:t>’</w:t>
      </w:r>
      <w:r w:rsidRPr="00F24966">
        <w:rPr>
          <w:lang w:val="fr-FR"/>
        </w:rPr>
        <w:t>ils devaient surmonter.</w:t>
      </w:r>
    </w:p>
    <w:bookmarkStart w:id="1" w:name="HIT8"/>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8</w:t>
      </w:r>
      <w:r w:rsidRPr="00F24966">
        <w:rPr>
          <w:lang w:val="fr-FR"/>
        </w:rPr>
        <w:fldChar w:fldCharType="end"/>
      </w:r>
      <w:bookmarkEnd w:id="1"/>
      <w:r w:rsidRPr="00F24966">
        <w:rPr>
          <w:lang w:val="fr-FR"/>
        </w:rPr>
        <w:t>.  Le 17 juin 2009, le tribunal pour enfants de Cosenza ordonna le placement des mineurs. Les trois aînés furent placés dans un institut, tandis que la cadette, A., resta avec les requérants en raison de son jeune âge. Afin de permettre le maintien du lien familial, le tribunal autorisa les parents à recevoir la visite des mineurs placés pendant les week-ends.</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9</w:t>
      </w:r>
      <w:r w:rsidRPr="00F24966">
        <w:rPr>
          <w:lang w:val="fr-FR"/>
        </w:rPr>
        <w:fldChar w:fldCharType="end"/>
      </w:r>
      <w:r w:rsidRPr="00F24966">
        <w:rPr>
          <w:lang w:val="fr-FR"/>
        </w:rPr>
        <w:t>.  À plusieurs reprises, le requérant fut invité, sans succès, à se rendre auprès du service compétent en matière de traitement de l</w:t>
      </w:r>
      <w:r w:rsidR="00F24966" w:rsidRPr="00F24966">
        <w:rPr>
          <w:lang w:val="fr-FR"/>
        </w:rPr>
        <w:t>’</w:t>
      </w:r>
      <w:r w:rsidRPr="00F24966">
        <w:rPr>
          <w:lang w:val="fr-FR"/>
        </w:rPr>
        <w:t>addiction à l</w:t>
      </w:r>
      <w:r w:rsidR="00F24966" w:rsidRPr="00F24966">
        <w:rPr>
          <w:lang w:val="fr-FR"/>
        </w:rPr>
        <w:t>’</w:t>
      </w:r>
      <w:r w:rsidRPr="00F24966">
        <w:rPr>
          <w:lang w:val="fr-FR"/>
        </w:rPr>
        <w:t>alcool.</w:t>
      </w:r>
    </w:p>
    <w:bookmarkStart w:id="2" w:name="HIT10"/>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10</w:t>
      </w:r>
      <w:r w:rsidRPr="00F24966">
        <w:rPr>
          <w:lang w:val="fr-FR"/>
        </w:rPr>
        <w:fldChar w:fldCharType="end"/>
      </w:r>
      <w:bookmarkEnd w:id="2"/>
      <w:r w:rsidRPr="00F24966">
        <w:rPr>
          <w:lang w:val="fr-FR"/>
        </w:rPr>
        <w:t>.  Le 24 mars 2010, les services sociaux adressèrent au tribunal pour enfants de Catanzaro un rapport sur la situation de la famille. Selon le rapport, les multiples interventions des services sociaux (aide économique, support psychologique à la famille, fourniture de nourriture, orientation et conseil pour l</w:t>
      </w:r>
      <w:r w:rsidR="00F24966" w:rsidRPr="00F24966">
        <w:rPr>
          <w:lang w:val="fr-FR"/>
        </w:rPr>
        <w:t>’</w:t>
      </w:r>
      <w:r w:rsidRPr="00F24966">
        <w:rPr>
          <w:lang w:val="fr-FR"/>
        </w:rPr>
        <w:t>accès aux services, soins et réinsertion pour les parents) s</w:t>
      </w:r>
      <w:r w:rsidR="00F24966" w:rsidRPr="00F24966">
        <w:rPr>
          <w:lang w:val="fr-FR"/>
        </w:rPr>
        <w:t>’</w:t>
      </w:r>
      <w:r w:rsidRPr="00F24966">
        <w:rPr>
          <w:lang w:val="fr-FR"/>
        </w:rPr>
        <w:t>étaient avérées vaines et les requérants n</w:t>
      </w:r>
      <w:r w:rsidR="00F24966" w:rsidRPr="00F24966">
        <w:rPr>
          <w:lang w:val="fr-FR"/>
        </w:rPr>
        <w:t>’</w:t>
      </w:r>
      <w:r w:rsidRPr="00F24966">
        <w:rPr>
          <w:lang w:val="fr-FR"/>
        </w:rPr>
        <w:t>avaient manifesté aucun intérêt à réassumer leurs fonctions parentales.</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11</w:t>
      </w:r>
      <w:r w:rsidRPr="00F24966">
        <w:rPr>
          <w:lang w:val="fr-FR"/>
        </w:rPr>
        <w:fldChar w:fldCharType="end"/>
      </w:r>
      <w:r w:rsidRPr="00F24966">
        <w:rPr>
          <w:lang w:val="fr-FR"/>
        </w:rPr>
        <w:t>.  Le 1</w:t>
      </w:r>
      <w:r w:rsidRPr="00F24966">
        <w:rPr>
          <w:vertAlign w:val="superscript"/>
          <w:lang w:val="fr-FR"/>
        </w:rPr>
        <w:t>er</w:t>
      </w:r>
      <w:r w:rsidRPr="00F24966">
        <w:rPr>
          <w:lang w:val="fr-FR"/>
        </w:rPr>
        <w:t xml:space="preserve"> février 2011, compte tenu des résultats négatifs de leurs interventions, les services sociaux demandèrent au tribunal pour enfants de Catanzaro d</w:t>
      </w:r>
      <w:r w:rsidR="00F24966" w:rsidRPr="00F24966">
        <w:rPr>
          <w:lang w:val="fr-FR"/>
        </w:rPr>
        <w:t>’</w:t>
      </w:r>
      <w:r w:rsidRPr="00F24966">
        <w:rPr>
          <w:lang w:val="fr-FR"/>
        </w:rPr>
        <w:t>ordonner le placement de la jeune A. dans un institut, décision qui fut acceptée par les requérants. Par ailleurs, en raison des mauvaises conditions d</w:t>
      </w:r>
      <w:r w:rsidR="00F24966" w:rsidRPr="00F24966">
        <w:rPr>
          <w:lang w:val="fr-FR"/>
        </w:rPr>
        <w:t>’</w:t>
      </w:r>
      <w:r w:rsidRPr="00F24966">
        <w:rPr>
          <w:lang w:val="fr-FR"/>
        </w:rPr>
        <w:t>hygiène dans lesquelles vivaient les parents, ainsi que de l</w:t>
      </w:r>
      <w:r w:rsidR="00F24966" w:rsidRPr="00F24966">
        <w:rPr>
          <w:lang w:val="fr-FR"/>
        </w:rPr>
        <w:t>’</w:t>
      </w:r>
      <w:r w:rsidRPr="00F24966">
        <w:rPr>
          <w:lang w:val="fr-FR"/>
        </w:rPr>
        <w:t>alcoolisme du requérant, les autorités suspendirent l</w:t>
      </w:r>
      <w:r w:rsidR="00F24966" w:rsidRPr="00F24966">
        <w:rPr>
          <w:lang w:val="fr-FR"/>
        </w:rPr>
        <w:t>’</w:t>
      </w:r>
      <w:r w:rsidRPr="00F24966">
        <w:rPr>
          <w:lang w:val="fr-FR"/>
        </w:rPr>
        <w:t>autorisation accordée aux parents de recevoir la visite des enfants au domicile familial pendant les week-ends. Elles décidèrent cependant qu</w:t>
      </w:r>
      <w:r w:rsidR="00F24966" w:rsidRPr="00F24966">
        <w:rPr>
          <w:lang w:val="fr-FR"/>
        </w:rPr>
        <w:t>’</w:t>
      </w:r>
      <w:r w:rsidRPr="00F24966">
        <w:rPr>
          <w:lang w:val="fr-FR"/>
        </w:rPr>
        <w:t>il convenait de maintenir les contacts entre les requérants et les enfants par le biais de rencontres organisées en milieu protégé.</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12</w:t>
      </w:r>
      <w:r w:rsidRPr="00F24966">
        <w:rPr>
          <w:lang w:val="fr-FR"/>
        </w:rPr>
        <w:fldChar w:fldCharType="end"/>
      </w:r>
      <w:r w:rsidRPr="00F24966">
        <w:rPr>
          <w:lang w:val="fr-FR"/>
        </w:rPr>
        <w:t>.  Par une décision du 20 juin 2012, le tribunal pour enfants confia aux services sociaux la garde des enfants, confirma le placement de ceux-ci en institut, et ordonna la mise en œuvre d</w:t>
      </w:r>
      <w:r w:rsidR="00F24966" w:rsidRPr="00F24966">
        <w:rPr>
          <w:lang w:val="fr-FR"/>
        </w:rPr>
        <w:t>’</w:t>
      </w:r>
      <w:r w:rsidRPr="00F24966">
        <w:rPr>
          <w:lang w:val="fr-FR"/>
        </w:rPr>
        <w:t>un projet aux fins de l</w:t>
      </w:r>
      <w:r w:rsidR="00F24966" w:rsidRPr="00F24966">
        <w:rPr>
          <w:lang w:val="fr-FR"/>
        </w:rPr>
        <w:t>’</w:t>
      </w:r>
      <w:r w:rsidRPr="00F24966">
        <w:rPr>
          <w:lang w:val="fr-FR"/>
        </w:rPr>
        <w:t xml:space="preserve">amélioration des rapports parents-enfants. En outre, par la même décision, il chargea les services sociaux de soutenir les parents, afin que ces derniers pussent </w:t>
      </w:r>
      <w:r w:rsidRPr="00F24966">
        <w:rPr>
          <w:lang w:val="fr-FR"/>
        </w:rPr>
        <w:lastRenderedPageBreak/>
        <w:t>recouvrer leurs capacités parentales, et de mettre en place l</w:t>
      </w:r>
      <w:r w:rsidR="00F24966" w:rsidRPr="00F24966">
        <w:rPr>
          <w:lang w:val="fr-FR"/>
        </w:rPr>
        <w:t>’</w:t>
      </w:r>
      <w:r w:rsidRPr="00F24966">
        <w:rPr>
          <w:lang w:val="fr-FR"/>
        </w:rPr>
        <w:t>insertion du père dans une structure spécialisée pour permettre à celui-ci de suivre un parcours de soin et de réintégration.</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13</w:t>
      </w:r>
      <w:r w:rsidRPr="00F24966">
        <w:rPr>
          <w:lang w:val="fr-FR"/>
        </w:rPr>
        <w:fldChar w:fldCharType="end"/>
      </w:r>
      <w:r w:rsidRPr="00F24966">
        <w:rPr>
          <w:lang w:val="fr-FR"/>
        </w:rPr>
        <w:t>.  Le 10 décembre 2012 naquit M.</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14</w:t>
      </w:r>
      <w:r w:rsidRPr="00F24966">
        <w:rPr>
          <w:lang w:val="fr-FR"/>
        </w:rPr>
        <w:fldChar w:fldCharType="end"/>
      </w:r>
      <w:r w:rsidRPr="00F24966">
        <w:rPr>
          <w:lang w:val="fr-FR"/>
        </w:rPr>
        <w:t>.  Le 14 avril 2014, les services sociaux adressèrent au tribunal un nouveau rapport sur la situation de la famille détaillant les actions de soutien social, économique et parental mises en place, sans succès. Ils soulignaient le manque de collaboration des requérants, le refus répété du requérant de suivre un parcours de désintoxication à l</w:t>
      </w:r>
      <w:r w:rsidR="00F24966" w:rsidRPr="00F24966">
        <w:rPr>
          <w:lang w:val="fr-FR"/>
        </w:rPr>
        <w:t>’</w:t>
      </w:r>
      <w:r w:rsidRPr="00F24966">
        <w:rPr>
          <w:lang w:val="fr-FR"/>
        </w:rPr>
        <w:t>alcool, et l</w:t>
      </w:r>
      <w:r w:rsidR="00F24966" w:rsidRPr="00F24966">
        <w:rPr>
          <w:lang w:val="fr-FR"/>
        </w:rPr>
        <w:t>’</w:t>
      </w:r>
      <w:r w:rsidRPr="00F24966">
        <w:rPr>
          <w:lang w:val="fr-FR"/>
        </w:rPr>
        <w:t>incapacité des parents à s</w:t>
      </w:r>
      <w:r w:rsidR="00F24966" w:rsidRPr="00F24966">
        <w:rPr>
          <w:lang w:val="fr-FR"/>
        </w:rPr>
        <w:t>’</w:t>
      </w:r>
      <w:r w:rsidRPr="00F24966">
        <w:rPr>
          <w:lang w:val="fr-FR"/>
        </w:rPr>
        <w:t>occuper des soins et de l</w:t>
      </w:r>
      <w:r w:rsidR="00F24966" w:rsidRPr="00F24966">
        <w:rPr>
          <w:lang w:val="fr-FR"/>
        </w:rPr>
        <w:t>’</w:t>
      </w:r>
      <w:r w:rsidRPr="00F24966">
        <w:rPr>
          <w:lang w:val="fr-FR"/>
        </w:rPr>
        <w:t>éducation des enfants. Ils signalaient que le plus jeune enfant, M., avait contracté la gale, qu</w:t>
      </w:r>
      <w:r w:rsidR="00F24966" w:rsidRPr="00F24966">
        <w:rPr>
          <w:lang w:val="fr-FR"/>
        </w:rPr>
        <w:t>’</w:t>
      </w:r>
      <w:r w:rsidRPr="00F24966">
        <w:rPr>
          <w:lang w:val="fr-FR"/>
        </w:rPr>
        <w:t>il était sale et mal soigné, et que les requérants ne l</w:t>
      </w:r>
      <w:r w:rsidR="00F24966" w:rsidRPr="00F24966">
        <w:rPr>
          <w:lang w:val="fr-FR"/>
        </w:rPr>
        <w:t>’</w:t>
      </w:r>
      <w:r w:rsidRPr="00F24966">
        <w:rPr>
          <w:lang w:val="fr-FR"/>
        </w:rPr>
        <w:t>emmenaient pas aux consultations pédiatriques périodiques et ne demandaient pas l</w:t>
      </w:r>
      <w:r w:rsidR="00F24966" w:rsidRPr="00F24966">
        <w:rPr>
          <w:lang w:val="fr-FR"/>
        </w:rPr>
        <w:t>’</w:t>
      </w:r>
      <w:r w:rsidRPr="00F24966">
        <w:rPr>
          <w:lang w:val="fr-FR"/>
        </w:rPr>
        <w:t>intervention du pédiatre. Ils suggéraient au tribunal d</w:t>
      </w:r>
      <w:r w:rsidR="00F24966" w:rsidRPr="00F24966">
        <w:rPr>
          <w:lang w:val="fr-FR"/>
        </w:rPr>
        <w:t>’</w:t>
      </w:r>
      <w:r w:rsidRPr="00F24966">
        <w:rPr>
          <w:lang w:val="fr-FR"/>
        </w:rPr>
        <w:t>ordonner le placement de M., une fois l</w:t>
      </w:r>
      <w:r w:rsidR="00F24966" w:rsidRPr="00F24966">
        <w:rPr>
          <w:lang w:val="fr-FR"/>
        </w:rPr>
        <w:t>’</w:t>
      </w:r>
      <w:r w:rsidRPr="00F24966">
        <w:rPr>
          <w:lang w:val="fr-FR"/>
        </w:rPr>
        <w:t>infection soignée, dans le même institut que ses frères et sœurs.</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15</w:t>
      </w:r>
      <w:r w:rsidRPr="00F24966">
        <w:rPr>
          <w:lang w:val="fr-FR"/>
        </w:rPr>
        <w:fldChar w:fldCharType="end"/>
      </w:r>
      <w:r w:rsidR="00AA5F6A" w:rsidRPr="00F24966">
        <w:rPr>
          <w:lang w:val="fr-FR"/>
        </w:rPr>
        <w:t>.  </w:t>
      </w:r>
      <w:r w:rsidRPr="00F24966">
        <w:rPr>
          <w:lang w:val="fr-FR"/>
        </w:rPr>
        <w:t>En avril 2014, une nouvelle intervention des services sociaux eut lieu en raison de l</w:t>
      </w:r>
      <w:r w:rsidR="00F24966" w:rsidRPr="00F24966">
        <w:rPr>
          <w:lang w:val="fr-FR"/>
        </w:rPr>
        <w:t>’</w:t>
      </w:r>
      <w:r w:rsidRPr="00F24966">
        <w:rPr>
          <w:lang w:val="fr-FR"/>
        </w:rPr>
        <w:t>aggravation de l</w:t>
      </w:r>
      <w:r w:rsidR="00F24966" w:rsidRPr="00F24966">
        <w:rPr>
          <w:lang w:val="fr-FR"/>
        </w:rPr>
        <w:t>’</w:t>
      </w:r>
      <w:r w:rsidRPr="00F24966">
        <w:rPr>
          <w:lang w:val="fr-FR"/>
        </w:rPr>
        <w:t>état de santé du mineur M.</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16</w:t>
      </w:r>
      <w:r w:rsidRPr="00F24966">
        <w:rPr>
          <w:lang w:val="fr-FR"/>
        </w:rPr>
        <w:fldChar w:fldCharType="end"/>
      </w:r>
      <w:r w:rsidRPr="00F24966">
        <w:rPr>
          <w:lang w:val="fr-FR"/>
        </w:rPr>
        <w:t>.  À la suite de la remise du rapport des services sociaux, le 18 avril 2014, le procureur de la République demanda au tribunal de Catanzaro d</w:t>
      </w:r>
      <w:r w:rsidR="00F24966" w:rsidRPr="00F24966">
        <w:rPr>
          <w:lang w:val="fr-FR"/>
        </w:rPr>
        <w:t>’</w:t>
      </w:r>
      <w:r w:rsidRPr="00F24966">
        <w:rPr>
          <w:lang w:val="fr-FR"/>
        </w:rPr>
        <w:t>adopter des mesures de protection des enfants.</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17</w:t>
      </w:r>
      <w:r w:rsidRPr="00F24966">
        <w:rPr>
          <w:lang w:val="fr-FR"/>
        </w:rPr>
        <w:fldChar w:fldCharType="end"/>
      </w:r>
      <w:r w:rsidRPr="00F24966">
        <w:rPr>
          <w:lang w:val="fr-FR"/>
        </w:rPr>
        <w:t>.  Une audience eut lieu le 17 juin 2014, au cours de laquelle les parents furent entendus.</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18</w:t>
      </w:r>
      <w:r w:rsidRPr="00F24966">
        <w:rPr>
          <w:lang w:val="fr-FR"/>
        </w:rPr>
        <w:fldChar w:fldCharType="end"/>
      </w:r>
      <w:r w:rsidRPr="00F24966">
        <w:rPr>
          <w:lang w:val="fr-FR"/>
        </w:rPr>
        <w:t>.  Lors de l</w:t>
      </w:r>
      <w:r w:rsidR="00F24966" w:rsidRPr="00F24966">
        <w:rPr>
          <w:lang w:val="fr-FR"/>
        </w:rPr>
        <w:t>’</w:t>
      </w:r>
      <w:r w:rsidRPr="00F24966">
        <w:rPr>
          <w:lang w:val="fr-FR"/>
        </w:rPr>
        <w:t>audience du 9 juillet 2014, les assistants sociaux relatèrent les mauvaises conditions d</w:t>
      </w:r>
      <w:r w:rsidR="00F24966" w:rsidRPr="00F24966">
        <w:rPr>
          <w:lang w:val="fr-FR"/>
        </w:rPr>
        <w:t>’</w:t>
      </w:r>
      <w:r w:rsidRPr="00F24966">
        <w:rPr>
          <w:lang w:val="fr-FR"/>
        </w:rPr>
        <w:t>hygiène régnant au domicile des requérants et les problèmes médicaux de M. En outre, ils informèrent le tribunal que les visites des requérants aux enfants en institut étaient rares et que ces derniers avaient manifesté le souhait de ne plus rentrer au domicile familial.</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19</w:t>
      </w:r>
      <w:r w:rsidRPr="00F24966">
        <w:rPr>
          <w:lang w:val="fr-FR"/>
        </w:rPr>
        <w:fldChar w:fldCharType="end"/>
      </w:r>
      <w:r w:rsidRPr="00F24966">
        <w:rPr>
          <w:lang w:val="fr-FR"/>
        </w:rPr>
        <w:t>.  Par une décision du 11 juillet 2014, le tribunal suspendit l</w:t>
      </w:r>
      <w:r w:rsidR="00F24966" w:rsidRPr="00F24966">
        <w:rPr>
          <w:lang w:val="fr-FR"/>
        </w:rPr>
        <w:t>’</w:t>
      </w:r>
      <w:r w:rsidRPr="00F24966">
        <w:rPr>
          <w:lang w:val="fr-FR"/>
        </w:rPr>
        <w:t>autorité parentale des requérants, confirma le placement des enfants et chargea les services sociaux d</w:t>
      </w:r>
      <w:r w:rsidR="00F24966" w:rsidRPr="00F24966">
        <w:rPr>
          <w:lang w:val="fr-FR"/>
        </w:rPr>
        <w:t>’</w:t>
      </w:r>
      <w:r w:rsidRPr="00F24966">
        <w:rPr>
          <w:lang w:val="fr-FR"/>
        </w:rPr>
        <w:t>identifier des familles d</w:t>
      </w:r>
      <w:r w:rsidR="00F24966" w:rsidRPr="00F24966">
        <w:rPr>
          <w:lang w:val="fr-FR"/>
        </w:rPr>
        <w:t>’</w:t>
      </w:r>
      <w:r w:rsidRPr="00F24966">
        <w:rPr>
          <w:lang w:val="fr-FR"/>
        </w:rPr>
        <w:t>accueil. Pour statuer ainsi, il prit en compte la détérioration de la situation sociale et environnementale de l</w:t>
      </w:r>
      <w:r w:rsidR="00F24966" w:rsidRPr="00F24966">
        <w:rPr>
          <w:lang w:val="fr-FR"/>
        </w:rPr>
        <w:t>’</w:t>
      </w:r>
      <w:r w:rsidRPr="00F24966">
        <w:rPr>
          <w:lang w:val="fr-FR"/>
        </w:rPr>
        <w:t>unité familiale, et ce malgré la mise en place par les services sociaux de nombreuses interventions, l</w:t>
      </w:r>
      <w:r w:rsidR="00F24966" w:rsidRPr="00F24966">
        <w:rPr>
          <w:lang w:val="fr-FR"/>
        </w:rPr>
        <w:t>’</w:t>
      </w:r>
      <w:r w:rsidRPr="00F24966">
        <w:rPr>
          <w:lang w:val="fr-FR"/>
        </w:rPr>
        <w:t>alcoolisme du requérant, ainsi que l</w:t>
      </w:r>
      <w:r w:rsidR="00F24966" w:rsidRPr="00F24966">
        <w:rPr>
          <w:lang w:val="fr-FR"/>
        </w:rPr>
        <w:t>’</w:t>
      </w:r>
      <w:r w:rsidRPr="00F24966">
        <w:rPr>
          <w:lang w:val="fr-FR"/>
        </w:rPr>
        <w:t>incapacité évidente des deux parents à assurer les besoins primaires des enfants.</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20</w:t>
      </w:r>
      <w:r w:rsidRPr="00F24966">
        <w:rPr>
          <w:lang w:val="fr-FR"/>
        </w:rPr>
        <w:fldChar w:fldCharType="end"/>
      </w:r>
      <w:r w:rsidRPr="00F24966">
        <w:rPr>
          <w:lang w:val="fr-FR"/>
        </w:rPr>
        <w:t>.  S</w:t>
      </w:r>
      <w:r w:rsidR="00F24966" w:rsidRPr="00F24966">
        <w:rPr>
          <w:lang w:val="fr-FR"/>
        </w:rPr>
        <w:t>’</w:t>
      </w:r>
      <w:r w:rsidRPr="00F24966">
        <w:rPr>
          <w:lang w:val="fr-FR"/>
        </w:rPr>
        <w:t>agissant de M., le tribunal ordonna son éloignement du domicile familial et l</w:t>
      </w:r>
      <w:r w:rsidR="00F24966" w:rsidRPr="00F24966">
        <w:rPr>
          <w:lang w:val="fr-FR"/>
        </w:rPr>
        <w:t>’</w:t>
      </w:r>
      <w:r w:rsidRPr="00F24966">
        <w:rPr>
          <w:lang w:val="fr-FR"/>
        </w:rPr>
        <w:t>administration des soins nécessaires pour le traitement de la maladie par une famille d</w:t>
      </w:r>
      <w:r w:rsidR="00F24966" w:rsidRPr="00F24966">
        <w:rPr>
          <w:lang w:val="fr-FR"/>
        </w:rPr>
        <w:t>’</w:t>
      </w:r>
      <w:r w:rsidRPr="00F24966">
        <w:rPr>
          <w:lang w:val="fr-FR"/>
        </w:rPr>
        <w:t>accueil, étant donné que l</w:t>
      </w:r>
      <w:r w:rsidR="00F24966" w:rsidRPr="00F24966">
        <w:rPr>
          <w:lang w:val="fr-FR"/>
        </w:rPr>
        <w:t>’</w:t>
      </w:r>
      <w:r w:rsidRPr="00F24966">
        <w:rPr>
          <w:lang w:val="fr-FR"/>
        </w:rPr>
        <w:t>enfant ne pouvait être placé ni dans une structure sanitaire – seuls des traitements à domicile dans un milieu sain, et non pas l</w:t>
      </w:r>
      <w:r w:rsidR="00F24966" w:rsidRPr="00F24966">
        <w:rPr>
          <w:lang w:val="fr-FR"/>
        </w:rPr>
        <w:t>’</w:t>
      </w:r>
      <w:r w:rsidRPr="00F24966">
        <w:rPr>
          <w:lang w:val="fr-FR"/>
        </w:rPr>
        <w:t>hospitalisation, étant envisageables pour soigner la maladie de la gale –, ni dans la structure où se trouvaient ses frères et sœurs en raison de la contagiosité de l</w:t>
      </w:r>
      <w:r w:rsidR="00F24966" w:rsidRPr="00F24966">
        <w:rPr>
          <w:lang w:val="fr-FR"/>
        </w:rPr>
        <w:t>’</w:t>
      </w:r>
      <w:r w:rsidRPr="00F24966">
        <w:rPr>
          <w:lang w:val="fr-FR"/>
        </w:rPr>
        <w:t>infection.</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21</w:t>
      </w:r>
      <w:r w:rsidRPr="00F24966">
        <w:rPr>
          <w:lang w:val="fr-FR"/>
        </w:rPr>
        <w:fldChar w:fldCharType="end"/>
      </w:r>
      <w:r w:rsidRPr="00F24966">
        <w:rPr>
          <w:lang w:val="fr-FR"/>
        </w:rPr>
        <w:t>.  En novembre 2014, quatre des enfants furent placés dans des familles d</w:t>
      </w:r>
      <w:r w:rsidR="00F24966" w:rsidRPr="00F24966">
        <w:rPr>
          <w:lang w:val="fr-FR"/>
        </w:rPr>
        <w:t>’</w:t>
      </w:r>
      <w:r w:rsidRPr="00F24966">
        <w:rPr>
          <w:lang w:val="fr-FR"/>
        </w:rPr>
        <w:t xml:space="preserve">accueil : G. et GI. auprès de la famille X., et MA. et A. auprès de </w:t>
      </w:r>
      <w:r w:rsidRPr="00F24966">
        <w:rPr>
          <w:lang w:val="fr-FR"/>
        </w:rPr>
        <w:lastRenderedPageBreak/>
        <w:t>la famille Y. Quant au mineur M., il demanda à pouvoir rester dans l</w:t>
      </w:r>
      <w:r w:rsidR="00F24966" w:rsidRPr="00F24966">
        <w:rPr>
          <w:lang w:val="fr-FR"/>
        </w:rPr>
        <w:t>’</w:t>
      </w:r>
      <w:r w:rsidRPr="00F24966">
        <w:rPr>
          <w:lang w:val="fr-FR"/>
        </w:rPr>
        <w:t>institut et à continuer à voir ses frères et sœurs.</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22</w:t>
      </w:r>
      <w:r w:rsidRPr="00F24966">
        <w:rPr>
          <w:lang w:val="fr-FR"/>
        </w:rPr>
        <w:fldChar w:fldCharType="end"/>
      </w:r>
      <w:r w:rsidRPr="00F24966">
        <w:rPr>
          <w:lang w:val="fr-FR"/>
        </w:rPr>
        <w:t>.  Le 11 novembre 2014, les services sociaux présentèrent un rapport sur la situation des enfants, qui mettait en lumière de sérieuses carences dans la relation des parents avec G., G. et A., le fait que les requérants se déchargeaient de l</w:t>
      </w:r>
      <w:r w:rsidR="00F24966" w:rsidRPr="00F24966">
        <w:rPr>
          <w:lang w:val="fr-FR"/>
        </w:rPr>
        <w:t>’</w:t>
      </w:r>
      <w:r w:rsidRPr="00F24966">
        <w:rPr>
          <w:lang w:val="fr-FR"/>
        </w:rPr>
        <w:t>éducation des enfants sur les travailleurs sociaux, ainsi que des carences dans le traitement de la maladie de M.</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23</w:t>
      </w:r>
      <w:r w:rsidRPr="00F24966">
        <w:rPr>
          <w:lang w:val="fr-FR"/>
        </w:rPr>
        <w:fldChar w:fldCharType="end"/>
      </w:r>
      <w:r w:rsidRPr="00F24966">
        <w:rPr>
          <w:lang w:val="fr-FR"/>
        </w:rPr>
        <w:t>.  Le 25 novembre 2014, les services sociaux adressèrent au tribunal un rapport sur la situation de M. Selon ce rapport, les requérants ne démontraient aucun intérêt vis-à-vis de l</w:t>
      </w:r>
      <w:r w:rsidR="00F24966" w:rsidRPr="00F24966">
        <w:rPr>
          <w:lang w:val="fr-FR"/>
        </w:rPr>
        <w:t>’</w:t>
      </w:r>
      <w:r w:rsidRPr="00F24966">
        <w:rPr>
          <w:lang w:val="fr-FR"/>
        </w:rPr>
        <w:t>enfant : ils ne l</w:t>
      </w:r>
      <w:r w:rsidR="00F24966" w:rsidRPr="00F24966">
        <w:rPr>
          <w:lang w:val="fr-FR"/>
        </w:rPr>
        <w:t>’</w:t>
      </w:r>
      <w:r w:rsidRPr="00F24966">
        <w:rPr>
          <w:lang w:val="fr-FR"/>
        </w:rPr>
        <w:t>appelaient pas et ne demandaient pas de ses nouvelles aux services sociaux. Entre-temps, tous les mineurs avaient manifesté la volonté de ne plus retourner auprès de leurs parents, et demandaient à être pris en charge par les familles d</w:t>
      </w:r>
      <w:r w:rsidR="00F24966" w:rsidRPr="00F24966">
        <w:rPr>
          <w:lang w:val="fr-FR"/>
        </w:rPr>
        <w:t>’</w:t>
      </w:r>
      <w:r w:rsidRPr="00F24966">
        <w:rPr>
          <w:lang w:val="fr-FR"/>
        </w:rPr>
        <w:t>accueil.</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24</w:t>
      </w:r>
      <w:r w:rsidRPr="00F24966">
        <w:rPr>
          <w:lang w:val="fr-FR"/>
        </w:rPr>
        <w:fldChar w:fldCharType="end"/>
      </w:r>
      <w:r w:rsidRPr="00F24966">
        <w:rPr>
          <w:lang w:val="fr-FR"/>
        </w:rPr>
        <w:t>.  Le 9 février 2015, le procureur demanda la déclaration de déchéance de l</w:t>
      </w:r>
      <w:r w:rsidR="00F24966" w:rsidRPr="00F24966">
        <w:rPr>
          <w:lang w:val="fr-FR"/>
        </w:rPr>
        <w:t>’</w:t>
      </w:r>
      <w:r w:rsidRPr="00F24966">
        <w:rPr>
          <w:lang w:val="fr-FR"/>
        </w:rPr>
        <w:t>autorité parentale des requérants et l</w:t>
      </w:r>
      <w:r w:rsidR="00F24966" w:rsidRPr="00F24966">
        <w:rPr>
          <w:lang w:val="fr-FR"/>
        </w:rPr>
        <w:t>’</w:t>
      </w:r>
      <w:r w:rsidRPr="00F24966">
        <w:rPr>
          <w:lang w:val="fr-FR"/>
        </w:rPr>
        <w:t>ouverture d</w:t>
      </w:r>
      <w:r w:rsidR="00F24966" w:rsidRPr="00F24966">
        <w:rPr>
          <w:lang w:val="fr-FR"/>
        </w:rPr>
        <w:t>’</w:t>
      </w:r>
      <w:r w:rsidRPr="00F24966">
        <w:rPr>
          <w:lang w:val="fr-FR"/>
        </w:rPr>
        <w:t>une procédure visant à la déclaration d</w:t>
      </w:r>
      <w:r w:rsidR="00F24966" w:rsidRPr="00F24966">
        <w:rPr>
          <w:lang w:val="fr-FR"/>
        </w:rPr>
        <w:t>’</w:t>
      </w:r>
      <w:r w:rsidRPr="00F24966">
        <w:rPr>
          <w:lang w:val="fr-FR"/>
        </w:rPr>
        <w:t>adoptabilité des enfants.</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25</w:t>
      </w:r>
      <w:r w:rsidRPr="00F24966">
        <w:rPr>
          <w:lang w:val="fr-FR"/>
        </w:rPr>
        <w:fldChar w:fldCharType="end"/>
      </w:r>
      <w:r w:rsidRPr="00F24966">
        <w:rPr>
          <w:lang w:val="fr-FR"/>
        </w:rPr>
        <w:t>.  Par une décision du 3 avril 2015, le tribunal maintint la suspension de l</w:t>
      </w:r>
      <w:r w:rsidR="00F24966" w:rsidRPr="00F24966">
        <w:rPr>
          <w:lang w:val="fr-FR"/>
        </w:rPr>
        <w:t>’</w:t>
      </w:r>
      <w:r w:rsidRPr="00F24966">
        <w:rPr>
          <w:lang w:val="fr-FR"/>
        </w:rPr>
        <w:t>autorité parentale des requérants, confirma l</w:t>
      </w:r>
      <w:r w:rsidR="00F24966" w:rsidRPr="00F24966">
        <w:rPr>
          <w:lang w:val="fr-FR"/>
        </w:rPr>
        <w:t>’</w:t>
      </w:r>
      <w:r w:rsidRPr="00F24966">
        <w:rPr>
          <w:lang w:val="fr-FR"/>
        </w:rPr>
        <w:t>éloignement de M. de la maison familiale, confia la garde des enfants aux services sociaux, autorisa les rencontres en milieu protégé entre parents et enfants, et ordonna l</w:t>
      </w:r>
      <w:r w:rsidR="00F24966" w:rsidRPr="00F24966">
        <w:rPr>
          <w:lang w:val="fr-FR"/>
        </w:rPr>
        <w:t>’</w:t>
      </w:r>
      <w:r w:rsidRPr="00F24966">
        <w:rPr>
          <w:lang w:val="fr-FR"/>
        </w:rPr>
        <w:t>ouverture d</w:t>
      </w:r>
      <w:r w:rsidR="00F24966" w:rsidRPr="00F24966">
        <w:rPr>
          <w:lang w:val="fr-FR"/>
        </w:rPr>
        <w:t>’</w:t>
      </w:r>
      <w:r w:rsidRPr="00F24966">
        <w:rPr>
          <w:lang w:val="fr-FR"/>
        </w:rPr>
        <w:t>une procédure en déclaration d</w:t>
      </w:r>
      <w:r w:rsidR="00F24966" w:rsidRPr="00F24966">
        <w:rPr>
          <w:lang w:val="fr-FR"/>
        </w:rPr>
        <w:t>’</w:t>
      </w:r>
      <w:r w:rsidRPr="00F24966">
        <w:rPr>
          <w:lang w:val="fr-FR"/>
        </w:rPr>
        <w:t>abandon. À l</w:t>
      </w:r>
      <w:r w:rsidR="00F24966" w:rsidRPr="00F24966">
        <w:rPr>
          <w:lang w:val="fr-FR"/>
        </w:rPr>
        <w:t>’</w:t>
      </w:r>
      <w:r w:rsidRPr="00F24966">
        <w:rPr>
          <w:lang w:val="fr-FR"/>
        </w:rPr>
        <w:t>appui de sa décision, le tribunal souligna en particulier que le requérant se trouvait en état d</w:t>
      </w:r>
      <w:r w:rsidR="00F24966" w:rsidRPr="00F24966">
        <w:rPr>
          <w:lang w:val="fr-FR"/>
        </w:rPr>
        <w:t>’</w:t>
      </w:r>
      <w:r w:rsidRPr="00F24966">
        <w:rPr>
          <w:lang w:val="fr-FR"/>
        </w:rPr>
        <w:t>ivresse lors des dernières rencontres, que les aides offertes à la requérante étaient vaines puisque celle-ci était complètement soumise au requérant, que les parents n</w:t>
      </w:r>
      <w:r w:rsidR="00F24966" w:rsidRPr="00F24966">
        <w:rPr>
          <w:lang w:val="fr-FR"/>
        </w:rPr>
        <w:t>’</w:t>
      </w:r>
      <w:r w:rsidRPr="00F24966">
        <w:rPr>
          <w:lang w:val="fr-FR"/>
        </w:rPr>
        <w:t>étaient pas capables de s</w:t>
      </w:r>
      <w:r w:rsidR="00F24966" w:rsidRPr="00F24966">
        <w:rPr>
          <w:lang w:val="fr-FR"/>
        </w:rPr>
        <w:t>’</w:t>
      </w:r>
      <w:r w:rsidRPr="00F24966">
        <w:rPr>
          <w:lang w:val="fr-FR"/>
        </w:rPr>
        <w:t>occuper de la famille et, par conséquent, que le retour des enfants dans leur famille d</w:t>
      </w:r>
      <w:r w:rsidR="00F24966" w:rsidRPr="00F24966">
        <w:rPr>
          <w:lang w:val="fr-FR"/>
        </w:rPr>
        <w:t>’</w:t>
      </w:r>
      <w:r w:rsidRPr="00F24966">
        <w:rPr>
          <w:lang w:val="fr-FR"/>
        </w:rPr>
        <w:t>origine n</w:t>
      </w:r>
      <w:r w:rsidR="00F24966" w:rsidRPr="00F24966">
        <w:rPr>
          <w:lang w:val="fr-FR"/>
        </w:rPr>
        <w:t>’</w:t>
      </w:r>
      <w:r w:rsidRPr="00F24966">
        <w:rPr>
          <w:lang w:val="fr-FR"/>
        </w:rPr>
        <w:t>était pas envisageable.</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26</w:t>
      </w:r>
      <w:r w:rsidRPr="00F24966">
        <w:rPr>
          <w:lang w:val="fr-FR"/>
        </w:rPr>
        <w:fldChar w:fldCharType="end"/>
      </w:r>
      <w:r w:rsidRPr="00F24966">
        <w:rPr>
          <w:lang w:val="fr-FR"/>
        </w:rPr>
        <w:t>.  Le 16 juin 2015, lors de leur audition, les enfants indiquèrent vouloir rester dans leurs familles d</w:t>
      </w:r>
      <w:r w:rsidR="00F24966" w:rsidRPr="00F24966">
        <w:rPr>
          <w:lang w:val="fr-FR"/>
        </w:rPr>
        <w:t>’</w:t>
      </w:r>
      <w:r w:rsidRPr="00F24966">
        <w:rPr>
          <w:lang w:val="fr-FR"/>
        </w:rPr>
        <w:t>accueil au motif, notamment, que leurs parents n</w:t>
      </w:r>
      <w:r w:rsidR="00F24966" w:rsidRPr="00F24966">
        <w:rPr>
          <w:lang w:val="fr-FR"/>
        </w:rPr>
        <w:t>’</w:t>
      </w:r>
      <w:r w:rsidRPr="00F24966">
        <w:rPr>
          <w:lang w:val="fr-FR"/>
        </w:rPr>
        <w:t>étaient pas en mesure de prendre soin d</w:t>
      </w:r>
      <w:r w:rsidR="00F24966" w:rsidRPr="00F24966">
        <w:rPr>
          <w:lang w:val="fr-FR"/>
        </w:rPr>
        <w:t>’</w:t>
      </w:r>
      <w:r w:rsidRPr="00F24966">
        <w:rPr>
          <w:lang w:val="fr-FR"/>
        </w:rPr>
        <w:t>eux.</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27</w:t>
      </w:r>
      <w:r w:rsidRPr="00F24966">
        <w:rPr>
          <w:lang w:val="fr-FR"/>
        </w:rPr>
        <w:fldChar w:fldCharType="end"/>
      </w:r>
      <w:r w:rsidRPr="00F24966">
        <w:rPr>
          <w:lang w:val="fr-FR"/>
        </w:rPr>
        <w:t>.  Le 23 juillet 2015, le tribunal pour enfants déclara les enfants en état d</w:t>
      </w:r>
      <w:r w:rsidR="00F24966" w:rsidRPr="00F24966">
        <w:rPr>
          <w:lang w:val="fr-FR"/>
        </w:rPr>
        <w:t>’</w:t>
      </w:r>
      <w:r w:rsidRPr="00F24966">
        <w:rPr>
          <w:lang w:val="fr-FR"/>
        </w:rPr>
        <w:t>adoptabilité, maintint la suspension de l</w:t>
      </w:r>
      <w:r w:rsidR="00F24966" w:rsidRPr="00F24966">
        <w:rPr>
          <w:lang w:val="fr-FR"/>
        </w:rPr>
        <w:t>’</w:t>
      </w:r>
      <w:r w:rsidRPr="00F24966">
        <w:rPr>
          <w:lang w:val="fr-FR"/>
        </w:rPr>
        <w:t>autorité parentale des requérants, confirma le placement des enfants, et nomma un tuteur provisoire ainsi qu</w:t>
      </w:r>
      <w:r w:rsidR="00F24966" w:rsidRPr="00F24966">
        <w:rPr>
          <w:lang w:val="fr-FR"/>
        </w:rPr>
        <w:t>’</w:t>
      </w:r>
      <w:r w:rsidRPr="00F24966">
        <w:rPr>
          <w:lang w:val="fr-FR"/>
        </w:rPr>
        <w:t>un curateur spécial pour les enfants. Le tribunal souligna que les enfants avaient été systématiquement éloignés de la maison familiale en raison de l</w:t>
      </w:r>
      <w:r w:rsidR="00F24966" w:rsidRPr="00F24966">
        <w:rPr>
          <w:lang w:val="fr-FR"/>
        </w:rPr>
        <w:t>’</w:t>
      </w:r>
      <w:r w:rsidRPr="00F24966">
        <w:rPr>
          <w:lang w:val="fr-FR"/>
        </w:rPr>
        <w:t>incapacité chronique des parents à leur assurer un minimum de soins et que toutes les actions des services sociaux, qui avaient en charge la famille depuis 2009, avaient échoué. Il constata que les requérants n</w:t>
      </w:r>
      <w:r w:rsidR="00F24966" w:rsidRPr="00F24966">
        <w:rPr>
          <w:lang w:val="fr-FR"/>
        </w:rPr>
        <w:t>’</w:t>
      </w:r>
      <w:r w:rsidRPr="00F24966">
        <w:rPr>
          <w:lang w:val="fr-FR"/>
        </w:rPr>
        <w:t>avaient ni changé leur mode de vie ni collaboré avec les services sociaux.</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28</w:t>
      </w:r>
      <w:r w:rsidRPr="00F24966">
        <w:rPr>
          <w:lang w:val="fr-FR"/>
        </w:rPr>
        <w:fldChar w:fldCharType="end"/>
      </w:r>
      <w:r w:rsidRPr="00F24966">
        <w:rPr>
          <w:lang w:val="fr-FR"/>
        </w:rPr>
        <w:t>.  Les requérants interjetèrent séparément appel de ce jugement, le 10 août et le 12 août 2015. Dans le cadre de son appel, la requérante demanda à ce qu</w:t>
      </w:r>
      <w:r w:rsidR="00F24966" w:rsidRPr="00F24966">
        <w:rPr>
          <w:lang w:val="fr-FR"/>
        </w:rPr>
        <w:t>’</w:t>
      </w:r>
      <w:r w:rsidRPr="00F24966">
        <w:rPr>
          <w:lang w:val="fr-FR"/>
        </w:rPr>
        <w:t>il fût procédé à une expertise de ses capacités parentales.</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29</w:t>
      </w:r>
      <w:r w:rsidRPr="00F24966">
        <w:rPr>
          <w:lang w:val="fr-FR"/>
        </w:rPr>
        <w:fldChar w:fldCharType="end"/>
      </w:r>
      <w:r w:rsidRPr="00F24966">
        <w:rPr>
          <w:lang w:val="fr-FR"/>
        </w:rPr>
        <w:t>.  Par un arrêt du 16 février 2016, la cour d</w:t>
      </w:r>
      <w:r w:rsidR="00F24966" w:rsidRPr="00F24966">
        <w:rPr>
          <w:lang w:val="fr-FR"/>
        </w:rPr>
        <w:t>’</w:t>
      </w:r>
      <w:r w:rsidRPr="00F24966">
        <w:rPr>
          <w:lang w:val="fr-FR"/>
        </w:rPr>
        <w:t xml:space="preserve">appel rejeta les recours des requérants. Elle releva en particulier la dégradation extrême de </w:t>
      </w:r>
      <w:r w:rsidRPr="00F24966">
        <w:rPr>
          <w:lang w:val="fr-FR"/>
        </w:rPr>
        <w:lastRenderedPageBreak/>
        <w:t>l</w:t>
      </w:r>
      <w:r w:rsidR="00F24966" w:rsidRPr="00F24966">
        <w:rPr>
          <w:lang w:val="fr-FR"/>
        </w:rPr>
        <w:t>’</w:t>
      </w:r>
      <w:r w:rsidRPr="00F24966">
        <w:rPr>
          <w:lang w:val="fr-FR"/>
        </w:rPr>
        <w:t>environnement dans lequel la famille vivait, l</w:t>
      </w:r>
      <w:r w:rsidR="00F24966" w:rsidRPr="00F24966">
        <w:rPr>
          <w:lang w:val="fr-FR"/>
        </w:rPr>
        <w:t>’</w:t>
      </w:r>
      <w:r w:rsidRPr="00F24966">
        <w:rPr>
          <w:lang w:val="fr-FR"/>
        </w:rPr>
        <w:t>incapacité des requérants à collaborer avec les services sociaux en vue du rétablissement d</w:t>
      </w:r>
      <w:r w:rsidR="00F24966" w:rsidRPr="00F24966">
        <w:rPr>
          <w:lang w:val="fr-FR"/>
        </w:rPr>
        <w:t>’</w:t>
      </w:r>
      <w:r w:rsidRPr="00F24966">
        <w:rPr>
          <w:lang w:val="fr-FR"/>
        </w:rPr>
        <w:t>une relation affective avec les enfants, et l</w:t>
      </w:r>
      <w:r w:rsidR="00F24966" w:rsidRPr="00F24966">
        <w:rPr>
          <w:lang w:val="fr-FR"/>
        </w:rPr>
        <w:t>’</w:t>
      </w:r>
      <w:r w:rsidRPr="00F24966">
        <w:rPr>
          <w:lang w:val="fr-FR"/>
        </w:rPr>
        <w:t>absence d</w:t>
      </w:r>
      <w:r w:rsidR="00F24966" w:rsidRPr="00F24966">
        <w:rPr>
          <w:lang w:val="fr-FR"/>
        </w:rPr>
        <w:t>’</w:t>
      </w:r>
      <w:r w:rsidRPr="00F24966">
        <w:rPr>
          <w:lang w:val="fr-FR"/>
        </w:rPr>
        <w:t>un véritable lien émotionnel parents-enfants.</w:t>
      </w:r>
    </w:p>
    <w:p w:rsidR="00A046D8" w:rsidRPr="00F24966" w:rsidRDefault="00A046D8" w:rsidP="00F24966">
      <w:pPr>
        <w:pStyle w:val="ECHRPara"/>
        <w:rPr>
          <w:lang w:val="fr-FR"/>
        </w:rPr>
      </w:pPr>
      <w:r w:rsidRPr="00F24966">
        <w:rPr>
          <w:lang w:val="fr-FR"/>
        </w:rPr>
        <w:t>Elle ne fit pas droit, par ailleurs, à la demande d</w:t>
      </w:r>
      <w:r w:rsidR="00F24966" w:rsidRPr="00F24966">
        <w:rPr>
          <w:lang w:val="fr-FR"/>
        </w:rPr>
        <w:t>’</w:t>
      </w:r>
      <w:r w:rsidRPr="00F24966">
        <w:rPr>
          <w:lang w:val="fr-FR"/>
        </w:rPr>
        <w:t>expertise, estimant que celle-ci était superflue compte tenu des résultats univoques de l</w:t>
      </w:r>
      <w:r w:rsidR="00F24966" w:rsidRPr="00F24966">
        <w:rPr>
          <w:lang w:val="fr-FR"/>
        </w:rPr>
        <w:t>’</w:t>
      </w:r>
      <w:r w:rsidRPr="00F24966">
        <w:rPr>
          <w:lang w:val="fr-FR"/>
        </w:rPr>
        <w:t>enquête menée par le tribunal pour enfants sur les capacités parentales des requérants.</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30</w:t>
      </w:r>
      <w:r w:rsidRPr="00F24966">
        <w:rPr>
          <w:lang w:val="fr-FR"/>
        </w:rPr>
        <w:fldChar w:fldCharType="end"/>
      </w:r>
      <w:r w:rsidRPr="00F24966">
        <w:rPr>
          <w:lang w:val="fr-FR"/>
        </w:rPr>
        <w:t>.  Le 18 mai 2016, les requérants se pourvurent en cassation. Le tuteur se constitua devant la Cour de cassation pour demander le rejet du recours.</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31</w:t>
      </w:r>
      <w:r w:rsidRPr="00F24966">
        <w:rPr>
          <w:lang w:val="fr-FR"/>
        </w:rPr>
        <w:fldChar w:fldCharType="end"/>
      </w:r>
      <w:r w:rsidRPr="00F24966">
        <w:rPr>
          <w:lang w:val="fr-FR"/>
        </w:rPr>
        <w:t>.  Par une décision du 21 février 2017, la Cour de cassation rejeta le pourvoi des requérants. Selon la haute juridiction, la cour d</w:t>
      </w:r>
      <w:r w:rsidR="00F24966" w:rsidRPr="00F24966">
        <w:rPr>
          <w:lang w:val="fr-FR"/>
        </w:rPr>
        <w:t>’</w:t>
      </w:r>
      <w:r w:rsidRPr="00F24966">
        <w:rPr>
          <w:lang w:val="fr-FR"/>
        </w:rPr>
        <w:t>appel avait de manière adéquate souligné l</w:t>
      </w:r>
      <w:r w:rsidR="00F24966" w:rsidRPr="00F24966">
        <w:rPr>
          <w:lang w:val="fr-FR"/>
        </w:rPr>
        <w:t>’</w:t>
      </w:r>
      <w:r w:rsidRPr="00F24966">
        <w:rPr>
          <w:lang w:val="fr-FR"/>
        </w:rPr>
        <w:t>existence d</w:t>
      </w:r>
      <w:r w:rsidR="00F24966" w:rsidRPr="00F24966">
        <w:rPr>
          <w:lang w:val="fr-FR"/>
        </w:rPr>
        <w:t>’</w:t>
      </w:r>
      <w:r w:rsidRPr="00F24966">
        <w:rPr>
          <w:lang w:val="fr-FR"/>
        </w:rPr>
        <w:t>une situation d</w:t>
      </w:r>
      <w:r w:rsidR="00F24966" w:rsidRPr="00F24966">
        <w:rPr>
          <w:lang w:val="fr-FR"/>
        </w:rPr>
        <w:t>’</w:t>
      </w:r>
      <w:r w:rsidRPr="00F24966">
        <w:rPr>
          <w:lang w:val="fr-FR"/>
        </w:rPr>
        <w:t>abandon en se fondant sur la dégradation extrême de l</w:t>
      </w:r>
      <w:r w:rsidR="00F24966" w:rsidRPr="00F24966">
        <w:rPr>
          <w:lang w:val="fr-FR"/>
        </w:rPr>
        <w:t>’</w:t>
      </w:r>
      <w:r w:rsidRPr="00F24966">
        <w:rPr>
          <w:lang w:val="fr-FR"/>
        </w:rPr>
        <w:t>environnement dans lequel vivait la famille et le manque de lucidité des requérants quant à cette situation, sur l</w:t>
      </w:r>
      <w:r w:rsidR="00F24966" w:rsidRPr="00F24966">
        <w:rPr>
          <w:lang w:val="fr-FR"/>
        </w:rPr>
        <w:t>’</w:t>
      </w:r>
      <w:r w:rsidRPr="00F24966">
        <w:rPr>
          <w:lang w:val="fr-FR"/>
        </w:rPr>
        <w:t>incapacité de ces derniers à changer leur mode de vie, et sur l</w:t>
      </w:r>
      <w:r w:rsidR="00F24966" w:rsidRPr="00F24966">
        <w:rPr>
          <w:lang w:val="fr-FR"/>
        </w:rPr>
        <w:t>’</w:t>
      </w:r>
      <w:r w:rsidRPr="00F24966">
        <w:rPr>
          <w:lang w:val="fr-FR"/>
        </w:rPr>
        <w:t>absence de relations significatives entre les parents et les enfants. De plus, la Cour de cassation nota que la cour d</w:t>
      </w:r>
      <w:r w:rsidR="00F24966" w:rsidRPr="00F24966">
        <w:rPr>
          <w:lang w:val="fr-FR"/>
        </w:rPr>
        <w:t>’</w:t>
      </w:r>
      <w:r w:rsidRPr="00F24966">
        <w:rPr>
          <w:lang w:val="fr-FR"/>
        </w:rPr>
        <w:t>appel s</w:t>
      </w:r>
      <w:r w:rsidR="00F24966" w:rsidRPr="00F24966">
        <w:rPr>
          <w:lang w:val="fr-FR"/>
        </w:rPr>
        <w:t>’</w:t>
      </w:r>
      <w:r w:rsidRPr="00F24966">
        <w:rPr>
          <w:lang w:val="fr-FR"/>
        </w:rPr>
        <w:t>était référée à l</w:t>
      </w:r>
      <w:r w:rsidR="00F24966" w:rsidRPr="00F24966">
        <w:rPr>
          <w:lang w:val="fr-FR"/>
        </w:rPr>
        <w:t>’</w:t>
      </w:r>
      <w:r w:rsidRPr="00F24966">
        <w:rPr>
          <w:lang w:val="fr-FR"/>
        </w:rPr>
        <w:t>addiction à l</w:t>
      </w:r>
      <w:r w:rsidR="00F24966" w:rsidRPr="00F24966">
        <w:rPr>
          <w:lang w:val="fr-FR"/>
        </w:rPr>
        <w:t>’</w:t>
      </w:r>
      <w:r w:rsidRPr="00F24966">
        <w:rPr>
          <w:lang w:val="fr-FR"/>
        </w:rPr>
        <w:t>alcool du requérant, ainsi qu</w:t>
      </w:r>
      <w:r w:rsidR="00F24966" w:rsidRPr="00F24966">
        <w:rPr>
          <w:lang w:val="fr-FR"/>
        </w:rPr>
        <w:t>’</w:t>
      </w:r>
      <w:r w:rsidRPr="00F24966">
        <w:rPr>
          <w:lang w:val="fr-FR"/>
        </w:rPr>
        <w:t>à la soumission de la requérante à ce dernier et à son incapacité à prendre des décisions pour protéger les enfants. Elle constata par ailleurs que toutes les initiatives prises depuis 2009 pour soutenir et aider les requérants avaient échoué.</w:t>
      </w:r>
    </w:p>
    <w:p w:rsidR="00A046D8" w:rsidRPr="00F24966" w:rsidRDefault="00A046D8" w:rsidP="00F24966">
      <w:pPr>
        <w:pStyle w:val="ECHRPara"/>
        <w:rPr>
          <w:lang w:val="fr-FR"/>
        </w:rPr>
      </w:pPr>
      <w:r w:rsidRPr="00F24966">
        <w:rPr>
          <w:lang w:val="fr-FR"/>
        </w:rPr>
        <w:t>La Cour de cassation souligna, en outre, que l</w:t>
      </w:r>
      <w:r w:rsidR="00F24966" w:rsidRPr="00F24966">
        <w:rPr>
          <w:lang w:val="fr-FR"/>
        </w:rPr>
        <w:t>’</w:t>
      </w:r>
      <w:r w:rsidRPr="00F24966">
        <w:rPr>
          <w:lang w:val="fr-FR"/>
        </w:rPr>
        <w:t>article 44 d) de la loi sur l</w:t>
      </w:r>
      <w:r w:rsidR="00F24966" w:rsidRPr="00F24966">
        <w:rPr>
          <w:lang w:val="fr-FR"/>
        </w:rPr>
        <w:t>’</w:t>
      </w:r>
      <w:r w:rsidRPr="00F24966">
        <w:rPr>
          <w:lang w:val="fr-FR"/>
        </w:rPr>
        <w:t>adoption invoqué par les requérants n</w:t>
      </w:r>
      <w:r w:rsidR="00F24966" w:rsidRPr="00F24966">
        <w:rPr>
          <w:lang w:val="fr-FR"/>
        </w:rPr>
        <w:t>’</w:t>
      </w:r>
      <w:r w:rsidRPr="00F24966">
        <w:rPr>
          <w:lang w:val="fr-FR"/>
        </w:rPr>
        <w:t>était pas pertinent dans leur cas, au motif qu</w:t>
      </w:r>
      <w:r w:rsidR="00F24966" w:rsidRPr="00F24966">
        <w:rPr>
          <w:lang w:val="fr-FR"/>
        </w:rPr>
        <w:t>’</w:t>
      </w:r>
      <w:r w:rsidRPr="00F24966">
        <w:rPr>
          <w:lang w:val="fr-FR"/>
        </w:rPr>
        <w:t>il pouvait trouver application seulement en l</w:t>
      </w:r>
      <w:r w:rsidR="00F24966" w:rsidRPr="00F24966">
        <w:rPr>
          <w:lang w:val="fr-FR"/>
        </w:rPr>
        <w:t>’</w:t>
      </w:r>
      <w:r w:rsidRPr="00F24966">
        <w:rPr>
          <w:lang w:val="fr-FR"/>
        </w:rPr>
        <w:t>absence d</w:t>
      </w:r>
      <w:r w:rsidR="00F24966" w:rsidRPr="00F24966">
        <w:rPr>
          <w:lang w:val="fr-FR"/>
        </w:rPr>
        <w:t>’</w:t>
      </w:r>
      <w:r w:rsidRPr="00F24966">
        <w:rPr>
          <w:lang w:val="fr-FR"/>
        </w:rPr>
        <w:t>une situation d</w:t>
      </w:r>
      <w:r w:rsidR="00F24966" w:rsidRPr="00F24966">
        <w:rPr>
          <w:lang w:val="fr-FR"/>
        </w:rPr>
        <w:t>’</w:t>
      </w:r>
      <w:r w:rsidRPr="00F24966">
        <w:rPr>
          <w:lang w:val="fr-FR"/>
        </w:rPr>
        <w:t>abandon ou bien en cas d</w:t>
      </w:r>
      <w:r w:rsidR="00F24966" w:rsidRPr="00F24966">
        <w:rPr>
          <w:lang w:val="fr-FR"/>
        </w:rPr>
        <w:t>’</w:t>
      </w:r>
      <w:r w:rsidRPr="00F24966">
        <w:rPr>
          <w:lang w:val="fr-FR"/>
        </w:rPr>
        <w:t>impossibilité concrète d</w:t>
      </w:r>
      <w:r w:rsidR="00F24966" w:rsidRPr="00F24966">
        <w:rPr>
          <w:lang w:val="fr-FR"/>
        </w:rPr>
        <w:t>’</w:t>
      </w:r>
      <w:r w:rsidRPr="00F24966">
        <w:rPr>
          <w:lang w:val="fr-FR"/>
        </w:rPr>
        <w:t>aboutir à une adoption plénière en raison d</w:t>
      </w:r>
      <w:r w:rsidR="00F24966" w:rsidRPr="00F24966">
        <w:rPr>
          <w:lang w:val="fr-FR"/>
        </w:rPr>
        <w:t>’</w:t>
      </w:r>
      <w:r w:rsidRPr="00F24966">
        <w:rPr>
          <w:lang w:val="fr-FR"/>
        </w:rPr>
        <w:t>un nombre insuffisant de familles candidates à l</w:t>
      </w:r>
      <w:r w:rsidR="00F24966" w:rsidRPr="00F24966">
        <w:rPr>
          <w:lang w:val="fr-FR"/>
        </w:rPr>
        <w:t>’</w:t>
      </w:r>
      <w:r w:rsidRPr="00F24966">
        <w:rPr>
          <w:lang w:val="fr-FR"/>
        </w:rPr>
        <w:t>adoption.</w:t>
      </w:r>
    </w:p>
    <w:p w:rsidR="00A046D8" w:rsidRPr="00F24966" w:rsidRDefault="00A046D8" w:rsidP="00F24966">
      <w:pPr>
        <w:pStyle w:val="ECHRHeading2"/>
        <w:rPr>
          <w:lang w:val="fr-FR"/>
        </w:rPr>
      </w:pPr>
      <w:r w:rsidRPr="00F24966">
        <w:rPr>
          <w:lang w:val="fr-FR"/>
        </w:rPr>
        <w:t>B.  Le droit interne pertinent</w:t>
      </w:r>
    </w:p>
    <w:p w:rsidR="00A046D8" w:rsidRPr="00F24966" w:rsidRDefault="00A046D8" w:rsidP="00F24966">
      <w:pPr>
        <w:pStyle w:val="ECHRPara"/>
        <w:rPr>
          <w:lang w:val="fr-FR"/>
        </w:rPr>
      </w:pPr>
      <w:r w:rsidRPr="00F24966">
        <w:rPr>
          <w:lang w:val="fr-FR"/>
        </w:rPr>
        <w:t>Le droit interne pertinent se trouve décrit dans l</w:t>
      </w:r>
      <w:r w:rsidR="00F24966" w:rsidRPr="00F24966">
        <w:rPr>
          <w:lang w:val="fr-FR"/>
        </w:rPr>
        <w:t>’</w:t>
      </w:r>
      <w:r w:rsidRPr="00F24966">
        <w:rPr>
          <w:lang w:val="fr-FR"/>
        </w:rPr>
        <w:t xml:space="preserve">arrêt </w:t>
      </w:r>
      <w:r w:rsidRPr="00F24966">
        <w:rPr>
          <w:i/>
          <w:lang w:val="fr-FR"/>
        </w:rPr>
        <w:t>Zhou c. Italie</w:t>
      </w:r>
      <w:r w:rsidRPr="00F24966">
        <w:rPr>
          <w:lang w:val="fr-FR"/>
        </w:rPr>
        <w:t xml:space="preserve"> (n</w:t>
      </w:r>
      <w:r w:rsidRPr="00F24966">
        <w:rPr>
          <w:vertAlign w:val="superscript"/>
          <w:lang w:val="fr-FR"/>
        </w:rPr>
        <w:t>o</w:t>
      </w:r>
      <w:r w:rsidRPr="00F24966">
        <w:rPr>
          <w:lang w:val="fr-FR"/>
        </w:rPr>
        <w:t> 33773/11, §§ 24-25, 21 janvier 2014).</w:t>
      </w:r>
    </w:p>
    <w:p w:rsidR="00A046D8" w:rsidRPr="00F24966" w:rsidRDefault="00A046D8" w:rsidP="00F24966">
      <w:pPr>
        <w:pStyle w:val="ECHRTitle1"/>
        <w:rPr>
          <w:lang w:val="fr-FR"/>
        </w:rPr>
      </w:pPr>
      <w:r w:rsidRPr="00F24966">
        <w:rPr>
          <w:lang w:val="fr-FR"/>
        </w:rPr>
        <w:t>GRIEFS</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32</w:t>
      </w:r>
      <w:r w:rsidRPr="00F24966">
        <w:rPr>
          <w:lang w:val="fr-FR"/>
        </w:rPr>
        <w:fldChar w:fldCharType="end"/>
      </w:r>
      <w:r w:rsidRPr="00F24966">
        <w:rPr>
          <w:lang w:val="fr-FR"/>
        </w:rPr>
        <w:t>.  Invoquant l</w:t>
      </w:r>
      <w:r w:rsidR="00F24966" w:rsidRPr="00F24966">
        <w:rPr>
          <w:lang w:val="fr-FR"/>
        </w:rPr>
        <w:t>’</w:t>
      </w:r>
      <w:r w:rsidRPr="00F24966">
        <w:rPr>
          <w:lang w:val="fr-FR"/>
        </w:rPr>
        <w:t>article 8 de la Convention, les requérants déplorent que les autorités nationales aient déclaré l</w:t>
      </w:r>
      <w:r w:rsidR="00F24966" w:rsidRPr="00F24966">
        <w:rPr>
          <w:lang w:val="fr-FR"/>
        </w:rPr>
        <w:t>’</w:t>
      </w:r>
      <w:r w:rsidRPr="00F24966">
        <w:rPr>
          <w:lang w:val="fr-FR"/>
        </w:rPr>
        <w:t>adoptabilité des enfants sans mettre en place de réelles mesures de soutien et sans ordonner une expertise de leurs capacités parentales au cours de la procédure. De plus, ils reprochent aux autorités de ne pas avoir envisagé une autre forme d</w:t>
      </w:r>
      <w:r w:rsidR="00F24966" w:rsidRPr="00F24966">
        <w:rPr>
          <w:lang w:val="fr-FR"/>
        </w:rPr>
        <w:t>’</w:t>
      </w:r>
      <w:r w:rsidRPr="00F24966">
        <w:rPr>
          <w:lang w:val="fr-FR"/>
        </w:rPr>
        <w:t xml:space="preserve">adoption (à savoir une adoption simple) qui leur aurait permis de maintenir un lien avec leurs </w:t>
      </w:r>
      <w:r w:rsidRPr="00F24966">
        <w:rPr>
          <w:lang w:val="fr-FR"/>
        </w:rPr>
        <w:lastRenderedPageBreak/>
        <w:t>enfants. Ils se plaignent également de n</w:t>
      </w:r>
      <w:r w:rsidR="00F24966" w:rsidRPr="00F24966">
        <w:rPr>
          <w:lang w:val="fr-FR"/>
        </w:rPr>
        <w:t>’</w:t>
      </w:r>
      <w:r w:rsidRPr="00F24966">
        <w:rPr>
          <w:lang w:val="fr-FR"/>
        </w:rPr>
        <w:t>avoir pu voir leurs enfants, depuis la déclaration de l</w:t>
      </w:r>
      <w:r w:rsidR="00F24966" w:rsidRPr="00F24966">
        <w:rPr>
          <w:lang w:val="fr-FR"/>
        </w:rPr>
        <w:t>’</w:t>
      </w:r>
      <w:r w:rsidRPr="00F24966">
        <w:rPr>
          <w:lang w:val="fr-FR"/>
        </w:rPr>
        <w:t>état d</w:t>
      </w:r>
      <w:r w:rsidR="00F24966" w:rsidRPr="00F24966">
        <w:rPr>
          <w:lang w:val="fr-FR"/>
        </w:rPr>
        <w:t>’</w:t>
      </w:r>
      <w:r w:rsidRPr="00F24966">
        <w:rPr>
          <w:lang w:val="fr-FR"/>
        </w:rPr>
        <w:t>adoptabilité, qu</w:t>
      </w:r>
      <w:r w:rsidR="00F24966" w:rsidRPr="00F24966">
        <w:rPr>
          <w:lang w:val="fr-FR"/>
        </w:rPr>
        <w:t>’</w:t>
      </w:r>
      <w:r w:rsidRPr="00F24966">
        <w:rPr>
          <w:lang w:val="fr-FR"/>
        </w:rPr>
        <w:t>à quelques reprises sous le contrôle des autorités.</w:t>
      </w:r>
    </w:p>
    <w:p w:rsidR="00A046D8" w:rsidRPr="00F24966" w:rsidRDefault="00A046D8" w:rsidP="00F24966">
      <w:pPr>
        <w:pStyle w:val="ECHRTitle1"/>
        <w:rPr>
          <w:lang w:val="fr-FR"/>
        </w:rPr>
      </w:pPr>
      <w:r w:rsidRPr="00F24966">
        <w:rPr>
          <w:lang w:val="fr-FR"/>
        </w:rPr>
        <w:t>EN DROIT</w:t>
      </w:r>
    </w:p>
    <w:p w:rsidR="00A046D8" w:rsidRPr="00F24966" w:rsidRDefault="00A046D8" w:rsidP="00F24966">
      <w:pPr>
        <w:pStyle w:val="ECHRHeading2"/>
        <w:rPr>
          <w:lang w:val="fr-FR"/>
        </w:rPr>
      </w:pPr>
      <w:r w:rsidRPr="00F24966">
        <w:rPr>
          <w:lang w:val="fr-FR"/>
        </w:rPr>
        <w:t>A.  Thèses des parties</w:t>
      </w:r>
    </w:p>
    <w:p w:rsidR="00A046D8" w:rsidRPr="00F24966" w:rsidRDefault="00A046D8" w:rsidP="00F24966">
      <w:pPr>
        <w:pStyle w:val="ECHRPara"/>
        <w:rPr>
          <w:lang w:val="fr-FR"/>
        </w:rPr>
      </w:pPr>
      <w:r w:rsidRPr="00F24966">
        <w:rPr>
          <w:iCs/>
          <w:lang w:val="fr-FR"/>
        </w:rPr>
        <w:fldChar w:fldCharType="begin"/>
      </w:r>
      <w:r w:rsidRPr="00F24966">
        <w:rPr>
          <w:iCs/>
          <w:lang w:val="fr-FR"/>
        </w:rPr>
        <w:instrText xml:space="preserve"> SEQ level0 \*arabic </w:instrText>
      </w:r>
      <w:r w:rsidRPr="00F24966">
        <w:rPr>
          <w:iCs/>
          <w:lang w:val="fr-FR"/>
        </w:rPr>
        <w:fldChar w:fldCharType="separate"/>
      </w:r>
      <w:r w:rsidR="00F24966">
        <w:rPr>
          <w:iCs/>
          <w:noProof/>
          <w:lang w:val="fr-FR"/>
        </w:rPr>
        <w:t>33</w:t>
      </w:r>
      <w:r w:rsidRPr="00F24966">
        <w:rPr>
          <w:lang w:val="fr-FR"/>
        </w:rPr>
        <w:fldChar w:fldCharType="end"/>
      </w:r>
      <w:r w:rsidRPr="00F24966">
        <w:rPr>
          <w:iCs/>
          <w:lang w:val="fr-FR"/>
        </w:rPr>
        <w:t>.  Après s</w:t>
      </w:r>
      <w:r w:rsidR="00F24966" w:rsidRPr="00F24966">
        <w:rPr>
          <w:iCs/>
          <w:lang w:val="fr-FR"/>
        </w:rPr>
        <w:t>’</w:t>
      </w:r>
      <w:r w:rsidRPr="00F24966">
        <w:rPr>
          <w:iCs/>
          <w:lang w:val="fr-FR"/>
        </w:rPr>
        <w:t>être référé à la jurisprudence qu</w:t>
      </w:r>
      <w:r w:rsidR="00F24966" w:rsidRPr="00F24966">
        <w:rPr>
          <w:iCs/>
          <w:lang w:val="fr-FR"/>
        </w:rPr>
        <w:t>’</w:t>
      </w:r>
      <w:r w:rsidRPr="00F24966">
        <w:rPr>
          <w:iCs/>
          <w:lang w:val="fr-FR"/>
        </w:rPr>
        <w:t>il estime être pertinente en l</w:t>
      </w:r>
      <w:r w:rsidR="00F24966" w:rsidRPr="00F24966">
        <w:rPr>
          <w:iCs/>
          <w:lang w:val="fr-FR"/>
        </w:rPr>
        <w:t>’</w:t>
      </w:r>
      <w:r w:rsidRPr="00F24966">
        <w:rPr>
          <w:iCs/>
          <w:lang w:val="fr-FR"/>
        </w:rPr>
        <w:t>espèce (</w:t>
      </w:r>
      <w:r w:rsidRPr="00F24966">
        <w:rPr>
          <w:i/>
          <w:lang w:val="fr-FR"/>
        </w:rPr>
        <w:t>Olsson c. Suède (n</w:t>
      </w:r>
      <w:r w:rsidRPr="00F24966">
        <w:rPr>
          <w:i/>
          <w:vertAlign w:val="superscript"/>
          <w:lang w:val="fr-FR"/>
        </w:rPr>
        <w:t>o </w:t>
      </w:r>
      <w:r w:rsidRPr="00F24966">
        <w:rPr>
          <w:i/>
          <w:lang w:val="fr-FR"/>
        </w:rPr>
        <w:t>1)</w:t>
      </w:r>
      <w:r w:rsidRPr="00F24966">
        <w:rPr>
          <w:lang w:val="fr-FR"/>
        </w:rPr>
        <w:t>, 24 mars 1988, § 68, série A n</w:t>
      </w:r>
      <w:r w:rsidRPr="00F24966">
        <w:rPr>
          <w:vertAlign w:val="superscript"/>
          <w:lang w:val="fr-FR"/>
        </w:rPr>
        <w:t>o</w:t>
      </w:r>
      <w:r w:rsidRPr="00F24966">
        <w:rPr>
          <w:lang w:val="fr-FR"/>
        </w:rPr>
        <w:t xml:space="preserve"> 130, </w:t>
      </w:r>
      <w:r w:rsidRPr="00F24966">
        <w:rPr>
          <w:i/>
          <w:lang w:val="fr-FR"/>
        </w:rPr>
        <w:t>Johansen c. Norvège</w:t>
      </w:r>
      <w:r w:rsidRPr="00F24966">
        <w:rPr>
          <w:lang w:val="fr-FR"/>
        </w:rPr>
        <w:t xml:space="preserve">, 7 août 1996, § 64, </w:t>
      </w:r>
      <w:r w:rsidRPr="00F24966">
        <w:rPr>
          <w:i/>
          <w:lang w:val="fr-FR"/>
        </w:rPr>
        <w:t>Recueil des arrêts et décisions</w:t>
      </w:r>
      <w:r w:rsidRPr="00F24966">
        <w:rPr>
          <w:lang w:val="fr-FR"/>
        </w:rPr>
        <w:t xml:space="preserve"> 1996</w:t>
      </w:r>
      <w:r w:rsidRPr="00F24966">
        <w:rPr>
          <w:lang w:val="fr-FR"/>
        </w:rPr>
        <w:noBreakHyphen/>
        <w:t xml:space="preserve">III, </w:t>
      </w:r>
      <w:r w:rsidRPr="00F24966">
        <w:rPr>
          <w:i/>
          <w:lang w:val="fr-FR"/>
        </w:rPr>
        <w:t>Olsson c. Suède (n</w:t>
      </w:r>
      <w:r w:rsidRPr="00F24966">
        <w:rPr>
          <w:i/>
          <w:vertAlign w:val="superscript"/>
          <w:lang w:val="fr-FR"/>
        </w:rPr>
        <w:t>o</w:t>
      </w:r>
      <w:r w:rsidRPr="00F24966">
        <w:rPr>
          <w:i/>
          <w:lang w:val="fr-FR"/>
        </w:rPr>
        <w:t xml:space="preserve"> 2)</w:t>
      </w:r>
      <w:r w:rsidRPr="00F24966">
        <w:rPr>
          <w:lang w:val="fr-FR"/>
        </w:rPr>
        <w:t>, 27 novembre 1992, § 87, série A n</w:t>
      </w:r>
      <w:r w:rsidRPr="00F24966">
        <w:rPr>
          <w:vertAlign w:val="superscript"/>
          <w:lang w:val="fr-FR"/>
        </w:rPr>
        <w:t>o</w:t>
      </w:r>
      <w:r w:rsidRPr="00F24966">
        <w:rPr>
          <w:lang w:val="fr-FR"/>
        </w:rPr>
        <w:t xml:space="preserve"> 250, </w:t>
      </w:r>
      <w:r w:rsidRPr="00F24966">
        <w:rPr>
          <w:i/>
          <w:lang w:val="fr-FR"/>
        </w:rPr>
        <w:t>Gnahoré c. France</w:t>
      </w:r>
      <w:r w:rsidRPr="00F24966">
        <w:rPr>
          <w:lang w:val="fr-FR"/>
        </w:rPr>
        <w:t>, n</w:t>
      </w:r>
      <w:r w:rsidRPr="00F24966">
        <w:rPr>
          <w:vertAlign w:val="superscript"/>
          <w:lang w:val="fr-FR"/>
        </w:rPr>
        <w:t>o</w:t>
      </w:r>
      <w:r w:rsidRPr="00F24966">
        <w:rPr>
          <w:lang w:val="fr-FR"/>
        </w:rPr>
        <w:t> 40031/98, § 54, CEDH 2000</w:t>
      </w:r>
      <w:r w:rsidRPr="00F24966">
        <w:rPr>
          <w:lang w:val="fr-FR"/>
        </w:rPr>
        <w:noBreakHyphen/>
        <w:t xml:space="preserve">IX, </w:t>
      </w:r>
      <w:r w:rsidRPr="00F24966">
        <w:rPr>
          <w:i/>
          <w:lang w:val="fr-FR"/>
        </w:rPr>
        <w:t>K. et T. c. Finlande</w:t>
      </w:r>
      <w:r w:rsidRPr="00F24966">
        <w:rPr>
          <w:lang w:val="fr-FR"/>
        </w:rPr>
        <w:t xml:space="preserve"> [GC], n</w:t>
      </w:r>
      <w:r w:rsidRPr="00F24966">
        <w:rPr>
          <w:vertAlign w:val="superscript"/>
          <w:lang w:val="fr-FR"/>
        </w:rPr>
        <w:t>o </w:t>
      </w:r>
      <w:r w:rsidRPr="00F24966">
        <w:rPr>
          <w:lang w:val="fr-FR"/>
        </w:rPr>
        <w:t>25702/94, § 154, CEDH 2001</w:t>
      </w:r>
      <w:r w:rsidRPr="00F24966">
        <w:rPr>
          <w:lang w:val="fr-FR"/>
        </w:rPr>
        <w:noBreakHyphen/>
        <w:t xml:space="preserve">VII, </w:t>
      </w:r>
      <w:r w:rsidRPr="00F24966">
        <w:rPr>
          <w:i/>
          <w:lang w:val="fr-FR"/>
        </w:rPr>
        <w:t>Kutzner c. Allemagne</w:t>
      </w:r>
      <w:r w:rsidRPr="00F24966">
        <w:rPr>
          <w:lang w:val="fr-FR"/>
        </w:rPr>
        <w:t>, n</w:t>
      </w:r>
      <w:r w:rsidRPr="00F24966">
        <w:rPr>
          <w:vertAlign w:val="superscript"/>
          <w:lang w:val="fr-FR"/>
        </w:rPr>
        <w:t>o</w:t>
      </w:r>
      <w:r w:rsidRPr="00F24966">
        <w:rPr>
          <w:lang w:val="fr-FR"/>
        </w:rPr>
        <w:t xml:space="preserve"> 46544/99, § 65, CEDH 2002-I, et </w:t>
      </w:r>
      <w:r w:rsidRPr="00F24966">
        <w:rPr>
          <w:i/>
          <w:lang w:val="pt-PT"/>
        </w:rPr>
        <w:t>Soares de Melo c. Portugal</w:t>
      </w:r>
      <w:r w:rsidRPr="00F24966">
        <w:rPr>
          <w:lang w:val="pt-PT"/>
        </w:rPr>
        <w:t>, n</w:t>
      </w:r>
      <w:r w:rsidRPr="00F24966">
        <w:rPr>
          <w:vertAlign w:val="superscript"/>
          <w:lang w:val="fr-FR"/>
        </w:rPr>
        <w:t>o</w:t>
      </w:r>
      <w:r w:rsidRPr="00F24966">
        <w:rPr>
          <w:lang w:val="pt-PT"/>
        </w:rPr>
        <w:t> 72850/14, §§ 88-94, 16 février 2016</w:t>
      </w:r>
      <w:r w:rsidRPr="00F24966">
        <w:rPr>
          <w:iCs/>
          <w:lang w:val="fr-FR"/>
        </w:rPr>
        <w:t>), le Gouvernement considère que l</w:t>
      </w:r>
      <w:r w:rsidR="00F24966" w:rsidRPr="00F24966">
        <w:rPr>
          <w:iCs/>
          <w:lang w:val="fr-FR"/>
        </w:rPr>
        <w:t>’</w:t>
      </w:r>
      <w:r w:rsidRPr="00F24966">
        <w:rPr>
          <w:iCs/>
          <w:lang w:val="fr-FR"/>
        </w:rPr>
        <w:t>ingérence dans le droit des requérants avait une base légale et qu</w:t>
      </w:r>
      <w:r w:rsidR="00F24966" w:rsidRPr="00F24966">
        <w:rPr>
          <w:iCs/>
          <w:lang w:val="fr-FR"/>
        </w:rPr>
        <w:t>’</w:t>
      </w:r>
      <w:r w:rsidRPr="00F24966">
        <w:rPr>
          <w:iCs/>
          <w:lang w:val="fr-FR"/>
        </w:rPr>
        <w:t>elle poursuivait le but de protection des enfants.</w:t>
      </w:r>
    </w:p>
    <w:p w:rsidR="00A046D8" w:rsidRPr="00F24966" w:rsidRDefault="00A046D8" w:rsidP="00F24966">
      <w:pPr>
        <w:pStyle w:val="ECHRPara"/>
        <w:rPr>
          <w:iCs/>
          <w:lang w:val="fr-FR"/>
        </w:rPr>
      </w:pPr>
      <w:r w:rsidRPr="00F24966">
        <w:rPr>
          <w:iCs/>
          <w:lang w:val="fr-FR"/>
        </w:rPr>
        <w:fldChar w:fldCharType="begin"/>
      </w:r>
      <w:r w:rsidRPr="00F24966">
        <w:rPr>
          <w:iCs/>
          <w:lang w:val="fr-FR"/>
        </w:rPr>
        <w:instrText xml:space="preserve"> SEQ level0 \*arabic </w:instrText>
      </w:r>
      <w:r w:rsidRPr="00F24966">
        <w:rPr>
          <w:iCs/>
          <w:lang w:val="fr-FR"/>
        </w:rPr>
        <w:fldChar w:fldCharType="separate"/>
      </w:r>
      <w:r w:rsidR="00F24966">
        <w:rPr>
          <w:iCs/>
          <w:noProof/>
          <w:lang w:val="fr-FR"/>
        </w:rPr>
        <w:t>34</w:t>
      </w:r>
      <w:r w:rsidRPr="00F24966">
        <w:rPr>
          <w:lang w:val="fr-FR"/>
        </w:rPr>
        <w:fldChar w:fldCharType="end"/>
      </w:r>
      <w:r w:rsidRPr="00F24966">
        <w:rPr>
          <w:iCs/>
          <w:lang w:val="fr-FR"/>
        </w:rPr>
        <w:t>.  En ce qui concerne l</w:t>
      </w:r>
      <w:r w:rsidR="00F24966" w:rsidRPr="00F24966">
        <w:rPr>
          <w:iCs/>
          <w:lang w:val="fr-FR"/>
        </w:rPr>
        <w:t>’</w:t>
      </w:r>
      <w:r w:rsidRPr="00F24966">
        <w:rPr>
          <w:iCs/>
          <w:lang w:val="fr-FR"/>
        </w:rPr>
        <w:t>aspect procédural de l</w:t>
      </w:r>
      <w:r w:rsidR="00F24966" w:rsidRPr="00F24966">
        <w:rPr>
          <w:iCs/>
          <w:lang w:val="fr-FR"/>
        </w:rPr>
        <w:t>’</w:t>
      </w:r>
      <w:r w:rsidRPr="00F24966">
        <w:rPr>
          <w:iCs/>
          <w:lang w:val="fr-FR"/>
        </w:rPr>
        <w:t>affaire, le Gouvernement soutient que le droit à un procès équitable a été pleinement respecté. S</w:t>
      </w:r>
      <w:r w:rsidR="00F24966" w:rsidRPr="00F24966">
        <w:rPr>
          <w:iCs/>
          <w:lang w:val="fr-FR"/>
        </w:rPr>
        <w:t>’</w:t>
      </w:r>
      <w:r w:rsidRPr="00F24966">
        <w:rPr>
          <w:iCs/>
          <w:lang w:val="fr-FR"/>
        </w:rPr>
        <w:t>agissant de la décision de la cour d</w:t>
      </w:r>
      <w:r w:rsidR="00F24966" w:rsidRPr="00F24966">
        <w:rPr>
          <w:iCs/>
          <w:lang w:val="fr-FR"/>
        </w:rPr>
        <w:t>’</w:t>
      </w:r>
      <w:r w:rsidRPr="00F24966">
        <w:rPr>
          <w:iCs/>
          <w:lang w:val="fr-FR"/>
        </w:rPr>
        <w:t>appel de ne pas faire droit à la demande d</w:t>
      </w:r>
      <w:r w:rsidR="00F24966" w:rsidRPr="00F24966">
        <w:rPr>
          <w:iCs/>
          <w:lang w:val="fr-FR"/>
        </w:rPr>
        <w:t>’</w:t>
      </w:r>
      <w:r w:rsidRPr="00F24966">
        <w:rPr>
          <w:iCs/>
          <w:lang w:val="fr-FR"/>
        </w:rPr>
        <w:t>expertise, il argue que le juge n</w:t>
      </w:r>
      <w:r w:rsidR="00F24966" w:rsidRPr="00F24966">
        <w:rPr>
          <w:iCs/>
          <w:lang w:val="fr-FR"/>
        </w:rPr>
        <w:t>’</w:t>
      </w:r>
      <w:r w:rsidRPr="00F24966">
        <w:rPr>
          <w:iCs/>
          <w:lang w:val="fr-FR"/>
        </w:rPr>
        <w:t>était pas tenu par la loi d</w:t>
      </w:r>
      <w:r w:rsidR="00F24966" w:rsidRPr="00F24966">
        <w:rPr>
          <w:iCs/>
          <w:lang w:val="fr-FR"/>
        </w:rPr>
        <w:t>’</w:t>
      </w:r>
      <w:r w:rsidRPr="00F24966">
        <w:rPr>
          <w:iCs/>
          <w:lang w:val="fr-FR"/>
        </w:rPr>
        <w:t>ordonner une expertise et, que, en l</w:t>
      </w:r>
      <w:r w:rsidR="00F24966" w:rsidRPr="00F24966">
        <w:rPr>
          <w:iCs/>
          <w:lang w:val="fr-FR"/>
        </w:rPr>
        <w:t>’</w:t>
      </w:r>
      <w:r w:rsidRPr="00F24966">
        <w:rPr>
          <w:iCs/>
          <w:lang w:val="fr-FR"/>
        </w:rPr>
        <w:t>espèce, nonobstant l</w:t>
      </w:r>
      <w:r w:rsidR="00F24966" w:rsidRPr="00F24966">
        <w:rPr>
          <w:iCs/>
          <w:lang w:val="fr-FR"/>
        </w:rPr>
        <w:t>’</w:t>
      </w:r>
      <w:r w:rsidRPr="00F24966">
        <w:rPr>
          <w:iCs/>
          <w:lang w:val="fr-FR"/>
        </w:rPr>
        <w:t>absence de problèmes psychiatriques, de nombreux rapports avaient été établis par les services sociaux en charge de la famille depuis plus de six ans. Il fait par ailleurs observer que l</w:t>
      </w:r>
      <w:r w:rsidR="00F24966" w:rsidRPr="00F24966">
        <w:rPr>
          <w:iCs/>
          <w:lang w:val="fr-FR"/>
        </w:rPr>
        <w:t>’</w:t>
      </w:r>
      <w:r w:rsidRPr="00F24966">
        <w:rPr>
          <w:iCs/>
          <w:lang w:val="fr-FR"/>
        </w:rPr>
        <w:t>expertise n</w:t>
      </w:r>
      <w:r w:rsidR="00F24966" w:rsidRPr="00F24966">
        <w:rPr>
          <w:iCs/>
          <w:lang w:val="fr-FR"/>
        </w:rPr>
        <w:t>’</w:t>
      </w:r>
      <w:r w:rsidRPr="00F24966">
        <w:rPr>
          <w:iCs/>
          <w:lang w:val="fr-FR"/>
        </w:rPr>
        <w:t>a pas été demandée en première instance, mais seulement en appel et exclusivement par la requérante.</w:t>
      </w:r>
    </w:p>
    <w:p w:rsidR="00A046D8" w:rsidRPr="00F24966" w:rsidRDefault="00A046D8" w:rsidP="00F24966">
      <w:pPr>
        <w:pStyle w:val="ECHRPara"/>
        <w:rPr>
          <w:iCs/>
          <w:lang w:val="fr-FR"/>
        </w:rPr>
      </w:pPr>
      <w:r w:rsidRPr="00F24966">
        <w:rPr>
          <w:iCs/>
          <w:lang w:val="fr-FR"/>
        </w:rPr>
        <w:fldChar w:fldCharType="begin"/>
      </w:r>
      <w:r w:rsidRPr="00F24966">
        <w:rPr>
          <w:iCs/>
          <w:lang w:val="fr-FR"/>
        </w:rPr>
        <w:instrText xml:space="preserve"> SEQ level0 \*arabic </w:instrText>
      </w:r>
      <w:r w:rsidRPr="00F24966">
        <w:rPr>
          <w:iCs/>
          <w:lang w:val="fr-FR"/>
        </w:rPr>
        <w:fldChar w:fldCharType="separate"/>
      </w:r>
      <w:r w:rsidR="00F24966">
        <w:rPr>
          <w:iCs/>
          <w:noProof/>
          <w:lang w:val="fr-FR"/>
        </w:rPr>
        <w:t>35</w:t>
      </w:r>
      <w:r w:rsidRPr="00F24966">
        <w:rPr>
          <w:lang w:val="fr-FR"/>
        </w:rPr>
        <w:fldChar w:fldCharType="end"/>
      </w:r>
      <w:r w:rsidRPr="00F24966">
        <w:rPr>
          <w:iCs/>
          <w:lang w:val="fr-FR"/>
        </w:rPr>
        <w:t>.  Le Gouvernement dit, en outre, que les juges ont basé leur décision de déclarer les enfants adoptables sur des motifs suffisants et pertinents. Il précise que, parmi ces motifs, figuraient notamment : le fait que, à partir de 2008, la famille était suivie et soutenue par les services sociaux ; la circonstance que, déjà en 2008, une dégradation de l</w:t>
      </w:r>
      <w:r w:rsidR="00F24966" w:rsidRPr="00F24966">
        <w:rPr>
          <w:iCs/>
          <w:lang w:val="fr-FR"/>
        </w:rPr>
        <w:t>’</w:t>
      </w:r>
      <w:r w:rsidRPr="00F24966">
        <w:rPr>
          <w:iCs/>
          <w:lang w:val="fr-FR"/>
        </w:rPr>
        <w:t>habitat, un manque d</w:t>
      </w:r>
      <w:r w:rsidR="00F24966" w:rsidRPr="00F24966">
        <w:rPr>
          <w:iCs/>
          <w:lang w:val="fr-FR"/>
        </w:rPr>
        <w:t>’</w:t>
      </w:r>
      <w:r w:rsidRPr="00F24966">
        <w:rPr>
          <w:iCs/>
          <w:lang w:val="fr-FR"/>
        </w:rPr>
        <w:t>hygiène et l</w:t>
      </w:r>
      <w:r w:rsidR="00F24966" w:rsidRPr="00F24966">
        <w:rPr>
          <w:iCs/>
          <w:lang w:val="fr-FR"/>
        </w:rPr>
        <w:t>’</w:t>
      </w:r>
      <w:r w:rsidRPr="00F24966">
        <w:rPr>
          <w:iCs/>
          <w:lang w:val="fr-FR"/>
        </w:rPr>
        <w:t>incapacité des parents à subvenir aux besoins de la famille avaient été constatés ; et le fait que la situation était restée inchangée pendant des années, les recommandations des services sociaux étant restées lettre morte.</w:t>
      </w:r>
    </w:p>
    <w:p w:rsidR="00A046D8" w:rsidRPr="00F24966" w:rsidRDefault="00A046D8" w:rsidP="00F24966">
      <w:pPr>
        <w:pStyle w:val="ECHRPara"/>
        <w:rPr>
          <w:iCs/>
          <w:lang w:val="fr-FR"/>
        </w:rPr>
      </w:pPr>
      <w:r w:rsidRPr="00F24966">
        <w:rPr>
          <w:iCs/>
          <w:lang w:val="fr-FR"/>
        </w:rPr>
        <w:t>Le Gouvernement indique que les trois enfants aînés de la famille ont été placés en 2009 avec le consentement des parents, lesquels n</w:t>
      </w:r>
      <w:r w:rsidR="00F24966" w:rsidRPr="00F24966">
        <w:rPr>
          <w:iCs/>
          <w:lang w:val="fr-FR"/>
        </w:rPr>
        <w:t>’</w:t>
      </w:r>
      <w:r w:rsidRPr="00F24966">
        <w:rPr>
          <w:iCs/>
          <w:lang w:val="fr-FR"/>
        </w:rPr>
        <w:t>auraient d</w:t>
      </w:r>
      <w:r w:rsidR="00F24966" w:rsidRPr="00F24966">
        <w:rPr>
          <w:iCs/>
          <w:lang w:val="fr-FR"/>
        </w:rPr>
        <w:t>’</w:t>
      </w:r>
      <w:r w:rsidRPr="00F24966">
        <w:rPr>
          <w:iCs/>
          <w:lang w:val="fr-FR"/>
        </w:rPr>
        <w:t>ailleurs jamais demandé leur retour, et que le quatrième et le cinquième enfant ont été également placés, respectivement en 2012 et en 2014.</w:t>
      </w:r>
    </w:p>
    <w:p w:rsidR="00A046D8" w:rsidRPr="00F24966" w:rsidRDefault="00A046D8" w:rsidP="00F24966">
      <w:pPr>
        <w:pStyle w:val="ECHRPara"/>
        <w:rPr>
          <w:iCs/>
          <w:lang w:val="fr-FR"/>
        </w:rPr>
      </w:pPr>
      <w:r w:rsidRPr="00F24966">
        <w:rPr>
          <w:iCs/>
          <w:lang w:val="fr-FR"/>
        </w:rPr>
        <w:lastRenderedPageBreak/>
        <w:fldChar w:fldCharType="begin"/>
      </w:r>
      <w:r w:rsidRPr="00F24966">
        <w:rPr>
          <w:iCs/>
          <w:lang w:val="fr-FR"/>
        </w:rPr>
        <w:instrText xml:space="preserve"> SEQ level0 \*arabic </w:instrText>
      </w:r>
      <w:r w:rsidRPr="00F24966">
        <w:rPr>
          <w:iCs/>
          <w:lang w:val="fr-FR"/>
        </w:rPr>
        <w:fldChar w:fldCharType="separate"/>
      </w:r>
      <w:r w:rsidR="00F24966">
        <w:rPr>
          <w:iCs/>
          <w:noProof/>
          <w:lang w:val="fr-FR"/>
        </w:rPr>
        <w:t>36</w:t>
      </w:r>
      <w:r w:rsidRPr="00F24966">
        <w:rPr>
          <w:lang w:val="fr-FR"/>
        </w:rPr>
        <w:fldChar w:fldCharType="end"/>
      </w:r>
      <w:r w:rsidRPr="00F24966">
        <w:rPr>
          <w:iCs/>
          <w:lang w:val="fr-FR"/>
        </w:rPr>
        <w:t>.  Le Gouvernement tient à préciser que le dernier enfant de la famille, infecté par la gale en raison d</w:t>
      </w:r>
      <w:r w:rsidR="00F24966" w:rsidRPr="00F24966">
        <w:rPr>
          <w:iCs/>
          <w:lang w:val="fr-FR"/>
        </w:rPr>
        <w:t>’</w:t>
      </w:r>
      <w:r w:rsidRPr="00F24966">
        <w:rPr>
          <w:iCs/>
          <w:lang w:val="fr-FR"/>
        </w:rPr>
        <w:t>un manque d</w:t>
      </w:r>
      <w:r w:rsidR="00F24966" w:rsidRPr="00F24966">
        <w:rPr>
          <w:iCs/>
          <w:lang w:val="fr-FR"/>
        </w:rPr>
        <w:t>’</w:t>
      </w:r>
      <w:r w:rsidRPr="00F24966">
        <w:rPr>
          <w:iCs/>
          <w:lang w:val="fr-FR"/>
        </w:rPr>
        <w:t>hygiène, a fait l</w:t>
      </w:r>
      <w:r w:rsidR="00F24966" w:rsidRPr="00F24966">
        <w:rPr>
          <w:iCs/>
          <w:lang w:val="fr-FR"/>
        </w:rPr>
        <w:t>’</w:t>
      </w:r>
      <w:r w:rsidRPr="00F24966">
        <w:rPr>
          <w:iCs/>
          <w:lang w:val="fr-FR"/>
        </w:rPr>
        <w:t>objet d</w:t>
      </w:r>
      <w:r w:rsidR="00F24966" w:rsidRPr="00F24966">
        <w:rPr>
          <w:iCs/>
          <w:lang w:val="fr-FR"/>
        </w:rPr>
        <w:t>’</w:t>
      </w:r>
      <w:r w:rsidRPr="00F24966">
        <w:rPr>
          <w:iCs/>
          <w:lang w:val="fr-FR"/>
        </w:rPr>
        <w:t>une mesure de placement pour pouvoir être soigné.</w:t>
      </w:r>
    </w:p>
    <w:p w:rsidR="00A046D8" w:rsidRPr="00F24966" w:rsidRDefault="00A046D8" w:rsidP="00F24966">
      <w:pPr>
        <w:pStyle w:val="ECHRPara"/>
        <w:rPr>
          <w:iCs/>
          <w:lang w:val="fr-FR"/>
        </w:rPr>
      </w:pPr>
      <w:r w:rsidRPr="00F24966">
        <w:rPr>
          <w:iCs/>
          <w:lang w:val="fr-FR"/>
        </w:rPr>
        <w:fldChar w:fldCharType="begin"/>
      </w:r>
      <w:r w:rsidRPr="00F24966">
        <w:rPr>
          <w:iCs/>
          <w:lang w:val="fr-FR"/>
        </w:rPr>
        <w:instrText xml:space="preserve"> SEQ level0 \*arabic </w:instrText>
      </w:r>
      <w:r w:rsidRPr="00F24966">
        <w:rPr>
          <w:iCs/>
          <w:lang w:val="fr-FR"/>
        </w:rPr>
        <w:fldChar w:fldCharType="separate"/>
      </w:r>
      <w:r w:rsidR="00F24966">
        <w:rPr>
          <w:iCs/>
          <w:noProof/>
          <w:lang w:val="fr-FR"/>
        </w:rPr>
        <w:t>37</w:t>
      </w:r>
      <w:r w:rsidRPr="00F24966">
        <w:rPr>
          <w:lang w:val="fr-FR"/>
        </w:rPr>
        <w:fldChar w:fldCharType="end"/>
      </w:r>
      <w:r w:rsidRPr="00F24966">
        <w:rPr>
          <w:iCs/>
          <w:lang w:val="fr-FR"/>
        </w:rPr>
        <w:t>.  Le Gouvernement dit aussi que les parents se sont déchargés de leur rôle parental sur les services sociaux.</w:t>
      </w:r>
    </w:p>
    <w:p w:rsidR="00A046D8" w:rsidRPr="00F24966" w:rsidRDefault="00A046D8" w:rsidP="00F24966">
      <w:pPr>
        <w:pStyle w:val="ECHRPara"/>
        <w:rPr>
          <w:iCs/>
          <w:lang w:val="fr-FR"/>
        </w:rPr>
      </w:pPr>
      <w:r w:rsidRPr="00F24966">
        <w:rPr>
          <w:iCs/>
          <w:lang w:val="fr-FR"/>
        </w:rPr>
        <w:t>Il ajoute que la procédure visant à la déclaration d</w:t>
      </w:r>
      <w:r w:rsidR="00F24966" w:rsidRPr="00F24966">
        <w:rPr>
          <w:iCs/>
          <w:lang w:val="fr-FR"/>
        </w:rPr>
        <w:t>’</w:t>
      </w:r>
      <w:r w:rsidRPr="00F24966">
        <w:rPr>
          <w:iCs/>
          <w:lang w:val="fr-FR"/>
        </w:rPr>
        <w:t>adoptabilité a commencé sept ans après la prise en charge de la famille par les services sociaux. Il expose que les juridictions internes ont constaté le contexte de dégradation de l</w:t>
      </w:r>
      <w:r w:rsidR="00F24966" w:rsidRPr="00F24966">
        <w:rPr>
          <w:iCs/>
          <w:lang w:val="fr-FR"/>
        </w:rPr>
        <w:t>’</w:t>
      </w:r>
      <w:r w:rsidRPr="00F24966">
        <w:rPr>
          <w:iCs/>
          <w:lang w:val="fr-FR"/>
        </w:rPr>
        <w:t>environnement familial, ainsi que l</w:t>
      </w:r>
      <w:r w:rsidR="00F24966" w:rsidRPr="00F24966">
        <w:rPr>
          <w:iCs/>
          <w:lang w:val="fr-FR"/>
        </w:rPr>
        <w:t>’</w:t>
      </w:r>
      <w:r w:rsidRPr="00F24966">
        <w:rPr>
          <w:iCs/>
          <w:lang w:val="fr-FR"/>
        </w:rPr>
        <w:t>incapacité affective, éducative et pédagogique des parents, et que l</w:t>
      </w:r>
      <w:r w:rsidR="00F24966" w:rsidRPr="00F24966">
        <w:rPr>
          <w:iCs/>
          <w:lang w:val="fr-FR"/>
        </w:rPr>
        <w:t>’</w:t>
      </w:r>
      <w:r w:rsidRPr="00F24966">
        <w:rPr>
          <w:iCs/>
          <w:lang w:val="fr-FR"/>
        </w:rPr>
        <w:t>intérêt supérieur des enfants a guidé les autorités dans toutes leurs décisions.</w:t>
      </w:r>
    </w:p>
    <w:p w:rsidR="00A046D8" w:rsidRPr="00F24966" w:rsidRDefault="00A046D8" w:rsidP="00F24966">
      <w:pPr>
        <w:pStyle w:val="ECHRPara"/>
        <w:rPr>
          <w:iCs/>
          <w:lang w:val="fr-FR"/>
        </w:rPr>
      </w:pPr>
      <w:r w:rsidRPr="00F24966">
        <w:rPr>
          <w:iCs/>
          <w:lang w:val="fr-FR"/>
        </w:rPr>
        <w:fldChar w:fldCharType="begin"/>
      </w:r>
      <w:r w:rsidRPr="00F24966">
        <w:rPr>
          <w:iCs/>
          <w:lang w:val="fr-FR"/>
        </w:rPr>
        <w:instrText xml:space="preserve"> SEQ level0 \*arabic </w:instrText>
      </w:r>
      <w:r w:rsidRPr="00F24966">
        <w:rPr>
          <w:iCs/>
          <w:lang w:val="fr-FR"/>
        </w:rPr>
        <w:fldChar w:fldCharType="separate"/>
      </w:r>
      <w:r w:rsidR="00F24966">
        <w:rPr>
          <w:iCs/>
          <w:noProof/>
          <w:lang w:val="fr-FR"/>
        </w:rPr>
        <w:t>38</w:t>
      </w:r>
      <w:r w:rsidRPr="00F24966">
        <w:rPr>
          <w:lang w:val="fr-FR"/>
        </w:rPr>
        <w:fldChar w:fldCharType="end"/>
      </w:r>
      <w:r w:rsidRPr="00F24966">
        <w:rPr>
          <w:iCs/>
          <w:lang w:val="fr-FR"/>
        </w:rPr>
        <w:t>.  Enfin, le Gouvernement déclare que, avant de procéder à la déclaration d</w:t>
      </w:r>
      <w:r w:rsidR="00F24966" w:rsidRPr="00F24966">
        <w:rPr>
          <w:iCs/>
          <w:lang w:val="fr-FR"/>
        </w:rPr>
        <w:t>’</w:t>
      </w:r>
      <w:r w:rsidRPr="00F24966">
        <w:rPr>
          <w:iCs/>
          <w:lang w:val="fr-FR"/>
        </w:rPr>
        <w:t>adoptabilité, les autorités nationales ont pris toutes les mesures nécessaires pour faciliter la réunion des requérants avec les enfants. Selon lui, lesdites autorités ont notamment mis en œuvre un programme pour soutenir les parents dans leur rôle, assuré un transport au requérant pour les trajets jusqu</w:t>
      </w:r>
      <w:r w:rsidR="00F24966" w:rsidRPr="00F24966">
        <w:rPr>
          <w:iCs/>
          <w:lang w:val="fr-FR"/>
        </w:rPr>
        <w:t>’</w:t>
      </w:r>
      <w:r w:rsidRPr="00F24966">
        <w:rPr>
          <w:iCs/>
          <w:lang w:val="fr-FR"/>
        </w:rPr>
        <w:t>au centre de désintoxication, mis en place l</w:t>
      </w:r>
      <w:r w:rsidR="00F24966" w:rsidRPr="00F24966">
        <w:rPr>
          <w:iCs/>
          <w:lang w:val="fr-FR"/>
        </w:rPr>
        <w:t>’</w:t>
      </w:r>
      <w:r w:rsidRPr="00F24966">
        <w:rPr>
          <w:iCs/>
          <w:lang w:val="fr-FR"/>
        </w:rPr>
        <w:t>intervention d</w:t>
      </w:r>
      <w:r w:rsidR="00F24966" w:rsidRPr="00F24966">
        <w:rPr>
          <w:iCs/>
          <w:lang w:val="fr-FR"/>
        </w:rPr>
        <w:t>’</w:t>
      </w:r>
      <w:r w:rsidRPr="00F24966">
        <w:rPr>
          <w:iCs/>
          <w:lang w:val="fr-FR"/>
        </w:rPr>
        <w:t>une auxiliaire pour aider la requérante dans les tâches domestiques, fourni de la nourriture à la famille, et payé le loyer du domicile familial.</w:t>
      </w:r>
    </w:p>
    <w:p w:rsidR="00A046D8" w:rsidRPr="00F24966" w:rsidRDefault="00A046D8" w:rsidP="00F24966">
      <w:pPr>
        <w:pStyle w:val="ECHRPara"/>
        <w:rPr>
          <w:iCs/>
          <w:lang w:val="fr-FR"/>
        </w:rPr>
      </w:pPr>
      <w:r w:rsidRPr="00F24966">
        <w:rPr>
          <w:iCs/>
          <w:lang w:val="fr-FR"/>
        </w:rPr>
        <w:fldChar w:fldCharType="begin"/>
      </w:r>
      <w:r w:rsidRPr="00F24966">
        <w:rPr>
          <w:iCs/>
          <w:lang w:val="fr-FR"/>
        </w:rPr>
        <w:instrText xml:space="preserve"> SEQ level0 \*arabic </w:instrText>
      </w:r>
      <w:r w:rsidRPr="00F24966">
        <w:rPr>
          <w:iCs/>
          <w:lang w:val="fr-FR"/>
        </w:rPr>
        <w:fldChar w:fldCharType="separate"/>
      </w:r>
      <w:r w:rsidR="00F24966">
        <w:rPr>
          <w:iCs/>
          <w:noProof/>
          <w:lang w:val="fr-FR"/>
        </w:rPr>
        <w:t>39</w:t>
      </w:r>
      <w:r w:rsidRPr="00F24966">
        <w:rPr>
          <w:lang w:val="fr-FR"/>
        </w:rPr>
        <w:fldChar w:fldCharType="end"/>
      </w:r>
      <w:r w:rsidRPr="00F24966">
        <w:rPr>
          <w:iCs/>
          <w:lang w:val="fr-FR"/>
        </w:rPr>
        <w:t>.  Les requérants contestent la thèse du Gouvernement. Ils affirment que les autorités ne leur ont pas offert une aide concrète spécifique dans un délai raisonnable. Ils disent avoir demandé de l</w:t>
      </w:r>
      <w:r w:rsidR="00F24966" w:rsidRPr="00F24966">
        <w:rPr>
          <w:iCs/>
          <w:lang w:val="fr-FR"/>
        </w:rPr>
        <w:t>’</w:t>
      </w:r>
      <w:r w:rsidRPr="00F24966">
        <w:rPr>
          <w:iCs/>
          <w:lang w:val="fr-FR"/>
        </w:rPr>
        <w:t>aide en raison de difficultés transitoires. Ils indiquent qu</w:t>
      </w:r>
      <w:r w:rsidR="00F24966" w:rsidRPr="00F24966">
        <w:rPr>
          <w:iCs/>
          <w:lang w:val="fr-FR"/>
        </w:rPr>
        <w:t>’</w:t>
      </w:r>
      <w:r w:rsidRPr="00F24966">
        <w:rPr>
          <w:iCs/>
          <w:lang w:val="fr-FR"/>
        </w:rPr>
        <w:t>en 2009 les enfants pouvaient rentrer les week</w:t>
      </w:r>
      <w:r w:rsidRPr="00F24966">
        <w:rPr>
          <w:iCs/>
          <w:lang w:val="fr-FR"/>
        </w:rPr>
        <w:noBreakHyphen/>
        <w:t>ends.</w:t>
      </w:r>
    </w:p>
    <w:p w:rsidR="00A046D8" w:rsidRPr="00F24966" w:rsidRDefault="00A046D8" w:rsidP="00F24966">
      <w:pPr>
        <w:pStyle w:val="ECHRPara"/>
        <w:rPr>
          <w:iCs/>
          <w:lang w:val="fr-FR"/>
        </w:rPr>
      </w:pPr>
      <w:r w:rsidRPr="00F24966">
        <w:rPr>
          <w:iCs/>
          <w:lang w:val="fr-FR"/>
        </w:rPr>
        <w:fldChar w:fldCharType="begin"/>
      </w:r>
      <w:r w:rsidRPr="00F24966">
        <w:rPr>
          <w:iCs/>
          <w:lang w:val="fr-FR"/>
        </w:rPr>
        <w:instrText xml:space="preserve"> SEQ level0 \*arabic </w:instrText>
      </w:r>
      <w:r w:rsidRPr="00F24966">
        <w:rPr>
          <w:iCs/>
          <w:lang w:val="fr-FR"/>
        </w:rPr>
        <w:fldChar w:fldCharType="separate"/>
      </w:r>
      <w:r w:rsidR="00F24966">
        <w:rPr>
          <w:iCs/>
          <w:noProof/>
          <w:lang w:val="fr-FR"/>
        </w:rPr>
        <w:t>40</w:t>
      </w:r>
      <w:r w:rsidRPr="00F24966">
        <w:rPr>
          <w:lang w:val="fr-FR"/>
        </w:rPr>
        <w:fldChar w:fldCharType="end"/>
      </w:r>
      <w:r w:rsidRPr="00F24966">
        <w:rPr>
          <w:iCs/>
          <w:lang w:val="fr-FR"/>
        </w:rPr>
        <w:t>.  Les requérants réfutent par ailleurs la situation dénoncée par les services sociaux. Ainsi, d</w:t>
      </w:r>
      <w:r w:rsidR="00F24966" w:rsidRPr="00F24966">
        <w:rPr>
          <w:iCs/>
          <w:lang w:val="fr-FR"/>
        </w:rPr>
        <w:t>’</w:t>
      </w:r>
      <w:r w:rsidRPr="00F24966">
        <w:rPr>
          <w:iCs/>
          <w:lang w:val="fr-FR"/>
        </w:rPr>
        <w:t>après eux, le domicile familial n</w:t>
      </w:r>
      <w:r w:rsidR="00F24966" w:rsidRPr="00F24966">
        <w:rPr>
          <w:iCs/>
          <w:lang w:val="fr-FR"/>
        </w:rPr>
        <w:t>’</w:t>
      </w:r>
      <w:r w:rsidRPr="00F24966">
        <w:rPr>
          <w:iCs/>
          <w:lang w:val="fr-FR"/>
        </w:rPr>
        <w:t>était pas négligé. De même, selon eux, les services sociaux ont œuvré en faveur de l</w:t>
      </w:r>
      <w:r w:rsidR="00F24966" w:rsidRPr="00F24966">
        <w:rPr>
          <w:iCs/>
          <w:lang w:val="fr-FR"/>
        </w:rPr>
        <w:t>’</w:t>
      </w:r>
      <w:r w:rsidRPr="00F24966">
        <w:rPr>
          <w:iCs/>
          <w:lang w:val="fr-FR"/>
        </w:rPr>
        <w:t>éloignement des enfants, et ils les ont marginalisés socialement et étiquetés comme étant des personnes sales, et ce alors que, à leurs dires, aucun enfant n</w:t>
      </w:r>
      <w:r w:rsidR="00F24966" w:rsidRPr="00F24966">
        <w:rPr>
          <w:iCs/>
          <w:lang w:val="fr-FR"/>
        </w:rPr>
        <w:t>’</w:t>
      </w:r>
      <w:r w:rsidRPr="00F24966">
        <w:rPr>
          <w:iCs/>
          <w:lang w:val="fr-FR"/>
        </w:rPr>
        <w:t>avait été abusé ou négligé.</w:t>
      </w:r>
    </w:p>
    <w:p w:rsidR="00A046D8" w:rsidRPr="00F24966" w:rsidRDefault="00A046D8" w:rsidP="00F24966">
      <w:pPr>
        <w:pStyle w:val="ECHRPara"/>
        <w:rPr>
          <w:iCs/>
          <w:lang w:val="fr-FR"/>
        </w:rPr>
      </w:pPr>
      <w:r w:rsidRPr="00F24966">
        <w:rPr>
          <w:iCs/>
          <w:lang w:val="fr-FR"/>
        </w:rPr>
        <w:fldChar w:fldCharType="begin"/>
      </w:r>
      <w:r w:rsidRPr="00F24966">
        <w:rPr>
          <w:iCs/>
          <w:lang w:val="fr-FR"/>
        </w:rPr>
        <w:instrText xml:space="preserve"> SEQ level0 \*arabic </w:instrText>
      </w:r>
      <w:r w:rsidRPr="00F24966">
        <w:rPr>
          <w:iCs/>
          <w:lang w:val="fr-FR"/>
        </w:rPr>
        <w:fldChar w:fldCharType="separate"/>
      </w:r>
      <w:r w:rsidR="00F24966">
        <w:rPr>
          <w:iCs/>
          <w:noProof/>
          <w:lang w:val="fr-FR"/>
        </w:rPr>
        <w:t>41</w:t>
      </w:r>
      <w:r w:rsidRPr="00F24966">
        <w:rPr>
          <w:lang w:val="fr-FR"/>
        </w:rPr>
        <w:fldChar w:fldCharType="end"/>
      </w:r>
      <w:r w:rsidRPr="00F24966">
        <w:rPr>
          <w:iCs/>
          <w:lang w:val="fr-FR"/>
        </w:rPr>
        <w:t>.  Les requérants disent également que les services sociaux ne les ont pas aidés dans la recherche d</w:t>
      </w:r>
      <w:r w:rsidR="00F24966" w:rsidRPr="00F24966">
        <w:rPr>
          <w:iCs/>
          <w:lang w:val="fr-FR"/>
        </w:rPr>
        <w:t>’</w:t>
      </w:r>
      <w:r w:rsidRPr="00F24966">
        <w:rPr>
          <w:iCs/>
          <w:lang w:val="fr-FR"/>
        </w:rPr>
        <w:t>un travail. Ils ajoutent que l</w:t>
      </w:r>
      <w:r w:rsidR="00F24966" w:rsidRPr="00F24966">
        <w:rPr>
          <w:iCs/>
          <w:lang w:val="fr-FR"/>
        </w:rPr>
        <w:t>’</w:t>
      </w:r>
      <w:r w:rsidRPr="00F24966">
        <w:rPr>
          <w:iCs/>
          <w:lang w:val="fr-FR"/>
        </w:rPr>
        <w:t>adoption des enfants a été exclusivement motivée par des raisons fondées sur des carences matérielles. Enfin, ils indiquent qu</w:t>
      </w:r>
      <w:r w:rsidR="00F24966" w:rsidRPr="00F24966">
        <w:rPr>
          <w:iCs/>
          <w:lang w:val="fr-FR"/>
        </w:rPr>
        <w:t>’</w:t>
      </w:r>
      <w:r w:rsidRPr="00F24966">
        <w:rPr>
          <w:iCs/>
          <w:lang w:val="fr-FR"/>
        </w:rPr>
        <w:t>aucune expertise n</w:t>
      </w:r>
      <w:r w:rsidR="00F24966" w:rsidRPr="00F24966">
        <w:rPr>
          <w:iCs/>
          <w:lang w:val="fr-FR"/>
        </w:rPr>
        <w:t>’</w:t>
      </w:r>
      <w:r w:rsidRPr="00F24966">
        <w:rPr>
          <w:iCs/>
          <w:lang w:val="fr-FR"/>
        </w:rPr>
        <w:t>a été menée à leur égard et que l</w:t>
      </w:r>
      <w:r w:rsidR="00F24966" w:rsidRPr="00F24966">
        <w:rPr>
          <w:iCs/>
          <w:lang w:val="fr-FR"/>
        </w:rPr>
        <w:t>’</w:t>
      </w:r>
      <w:r w:rsidRPr="00F24966">
        <w:rPr>
          <w:iCs/>
          <w:lang w:val="fr-FR"/>
        </w:rPr>
        <w:t>adoption simple n</w:t>
      </w:r>
      <w:r w:rsidR="00F24966" w:rsidRPr="00F24966">
        <w:rPr>
          <w:iCs/>
          <w:lang w:val="fr-FR"/>
        </w:rPr>
        <w:t>’</w:t>
      </w:r>
      <w:r w:rsidRPr="00F24966">
        <w:rPr>
          <w:iCs/>
          <w:lang w:val="fr-FR"/>
        </w:rPr>
        <w:t>a pas été acceptée.</w:t>
      </w:r>
    </w:p>
    <w:p w:rsidR="00A046D8" w:rsidRPr="00F24966" w:rsidRDefault="00A046D8" w:rsidP="00F24966">
      <w:pPr>
        <w:pStyle w:val="ECHRHeading2"/>
        <w:rPr>
          <w:iCs/>
          <w:lang w:val="fr-FR"/>
        </w:rPr>
      </w:pPr>
      <w:r w:rsidRPr="00F24966">
        <w:rPr>
          <w:lang w:val="fr-FR"/>
        </w:rPr>
        <w:t>B.  Appréciation de la Cour</w:t>
      </w:r>
    </w:p>
    <w:p w:rsidR="00A046D8" w:rsidRPr="00F24966" w:rsidRDefault="00A046D8" w:rsidP="00F24966">
      <w:pPr>
        <w:pStyle w:val="ECHRHeading3"/>
        <w:rPr>
          <w:lang w:val="fr-FR"/>
        </w:rPr>
      </w:pPr>
      <w:r w:rsidRPr="00F24966">
        <w:rPr>
          <w:lang w:val="fr-FR"/>
        </w:rPr>
        <w:t>1.  Principes généraux</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42</w:t>
      </w:r>
      <w:r w:rsidRPr="00F24966">
        <w:rPr>
          <w:lang w:val="fr-FR"/>
        </w:rPr>
        <w:fldChar w:fldCharType="end"/>
      </w:r>
      <w:r w:rsidRPr="00F24966">
        <w:rPr>
          <w:lang w:val="fr-FR"/>
        </w:rPr>
        <w:t>.  La Cour rappelle que, pour un parent et son enfant, être ensemble représente un élément fondamental de la vie familiale (</w:t>
      </w:r>
      <w:r w:rsidRPr="00F24966">
        <w:rPr>
          <w:i/>
          <w:lang w:val="fr-FR"/>
        </w:rPr>
        <w:t>Kutzner</w:t>
      </w:r>
      <w:r w:rsidRPr="00F24966">
        <w:rPr>
          <w:lang w:val="fr-FR"/>
        </w:rPr>
        <w:t xml:space="preserve">, </w:t>
      </w:r>
      <w:r w:rsidRPr="00F24966">
        <w:rPr>
          <w:i/>
          <w:lang w:val="fr-FR"/>
        </w:rPr>
        <w:t>précité</w:t>
      </w:r>
      <w:r w:rsidRPr="00F24966">
        <w:rPr>
          <w:lang w:val="fr-FR"/>
        </w:rPr>
        <w:t>, § 58) : des mesures internes qui les en empêchent constituent une ingérence dans le droit protégé par l</w:t>
      </w:r>
      <w:r w:rsidR="00F24966" w:rsidRPr="00F24966">
        <w:rPr>
          <w:lang w:val="fr-FR"/>
        </w:rPr>
        <w:t>’</w:t>
      </w:r>
      <w:r w:rsidRPr="00F24966">
        <w:rPr>
          <w:lang w:val="fr-FR"/>
        </w:rPr>
        <w:t>article 8 de la Convention (</w:t>
      </w:r>
      <w:r w:rsidRPr="00F24966">
        <w:rPr>
          <w:i/>
          <w:lang w:val="fr-FR"/>
        </w:rPr>
        <w:t>K. et T. c. Finlande</w:t>
      </w:r>
      <w:r w:rsidRPr="00F24966">
        <w:rPr>
          <w:lang w:val="fr-FR"/>
        </w:rPr>
        <w:t xml:space="preserve">, </w:t>
      </w:r>
      <w:r w:rsidRPr="00F24966">
        <w:rPr>
          <w:lang w:val="fr-FR"/>
        </w:rPr>
        <w:lastRenderedPageBreak/>
        <w:t>précité, § 151). Pareille ingérence méconnaît l</w:t>
      </w:r>
      <w:r w:rsidR="00F24966" w:rsidRPr="00F24966">
        <w:rPr>
          <w:lang w:val="fr-FR"/>
        </w:rPr>
        <w:t>’</w:t>
      </w:r>
      <w:r w:rsidRPr="00F24966">
        <w:rPr>
          <w:lang w:val="fr-FR"/>
        </w:rPr>
        <w:t>article 8 précité sauf si, « prévue par la loi », elle poursuit un ou des buts légitimes au regard du second paragraphe de cette disposition et est « nécessaire, dans une société démocratique » pour les atteindre (</w:t>
      </w:r>
      <w:r w:rsidRPr="00F24966">
        <w:rPr>
          <w:i/>
          <w:lang w:val="fr-FR"/>
        </w:rPr>
        <w:t>Gnahoré</w:t>
      </w:r>
      <w:r w:rsidRPr="00F24966">
        <w:rPr>
          <w:lang w:val="fr-FR"/>
        </w:rPr>
        <w:t>, précité, § 50, CEDH 2000-IX). La notion de « nécessité » implique une ingérence fondée sur un besoin social impérieux, et notamment proportionnée au but légitime recherché (</w:t>
      </w:r>
      <w:r w:rsidRPr="00F24966">
        <w:rPr>
          <w:i/>
          <w:lang w:val="fr-FR"/>
        </w:rPr>
        <w:t>Couillard Maugery c. France</w:t>
      </w:r>
      <w:r w:rsidRPr="00F24966">
        <w:rPr>
          <w:lang w:val="fr-FR"/>
        </w:rPr>
        <w:t>, n</w:t>
      </w:r>
      <w:r w:rsidRPr="00F24966">
        <w:rPr>
          <w:vertAlign w:val="superscript"/>
          <w:lang w:val="fr-FR"/>
        </w:rPr>
        <w:t>o</w:t>
      </w:r>
      <w:r w:rsidRPr="00F24966">
        <w:rPr>
          <w:lang w:val="fr-FR"/>
        </w:rPr>
        <w:t xml:space="preserve"> 64796/01, § 237, 1</w:t>
      </w:r>
      <w:r w:rsidRPr="00F24966">
        <w:rPr>
          <w:vertAlign w:val="superscript"/>
          <w:lang w:val="fr-FR"/>
        </w:rPr>
        <w:t xml:space="preserve">er </w:t>
      </w:r>
      <w:r w:rsidRPr="00F24966">
        <w:rPr>
          <w:lang w:val="fr-FR"/>
        </w:rPr>
        <w:t>juillet 2004).</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43</w:t>
      </w:r>
      <w:r w:rsidRPr="00F24966">
        <w:rPr>
          <w:lang w:val="fr-FR"/>
        </w:rPr>
        <w:fldChar w:fldCharType="end"/>
      </w:r>
      <w:r w:rsidRPr="00F24966">
        <w:rPr>
          <w:lang w:val="fr-FR"/>
        </w:rPr>
        <w:t>.  Pour apprécier la « nécessité » de la mesure litigieuse « dans une société démocratique », il convient donc d</w:t>
      </w:r>
      <w:r w:rsidR="00F24966" w:rsidRPr="00F24966">
        <w:rPr>
          <w:lang w:val="fr-FR"/>
        </w:rPr>
        <w:t>’</w:t>
      </w:r>
      <w:r w:rsidRPr="00F24966">
        <w:rPr>
          <w:lang w:val="fr-FR"/>
        </w:rPr>
        <w:t>analyser, à la lumière de l</w:t>
      </w:r>
      <w:r w:rsidR="00F24966" w:rsidRPr="00F24966">
        <w:rPr>
          <w:lang w:val="fr-FR"/>
        </w:rPr>
        <w:t>’</w:t>
      </w:r>
      <w:r w:rsidRPr="00F24966">
        <w:rPr>
          <w:lang w:val="fr-FR"/>
        </w:rPr>
        <w:t>ensemble de l</w:t>
      </w:r>
      <w:r w:rsidR="00F24966" w:rsidRPr="00F24966">
        <w:rPr>
          <w:lang w:val="fr-FR"/>
        </w:rPr>
        <w:t>’</w:t>
      </w:r>
      <w:r w:rsidRPr="00F24966">
        <w:rPr>
          <w:lang w:val="fr-FR"/>
        </w:rPr>
        <w:t>affaire, si les motifs invoqués à l</w:t>
      </w:r>
      <w:r w:rsidR="00F24966" w:rsidRPr="00F24966">
        <w:rPr>
          <w:lang w:val="fr-FR"/>
        </w:rPr>
        <w:t>’</w:t>
      </w:r>
      <w:r w:rsidRPr="00F24966">
        <w:rPr>
          <w:lang w:val="fr-FR"/>
        </w:rPr>
        <w:t>appui de la mesure en cause étaient pertinents et suffisants aux fins du paragraphe 2 de l</w:t>
      </w:r>
      <w:r w:rsidR="00F24966" w:rsidRPr="00F24966">
        <w:rPr>
          <w:lang w:val="fr-FR"/>
        </w:rPr>
        <w:t>’</w:t>
      </w:r>
      <w:r w:rsidRPr="00F24966">
        <w:rPr>
          <w:lang w:val="fr-FR"/>
        </w:rPr>
        <w:t>article 8 de la Convention (</w:t>
      </w:r>
      <w:r w:rsidRPr="00F24966">
        <w:rPr>
          <w:i/>
          <w:lang w:val="fr-FR"/>
        </w:rPr>
        <w:t>Soares de Melo</w:t>
      </w:r>
      <w:r w:rsidRPr="00F24966">
        <w:rPr>
          <w:lang w:val="fr-FR"/>
        </w:rPr>
        <w:t>, précité, § 88). À cette fin, la Cour tiendra compte du fait que l</w:t>
      </w:r>
      <w:r w:rsidR="00F24966" w:rsidRPr="00F24966">
        <w:rPr>
          <w:lang w:val="fr-FR"/>
        </w:rPr>
        <w:t>’</w:t>
      </w:r>
      <w:r w:rsidRPr="00F24966">
        <w:rPr>
          <w:lang w:val="fr-FR"/>
        </w:rPr>
        <w:t>éclatement d</w:t>
      </w:r>
      <w:r w:rsidR="00F24966" w:rsidRPr="00F24966">
        <w:rPr>
          <w:lang w:val="fr-FR"/>
        </w:rPr>
        <w:t>’</w:t>
      </w:r>
      <w:r w:rsidRPr="00F24966">
        <w:rPr>
          <w:lang w:val="fr-FR"/>
        </w:rPr>
        <w:t>une famille constitue une ingérence très grave dans le droit au respect de la vie familiale. Dès lors, une mesure menant à pareille situation doit reposer sur des considérations inspirées par l</w:t>
      </w:r>
      <w:r w:rsidR="00F24966" w:rsidRPr="00F24966">
        <w:rPr>
          <w:lang w:val="fr-FR"/>
        </w:rPr>
        <w:t>’</w:t>
      </w:r>
      <w:r w:rsidRPr="00F24966">
        <w:rPr>
          <w:lang w:val="fr-FR"/>
        </w:rPr>
        <w:t>intérêt de l</w:t>
      </w:r>
      <w:r w:rsidR="00F24966" w:rsidRPr="00F24966">
        <w:rPr>
          <w:lang w:val="fr-FR"/>
        </w:rPr>
        <w:t>’</w:t>
      </w:r>
      <w:r w:rsidRPr="00F24966">
        <w:rPr>
          <w:lang w:val="fr-FR"/>
        </w:rPr>
        <w:t>enfant et d</w:t>
      </w:r>
      <w:r w:rsidR="00F24966" w:rsidRPr="00F24966">
        <w:rPr>
          <w:lang w:val="fr-FR"/>
        </w:rPr>
        <w:t>’</w:t>
      </w:r>
      <w:r w:rsidRPr="00F24966">
        <w:rPr>
          <w:lang w:val="fr-FR"/>
        </w:rPr>
        <w:t>un poids et d</w:t>
      </w:r>
      <w:r w:rsidR="00F24966" w:rsidRPr="00F24966">
        <w:rPr>
          <w:lang w:val="fr-FR"/>
        </w:rPr>
        <w:t>’</w:t>
      </w:r>
      <w:r w:rsidRPr="00F24966">
        <w:rPr>
          <w:lang w:val="fr-FR"/>
        </w:rPr>
        <w:t>une solidité suffisants (</w:t>
      </w:r>
      <w:r w:rsidRPr="00F24966">
        <w:rPr>
          <w:i/>
          <w:lang w:val="fr-FR"/>
        </w:rPr>
        <w:t>Scozzari et Giunta c. Italie</w:t>
      </w:r>
      <w:r w:rsidRPr="00F24966">
        <w:rPr>
          <w:lang w:val="fr-FR"/>
        </w:rPr>
        <w:t xml:space="preserve"> [GC], n</w:t>
      </w:r>
      <w:r w:rsidRPr="00F24966">
        <w:rPr>
          <w:vertAlign w:val="superscript"/>
          <w:lang w:val="fr-FR"/>
        </w:rPr>
        <w:t>os</w:t>
      </w:r>
      <w:r w:rsidRPr="00F24966">
        <w:rPr>
          <w:lang w:val="fr-FR"/>
        </w:rPr>
        <w:t xml:space="preserve"> 39221/98 et 41963/98, § 148, CEDH 2000-VIII). L</w:t>
      </w:r>
      <w:r w:rsidR="00F24966" w:rsidRPr="00F24966">
        <w:rPr>
          <w:lang w:val="fr-FR"/>
        </w:rPr>
        <w:t>’</w:t>
      </w:r>
      <w:r w:rsidRPr="00F24966">
        <w:rPr>
          <w:lang w:val="fr-FR"/>
        </w:rPr>
        <w:t>éloignement de l</w:t>
      </w:r>
      <w:r w:rsidR="00F24966" w:rsidRPr="00F24966">
        <w:rPr>
          <w:lang w:val="fr-FR"/>
        </w:rPr>
        <w:t>’</w:t>
      </w:r>
      <w:r w:rsidRPr="00F24966">
        <w:rPr>
          <w:lang w:val="fr-FR"/>
        </w:rPr>
        <w:t>enfant de l</w:t>
      </w:r>
      <w:r w:rsidR="00F24966" w:rsidRPr="00F24966">
        <w:rPr>
          <w:lang w:val="fr-FR"/>
        </w:rPr>
        <w:t>’</w:t>
      </w:r>
      <w:r w:rsidRPr="00F24966">
        <w:rPr>
          <w:lang w:val="fr-FR"/>
        </w:rPr>
        <w:t>environnement familial est une mesure extrême à laquelle on ne devrait avoir recours qu</w:t>
      </w:r>
      <w:r w:rsidR="00F24966" w:rsidRPr="00F24966">
        <w:rPr>
          <w:lang w:val="fr-FR"/>
        </w:rPr>
        <w:t>’</w:t>
      </w:r>
      <w:r w:rsidRPr="00F24966">
        <w:rPr>
          <w:lang w:val="fr-FR"/>
        </w:rPr>
        <w:t>en tout dernier ressort (</w:t>
      </w:r>
      <w:r w:rsidRPr="00F24966">
        <w:rPr>
          <w:i/>
          <w:lang w:val="fr-FR"/>
        </w:rPr>
        <w:t>Neulinger et Shuruk c. Suisse</w:t>
      </w:r>
      <w:r w:rsidRPr="00F24966">
        <w:rPr>
          <w:lang w:val="fr-FR"/>
        </w:rPr>
        <w:t xml:space="preserve"> [GC], n</w:t>
      </w:r>
      <w:r w:rsidRPr="00F24966">
        <w:rPr>
          <w:vertAlign w:val="superscript"/>
          <w:lang w:val="fr-FR"/>
        </w:rPr>
        <w:t>o</w:t>
      </w:r>
      <w:r w:rsidRPr="00F24966">
        <w:rPr>
          <w:lang w:val="fr-FR"/>
        </w:rPr>
        <w:t xml:space="preserve"> 41615/07, § 136, CEDH 2010).</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44</w:t>
      </w:r>
      <w:r w:rsidRPr="00F24966">
        <w:rPr>
          <w:lang w:val="fr-FR"/>
        </w:rPr>
        <w:fldChar w:fldCharType="end"/>
      </w:r>
      <w:r w:rsidRPr="00F24966">
        <w:rPr>
          <w:lang w:val="fr-FR"/>
        </w:rPr>
        <w:t>.  Cela étant, la Cour n</w:t>
      </w:r>
      <w:r w:rsidR="00F24966" w:rsidRPr="00F24966">
        <w:rPr>
          <w:lang w:val="fr-FR"/>
        </w:rPr>
        <w:t>’</w:t>
      </w:r>
      <w:r w:rsidRPr="00F24966">
        <w:rPr>
          <w:lang w:val="fr-FR"/>
        </w:rPr>
        <w:t>a point pour tâche de se substituer aux autorités internes dans l</w:t>
      </w:r>
      <w:r w:rsidR="00F24966" w:rsidRPr="00F24966">
        <w:rPr>
          <w:lang w:val="fr-FR"/>
        </w:rPr>
        <w:t>’</w:t>
      </w:r>
      <w:r w:rsidRPr="00F24966">
        <w:rPr>
          <w:lang w:val="fr-FR"/>
        </w:rPr>
        <w:t>exercice de leurs responsabilités en matière de réglementation des questions de la prise en charge des enfants par l</w:t>
      </w:r>
      <w:r w:rsidR="00F24966" w:rsidRPr="00F24966">
        <w:rPr>
          <w:lang w:val="fr-FR"/>
        </w:rPr>
        <w:t>’</w:t>
      </w:r>
      <w:r w:rsidRPr="00F24966">
        <w:rPr>
          <w:lang w:val="fr-FR"/>
        </w:rPr>
        <w:t>autorité publique et des droits des parents dont les enfants ont été ainsi placés, mais de contrôler sous l</w:t>
      </w:r>
      <w:r w:rsidR="00F24966" w:rsidRPr="00F24966">
        <w:rPr>
          <w:lang w:val="fr-FR"/>
        </w:rPr>
        <w:t>’</w:t>
      </w:r>
      <w:r w:rsidRPr="00F24966">
        <w:rPr>
          <w:lang w:val="fr-FR"/>
        </w:rPr>
        <w:t>angle de la Convention les décisions qu</w:t>
      </w:r>
      <w:r w:rsidR="00F24966" w:rsidRPr="00F24966">
        <w:rPr>
          <w:lang w:val="fr-FR"/>
        </w:rPr>
        <w:t>’</w:t>
      </w:r>
      <w:r w:rsidRPr="00F24966">
        <w:rPr>
          <w:lang w:val="fr-FR"/>
        </w:rPr>
        <w:t>elles ont rendues dans l</w:t>
      </w:r>
      <w:r w:rsidR="00F24966" w:rsidRPr="00F24966">
        <w:rPr>
          <w:lang w:val="fr-FR"/>
        </w:rPr>
        <w:t>’</w:t>
      </w:r>
      <w:r w:rsidRPr="00F24966">
        <w:rPr>
          <w:lang w:val="fr-FR"/>
        </w:rPr>
        <w:t>exercice de leur pouvoir d</w:t>
      </w:r>
      <w:r w:rsidR="00F24966" w:rsidRPr="00F24966">
        <w:rPr>
          <w:lang w:val="fr-FR"/>
        </w:rPr>
        <w:t>’</w:t>
      </w:r>
      <w:r w:rsidRPr="00F24966">
        <w:rPr>
          <w:lang w:val="fr-FR"/>
        </w:rPr>
        <w:t>appréciation (</w:t>
      </w:r>
      <w:r w:rsidRPr="00F24966">
        <w:rPr>
          <w:i/>
          <w:lang w:val="fr-FR"/>
        </w:rPr>
        <w:t>Wallová et Walla c. République tchèque,</w:t>
      </w:r>
      <w:r w:rsidRPr="00F24966">
        <w:rPr>
          <w:lang w:val="fr-FR"/>
        </w:rPr>
        <w:t xml:space="preserve"> n</w:t>
      </w:r>
      <w:r w:rsidRPr="00F24966">
        <w:rPr>
          <w:vertAlign w:val="superscript"/>
          <w:lang w:val="fr-FR"/>
        </w:rPr>
        <w:t>o</w:t>
      </w:r>
      <w:r w:rsidRPr="00F24966">
        <w:rPr>
          <w:lang w:val="fr-FR"/>
        </w:rPr>
        <w:t xml:space="preserve"> 23848/04, § 70, 26 octobre 2006, et </w:t>
      </w:r>
      <w:r w:rsidRPr="00F24966">
        <w:rPr>
          <w:i/>
          <w:lang w:val="fr-FR"/>
        </w:rPr>
        <w:t>Couillard Maugery</w:t>
      </w:r>
      <w:r w:rsidRPr="00F24966">
        <w:rPr>
          <w:lang w:val="fr-FR"/>
        </w:rPr>
        <w:t>, précité, § 242).</w:t>
      </w:r>
    </w:p>
    <w:bookmarkStart w:id="3" w:name="HIT45"/>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45</w:t>
      </w:r>
      <w:r w:rsidRPr="00F24966">
        <w:rPr>
          <w:lang w:val="fr-FR"/>
        </w:rPr>
        <w:fldChar w:fldCharType="end"/>
      </w:r>
      <w:bookmarkEnd w:id="3"/>
      <w:r w:rsidRPr="00F24966">
        <w:rPr>
          <w:lang w:val="fr-FR"/>
        </w:rPr>
        <w:t>.  Dans ce contexte, la Cour rappelle que le fait qu</w:t>
      </w:r>
      <w:r w:rsidR="00F24966" w:rsidRPr="00F24966">
        <w:rPr>
          <w:lang w:val="fr-FR"/>
        </w:rPr>
        <w:t>’</w:t>
      </w:r>
      <w:r w:rsidRPr="00F24966">
        <w:rPr>
          <w:lang w:val="fr-FR"/>
        </w:rPr>
        <w:t>un enfant puisse être accueilli dans un cadre plus propice à son éducation ne saurait en soi justifier qu</w:t>
      </w:r>
      <w:r w:rsidR="00F24966" w:rsidRPr="00F24966">
        <w:rPr>
          <w:lang w:val="fr-FR"/>
        </w:rPr>
        <w:t>’</w:t>
      </w:r>
      <w:r w:rsidRPr="00F24966">
        <w:rPr>
          <w:lang w:val="fr-FR"/>
        </w:rPr>
        <w:t>on le soustraie de force aux soins de ses parents biologiques. Pareille ingérence dans le droit des parents, au titre de l</w:t>
      </w:r>
      <w:r w:rsidR="00F24966" w:rsidRPr="00F24966">
        <w:rPr>
          <w:lang w:val="fr-FR"/>
        </w:rPr>
        <w:t>’</w:t>
      </w:r>
      <w:r w:rsidRPr="00F24966">
        <w:rPr>
          <w:lang w:val="fr-FR"/>
        </w:rPr>
        <w:t>article 8 de la Convention, à jouir d</w:t>
      </w:r>
      <w:r w:rsidR="00F24966" w:rsidRPr="00F24966">
        <w:rPr>
          <w:lang w:val="fr-FR"/>
        </w:rPr>
        <w:t>’</w:t>
      </w:r>
      <w:r w:rsidRPr="00F24966">
        <w:rPr>
          <w:lang w:val="fr-FR"/>
        </w:rPr>
        <w:t>une vie familiale avec leur enfant doit encore se révéler « nécessaire » en raison d</w:t>
      </w:r>
      <w:r w:rsidR="00F24966" w:rsidRPr="00F24966">
        <w:rPr>
          <w:lang w:val="fr-FR"/>
        </w:rPr>
        <w:t>’</w:t>
      </w:r>
      <w:r w:rsidRPr="00F24966">
        <w:rPr>
          <w:lang w:val="fr-FR"/>
        </w:rPr>
        <w:t>autres circonstances (</w:t>
      </w:r>
      <w:r w:rsidRPr="00F24966">
        <w:rPr>
          <w:i/>
          <w:lang w:val="fr-FR"/>
        </w:rPr>
        <w:t>K. et T. c. Finlande</w:t>
      </w:r>
      <w:r w:rsidRPr="00F24966">
        <w:rPr>
          <w:lang w:val="fr-FR"/>
        </w:rPr>
        <w:t xml:space="preserve">, précité, § 173, et </w:t>
      </w:r>
      <w:r w:rsidRPr="00F24966">
        <w:rPr>
          <w:i/>
          <w:lang w:val="fr-FR"/>
        </w:rPr>
        <w:t>Kutzner</w:t>
      </w:r>
      <w:r w:rsidRPr="00F24966">
        <w:rPr>
          <w:lang w:val="fr-FR"/>
        </w:rPr>
        <w:t>,</w:t>
      </w:r>
      <w:r w:rsidRPr="00F24966">
        <w:rPr>
          <w:i/>
          <w:lang w:val="fr-FR"/>
        </w:rPr>
        <w:t xml:space="preserve"> précité</w:t>
      </w:r>
      <w:r w:rsidRPr="00F24966">
        <w:rPr>
          <w:lang w:val="fr-FR"/>
        </w:rPr>
        <w:t>, § 69). De surcroît, l</w:t>
      </w:r>
      <w:r w:rsidR="00F24966" w:rsidRPr="00F24966">
        <w:rPr>
          <w:lang w:val="fr-FR"/>
        </w:rPr>
        <w:t>’</w:t>
      </w:r>
      <w:r w:rsidRPr="00F24966">
        <w:rPr>
          <w:lang w:val="fr-FR"/>
        </w:rPr>
        <w:t>article 8 de la Convention met à la charge de l</w:t>
      </w:r>
      <w:r w:rsidR="00F24966" w:rsidRPr="00F24966">
        <w:rPr>
          <w:lang w:val="fr-FR"/>
        </w:rPr>
        <w:t>’</w:t>
      </w:r>
      <w:r w:rsidRPr="00F24966">
        <w:rPr>
          <w:lang w:val="fr-FR"/>
        </w:rPr>
        <w:t>État des obligations positives inhérentes au « respect » effectif de la vie familiale. Ainsi, là où l</w:t>
      </w:r>
      <w:r w:rsidR="00F24966" w:rsidRPr="00F24966">
        <w:rPr>
          <w:lang w:val="fr-FR"/>
        </w:rPr>
        <w:t>’</w:t>
      </w:r>
      <w:r w:rsidRPr="00F24966">
        <w:rPr>
          <w:lang w:val="fr-FR"/>
        </w:rPr>
        <w:t>existence d</w:t>
      </w:r>
      <w:r w:rsidR="00F24966" w:rsidRPr="00F24966">
        <w:rPr>
          <w:lang w:val="fr-FR"/>
        </w:rPr>
        <w:t>’</w:t>
      </w:r>
      <w:r w:rsidRPr="00F24966">
        <w:rPr>
          <w:lang w:val="fr-FR"/>
        </w:rPr>
        <w:t>un lien familial se trouve établie, l</w:t>
      </w:r>
      <w:r w:rsidR="00F24966" w:rsidRPr="00F24966">
        <w:rPr>
          <w:lang w:val="fr-FR"/>
        </w:rPr>
        <w:t>’</w:t>
      </w:r>
      <w:r w:rsidRPr="00F24966">
        <w:rPr>
          <w:lang w:val="fr-FR"/>
        </w:rPr>
        <w:t>État doit en principe agir de manière à permettre à ce lien de se développer et prendre les mesures propres à réunir le parent et l</w:t>
      </w:r>
      <w:r w:rsidR="00F24966" w:rsidRPr="00F24966">
        <w:rPr>
          <w:lang w:val="fr-FR"/>
        </w:rPr>
        <w:t>’</w:t>
      </w:r>
      <w:r w:rsidRPr="00F24966">
        <w:rPr>
          <w:lang w:val="fr-FR"/>
        </w:rPr>
        <w:t>enfant concernés (</w:t>
      </w:r>
      <w:r w:rsidRPr="00F24966">
        <w:rPr>
          <w:i/>
          <w:lang w:val="fr-FR"/>
        </w:rPr>
        <w:t>Kutzner</w:t>
      </w:r>
      <w:r w:rsidRPr="00F24966">
        <w:rPr>
          <w:lang w:val="fr-FR"/>
        </w:rPr>
        <w:t>, précité, § 61).</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46</w:t>
      </w:r>
      <w:r w:rsidRPr="00F24966">
        <w:rPr>
          <w:lang w:val="fr-FR"/>
        </w:rPr>
        <w:fldChar w:fldCharType="end"/>
      </w:r>
      <w:r w:rsidRPr="00F24966">
        <w:rPr>
          <w:lang w:val="fr-FR"/>
        </w:rPr>
        <w:t>.  La Cour rappelle aussi que, si la frontière entre les obligations positives et les obligations négatives de l</w:t>
      </w:r>
      <w:r w:rsidR="00F24966" w:rsidRPr="00F24966">
        <w:rPr>
          <w:lang w:val="fr-FR"/>
        </w:rPr>
        <w:t>’</w:t>
      </w:r>
      <w:r w:rsidRPr="00F24966">
        <w:rPr>
          <w:lang w:val="fr-FR"/>
        </w:rPr>
        <w:t>État au titre de l</w:t>
      </w:r>
      <w:r w:rsidR="00F24966" w:rsidRPr="00F24966">
        <w:rPr>
          <w:lang w:val="fr-FR"/>
        </w:rPr>
        <w:t>’</w:t>
      </w:r>
      <w:r w:rsidRPr="00F24966">
        <w:rPr>
          <w:lang w:val="fr-FR"/>
        </w:rPr>
        <w:t xml:space="preserve">article 8 de la Convention ne se prête pas à une définition précise, les principes applicables sont néanmoins comparables. En particulier, dans les deux cas, le point </w:t>
      </w:r>
      <w:r w:rsidRPr="00F24966">
        <w:rPr>
          <w:lang w:val="fr-FR"/>
        </w:rPr>
        <w:lastRenderedPageBreak/>
        <w:t>décisif consiste à savoir si le juste équilibre devant exister entre les intérêts concurrents en jeu – ceux de l</w:t>
      </w:r>
      <w:r w:rsidR="00F24966" w:rsidRPr="00F24966">
        <w:rPr>
          <w:lang w:val="fr-FR"/>
        </w:rPr>
        <w:t>’</w:t>
      </w:r>
      <w:r w:rsidRPr="00F24966">
        <w:rPr>
          <w:lang w:val="fr-FR"/>
        </w:rPr>
        <w:t>enfant, ceux des deux parents et ceux de l</w:t>
      </w:r>
      <w:r w:rsidR="00F24966" w:rsidRPr="00F24966">
        <w:rPr>
          <w:lang w:val="fr-FR"/>
        </w:rPr>
        <w:t>’</w:t>
      </w:r>
      <w:r w:rsidRPr="00F24966">
        <w:rPr>
          <w:lang w:val="fr-FR"/>
        </w:rPr>
        <w:t>ordre public – a été ménagé, dans les limites de la marge d</w:t>
      </w:r>
      <w:r w:rsidR="00F24966" w:rsidRPr="00F24966">
        <w:rPr>
          <w:lang w:val="fr-FR"/>
        </w:rPr>
        <w:t>’</w:t>
      </w:r>
      <w:r w:rsidRPr="00F24966">
        <w:rPr>
          <w:lang w:val="fr-FR"/>
        </w:rPr>
        <w:t>appréciation dont jouissent les États en la matière (</w:t>
      </w:r>
      <w:r w:rsidRPr="00F24966">
        <w:rPr>
          <w:i/>
          <w:lang w:val="fr-FR"/>
        </w:rPr>
        <w:t>Maumousseau et Washington c. France</w:t>
      </w:r>
      <w:r w:rsidRPr="00F24966">
        <w:rPr>
          <w:lang w:val="fr-FR"/>
        </w:rPr>
        <w:t>, n</w:t>
      </w:r>
      <w:r w:rsidRPr="00F24966">
        <w:rPr>
          <w:vertAlign w:val="superscript"/>
          <w:lang w:val="fr-FR"/>
        </w:rPr>
        <w:t>o</w:t>
      </w:r>
      <w:r w:rsidRPr="00F24966">
        <w:rPr>
          <w:lang w:val="fr-FR"/>
        </w:rPr>
        <w:t xml:space="preserve"> 39388/05, § 62, CEDH 2007-XIII), en tenant compte toutefois de ce que l</w:t>
      </w:r>
      <w:r w:rsidR="00F24966" w:rsidRPr="00F24966">
        <w:rPr>
          <w:lang w:val="fr-FR"/>
        </w:rPr>
        <w:t>’</w:t>
      </w:r>
      <w:r w:rsidRPr="00F24966">
        <w:rPr>
          <w:lang w:val="fr-FR"/>
        </w:rPr>
        <w:t>intérêt supérieur de l</w:t>
      </w:r>
      <w:r w:rsidR="00F24966" w:rsidRPr="00F24966">
        <w:rPr>
          <w:lang w:val="fr-FR"/>
        </w:rPr>
        <w:t>’</w:t>
      </w:r>
      <w:r w:rsidRPr="00F24966">
        <w:rPr>
          <w:lang w:val="fr-FR"/>
        </w:rPr>
        <w:t xml:space="preserve">enfant doit constituer la considération déterminante (voir, en ce sens, </w:t>
      </w:r>
      <w:r w:rsidRPr="00F24966">
        <w:rPr>
          <w:i/>
          <w:lang w:val="fr-FR"/>
        </w:rPr>
        <w:t>Gnahoré</w:t>
      </w:r>
      <w:r w:rsidRPr="00F24966">
        <w:rPr>
          <w:lang w:val="fr-FR"/>
        </w:rPr>
        <w:t>, précité, § 59) qui, selon sa nature et sa gravité, peut l</w:t>
      </w:r>
      <w:r w:rsidR="00F24966" w:rsidRPr="00F24966">
        <w:rPr>
          <w:lang w:val="fr-FR"/>
        </w:rPr>
        <w:t>’</w:t>
      </w:r>
      <w:r w:rsidRPr="00F24966">
        <w:rPr>
          <w:lang w:val="fr-FR"/>
        </w:rPr>
        <w:t>emporter sur celui des parents (</w:t>
      </w:r>
      <w:r w:rsidRPr="00F24966">
        <w:rPr>
          <w:i/>
          <w:lang w:val="fr-FR"/>
        </w:rPr>
        <w:t>Sahin c. Allemagne</w:t>
      </w:r>
      <w:r w:rsidRPr="00F24966">
        <w:rPr>
          <w:lang w:val="fr-FR"/>
        </w:rPr>
        <w:t xml:space="preserve"> [GC], n</w:t>
      </w:r>
      <w:r w:rsidRPr="00F24966">
        <w:rPr>
          <w:vertAlign w:val="superscript"/>
          <w:lang w:val="fr-FR"/>
        </w:rPr>
        <w:t>o</w:t>
      </w:r>
      <w:r w:rsidRPr="00F24966">
        <w:rPr>
          <w:lang w:val="fr-FR"/>
        </w:rPr>
        <w:t xml:space="preserve"> 30943/96, § 66, CEDH 2003-VIII). Il appartient à chaque État contractant de se doter d</w:t>
      </w:r>
      <w:r w:rsidR="00F24966" w:rsidRPr="00F24966">
        <w:rPr>
          <w:lang w:val="fr-FR"/>
        </w:rPr>
        <w:t>’</w:t>
      </w:r>
      <w:r w:rsidRPr="00F24966">
        <w:rPr>
          <w:lang w:val="fr-FR"/>
        </w:rPr>
        <w:t>un arsenal juridique adéquat et suffisant pour assurer le respect des obligations positives qui lui incombent en vertu de l</w:t>
      </w:r>
      <w:r w:rsidR="00F24966" w:rsidRPr="00F24966">
        <w:rPr>
          <w:lang w:val="fr-FR"/>
        </w:rPr>
        <w:t>’</w:t>
      </w:r>
      <w:r w:rsidRPr="00F24966">
        <w:rPr>
          <w:lang w:val="fr-FR"/>
        </w:rPr>
        <w:t>article 8 de la Convention, et à la Cour de rechercher si, dans l</w:t>
      </w:r>
      <w:r w:rsidR="00F24966" w:rsidRPr="00F24966">
        <w:rPr>
          <w:lang w:val="fr-FR"/>
        </w:rPr>
        <w:t>’</w:t>
      </w:r>
      <w:r w:rsidRPr="00F24966">
        <w:rPr>
          <w:lang w:val="fr-FR"/>
        </w:rPr>
        <w:t>application et l</w:t>
      </w:r>
      <w:r w:rsidR="00F24966" w:rsidRPr="00F24966">
        <w:rPr>
          <w:lang w:val="fr-FR"/>
        </w:rPr>
        <w:t>’</w:t>
      </w:r>
      <w:r w:rsidRPr="00F24966">
        <w:rPr>
          <w:lang w:val="fr-FR"/>
        </w:rPr>
        <w:t>interprétation des dispositions légales applicables, les autorités internes ont respecté les garanties de l</w:t>
      </w:r>
      <w:r w:rsidR="00F24966" w:rsidRPr="00F24966">
        <w:rPr>
          <w:lang w:val="fr-FR"/>
        </w:rPr>
        <w:t>’</w:t>
      </w:r>
      <w:r w:rsidRPr="00F24966">
        <w:rPr>
          <w:lang w:val="fr-FR"/>
        </w:rPr>
        <w:t>article 8, en tenant notamment compte de l</w:t>
      </w:r>
      <w:r w:rsidR="00F24966" w:rsidRPr="00F24966">
        <w:rPr>
          <w:lang w:val="fr-FR"/>
        </w:rPr>
        <w:t>’</w:t>
      </w:r>
      <w:r w:rsidRPr="00F24966">
        <w:rPr>
          <w:lang w:val="fr-FR"/>
        </w:rPr>
        <w:t>intérêt supérieur de l</w:t>
      </w:r>
      <w:r w:rsidR="00F24966" w:rsidRPr="00F24966">
        <w:rPr>
          <w:lang w:val="fr-FR"/>
        </w:rPr>
        <w:t>’</w:t>
      </w:r>
      <w:r w:rsidRPr="00F24966">
        <w:rPr>
          <w:lang w:val="fr-FR"/>
        </w:rPr>
        <w:t>enfant (</w:t>
      </w:r>
      <w:r w:rsidRPr="00F24966">
        <w:rPr>
          <w:i/>
          <w:lang w:val="fr-FR"/>
        </w:rPr>
        <w:t>Soares de Melo,</w:t>
      </w:r>
      <w:r w:rsidRPr="00F24966">
        <w:rPr>
          <w:lang w:val="fr-FR"/>
        </w:rPr>
        <w:t xml:space="preserve"> précité, § 92).</w:t>
      </w:r>
    </w:p>
    <w:p w:rsidR="00A046D8" w:rsidRPr="00F24966" w:rsidRDefault="00A046D8" w:rsidP="00F24966">
      <w:pPr>
        <w:pStyle w:val="ECHRHeading3"/>
        <w:rPr>
          <w:lang w:val="fr-FR"/>
        </w:rPr>
      </w:pPr>
      <w:r w:rsidRPr="00F24966">
        <w:rPr>
          <w:lang w:val="fr-FR"/>
        </w:rPr>
        <w:t>2.  Application de ces principes en l</w:t>
      </w:r>
      <w:r w:rsidR="00F24966" w:rsidRPr="00F24966">
        <w:rPr>
          <w:lang w:val="fr-FR"/>
        </w:rPr>
        <w:t>’</w:t>
      </w:r>
      <w:r w:rsidRPr="00F24966">
        <w:rPr>
          <w:lang w:val="fr-FR"/>
        </w:rPr>
        <w:t>espèce</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47</w:t>
      </w:r>
      <w:r w:rsidRPr="00F24966">
        <w:rPr>
          <w:lang w:val="fr-FR"/>
        </w:rPr>
        <w:fldChar w:fldCharType="end"/>
      </w:r>
      <w:r w:rsidRPr="00F24966">
        <w:rPr>
          <w:lang w:val="fr-FR"/>
        </w:rPr>
        <w:t>.  La Cour considère que le point décisif en l</w:t>
      </w:r>
      <w:r w:rsidR="00F24966" w:rsidRPr="00F24966">
        <w:rPr>
          <w:lang w:val="fr-FR"/>
        </w:rPr>
        <w:t>’</w:t>
      </w:r>
      <w:r w:rsidRPr="00F24966">
        <w:rPr>
          <w:lang w:val="fr-FR"/>
        </w:rPr>
        <w:t>espèce consiste donc à savoir si, avant de décider de rompre définitivement le lien de filiation, les autorités nationales ont pris toutes les mesures nécessaires et adéquates que l</w:t>
      </w:r>
      <w:r w:rsidR="00F24966" w:rsidRPr="00F24966">
        <w:rPr>
          <w:lang w:val="fr-FR"/>
        </w:rPr>
        <w:t>’</w:t>
      </w:r>
      <w:r w:rsidRPr="00F24966">
        <w:rPr>
          <w:lang w:val="fr-FR"/>
        </w:rPr>
        <w:t>on pouvait raisonnablement exiger d</w:t>
      </w:r>
      <w:r w:rsidR="00F24966" w:rsidRPr="00F24966">
        <w:rPr>
          <w:lang w:val="fr-FR"/>
        </w:rPr>
        <w:t>’</w:t>
      </w:r>
      <w:r w:rsidRPr="00F24966">
        <w:rPr>
          <w:lang w:val="fr-FR"/>
        </w:rPr>
        <w:t>elles pour que les enfants des requérants puissent mener une vie familiale normale au sein de leur famille d</w:t>
      </w:r>
      <w:r w:rsidR="00F24966" w:rsidRPr="00F24966">
        <w:rPr>
          <w:lang w:val="fr-FR"/>
        </w:rPr>
        <w:t>’</w:t>
      </w:r>
      <w:r w:rsidRPr="00F24966">
        <w:rPr>
          <w:lang w:val="fr-FR"/>
        </w:rPr>
        <w:t>origine.</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48</w:t>
      </w:r>
      <w:r w:rsidRPr="00F24966">
        <w:rPr>
          <w:lang w:val="fr-FR"/>
        </w:rPr>
        <w:fldChar w:fldCharType="end"/>
      </w:r>
      <w:r w:rsidRPr="00F24966">
        <w:rPr>
          <w:lang w:val="fr-FR"/>
        </w:rPr>
        <w:t>.  En l</w:t>
      </w:r>
      <w:r w:rsidR="00F24966" w:rsidRPr="00F24966">
        <w:rPr>
          <w:lang w:val="fr-FR"/>
        </w:rPr>
        <w:t>’</w:t>
      </w:r>
      <w:r w:rsidRPr="00F24966">
        <w:rPr>
          <w:lang w:val="fr-FR"/>
        </w:rPr>
        <w:t>occurrence, la Cour note que la première prise en charge des enfants par les services sociaux remonte à 2008 et que plusieurs mesures de soutien et d</w:t>
      </w:r>
      <w:r w:rsidR="00F24966" w:rsidRPr="00F24966">
        <w:rPr>
          <w:lang w:val="fr-FR"/>
        </w:rPr>
        <w:t>’</w:t>
      </w:r>
      <w:r w:rsidRPr="00F24966">
        <w:rPr>
          <w:lang w:val="fr-FR"/>
        </w:rPr>
        <w:t xml:space="preserve">aide à la famille ont été ensuite mises en place (paragraphe </w:t>
      </w:r>
      <w:r w:rsidRPr="00F24966">
        <w:rPr>
          <w:lang w:val="fr-FR"/>
        </w:rPr>
        <w:fldChar w:fldCharType="begin"/>
      </w:r>
      <w:r w:rsidRPr="00F24966">
        <w:rPr>
          <w:lang w:val="fr-FR"/>
        </w:rPr>
        <w:instrText xml:space="preserve"> REF HIT10 \h  \* MERGEFORMAT </w:instrText>
      </w:r>
      <w:r w:rsidRPr="00F24966">
        <w:rPr>
          <w:lang w:val="fr-FR"/>
        </w:rPr>
      </w:r>
      <w:r w:rsidRPr="00F24966">
        <w:rPr>
          <w:lang w:val="fr-FR"/>
        </w:rPr>
        <w:fldChar w:fldCharType="separate"/>
      </w:r>
      <w:r w:rsidR="00F24966">
        <w:rPr>
          <w:lang w:val="fr-FR"/>
        </w:rPr>
        <w:t>10</w:t>
      </w:r>
      <w:r w:rsidRPr="00F24966">
        <w:rPr>
          <w:lang w:val="fr-FR"/>
        </w:rPr>
        <w:fldChar w:fldCharType="end"/>
      </w:r>
      <w:r w:rsidRPr="00F24966">
        <w:rPr>
          <w:lang w:val="fr-FR"/>
        </w:rPr>
        <w:t xml:space="preserve"> ci</w:t>
      </w:r>
      <w:r w:rsidRPr="00F24966">
        <w:rPr>
          <w:lang w:val="fr-FR"/>
        </w:rPr>
        <w:noBreakHyphen/>
        <w:t>dessus).</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49</w:t>
      </w:r>
      <w:r w:rsidRPr="00F24966">
        <w:rPr>
          <w:lang w:val="fr-FR"/>
        </w:rPr>
        <w:fldChar w:fldCharType="end"/>
      </w:r>
      <w:r w:rsidRPr="00F24966">
        <w:rPr>
          <w:lang w:val="fr-FR"/>
        </w:rPr>
        <w:t>.  La Cour note aussi qu</w:t>
      </w:r>
      <w:r w:rsidR="00F24966" w:rsidRPr="00F24966">
        <w:rPr>
          <w:lang w:val="fr-FR"/>
        </w:rPr>
        <w:t>’</w:t>
      </w:r>
      <w:r w:rsidRPr="00F24966">
        <w:rPr>
          <w:lang w:val="fr-FR"/>
        </w:rPr>
        <w:t>en 2009 le tribunal pour enfants a ordonné le placement des trois premiers enfants, sur demande des requérants, après avoir relevé que les mineurs vivaient dans un milieu inadéquat en raison de l</w:t>
      </w:r>
      <w:r w:rsidR="00F24966" w:rsidRPr="00F24966">
        <w:rPr>
          <w:lang w:val="fr-FR"/>
        </w:rPr>
        <w:t>’</w:t>
      </w:r>
      <w:r w:rsidRPr="00F24966">
        <w:rPr>
          <w:lang w:val="fr-FR"/>
        </w:rPr>
        <w:t xml:space="preserve">incapacité de leurs parents à assurer leurs soins (paragraphe </w:t>
      </w:r>
      <w:r w:rsidRPr="00F24966">
        <w:rPr>
          <w:lang w:val="fr-FR"/>
        </w:rPr>
        <w:fldChar w:fldCharType="begin"/>
      </w:r>
      <w:r w:rsidRPr="00F24966">
        <w:rPr>
          <w:lang w:val="fr-FR"/>
        </w:rPr>
        <w:instrText xml:space="preserve"> REF HIT8 \h  \* MERGEFORMAT </w:instrText>
      </w:r>
      <w:r w:rsidRPr="00F24966">
        <w:rPr>
          <w:lang w:val="fr-FR"/>
        </w:rPr>
      </w:r>
      <w:r w:rsidRPr="00F24966">
        <w:rPr>
          <w:lang w:val="fr-FR"/>
        </w:rPr>
        <w:fldChar w:fldCharType="separate"/>
      </w:r>
      <w:r w:rsidR="00F24966">
        <w:rPr>
          <w:lang w:val="fr-FR"/>
        </w:rPr>
        <w:t>8</w:t>
      </w:r>
      <w:r w:rsidRPr="00F24966">
        <w:rPr>
          <w:lang w:val="fr-FR"/>
        </w:rPr>
        <w:fldChar w:fldCharType="end"/>
      </w:r>
      <w:r w:rsidRPr="00F24966">
        <w:rPr>
          <w:lang w:val="fr-FR"/>
        </w:rPr>
        <w:t xml:space="preserve"> ci-dessus).</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50</w:t>
      </w:r>
      <w:r w:rsidRPr="00F24966">
        <w:rPr>
          <w:lang w:val="fr-FR"/>
        </w:rPr>
        <w:fldChar w:fldCharType="end"/>
      </w:r>
      <w:r w:rsidRPr="00F24966">
        <w:rPr>
          <w:lang w:val="fr-FR"/>
        </w:rPr>
        <w:t>.  Elle observe qu</w:t>
      </w:r>
      <w:r w:rsidR="00F24966" w:rsidRPr="00F24966">
        <w:rPr>
          <w:lang w:val="fr-FR"/>
        </w:rPr>
        <w:t>’</w:t>
      </w:r>
      <w:r w:rsidRPr="00F24966">
        <w:rPr>
          <w:lang w:val="fr-FR"/>
        </w:rPr>
        <w:t>en 2011 la mineure A. a également été placée en raison de ses conditions de vie difficiles et qu</w:t>
      </w:r>
      <w:r w:rsidR="00F24966" w:rsidRPr="00F24966">
        <w:rPr>
          <w:lang w:val="fr-FR"/>
        </w:rPr>
        <w:t>’</w:t>
      </w:r>
      <w:r w:rsidRPr="00F24966">
        <w:rPr>
          <w:lang w:val="fr-FR"/>
        </w:rPr>
        <w:t>en 2015 le mineur M., né en 2012, a lui aussi été placé en raison de la précarité de son état de santé, qui découlait de la négligence des requérants à lui fournir les soins nécessaires.</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51</w:t>
      </w:r>
      <w:r w:rsidRPr="00F24966">
        <w:rPr>
          <w:lang w:val="fr-FR"/>
        </w:rPr>
        <w:fldChar w:fldCharType="end"/>
      </w:r>
      <w:r w:rsidRPr="00F24966">
        <w:rPr>
          <w:lang w:val="fr-FR"/>
        </w:rPr>
        <w:t>.  La Cour remarque que le placement successif des enfants a été motivé par des conditions de vie insatisfaisantes, telles que des privations matérielles (mauvaises conditions d</w:t>
      </w:r>
      <w:r w:rsidR="00F24966" w:rsidRPr="00F24966">
        <w:rPr>
          <w:lang w:val="fr-FR"/>
        </w:rPr>
        <w:t>’</w:t>
      </w:r>
      <w:r w:rsidRPr="00F24966">
        <w:rPr>
          <w:lang w:val="fr-FR"/>
        </w:rPr>
        <w:t>hygiène), par l</w:t>
      </w:r>
      <w:r w:rsidR="00F24966" w:rsidRPr="00F24966">
        <w:rPr>
          <w:lang w:val="fr-FR"/>
        </w:rPr>
        <w:t>’</w:t>
      </w:r>
      <w:r w:rsidRPr="00F24966">
        <w:rPr>
          <w:lang w:val="fr-FR"/>
        </w:rPr>
        <w:t xml:space="preserve">incapacité affective, éducative et pédagogique des parents (voir, par exemple, </w:t>
      </w:r>
      <w:r w:rsidRPr="00F24966">
        <w:rPr>
          <w:i/>
          <w:lang w:val="fr-FR"/>
        </w:rPr>
        <w:t>Rampogna et Murgia c. Italie</w:t>
      </w:r>
      <w:r w:rsidRPr="00F24966">
        <w:rPr>
          <w:lang w:val="fr-FR"/>
        </w:rPr>
        <w:t xml:space="preserve"> (déc.), n</w:t>
      </w:r>
      <w:r w:rsidRPr="00F24966">
        <w:rPr>
          <w:vertAlign w:val="superscript"/>
          <w:lang w:val="fr-FR"/>
        </w:rPr>
        <w:t>o</w:t>
      </w:r>
      <w:r w:rsidRPr="00F24966">
        <w:rPr>
          <w:lang w:val="fr-FR"/>
        </w:rPr>
        <w:t xml:space="preserve"> 40753/98, 11 mai 1999, </w:t>
      </w:r>
      <w:r w:rsidRPr="00F24966">
        <w:rPr>
          <w:i/>
          <w:lang w:val="fr-FR"/>
        </w:rPr>
        <w:t xml:space="preserve">M.G. et M.T.A. c. Italie </w:t>
      </w:r>
      <w:r w:rsidRPr="00F24966">
        <w:rPr>
          <w:lang w:val="fr-FR"/>
        </w:rPr>
        <w:t>(déc.), n</w:t>
      </w:r>
      <w:r w:rsidRPr="00F24966">
        <w:rPr>
          <w:vertAlign w:val="superscript"/>
          <w:lang w:val="fr-FR"/>
        </w:rPr>
        <w:t xml:space="preserve">o </w:t>
      </w:r>
      <w:r w:rsidRPr="00F24966">
        <w:rPr>
          <w:lang w:val="fr-FR"/>
        </w:rPr>
        <w:t xml:space="preserve">17421/02, 28 juin 2005, </w:t>
      </w:r>
      <w:r w:rsidRPr="00F24966">
        <w:rPr>
          <w:i/>
          <w:lang w:val="fr-FR"/>
        </w:rPr>
        <w:t>Kutzner</w:t>
      </w:r>
      <w:r w:rsidRPr="00F24966">
        <w:rPr>
          <w:lang w:val="fr-FR"/>
        </w:rPr>
        <w:t xml:space="preserve">, précité, § 68, et </w:t>
      </w:r>
      <w:r w:rsidRPr="00F24966">
        <w:rPr>
          <w:i/>
          <w:lang w:val="fr-FR"/>
        </w:rPr>
        <w:t xml:space="preserve">Barelli et autres c. Italie </w:t>
      </w:r>
      <w:r w:rsidRPr="00F24966">
        <w:rPr>
          <w:lang w:val="fr-FR"/>
        </w:rPr>
        <w:t>(déc.), n</w:t>
      </w:r>
      <w:r w:rsidRPr="00F24966">
        <w:rPr>
          <w:vertAlign w:val="superscript"/>
          <w:lang w:val="fr-FR"/>
        </w:rPr>
        <w:t>o</w:t>
      </w:r>
      <w:r w:rsidRPr="00F24966">
        <w:rPr>
          <w:lang w:val="fr-FR"/>
        </w:rPr>
        <w:t xml:space="preserve"> 15104/04, 27 avril 2010) et par l</w:t>
      </w:r>
      <w:r w:rsidR="00F24966" w:rsidRPr="00F24966">
        <w:rPr>
          <w:lang w:val="fr-FR"/>
        </w:rPr>
        <w:t>’</w:t>
      </w:r>
      <w:r w:rsidRPr="00F24966">
        <w:rPr>
          <w:lang w:val="fr-FR"/>
        </w:rPr>
        <w:t>état de santé inquiétant de l</w:t>
      </w:r>
      <w:r w:rsidR="00F24966" w:rsidRPr="00F24966">
        <w:rPr>
          <w:lang w:val="fr-FR"/>
        </w:rPr>
        <w:t>’</w:t>
      </w:r>
      <w:r w:rsidRPr="00F24966">
        <w:rPr>
          <w:lang w:val="fr-FR"/>
        </w:rPr>
        <w:t>un des enfants.</w:t>
      </w:r>
    </w:p>
    <w:p w:rsidR="00A046D8" w:rsidRPr="00F24966" w:rsidRDefault="00A046D8" w:rsidP="00F24966">
      <w:pPr>
        <w:pStyle w:val="ECHRPara"/>
        <w:rPr>
          <w:lang w:val="fr-FR"/>
        </w:rPr>
      </w:pPr>
      <w:r w:rsidRPr="00F24966">
        <w:rPr>
          <w:lang w:val="fr-FR"/>
        </w:rPr>
        <w:lastRenderedPageBreak/>
        <w:fldChar w:fldCharType="begin"/>
      </w:r>
      <w:r w:rsidRPr="00F24966">
        <w:rPr>
          <w:lang w:val="fr-FR"/>
        </w:rPr>
        <w:instrText xml:space="preserve"> SEQ level0 \*arabic </w:instrText>
      </w:r>
      <w:r w:rsidRPr="00F24966">
        <w:rPr>
          <w:lang w:val="fr-FR"/>
        </w:rPr>
        <w:fldChar w:fldCharType="separate"/>
      </w:r>
      <w:r w:rsidR="00F24966">
        <w:rPr>
          <w:noProof/>
          <w:lang w:val="fr-FR"/>
        </w:rPr>
        <w:t>52</w:t>
      </w:r>
      <w:r w:rsidRPr="00F24966">
        <w:rPr>
          <w:lang w:val="fr-FR"/>
        </w:rPr>
        <w:fldChar w:fldCharType="end"/>
      </w:r>
      <w:r w:rsidRPr="00F24966">
        <w:rPr>
          <w:lang w:val="fr-FR"/>
        </w:rPr>
        <w:t>.  La Cour note également que, pendant toute cette première période, les contacts entre les enfants et les requérants ont été maintenus, et qu</w:t>
      </w:r>
      <w:r w:rsidR="00F24966" w:rsidRPr="00F24966">
        <w:rPr>
          <w:lang w:val="fr-FR"/>
        </w:rPr>
        <w:t>’</w:t>
      </w:r>
      <w:r w:rsidRPr="00F24966">
        <w:rPr>
          <w:lang w:val="fr-FR"/>
        </w:rPr>
        <w:t>il a été mis en évidence que les visites de ces derniers aux mineurs étaient très sporadiques.</w:t>
      </w:r>
    </w:p>
    <w:p w:rsidR="00A046D8" w:rsidRPr="00F24966" w:rsidRDefault="00A046D8" w:rsidP="00F24966">
      <w:pPr>
        <w:pStyle w:val="ECHRPara"/>
        <w:rPr>
          <w:lang w:val="fr-FR"/>
        </w:rPr>
      </w:pPr>
      <w:r w:rsidRPr="00F24966">
        <w:rPr>
          <w:lang w:val="fr-FR"/>
        </w:rPr>
        <w:t>Elle relève d</w:t>
      </w:r>
      <w:r w:rsidR="00F24966" w:rsidRPr="00F24966">
        <w:rPr>
          <w:lang w:val="fr-FR"/>
        </w:rPr>
        <w:t>’</w:t>
      </w:r>
      <w:r w:rsidRPr="00F24966">
        <w:rPr>
          <w:lang w:val="fr-FR"/>
        </w:rPr>
        <w:t>ailleurs que la nécessité de maintenir le contact entre les requérants et leurs enfants a été une préoccupation constante des autorités et que l</w:t>
      </w:r>
      <w:r w:rsidR="00F24966" w:rsidRPr="00F24966">
        <w:rPr>
          <w:lang w:val="fr-FR"/>
        </w:rPr>
        <w:t>’</w:t>
      </w:r>
      <w:r w:rsidRPr="00F24966">
        <w:rPr>
          <w:lang w:val="fr-FR"/>
        </w:rPr>
        <w:t>évolution de la relation parents-enfants était un élément pris en considération par les juridictions nationales et les services sociaux dans leur décision de maintenir la mesure de placement.</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53</w:t>
      </w:r>
      <w:r w:rsidRPr="00F24966">
        <w:rPr>
          <w:lang w:val="fr-FR"/>
        </w:rPr>
        <w:fldChar w:fldCharType="end"/>
      </w:r>
      <w:r w:rsidRPr="00F24966">
        <w:rPr>
          <w:lang w:val="fr-FR"/>
        </w:rPr>
        <w:t>.  La Cour observe ensuite que la suspension de l</w:t>
      </w:r>
      <w:r w:rsidR="00F24966" w:rsidRPr="00F24966">
        <w:rPr>
          <w:lang w:val="fr-FR"/>
        </w:rPr>
        <w:t>’</w:t>
      </w:r>
      <w:r w:rsidRPr="00F24966">
        <w:rPr>
          <w:lang w:val="fr-FR"/>
        </w:rPr>
        <w:t>autorité parentale des requérants, qui avait été décidée en 2014, a été maintenue par le tribunal en 2015 : en effet, six ans après la prise en charge de la famille, les autorités ont constaté que les quatre premiers enfants étaient bien insérés dans leurs familles d</w:t>
      </w:r>
      <w:r w:rsidR="00F24966" w:rsidRPr="00F24966">
        <w:rPr>
          <w:lang w:val="fr-FR"/>
        </w:rPr>
        <w:t>’</w:t>
      </w:r>
      <w:r w:rsidRPr="00F24966">
        <w:rPr>
          <w:lang w:val="fr-FR"/>
        </w:rPr>
        <w:t>accueil et qu</w:t>
      </w:r>
      <w:r w:rsidR="00F24966" w:rsidRPr="00F24966">
        <w:rPr>
          <w:lang w:val="fr-FR"/>
        </w:rPr>
        <w:t>’</w:t>
      </w:r>
      <w:r w:rsidRPr="00F24966">
        <w:rPr>
          <w:lang w:val="fr-FR"/>
        </w:rPr>
        <w:t>ils ne voulaient pas rentrer au domicile familial au motif que leurs parents ne prenaient pas soin d</w:t>
      </w:r>
      <w:r w:rsidR="00F24966" w:rsidRPr="00F24966">
        <w:rPr>
          <w:lang w:val="fr-FR"/>
        </w:rPr>
        <w:t>’</w:t>
      </w:r>
      <w:r w:rsidRPr="00F24966">
        <w:rPr>
          <w:lang w:val="fr-FR"/>
        </w:rPr>
        <w:t>eux. La Cour observe aussi que le tribunal a confié la garde des enfants aux services sociaux, qu</w:t>
      </w:r>
      <w:r w:rsidR="00F24966" w:rsidRPr="00F24966">
        <w:rPr>
          <w:lang w:val="fr-FR"/>
        </w:rPr>
        <w:t>’</w:t>
      </w:r>
      <w:r w:rsidRPr="00F24966">
        <w:rPr>
          <w:lang w:val="fr-FR"/>
        </w:rPr>
        <w:t>il a autorisé les rencontres en milieu protégé entre parents et enfants, et qu</w:t>
      </w:r>
      <w:r w:rsidR="00F24966" w:rsidRPr="00F24966">
        <w:rPr>
          <w:lang w:val="fr-FR"/>
        </w:rPr>
        <w:t>’</w:t>
      </w:r>
      <w:r w:rsidRPr="00F24966">
        <w:rPr>
          <w:lang w:val="fr-FR"/>
        </w:rPr>
        <w:t>il a ordonné l</w:t>
      </w:r>
      <w:r w:rsidR="00F24966" w:rsidRPr="00F24966">
        <w:rPr>
          <w:lang w:val="fr-FR"/>
        </w:rPr>
        <w:t>’</w:t>
      </w:r>
      <w:r w:rsidRPr="00F24966">
        <w:rPr>
          <w:lang w:val="fr-FR"/>
        </w:rPr>
        <w:t>ouverture de la procédure visant à la déclaration d</w:t>
      </w:r>
      <w:r w:rsidR="00F24966" w:rsidRPr="00F24966">
        <w:rPr>
          <w:lang w:val="fr-FR"/>
        </w:rPr>
        <w:t>’</w:t>
      </w:r>
      <w:r w:rsidRPr="00F24966">
        <w:rPr>
          <w:lang w:val="fr-FR"/>
        </w:rPr>
        <w:t>adoptabilité.</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54</w:t>
      </w:r>
      <w:r w:rsidRPr="00F24966">
        <w:rPr>
          <w:lang w:val="fr-FR"/>
        </w:rPr>
        <w:fldChar w:fldCharType="end"/>
      </w:r>
      <w:r w:rsidRPr="00F24966">
        <w:rPr>
          <w:lang w:val="fr-FR"/>
        </w:rPr>
        <w:t>.  La Cour prend note que les requérants se voyaient principalement reprocher de ne pas offrir aux enfants des conditions matérielles et éducatives adéquates. Elle relève que les intéressés étaient négligents quant à l</w:t>
      </w:r>
      <w:r w:rsidR="00F24966" w:rsidRPr="00F24966">
        <w:rPr>
          <w:lang w:val="fr-FR"/>
        </w:rPr>
        <w:t>’</w:t>
      </w:r>
      <w:r w:rsidRPr="00F24966">
        <w:rPr>
          <w:lang w:val="fr-FR"/>
        </w:rPr>
        <w:t>état de santé et au développement éducatif et social des enfants.</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55</w:t>
      </w:r>
      <w:r w:rsidRPr="00F24966">
        <w:rPr>
          <w:lang w:val="fr-FR"/>
        </w:rPr>
        <w:fldChar w:fldCharType="end"/>
      </w:r>
      <w:r w:rsidRPr="00F24966">
        <w:rPr>
          <w:lang w:val="fr-FR"/>
        </w:rPr>
        <w:t>.  La Cour rappelle qu</w:t>
      </w:r>
      <w:r w:rsidR="00F24966" w:rsidRPr="00F24966">
        <w:rPr>
          <w:lang w:val="fr-FR"/>
        </w:rPr>
        <w:t>’</w:t>
      </w:r>
      <w:r w:rsidRPr="00F24966">
        <w:rPr>
          <w:lang w:val="fr-FR"/>
        </w:rPr>
        <w:t>il ne lui revient pas de substituer son appréciation à celle des autorités nationales compétentes quant aux mesures qui auraient dû être prises, celles-ci étant mieux placées pour procéder à une telle évaluation, en particulier parce qu</w:t>
      </w:r>
      <w:r w:rsidR="00F24966" w:rsidRPr="00F24966">
        <w:rPr>
          <w:lang w:val="fr-FR"/>
        </w:rPr>
        <w:t>’</w:t>
      </w:r>
      <w:r w:rsidRPr="00F24966">
        <w:rPr>
          <w:lang w:val="fr-FR"/>
        </w:rPr>
        <w:t>elles sont en contact direct avec le contexte de l</w:t>
      </w:r>
      <w:r w:rsidR="00F24966" w:rsidRPr="00F24966">
        <w:rPr>
          <w:lang w:val="fr-FR"/>
        </w:rPr>
        <w:t>’</w:t>
      </w:r>
      <w:r w:rsidRPr="00F24966">
        <w:rPr>
          <w:lang w:val="fr-FR"/>
        </w:rPr>
        <w:t>affaire et les parties impliquées (</w:t>
      </w:r>
      <w:r w:rsidRPr="00F24966">
        <w:rPr>
          <w:i/>
          <w:lang w:val="fr-FR"/>
        </w:rPr>
        <w:t>Reigado Ramos c. Portugal,</w:t>
      </w:r>
      <w:r w:rsidRPr="00F24966">
        <w:rPr>
          <w:lang w:val="fr-FR"/>
        </w:rPr>
        <w:t xml:space="preserve"> n</w:t>
      </w:r>
      <w:r w:rsidRPr="00F24966">
        <w:rPr>
          <w:vertAlign w:val="superscript"/>
          <w:lang w:val="fr-FR"/>
        </w:rPr>
        <w:t>o</w:t>
      </w:r>
      <w:r w:rsidRPr="00F24966">
        <w:rPr>
          <w:lang w:val="fr-FR"/>
        </w:rPr>
        <w:t xml:space="preserve"> 73229/01, § 53, 22 novembre 2005). Cela dit, en l</w:t>
      </w:r>
      <w:r w:rsidR="00F24966" w:rsidRPr="00F24966">
        <w:rPr>
          <w:lang w:val="fr-FR"/>
        </w:rPr>
        <w:t>’</w:t>
      </w:r>
      <w:r w:rsidRPr="00F24966">
        <w:rPr>
          <w:lang w:val="fr-FR"/>
        </w:rPr>
        <w:t>occurrence, elle estime d</w:t>
      </w:r>
      <w:r w:rsidR="00F24966" w:rsidRPr="00F24966">
        <w:rPr>
          <w:lang w:val="fr-FR"/>
        </w:rPr>
        <w:t>’</w:t>
      </w:r>
      <w:r w:rsidRPr="00F24966">
        <w:rPr>
          <w:lang w:val="fr-FR"/>
        </w:rPr>
        <w:t>emblée qu</w:t>
      </w:r>
      <w:r w:rsidR="00F24966" w:rsidRPr="00F24966">
        <w:rPr>
          <w:lang w:val="fr-FR"/>
        </w:rPr>
        <w:t>’</w:t>
      </w:r>
      <w:r w:rsidRPr="00F24966">
        <w:rPr>
          <w:lang w:val="fr-FR"/>
        </w:rPr>
        <w:t>il était objectivement évident que la situation des requérants était particulièrement fragile étant donné que ceux-ci avaient à leur charge une famille nombreuse, qu</w:t>
      </w:r>
      <w:r w:rsidR="00F24966" w:rsidRPr="00F24966">
        <w:rPr>
          <w:lang w:val="fr-FR"/>
        </w:rPr>
        <w:t>’</w:t>
      </w:r>
      <w:r w:rsidRPr="00F24966">
        <w:rPr>
          <w:lang w:val="fr-FR"/>
        </w:rPr>
        <w:t>ils vivaient dans des conditions précaires, et qu</w:t>
      </w:r>
      <w:r w:rsidR="00F24966" w:rsidRPr="00F24966">
        <w:rPr>
          <w:lang w:val="fr-FR"/>
        </w:rPr>
        <w:t>’</w:t>
      </w:r>
      <w:r w:rsidRPr="00F24966">
        <w:rPr>
          <w:lang w:val="fr-FR"/>
        </w:rPr>
        <w:t>aucune amélioration n</w:t>
      </w:r>
      <w:r w:rsidR="00F24966" w:rsidRPr="00F24966">
        <w:rPr>
          <w:lang w:val="fr-FR"/>
        </w:rPr>
        <w:t>’</w:t>
      </w:r>
      <w:r w:rsidRPr="00F24966">
        <w:rPr>
          <w:lang w:val="fr-FR"/>
        </w:rPr>
        <w:t>était intervenue nonobstant les nombreuses actions mises en œuvre par les services sociaux. De plus, les requérants faisaient preuve d</w:t>
      </w:r>
      <w:r w:rsidR="00F24966" w:rsidRPr="00F24966">
        <w:rPr>
          <w:lang w:val="fr-FR"/>
        </w:rPr>
        <w:t>’</w:t>
      </w:r>
      <w:r w:rsidRPr="00F24966">
        <w:rPr>
          <w:lang w:val="fr-FR"/>
        </w:rPr>
        <w:t>une certaine hostilité à l</w:t>
      </w:r>
      <w:r w:rsidR="00F24966" w:rsidRPr="00F24966">
        <w:rPr>
          <w:lang w:val="fr-FR"/>
        </w:rPr>
        <w:t>’</w:t>
      </w:r>
      <w:r w:rsidRPr="00F24966">
        <w:rPr>
          <w:lang w:val="fr-FR"/>
        </w:rPr>
        <w:t>égard des travailleurs sociaux, laquelle avait mis à mal la coopération entre eux et les services sociaux.</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56</w:t>
      </w:r>
      <w:r w:rsidRPr="00F24966">
        <w:rPr>
          <w:lang w:val="fr-FR"/>
        </w:rPr>
        <w:fldChar w:fldCharType="end"/>
      </w:r>
      <w:r w:rsidRPr="00F24966">
        <w:rPr>
          <w:lang w:val="fr-FR"/>
        </w:rPr>
        <w:t>.  La Cour constate que, en l</w:t>
      </w:r>
      <w:r w:rsidR="00F24966" w:rsidRPr="00F24966">
        <w:rPr>
          <w:lang w:val="fr-FR"/>
        </w:rPr>
        <w:t>’</w:t>
      </w:r>
      <w:r w:rsidRPr="00F24966">
        <w:rPr>
          <w:lang w:val="fr-FR"/>
        </w:rPr>
        <w:t>espèce, les autorités sont intervenues en offrant aux requérants un soutien et une assistance concrets afin d</w:t>
      </w:r>
      <w:r w:rsidR="00F24966" w:rsidRPr="00F24966">
        <w:rPr>
          <w:lang w:val="fr-FR"/>
        </w:rPr>
        <w:t>’</w:t>
      </w:r>
      <w:r w:rsidRPr="00F24966">
        <w:rPr>
          <w:lang w:val="fr-FR"/>
        </w:rPr>
        <w:t xml:space="preserve">aider ces derniers à surmonter leurs difficultés, et ce pendant environ cinq ans (voir, </w:t>
      </w:r>
      <w:r w:rsidRPr="00F24966">
        <w:rPr>
          <w:i/>
          <w:lang w:val="fr-FR"/>
        </w:rPr>
        <w:t>a contrario</w:t>
      </w:r>
      <w:r w:rsidRPr="00F24966">
        <w:rPr>
          <w:lang w:val="fr-FR"/>
        </w:rPr>
        <w:t xml:space="preserve">, </w:t>
      </w:r>
      <w:r w:rsidRPr="00F24966">
        <w:rPr>
          <w:i/>
          <w:lang w:val="fr-FR"/>
        </w:rPr>
        <w:t>Saviny c. Ukraine</w:t>
      </w:r>
      <w:r w:rsidRPr="00F24966">
        <w:rPr>
          <w:lang w:val="fr-FR"/>
        </w:rPr>
        <w:t>, n</w:t>
      </w:r>
      <w:r w:rsidRPr="00F24966">
        <w:rPr>
          <w:vertAlign w:val="superscript"/>
          <w:lang w:val="fr-FR"/>
        </w:rPr>
        <w:t>o</w:t>
      </w:r>
      <w:r w:rsidRPr="00F24966">
        <w:rPr>
          <w:lang w:val="fr-FR"/>
        </w:rPr>
        <w:t xml:space="preserve"> 39948/06, § 57, 18 décembre 2008, et </w:t>
      </w:r>
      <w:r w:rsidRPr="00F24966">
        <w:rPr>
          <w:i/>
          <w:lang w:val="fr-FR"/>
        </w:rPr>
        <w:t>R.M.S. c. Espagne</w:t>
      </w:r>
      <w:r w:rsidRPr="00F24966">
        <w:rPr>
          <w:lang w:val="fr-FR"/>
        </w:rPr>
        <w:t xml:space="preserve"> n</w:t>
      </w:r>
      <w:r w:rsidRPr="00F24966">
        <w:rPr>
          <w:vertAlign w:val="superscript"/>
          <w:lang w:val="fr-FR"/>
        </w:rPr>
        <w:t>o</w:t>
      </w:r>
      <w:r w:rsidRPr="00F24966">
        <w:rPr>
          <w:lang w:val="fr-FR"/>
        </w:rPr>
        <w:t xml:space="preserve"> 28775/12, § 86, 18 juin 2013 ; voir aussi </w:t>
      </w:r>
      <w:r w:rsidRPr="00F24966">
        <w:rPr>
          <w:i/>
          <w:lang w:val="fr-FR"/>
        </w:rPr>
        <w:t>Zhou</w:t>
      </w:r>
      <w:r w:rsidRPr="00F24966">
        <w:rPr>
          <w:lang w:val="fr-FR"/>
        </w:rPr>
        <w:t>, précité, § 58). À cet égard, la Cour rappelle que c</w:t>
      </w:r>
      <w:r w:rsidR="00F24966" w:rsidRPr="00F24966">
        <w:rPr>
          <w:lang w:val="fr-FR"/>
        </w:rPr>
        <w:t>’</w:t>
      </w:r>
      <w:r w:rsidRPr="00F24966">
        <w:rPr>
          <w:lang w:val="fr-FR"/>
        </w:rPr>
        <w:t xml:space="preserve">est seulement par une décision prise en juillet 2015 que le tribunal a déclaré les enfants adoptables. Elle estime que cette décision se fondait sur des motifs pertinents et suffisants, à savoir les conditions de dégradation de </w:t>
      </w:r>
      <w:r w:rsidRPr="00F24966">
        <w:rPr>
          <w:lang w:val="fr-FR"/>
        </w:rPr>
        <w:lastRenderedPageBreak/>
        <w:t>l</w:t>
      </w:r>
      <w:r w:rsidR="00F24966" w:rsidRPr="00F24966">
        <w:rPr>
          <w:lang w:val="fr-FR"/>
        </w:rPr>
        <w:t>’</w:t>
      </w:r>
      <w:r w:rsidRPr="00F24966">
        <w:rPr>
          <w:lang w:val="fr-FR"/>
        </w:rPr>
        <w:t>environnement familial et social, l</w:t>
      </w:r>
      <w:r w:rsidR="00F24966" w:rsidRPr="00F24966">
        <w:rPr>
          <w:lang w:val="fr-FR"/>
        </w:rPr>
        <w:t>’</w:t>
      </w:r>
      <w:r w:rsidRPr="00F24966">
        <w:rPr>
          <w:lang w:val="fr-FR"/>
        </w:rPr>
        <w:t>incapacité affective, éducative et pédagogique des parents, et l</w:t>
      </w:r>
      <w:r w:rsidR="00F24966" w:rsidRPr="00F24966">
        <w:rPr>
          <w:lang w:val="fr-FR"/>
        </w:rPr>
        <w:t>’</w:t>
      </w:r>
      <w:r w:rsidRPr="00F24966">
        <w:rPr>
          <w:lang w:val="fr-FR"/>
        </w:rPr>
        <w:t xml:space="preserve">état de santé du plus jeune des enfants. Les rapports des services sociaux avaient mis en avant que les </w:t>
      </w:r>
      <w:bookmarkStart w:id="4" w:name="HIT64"/>
      <w:bookmarkEnd w:id="4"/>
      <w:r w:rsidRPr="00F24966">
        <w:rPr>
          <w:lang w:val="fr-FR"/>
        </w:rPr>
        <w:t>enfants souffraient de privations matérielles, psychologiques et affectives, et que leur développement se trouvait menacé du fait qu</w:t>
      </w:r>
      <w:r w:rsidR="00F24966" w:rsidRPr="00F24966">
        <w:rPr>
          <w:lang w:val="fr-FR"/>
        </w:rPr>
        <w:t>’</w:t>
      </w:r>
      <w:r w:rsidRPr="00F24966">
        <w:rPr>
          <w:lang w:val="fr-FR"/>
        </w:rPr>
        <w:t>ils vivaient dans un milieu inadéquat en raison de l</w:t>
      </w:r>
      <w:r w:rsidR="00F24966" w:rsidRPr="00F24966">
        <w:rPr>
          <w:lang w:val="fr-FR"/>
        </w:rPr>
        <w:t>’</w:t>
      </w:r>
      <w:r w:rsidRPr="00F24966">
        <w:rPr>
          <w:lang w:val="fr-FR"/>
        </w:rPr>
        <w:t>incapacité de leurs parents à assurer leurs soins. La nécessité de mettre les enfants à l</w:t>
      </w:r>
      <w:r w:rsidR="00F24966" w:rsidRPr="00F24966">
        <w:rPr>
          <w:lang w:val="fr-FR"/>
        </w:rPr>
        <w:t>’</w:t>
      </w:r>
      <w:r w:rsidRPr="00F24966">
        <w:rPr>
          <w:lang w:val="fr-FR"/>
        </w:rPr>
        <w:t>abri en les plaçant dans un milieu protégé s</w:t>
      </w:r>
      <w:r w:rsidR="00F24966" w:rsidRPr="00F24966">
        <w:rPr>
          <w:lang w:val="fr-FR"/>
        </w:rPr>
        <w:t>’</w:t>
      </w:r>
      <w:r w:rsidRPr="00F24966">
        <w:rPr>
          <w:lang w:val="fr-FR"/>
        </w:rPr>
        <w:t>imposait comme une évidence.</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57</w:t>
      </w:r>
      <w:r w:rsidRPr="00F24966">
        <w:rPr>
          <w:lang w:val="fr-FR"/>
        </w:rPr>
        <w:fldChar w:fldCharType="end"/>
      </w:r>
      <w:r w:rsidRPr="00F24966">
        <w:rPr>
          <w:lang w:val="fr-FR"/>
        </w:rPr>
        <w:t>.  La Cour note que de nombreuses et fréquentes décisions judiciaires ont été rendues concernant le placement des enfants. Elle note également que ces décisions ont été prises après des interventions répétées et graduelles de la part des services sociaux pendant plus de cinq ans (</w:t>
      </w:r>
      <w:r w:rsidR="00B11EE2" w:rsidRPr="00F24966">
        <w:rPr>
          <w:lang w:val="fr-FR"/>
        </w:rPr>
        <w:t xml:space="preserve">paragraphe </w:t>
      </w:r>
      <w:r w:rsidRPr="00F24966">
        <w:rPr>
          <w:lang w:val="fr-FR"/>
        </w:rPr>
        <w:fldChar w:fldCharType="begin"/>
      </w:r>
      <w:r w:rsidRPr="00F24966">
        <w:rPr>
          <w:lang w:val="fr-FR"/>
        </w:rPr>
        <w:instrText xml:space="preserve"> REF HIT45 \h  \* MERGEFORMAT </w:instrText>
      </w:r>
      <w:r w:rsidRPr="00F24966">
        <w:rPr>
          <w:lang w:val="fr-FR"/>
        </w:rPr>
      </w:r>
      <w:r w:rsidRPr="00F24966">
        <w:rPr>
          <w:lang w:val="fr-FR"/>
        </w:rPr>
        <w:fldChar w:fldCharType="separate"/>
      </w:r>
      <w:r w:rsidR="00F24966">
        <w:rPr>
          <w:lang w:val="fr-FR"/>
        </w:rPr>
        <w:t>45</w:t>
      </w:r>
      <w:r w:rsidRPr="00F24966">
        <w:rPr>
          <w:lang w:val="fr-FR"/>
        </w:rPr>
        <w:fldChar w:fldCharType="end"/>
      </w:r>
      <w:r w:rsidR="00B11EE2" w:rsidRPr="00F24966">
        <w:rPr>
          <w:lang w:val="fr-FR"/>
        </w:rPr>
        <w:t xml:space="preserve"> ci-dessus</w:t>
      </w:r>
      <w:r w:rsidRPr="00F24966">
        <w:rPr>
          <w:lang w:val="fr-FR"/>
        </w:rPr>
        <w:t>) visant à réunir les requérants et les enfants</w:t>
      </w:r>
      <w:r w:rsidR="00B11EE2" w:rsidRPr="00F24966">
        <w:rPr>
          <w:lang w:val="fr-FR"/>
        </w:rPr>
        <w:t>.</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58</w:t>
      </w:r>
      <w:r w:rsidRPr="00F24966">
        <w:rPr>
          <w:lang w:val="fr-FR"/>
        </w:rPr>
        <w:fldChar w:fldCharType="end"/>
      </w:r>
      <w:r w:rsidRPr="00F24966">
        <w:rPr>
          <w:lang w:val="fr-FR"/>
        </w:rPr>
        <w:t>.  Elle relève qu</w:t>
      </w:r>
      <w:r w:rsidR="00F24966" w:rsidRPr="00F24966">
        <w:rPr>
          <w:lang w:val="fr-FR"/>
        </w:rPr>
        <w:t>’</w:t>
      </w:r>
      <w:r w:rsidRPr="00F24966">
        <w:rPr>
          <w:lang w:val="fr-FR"/>
        </w:rPr>
        <w:t>il ressort clairement de la motivation de ces différentes décisions que les juges qui se sont prononcés successivement l</w:t>
      </w:r>
      <w:r w:rsidR="00F24966" w:rsidRPr="00F24966">
        <w:rPr>
          <w:lang w:val="fr-FR"/>
        </w:rPr>
        <w:t>’</w:t>
      </w:r>
      <w:r w:rsidRPr="00F24966">
        <w:rPr>
          <w:lang w:val="fr-FR"/>
        </w:rPr>
        <w:t>ont fait après avoir procédé à un examen attentif et approfondi de la situation des requérants et des enfants, et après avoir pris en compte les demandes des enfants eux-mêmes. Les mesures de placement ont été décidées en raison des conditions physiques et psychologiques des cinq enfants, des privations matérielles, psychologiques et affectives et de l</w:t>
      </w:r>
      <w:r w:rsidR="00F24966" w:rsidRPr="00F24966">
        <w:rPr>
          <w:lang w:val="fr-FR"/>
        </w:rPr>
        <w:t>’</w:t>
      </w:r>
      <w:r w:rsidRPr="00F24966">
        <w:rPr>
          <w:lang w:val="fr-FR"/>
        </w:rPr>
        <w:t>incapacité des parents à prendre soin d</w:t>
      </w:r>
      <w:r w:rsidR="00F24966" w:rsidRPr="00F24966">
        <w:rPr>
          <w:lang w:val="fr-FR"/>
        </w:rPr>
        <w:t>’</w:t>
      </w:r>
      <w:r w:rsidRPr="00F24966">
        <w:rPr>
          <w:lang w:val="fr-FR"/>
        </w:rPr>
        <w:t>eux. Ensuite, lesdites mesures ont été maintenues en raison du manque d</w:t>
      </w:r>
      <w:r w:rsidR="00F24966" w:rsidRPr="00F24966">
        <w:rPr>
          <w:lang w:val="fr-FR"/>
        </w:rPr>
        <w:t>’</w:t>
      </w:r>
      <w:r w:rsidRPr="00F24966">
        <w:rPr>
          <w:lang w:val="fr-FR"/>
        </w:rPr>
        <w:t>amélioration des capacités parentales et des conditions de vie des requérants, malgré l</w:t>
      </w:r>
      <w:r w:rsidR="00F24966" w:rsidRPr="00F24966">
        <w:rPr>
          <w:lang w:val="fr-FR"/>
        </w:rPr>
        <w:t>’</w:t>
      </w:r>
      <w:r w:rsidRPr="00F24966">
        <w:rPr>
          <w:lang w:val="fr-FR"/>
        </w:rPr>
        <w:t>aide apportée, ainsi que du développement insuffisant des relations entre les requérants et leurs enfants.</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59</w:t>
      </w:r>
      <w:r w:rsidRPr="00F24966">
        <w:rPr>
          <w:lang w:val="fr-FR"/>
        </w:rPr>
        <w:fldChar w:fldCharType="end"/>
      </w:r>
      <w:r w:rsidRPr="00F24966">
        <w:rPr>
          <w:lang w:val="fr-FR"/>
        </w:rPr>
        <w:t>.</w:t>
      </w:r>
      <w:r w:rsidRPr="00F24966">
        <w:rPr>
          <w:b/>
          <w:lang w:val="fr-FR"/>
        </w:rPr>
        <w:t>  </w:t>
      </w:r>
      <w:r w:rsidRPr="00F24966">
        <w:rPr>
          <w:lang w:val="fr-FR"/>
        </w:rPr>
        <w:t>Par ailleurs, la Cour estime qu</w:t>
      </w:r>
      <w:r w:rsidR="00F24966" w:rsidRPr="00F24966">
        <w:rPr>
          <w:lang w:val="fr-FR"/>
        </w:rPr>
        <w:t>’</w:t>
      </w:r>
      <w:r w:rsidRPr="00F24966">
        <w:rPr>
          <w:lang w:val="fr-FR"/>
        </w:rPr>
        <w:t>il y a lieu de souligner que la tâche des autorités était et reste très complexe, compte tenu du caractère délicat de ce type d</w:t>
      </w:r>
      <w:r w:rsidR="00F24966" w:rsidRPr="00F24966">
        <w:rPr>
          <w:lang w:val="fr-FR"/>
        </w:rPr>
        <w:t>’</w:t>
      </w:r>
      <w:r w:rsidRPr="00F24966">
        <w:rPr>
          <w:lang w:val="fr-FR"/>
        </w:rPr>
        <w:t>affaires, et également du fait que les enfants ont constamment manifesté leur volonté de ne pas retourner vivre dans leur famille d</w:t>
      </w:r>
      <w:r w:rsidR="00F24966" w:rsidRPr="00F24966">
        <w:rPr>
          <w:lang w:val="fr-FR"/>
        </w:rPr>
        <w:t>’</w:t>
      </w:r>
      <w:r w:rsidRPr="00F24966">
        <w:rPr>
          <w:lang w:val="fr-FR"/>
        </w:rPr>
        <w:t>origine.</w:t>
      </w:r>
    </w:p>
    <w:p w:rsidR="00A046D8" w:rsidRPr="00F24966" w:rsidRDefault="00A046D8" w:rsidP="00F24966">
      <w:pPr>
        <w:pStyle w:val="ECHRPara"/>
        <w:rPr>
          <w:lang w:val="fr-FR"/>
        </w:rPr>
      </w:pPr>
      <w:r w:rsidRPr="00F24966">
        <w:rPr>
          <w:lang w:val="fr-FR"/>
        </w:rPr>
        <w:fldChar w:fldCharType="begin"/>
      </w:r>
      <w:r w:rsidRPr="00F24966">
        <w:rPr>
          <w:lang w:val="fr-FR"/>
        </w:rPr>
        <w:instrText xml:space="preserve"> SEQ level0 \*arabic </w:instrText>
      </w:r>
      <w:r w:rsidRPr="00F24966">
        <w:rPr>
          <w:lang w:val="fr-FR"/>
        </w:rPr>
        <w:fldChar w:fldCharType="separate"/>
      </w:r>
      <w:r w:rsidR="00F24966">
        <w:rPr>
          <w:noProof/>
          <w:lang w:val="fr-FR"/>
        </w:rPr>
        <w:t>60</w:t>
      </w:r>
      <w:r w:rsidRPr="00F24966">
        <w:rPr>
          <w:lang w:val="fr-FR"/>
        </w:rPr>
        <w:fldChar w:fldCharType="end"/>
      </w:r>
      <w:r w:rsidRPr="00F24966">
        <w:rPr>
          <w:lang w:val="fr-FR"/>
        </w:rPr>
        <w:t>.  Aussi la Cour relève-t-elle que les autorités ont été confrontées, dans les conditions exposées ci-dessus, à la difficile et délicate mission de ménager un juste équilibre entre les intérêts concurrents en jeu dans une affaire complexe. Partant, la requête doit être rejetée comme étant manifestement mal fondée, en application de l</w:t>
      </w:r>
      <w:r w:rsidR="00F24966" w:rsidRPr="00F24966">
        <w:rPr>
          <w:lang w:val="fr-FR"/>
        </w:rPr>
        <w:t>’</w:t>
      </w:r>
      <w:r w:rsidRPr="00F24966">
        <w:rPr>
          <w:lang w:val="fr-FR"/>
        </w:rPr>
        <w:t>article 35 §§ 3 et 4 de la Convention.</w:t>
      </w:r>
    </w:p>
    <w:p w:rsidR="00A046D8" w:rsidRPr="00F24966" w:rsidRDefault="00A046D8" w:rsidP="00F24966">
      <w:pPr>
        <w:pStyle w:val="JuParaLast"/>
        <w:rPr>
          <w:lang w:val="fr-FR"/>
        </w:rPr>
      </w:pPr>
      <w:r w:rsidRPr="00F24966">
        <w:rPr>
          <w:lang w:val="fr-FR"/>
        </w:rPr>
        <w:t>Par ces motifs, la Cour, à l</w:t>
      </w:r>
      <w:r w:rsidR="00F24966" w:rsidRPr="00F24966">
        <w:rPr>
          <w:lang w:val="fr-FR"/>
        </w:rPr>
        <w:t>’</w:t>
      </w:r>
      <w:r w:rsidRPr="00F24966">
        <w:rPr>
          <w:lang w:val="fr-FR"/>
        </w:rPr>
        <w:t>unanimité,</w:t>
      </w:r>
    </w:p>
    <w:p w:rsidR="00A046D8" w:rsidRPr="00F24966" w:rsidRDefault="00A046D8" w:rsidP="00F24966">
      <w:pPr>
        <w:pStyle w:val="DecList"/>
        <w:rPr>
          <w:lang w:val="fr-FR"/>
        </w:rPr>
      </w:pPr>
      <w:r w:rsidRPr="00F24966">
        <w:rPr>
          <w:i/>
          <w:lang w:val="fr-FR"/>
        </w:rPr>
        <w:t>Déclare</w:t>
      </w:r>
      <w:r w:rsidRPr="00F24966">
        <w:rPr>
          <w:lang w:val="fr-FR"/>
        </w:rPr>
        <w:t xml:space="preserve"> la requête irrecevable.</w:t>
      </w:r>
    </w:p>
    <w:p w:rsidR="00023AD3" w:rsidRPr="00F24966" w:rsidRDefault="00BB1021" w:rsidP="00F24966">
      <w:pPr>
        <w:pStyle w:val="JuParaLast"/>
        <w:rPr>
          <w:lang w:val="fr-FR"/>
        </w:rPr>
      </w:pPr>
      <w:r w:rsidRPr="00F24966">
        <w:rPr>
          <w:szCs w:val="24"/>
          <w:lang w:val="fr-FR"/>
        </w:rPr>
        <w:lastRenderedPageBreak/>
        <w:t xml:space="preserve">Fait en français puis communiqué par écrit le </w:t>
      </w:r>
      <w:r w:rsidR="00A046D8" w:rsidRPr="00F24966">
        <w:rPr>
          <w:szCs w:val="24"/>
          <w:lang w:val="fr-FR"/>
        </w:rPr>
        <w:t>14 mars 2019</w:t>
      </w:r>
      <w:r w:rsidRPr="00F24966">
        <w:rPr>
          <w:lang w:val="fr-FR"/>
        </w:rPr>
        <w:t>.</w:t>
      </w:r>
    </w:p>
    <w:p w:rsidR="00023AD3" w:rsidRPr="00F24966" w:rsidRDefault="00A046D8" w:rsidP="00F24966">
      <w:pPr>
        <w:pStyle w:val="JuSigned"/>
        <w:keepNext/>
        <w:keepLines/>
        <w:rPr>
          <w:szCs w:val="24"/>
          <w:lang w:val="fr-FR"/>
        </w:rPr>
      </w:pPr>
      <w:r w:rsidRPr="00F24966">
        <w:rPr>
          <w:lang w:val="fr-FR"/>
        </w:rPr>
        <w:tab/>
        <w:t>Renata Degener</w:t>
      </w:r>
      <w:r w:rsidR="00023AD3" w:rsidRPr="00F24966">
        <w:rPr>
          <w:lang w:val="fr-FR"/>
        </w:rPr>
        <w:tab/>
      </w:r>
      <w:r w:rsidRPr="00F24966">
        <w:rPr>
          <w:szCs w:val="24"/>
          <w:lang w:val="fr-FR"/>
        </w:rPr>
        <w:t xml:space="preserve">Tim Eicke </w:t>
      </w:r>
      <w:r w:rsidR="00023AD3" w:rsidRPr="00F24966">
        <w:rPr>
          <w:lang w:val="fr-FR"/>
        </w:rPr>
        <w:br/>
      </w:r>
      <w:r w:rsidR="00023AD3" w:rsidRPr="00F24966">
        <w:rPr>
          <w:lang w:val="fr-FR"/>
        </w:rPr>
        <w:tab/>
      </w:r>
      <w:r w:rsidRPr="00F24966">
        <w:rPr>
          <w:szCs w:val="24"/>
          <w:lang w:val="fr-FR"/>
        </w:rPr>
        <w:t>Greffière adjointe</w:t>
      </w:r>
      <w:r w:rsidR="00023AD3" w:rsidRPr="00F24966">
        <w:rPr>
          <w:lang w:val="fr-FR"/>
        </w:rPr>
        <w:tab/>
      </w:r>
      <w:r w:rsidRPr="00F24966">
        <w:rPr>
          <w:szCs w:val="24"/>
          <w:lang w:val="fr-FR"/>
        </w:rPr>
        <w:t>Président</w:t>
      </w:r>
    </w:p>
    <w:p w:rsidR="00023AD3" w:rsidRPr="00F24966" w:rsidRDefault="00023AD3" w:rsidP="00F24966">
      <w:pPr>
        <w:rPr>
          <w:lang w:val="fr-FR"/>
        </w:rPr>
      </w:pPr>
    </w:p>
    <w:p w:rsidR="004D15F3" w:rsidRPr="00F24966" w:rsidRDefault="004D15F3" w:rsidP="00F24966">
      <w:pPr>
        <w:rPr>
          <w:lang w:val="fr-FR"/>
        </w:rPr>
      </w:pPr>
    </w:p>
    <w:sectPr w:rsidR="004D15F3" w:rsidRPr="00F24966" w:rsidSect="00A4477A">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B5" w:rsidRPr="00413286" w:rsidRDefault="00882EB5" w:rsidP="00DF4559">
      <w:pPr>
        <w:rPr>
          <w:lang w:val="fr-FR"/>
        </w:rPr>
      </w:pPr>
      <w:r w:rsidRPr="00413286">
        <w:rPr>
          <w:lang w:val="fr-FR"/>
        </w:rPr>
        <w:separator/>
      </w:r>
    </w:p>
  </w:endnote>
  <w:endnote w:type="continuationSeparator" w:id="0">
    <w:p w:rsidR="00882EB5" w:rsidRPr="00413286" w:rsidRDefault="00882EB5" w:rsidP="00DF4559">
      <w:pPr>
        <w:rPr>
          <w:lang w:val="fr-FR"/>
        </w:rPr>
      </w:pPr>
      <w:r w:rsidRPr="00413286">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D8" w:rsidRPr="00A046D8" w:rsidRDefault="00A046D8" w:rsidP="0020718E">
    <w:pPr>
      <w:jc w:val="center"/>
      <w:rPr>
        <w:lang w:val="fr-FR"/>
      </w:rPr>
    </w:pPr>
    <w:r>
      <w:rPr>
        <w:noProof/>
        <w:lang w:val="it-IT" w:eastAsia="it-IT"/>
      </w:rPr>
      <w:drawing>
        <wp:inline distT="0" distB="0" distL="0" distR="0" wp14:anchorId="67C2BD3C" wp14:editId="34E29FBB">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23AD3" w:rsidRPr="00413286" w:rsidRDefault="00023AD3" w:rsidP="00023AD3">
    <w:pPr>
      <w:rPr>
        <w:sz w:val="4"/>
        <w:szCs w:val="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B5" w:rsidRPr="00413286" w:rsidRDefault="00882EB5" w:rsidP="00DF4559">
      <w:pPr>
        <w:rPr>
          <w:lang w:val="fr-FR"/>
        </w:rPr>
      </w:pPr>
      <w:r w:rsidRPr="00413286">
        <w:rPr>
          <w:lang w:val="fr-FR"/>
        </w:rPr>
        <w:separator/>
      </w:r>
    </w:p>
  </w:footnote>
  <w:footnote w:type="continuationSeparator" w:id="0">
    <w:p w:rsidR="00882EB5" w:rsidRPr="00413286" w:rsidRDefault="00882EB5" w:rsidP="00DF4559">
      <w:pPr>
        <w:rPr>
          <w:lang w:val="fr-FR"/>
        </w:rPr>
      </w:pPr>
      <w:r w:rsidRPr="00413286">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D3" w:rsidRPr="00413286" w:rsidRDefault="00A046D8" w:rsidP="00A4477A">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460AD7">
      <w:rPr>
        <w:rStyle w:val="Numeropagina"/>
        <w:noProof/>
        <w:lang w:val="fr-FR"/>
      </w:rPr>
      <w:t>12</w:t>
    </w:r>
    <w:r>
      <w:rPr>
        <w:rStyle w:val="Numeropagina"/>
        <w:lang w:val="fr-FR"/>
      </w:rPr>
      <w:fldChar w:fldCharType="end"/>
    </w:r>
    <w:r w:rsidR="00023AD3" w:rsidRPr="00413286">
      <w:rPr>
        <w:lang w:val="fr-FR"/>
      </w:rPr>
      <w:tab/>
      <w:t xml:space="preserve">DÉCISION </w:t>
    </w:r>
    <w:r>
      <w:rPr>
        <w:lang w:val="fr-FR"/>
      </w:rPr>
      <w:t>MINERVINO ET TRAUSI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D3" w:rsidRPr="00413286" w:rsidRDefault="00023AD3" w:rsidP="00404F6E">
    <w:pPr>
      <w:pStyle w:val="ECHRHeader"/>
      <w:rPr>
        <w:lang w:val="fr-FR"/>
      </w:rPr>
    </w:pPr>
    <w:r w:rsidRPr="00413286">
      <w:rPr>
        <w:lang w:val="fr-FR"/>
      </w:rPr>
      <w:tab/>
      <w:t xml:space="preserve">DÉCISION </w:t>
    </w:r>
    <w:r w:rsidR="00A046D8">
      <w:rPr>
        <w:lang w:val="fr-FR"/>
      </w:rPr>
      <w:t>MINERVINO ET TRAUSI c. ITALIE</w:t>
    </w:r>
    <w:r w:rsidRPr="00413286">
      <w:rPr>
        <w:lang w:val="fr-FR"/>
      </w:rPr>
      <w:tab/>
    </w:r>
    <w:r w:rsidR="00A046D8">
      <w:rPr>
        <w:rStyle w:val="Numeropagina"/>
        <w:lang w:val="fr-FR"/>
      </w:rPr>
      <w:fldChar w:fldCharType="begin"/>
    </w:r>
    <w:r w:rsidR="00A046D8">
      <w:rPr>
        <w:rStyle w:val="Numeropagina"/>
        <w:lang w:val="fr-FR"/>
      </w:rPr>
      <w:instrText xml:space="preserve"> PAGE </w:instrText>
    </w:r>
    <w:r w:rsidR="00A046D8">
      <w:rPr>
        <w:rStyle w:val="Numeropagina"/>
        <w:lang w:val="fr-FR"/>
      </w:rPr>
      <w:fldChar w:fldCharType="separate"/>
    </w:r>
    <w:r w:rsidR="00460AD7">
      <w:rPr>
        <w:rStyle w:val="Numeropagina"/>
        <w:noProof/>
        <w:lang w:val="fr-FR"/>
      </w:rPr>
      <w:t>11</w:t>
    </w:r>
    <w:r w:rsidR="00A046D8">
      <w:rPr>
        <w:rStyle w:val="Numeropagina"/>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D8" w:rsidRPr="00A45145" w:rsidRDefault="00A046D8" w:rsidP="00A45145">
    <w:pPr>
      <w:jc w:val="center"/>
    </w:pPr>
    <w:r>
      <w:rPr>
        <w:noProof/>
        <w:lang w:val="it-IT" w:eastAsia="it-IT"/>
      </w:rPr>
      <w:drawing>
        <wp:inline distT="0" distB="0" distL="0" distR="0" wp14:anchorId="2AC767D7" wp14:editId="3EE7645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23AD3" w:rsidRPr="00413286" w:rsidRDefault="00023AD3" w:rsidP="00023AD3">
    <w:pPr>
      <w:rPr>
        <w:sz w:val="4"/>
        <w:szCs w:val="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48C29C"/>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0D98CA0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F8B259D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25129F2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0C18678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8E7EEBE2"/>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7AC4496C"/>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34EDD7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26DAD01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32CAB6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227407A"/>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1">
    <w:nsid w:val="09011F0E"/>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CE31721"/>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7D5546B"/>
    <w:multiLevelType w:val="multilevel"/>
    <w:tmpl w:val="EAB0152A"/>
    <w:styleLink w:val="ECHRA1StyleList"/>
    <w:lvl w:ilvl="0">
      <w:start w:val="1"/>
      <w:numFmt w:val="decimal"/>
      <w:pStyle w:val="ECHRList1"/>
      <w:lvlText w:val="%1."/>
      <w:lvlJc w:val="left"/>
      <w:pPr>
        <w:tabs>
          <w:tab w:val="num" w:pos="397"/>
        </w:tabs>
        <w:ind w:left="397" w:hanging="397"/>
      </w:pPr>
      <w:rPr>
        <w:rFonts w:hint="default"/>
      </w:rPr>
    </w:lvl>
    <w:lvl w:ilvl="1">
      <w:start w:val="1"/>
      <w:numFmt w:val="lowerLetter"/>
      <w:pStyle w:val="ECHRList2"/>
      <w:lvlText w:val="%2."/>
      <w:lvlJc w:val="left"/>
      <w:pPr>
        <w:tabs>
          <w:tab w:val="num" w:pos="794"/>
        </w:tabs>
        <w:ind w:left="794" w:hanging="397"/>
      </w:pPr>
      <w:rPr>
        <w:rFonts w:hint="default"/>
      </w:rPr>
    </w:lvl>
    <w:lvl w:ilvl="2">
      <w:start w:val="1"/>
      <w:numFmt w:val="lowerRoman"/>
      <w:pStyle w:val="ECHR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5E6A40"/>
    <w:multiLevelType w:val="multilevel"/>
    <w:tmpl w:val="EAB0152A"/>
    <w:numStyleLink w:val="ECHRA1StyleList"/>
  </w:abstractNum>
  <w:abstractNum w:abstractNumId="15">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E4C3B6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EE64282"/>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nsid w:val="416B5801"/>
    <w:multiLevelType w:val="multilevel"/>
    <w:tmpl w:val="79A89570"/>
    <w:lvl w:ilvl="0">
      <w:start w:val="1"/>
      <w:numFmt w:val="none"/>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asciiTheme="minorHAnsi" w:hAnsiTheme="minorHAnsi" w:hint="default"/>
      </w:rPr>
    </w:lvl>
    <w:lvl w:ilvl="6">
      <w:start w:val="1"/>
      <w:numFmt w:val="bullet"/>
      <w:suff w:val="space"/>
      <w:lvlText w:val="‒"/>
      <w:lvlJc w:val="left"/>
      <w:pPr>
        <w:ind w:left="0" w:firstLine="0"/>
      </w:pPr>
      <w:rPr>
        <w:rFonts w:ascii="Calibri" w:hAnsi="Calibri" w:hint="default"/>
        <w:color w:val="auto"/>
      </w:rPr>
    </w:lvl>
    <w:lvl w:ilvl="7">
      <w:start w:val="1"/>
      <w:numFmt w:val="none"/>
      <w:suff w:val="space"/>
      <w:lvlText w:val=""/>
      <w:lvlJc w:val="left"/>
      <w:pPr>
        <w:ind w:left="0" w:firstLine="0"/>
      </w:pPr>
      <w:rPr>
        <w:rFonts w:hint="default"/>
        <w:color w:val="auto"/>
      </w:rPr>
    </w:lvl>
    <w:lvl w:ilvl="8">
      <w:start w:val="1"/>
      <w:numFmt w:val="none"/>
      <w:suff w:val="space"/>
      <w:lvlText w:val=""/>
      <w:lvlJc w:val="left"/>
      <w:pPr>
        <w:ind w:left="0" w:firstLine="0"/>
      </w:pPr>
      <w:rPr>
        <w:rFonts w:hint="default"/>
        <w:color w:val="auto"/>
      </w:rPr>
    </w:lvl>
  </w:abstractNum>
  <w:abstractNum w:abstractNumId="19">
    <w:nsid w:val="4333366E"/>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0">
    <w:nsid w:val="474B45CC"/>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1">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2">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3">
    <w:nsid w:val="510746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2D5B3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1AA0E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7">
    <w:nsid w:val="725E404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3F438C5"/>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6"/>
  </w:num>
  <w:num w:numId="3">
    <w:abstractNumId w:val="27"/>
  </w:num>
  <w:num w:numId="4">
    <w:abstractNumId w:val="24"/>
  </w:num>
  <w:num w:numId="5">
    <w:abstractNumId w:val="11"/>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9"/>
  </w:num>
  <w:num w:numId="16">
    <w:abstractNumId w:val="29"/>
  </w:num>
  <w:num w:numId="17">
    <w:abstractNumId w:val="23"/>
  </w:num>
  <w:num w:numId="18">
    <w:abstractNumId w:val="25"/>
  </w:num>
  <w:num w:numId="19">
    <w:abstractNumId w:val="16"/>
  </w:num>
  <w:num w:numId="20">
    <w:abstractNumId w:val="20"/>
  </w:num>
  <w:num w:numId="21">
    <w:abstractNumId w:val="12"/>
  </w:num>
  <w:num w:numId="22">
    <w:abstractNumId w:val="17"/>
  </w:num>
  <w:num w:numId="23">
    <w:abstractNumId w:val="19"/>
  </w:num>
  <w:num w:numId="24">
    <w:abstractNumId w:val="18"/>
  </w:num>
  <w:num w:numId="25">
    <w:abstractNumId w:val="15"/>
  </w:num>
  <w:num w:numId="26">
    <w:abstractNumId w:val="28"/>
  </w:num>
  <w:num w:numId="27">
    <w:abstractNumId w:val="10"/>
  </w:num>
  <w:num w:numId="28">
    <w:abstractNumId w:val="26"/>
  </w:num>
  <w:num w:numId="29">
    <w:abstractNumId w:val="21"/>
  </w:num>
  <w:num w:numId="30">
    <w:abstractNumId w:val="2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4"/>
  </w:num>
  <w:num w:numId="34">
    <w:abstractNumId w:val="29"/>
  </w:num>
  <w:num w:numId="35">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A046D8"/>
    <w:rsid w:val="000041F8"/>
    <w:rsid w:val="000042A8"/>
    <w:rsid w:val="00004308"/>
    <w:rsid w:val="00005BF0"/>
    <w:rsid w:val="00007154"/>
    <w:rsid w:val="000103AE"/>
    <w:rsid w:val="00011D69"/>
    <w:rsid w:val="00012AD3"/>
    <w:rsid w:val="00015C2D"/>
    <w:rsid w:val="00015F00"/>
    <w:rsid w:val="00022C1D"/>
    <w:rsid w:val="00023AD3"/>
    <w:rsid w:val="00034987"/>
    <w:rsid w:val="000602DF"/>
    <w:rsid w:val="00061B05"/>
    <w:rsid w:val="000632D5"/>
    <w:rsid w:val="000644EE"/>
    <w:rsid w:val="000925AD"/>
    <w:rsid w:val="000A24EB"/>
    <w:rsid w:val="000B52D9"/>
    <w:rsid w:val="000B6923"/>
    <w:rsid w:val="000C5F3C"/>
    <w:rsid w:val="000C6DCC"/>
    <w:rsid w:val="000D47AA"/>
    <w:rsid w:val="000D4E59"/>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832A0"/>
    <w:rsid w:val="001832BD"/>
    <w:rsid w:val="001943B5"/>
    <w:rsid w:val="00195134"/>
    <w:rsid w:val="001A145B"/>
    <w:rsid w:val="001A300A"/>
    <w:rsid w:val="001A674C"/>
    <w:rsid w:val="001B3B24"/>
    <w:rsid w:val="001C0F98"/>
    <w:rsid w:val="001C2A42"/>
    <w:rsid w:val="001D20D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D7600"/>
    <w:rsid w:val="002F2AF7"/>
    <w:rsid w:val="002F7E1C"/>
    <w:rsid w:val="00301A75"/>
    <w:rsid w:val="00302F70"/>
    <w:rsid w:val="0030336F"/>
    <w:rsid w:val="0030375E"/>
    <w:rsid w:val="00312A30"/>
    <w:rsid w:val="00320F72"/>
    <w:rsid w:val="0032463E"/>
    <w:rsid w:val="00326224"/>
    <w:rsid w:val="00337EE4"/>
    <w:rsid w:val="00340FFD"/>
    <w:rsid w:val="003506B1"/>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04F6E"/>
    <w:rsid w:val="00413286"/>
    <w:rsid w:val="00414300"/>
    <w:rsid w:val="00425C67"/>
    <w:rsid w:val="00427E7A"/>
    <w:rsid w:val="00436C49"/>
    <w:rsid w:val="00445366"/>
    <w:rsid w:val="00447F5B"/>
    <w:rsid w:val="00460AD7"/>
    <w:rsid w:val="00461DB0"/>
    <w:rsid w:val="00463926"/>
    <w:rsid w:val="00464C9A"/>
    <w:rsid w:val="00474F3D"/>
    <w:rsid w:val="00477E3A"/>
    <w:rsid w:val="00483E5F"/>
    <w:rsid w:val="00485FF9"/>
    <w:rsid w:val="004907F0"/>
    <w:rsid w:val="0049140B"/>
    <w:rsid w:val="004923A5"/>
    <w:rsid w:val="00496BFB"/>
    <w:rsid w:val="004A15C7"/>
    <w:rsid w:val="004A3F3C"/>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5254"/>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5E10"/>
    <w:rsid w:val="00627507"/>
    <w:rsid w:val="00633717"/>
    <w:rsid w:val="006344E1"/>
    <w:rsid w:val="006545C4"/>
    <w:rsid w:val="00661971"/>
    <w:rsid w:val="00661CE8"/>
    <w:rsid w:val="006623D9"/>
    <w:rsid w:val="0066550C"/>
    <w:rsid w:val="006716F2"/>
    <w:rsid w:val="00682BF2"/>
    <w:rsid w:val="006859CE"/>
    <w:rsid w:val="00691270"/>
    <w:rsid w:val="00694BA8"/>
    <w:rsid w:val="006975CC"/>
    <w:rsid w:val="006A037C"/>
    <w:rsid w:val="006A36F4"/>
    <w:rsid w:val="006A406F"/>
    <w:rsid w:val="006A5D3A"/>
    <w:rsid w:val="006C23D4"/>
    <w:rsid w:val="006C7BB0"/>
    <w:rsid w:val="006D211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82EB5"/>
    <w:rsid w:val="00893576"/>
    <w:rsid w:val="00893E73"/>
    <w:rsid w:val="008B02DC"/>
    <w:rsid w:val="008B57CE"/>
    <w:rsid w:val="008C26DE"/>
    <w:rsid w:val="008D2225"/>
    <w:rsid w:val="008D4752"/>
    <w:rsid w:val="008E271C"/>
    <w:rsid w:val="008E418E"/>
    <w:rsid w:val="008E4482"/>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039B"/>
    <w:rsid w:val="009E1F32"/>
    <w:rsid w:val="009E776C"/>
    <w:rsid w:val="00A046D8"/>
    <w:rsid w:val="00A1726E"/>
    <w:rsid w:val="00A204CF"/>
    <w:rsid w:val="00A23D49"/>
    <w:rsid w:val="00A27004"/>
    <w:rsid w:val="00A30C29"/>
    <w:rsid w:val="00A34DD6"/>
    <w:rsid w:val="00A36819"/>
    <w:rsid w:val="00A36989"/>
    <w:rsid w:val="00A43628"/>
    <w:rsid w:val="00A4477A"/>
    <w:rsid w:val="00A54192"/>
    <w:rsid w:val="00A6035E"/>
    <w:rsid w:val="00A6144C"/>
    <w:rsid w:val="00A66617"/>
    <w:rsid w:val="00A671F8"/>
    <w:rsid w:val="00A673A4"/>
    <w:rsid w:val="00A71632"/>
    <w:rsid w:val="00A724AE"/>
    <w:rsid w:val="00A73329"/>
    <w:rsid w:val="00A7338E"/>
    <w:rsid w:val="00A82359"/>
    <w:rsid w:val="00A865D2"/>
    <w:rsid w:val="00A94C20"/>
    <w:rsid w:val="00AA227F"/>
    <w:rsid w:val="00AA3BC7"/>
    <w:rsid w:val="00AA5F6A"/>
    <w:rsid w:val="00AA754A"/>
    <w:rsid w:val="00AB099E"/>
    <w:rsid w:val="00AB4328"/>
    <w:rsid w:val="00AB62D9"/>
    <w:rsid w:val="00AE0A2E"/>
    <w:rsid w:val="00AE354C"/>
    <w:rsid w:val="00AF4B07"/>
    <w:rsid w:val="00AF6186"/>
    <w:rsid w:val="00AF7A3A"/>
    <w:rsid w:val="00B11EE2"/>
    <w:rsid w:val="00B160DB"/>
    <w:rsid w:val="00B20836"/>
    <w:rsid w:val="00B235BB"/>
    <w:rsid w:val="00B27A44"/>
    <w:rsid w:val="00B30BBF"/>
    <w:rsid w:val="00B33C03"/>
    <w:rsid w:val="00B4074E"/>
    <w:rsid w:val="00B44E56"/>
    <w:rsid w:val="00B46543"/>
    <w:rsid w:val="00B47D33"/>
    <w:rsid w:val="00B52BE0"/>
    <w:rsid w:val="00B54133"/>
    <w:rsid w:val="00B701ED"/>
    <w:rsid w:val="00B8086C"/>
    <w:rsid w:val="00B861B4"/>
    <w:rsid w:val="00B86DFE"/>
    <w:rsid w:val="00B90990"/>
    <w:rsid w:val="00B922FF"/>
    <w:rsid w:val="00B9281E"/>
    <w:rsid w:val="00B93925"/>
    <w:rsid w:val="00B95187"/>
    <w:rsid w:val="00BA2D55"/>
    <w:rsid w:val="00BA71B1"/>
    <w:rsid w:val="00BB0637"/>
    <w:rsid w:val="00BB1021"/>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F4C66"/>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97B07"/>
    <w:rsid w:val="00DA4A31"/>
    <w:rsid w:val="00DA7B04"/>
    <w:rsid w:val="00DB36C2"/>
    <w:rsid w:val="00DC169B"/>
    <w:rsid w:val="00DC2AB9"/>
    <w:rsid w:val="00DC63F0"/>
    <w:rsid w:val="00DD6EE5"/>
    <w:rsid w:val="00DE386C"/>
    <w:rsid w:val="00DE4D35"/>
    <w:rsid w:val="00DF098B"/>
    <w:rsid w:val="00DF11C4"/>
    <w:rsid w:val="00DF210C"/>
    <w:rsid w:val="00DF4559"/>
    <w:rsid w:val="00DF4B6A"/>
    <w:rsid w:val="00E02C09"/>
    <w:rsid w:val="00E04D59"/>
    <w:rsid w:val="00E07DA1"/>
    <w:rsid w:val="00E123CB"/>
    <w:rsid w:val="00E20E13"/>
    <w:rsid w:val="00E21DBC"/>
    <w:rsid w:val="00E2709B"/>
    <w:rsid w:val="00E275D7"/>
    <w:rsid w:val="00E27DBE"/>
    <w:rsid w:val="00E32AB1"/>
    <w:rsid w:val="00E36C71"/>
    <w:rsid w:val="00E40404"/>
    <w:rsid w:val="00E459C6"/>
    <w:rsid w:val="00E47589"/>
    <w:rsid w:val="00E64285"/>
    <w:rsid w:val="00E64915"/>
    <w:rsid w:val="00E661D4"/>
    <w:rsid w:val="00E70091"/>
    <w:rsid w:val="00E720F5"/>
    <w:rsid w:val="00E76D47"/>
    <w:rsid w:val="00E849F7"/>
    <w:rsid w:val="00E90302"/>
    <w:rsid w:val="00E97396"/>
    <w:rsid w:val="00EA185E"/>
    <w:rsid w:val="00EA592A"/>
    <w:rsid w:val="00EB14E4"/>
    <w:rsid w:val="00EB32A5"/>
    <w:rsid w:val="00EB34ED"/>
    <w:rsid w:val="00EB7BE0"/>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4966"/>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0"/>
    <w:lsdException w:name="index 6" w:uiPriority="0"/>
    <w:lsdException w:name="index 8" w:uiPriority="0"/>
    <w:lsdException w:name="annotation text" w:uiPriority="0"/>
    <w:lsdException w:name="header" w:uiPriority="57"/>
    <w:lsdException w:name="footer" w:uiPriority="57"/>
    <w:lsdException w:name="index heading" w:uiPriority="0"/>
    <w:lsdException w:name="caption" w:qFormat="1"/>
    <w:lsdException w:name="envelope return" w:uiPriority="0"/>
    <w:lsdException w:name="line number" w:uiPriority="0"/>
    <w:lsdException w:name="endnote reference" w:uiPriority="0"/>
    <w:lsdException w:name="List Number" w:uiPriority="0" w:unhideWhenUsed="0"/>
    <w:lsdException w:name="List 2" w:uiPriority="0"/>
    <w:lsdException w:name="List 4" w:uiPriority="0" w:unhideWhenUsed="0"/>
    <w:lsdException w:name="List 5" w:unhideWhenUsed="0"/>
    <w:lsdException w:name="List Bullet 3" w:uiPriority="0"/>
    <w:lsdException w:name="List Bullet 5" w:uiPriority="0"/>
    <w:lsdException w:name="List Number 3" w:uiPriority="0"/>
    <w:lsdException w:name="List Number 5" w:uiPriority="0"/>
    <w:lsdException w:name="Title" w:semiHidden="0" w:unhideWhenUsed="0" w:qFormat="1"/>
    <w:lsdException w:name="Default Paragraph Font" w:uiPriority="1"/>
    <w:lsdException w:name="Body Text" w:uiPriority="0"/>
    <w:lsdException w:name="List Continue 2" w:uiPriority="0"/>
    <w:lsdException w:name="Subtitle" w:unhideWhenUsed="0" w:qFormat="1"/>
    <w:lsdException w:name="Salutation" w:unhideWhenUsed="0"/>
    <w:lsdException w:name="Date" w:unhideWhenUsed="0"/>
    <w:lsdException w:name="Body Text First Indent" w:unhideWhenUsed="0"/>
    <w:lsdException w:name="Body Text First Indent 2" w:uiPriority="0"/>
    <w:lsdException w:name="Body Text Indent 2" w:uiPriority="0"/>
    <w:lsdException w:name="Strong" w:semiHidden="0" w:unhideWhenUsed="0" w:qFormat="1"/>
    <w:lsdException w:name="Emphasis" w:semiHidden="0" w:unhideWhenUsed="0" w:qFormat="1"/>
    <w:lsdException w:name="Document Map" w:uiPriority="0"/>
    <w:lsdException w:name="HTML Address" w:uiPriority="0"/>
    <w:lsdException w:name="HTML Keyboard" w:uiPriority="0"/>
    <w:lsdException w:name="HTML Sample" w:uiPriority="0"/>
    <w:lsdException w:name="HTML Variable" w:uiPriority="0"/>
    <w:lsdException w:name="annotation subject" w:uiPriority="0"/>
    <w:lsdException w:name="Outline List 1"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iPriority="66" w:unhideWhenUsed="0"/>
    <w:lsdException w:name="Medium Grid 1" w:semiHidden="0" w:uiPriority="67"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72" w:unhideWhenUsed="0"/>
    <w:lsdException w:name="Colorful Grid" w:semiHidden="0" w:unhideWhenUsed="0"/>
    <w:lsdException w:name="Light Shading Accent 1" w:semiHidden="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nhideWhenUsed="0"/>
    <w:lsdException w:name="Medium List 2 Accent 2" w:semiHidden="0" w:uiPriority="66" w:unhideWhenUsed="0"/>
    <w:lsdException w:name="Medium Grid 1 Accent 2" w:semiHidden="0"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nhideWhenUsed="0"/>
    <w:lsdException w:name="Colorful List Accent 2" w:semiHidden="0" w:uiPriority="72" w:unhideWhenUsed="0"/>
    <w:lsdException w:name="Colorful Grid Accent 2" w:semiHidden="0"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iPriority="71"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iPriority="66" w:unhideWhenUsed="0"/>
    <w:lsdException w:name="Medium Grid 1 Accent 4" w:semiHidden="0" w:uiPriority="67"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nhideWhenUsed="0"/>
    <w:lsdException w:name="Medium Shading 1 Accent 6" w:semiHidden="0" w:unhideWhenUsed="0"/>
    <w:lsdException w:name="Medium Shading 2 Accent 6" w:semiHidden="0" w:uiPriority="64" w:unhideWhenUsed="0"/>
    <w:lsdException w:name="Medium List 1 Accent 6" w:semiHidden="0" w:unhideWhenUsed="0"/>
    <w:lsdException w:name="Medium List 2 Accent 6" w:semiHidden="0" w:unhideWhenUsed="0"/>
    <w:lsdException w:name="Medium Grid 1 Accent 6" w:semiHidden="0" w:uiPriority="67"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nhideWhenUsed="0"/>
    <w:lsdException w:name="Colorful List Accent 6" w:semiHidden="0" w:uiPriority="72"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A046D8"/>
    <w:pPr>
      <w:jc w:val="both"/>
    </w:pPr>
    <w:rPr>
      <w:rFonts w:eastAsiaTheme="minorEastAsia"/>
      <w:sz w:val="24"/>
      <w:lang w:val="en-GB"/>
    </w:rPr>
  </w:style>
  <w:style w:type="paragraph" w:styleId="Titolo1">
    <w:name w:val="heading 1"/>
    <w:basedOn w:val="Normale"/>
    <w:next w:val="Normale"/>
    <w:link w:val="Titolo1Carattere"/>
    <w:uiPriority w:val="99"/>
    <w:semiHidden/>
    <w:rsid w:val="00A046D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A046D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A046D8"/>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A046D8"/>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A046D8"/>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A046D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A046D8"/>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A046D8"/>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A046D8"/>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A046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46D8"/>
    <w:rPr>
      <w:rFonts w:ascii="Tahoma" w:eastAsiaTheme="minorEastAsia" w:hAnsi="Tahoma" w:cs="Tahoma"/>
      <w:sz w:val="16"/>
      <w:szCs w:val="16"/>
      <w:lang w:val="en-GB"/>
    </w:rPr>
  </w:style>
  <w:style w:type="character" w:styleId="Titolodellibro">
    <w:name w:val="Book Title"/>
    <w:uiPriority w:val="99"/>
    <w:semiHidden/>
    <w:qFormat/>
    <w:rsid w:val="00A046D8"/>
    <w:rPr>
      <w:i/>
      <w:iCs/>
      <w:smallCaps/>
      <w:spacing w:val="5"/>
    </w:rPr>
  </w:style>
  <w:style w:type="paragraph" w:customStyle="1" w:styleId="ECHRHeader">
    <w:name w:val="ECHR_Header"/>
    <w:aliases w:val="Ju_Header"/>
    <w:basedOn w:val="Intestazione"/>
    <w:uiPriority w:val="4"/>
    <w:qFormat/>
    <w:rsid w:val="00A046D8"/>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rsid w:val="00A046D8"/>
    <w:pPr>
      <w:jc w:val="left"/>
    </w:pPr>
    <w:rPr>
      <w:sz w:val="8"/>
    </w:rPr>
  </w:style>
  <w:style w:type="character" w:styleId="Enfasigrassetto">
    <w:name w:val="Strong"/>
    <w:uiPriority w:val="99"/>
    <w:semiHidden/>
    <w:qFormat/>
    <w:rsid w:val="00A046D8"/>
    <w:rPr>
      <w:b/>
      <w:bCs/>
    </w:rPr>
  </w:style>
  <w:style w:type="paragraph" w:styleId="Nessunaspaziatura">
    <w:name w:val="No Spacing"/>
    <w:basedOn w:val="Normale"/>
    <w:link w:val="NessunaspaziaturaCarattere"/>
    <w:semiHidden/>
    <w:qFormat/>
    <w:rsid w:val="00A046D8"/>
    <w:rPr>
      <w:sz w:val="22"/>
      <w:lang w:val="en-US"/>
    </w:rPr>
  </w:style>
  <w:style w:type="character" w:customStyle="1" w:styleId="NessunaspaziaturaCarattere">
    <w:name w:val="Nessuna spaziatura Carattere"/>
    <w:basedOn w:val="Carpredefinitoparagrafo"/>
    <w:link w:val="Nessunaspaziatura"/>
    <w:semiHidden/>
    <w:rsid w:val="00A046D8"/>
    <w:rPr>
      <w:rFonts w:eastAsiaTheme="minorEastAsia"/>
    </w:rPr>
  </w:style>
  <w:style w:type="paragraph" w:customStyle="1" w:styleId="ECHRFooterLine">
    <w:name w:val="ECHR_Footer_Line"/>
    <w:aliases w:val="Footer_Line"/>
    <w:basedOn w:val="Normale"/>
    <w:next w:val="ECHRFooter"/>
    <w:uiPriority w:val="57"/>
    <w:rsid w:val="00A046D8"/>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
    <w:basedOn w:val="Normale"/>
    <w:uiPriority w:val="14"/>
    <w:qFormat/>
    <w:rsid w:val="00A046D8"/>
    <w:pPr>
      <w:spacing w:before="120" w:after="120"/>
      <w:ind w:left="425" w:firstLine="142"/>
    </w:pPr>
    <w:rPr>
      <w:sz w:val="20"/>
    </w:rPr>
  </w:style>
  <w:style w:type="paragraph" w:customStyle="1" w:styleId="DecList">
    <w:name w:val="Dec_List"/>
    <w:basedOn w:val="Normale"/>
    <w:uiPriority w:val="9"/>
    <w:qFormat/>
    <w:rsid w:val="00A046D8"/>
    <w:pPr>
      <w:spacing w:before="240"/>
      <w:ind w:left="284"/>
    </w:pPr>
  </w:style>
  <w:style w:type="paragraph" w:customStyle="1" w:styleId="DummyStyle">
    <w:name w:val="Dummy_Style"/>
    <w:basedOn w:val="Normale"/>
    <w:semiHidden/>
    <w:qFormat/>
    <w:rsid w:val="00A046D8"/>
    <w:rPr>
      <w:color w:val="00B050"/>
    </w:rPr>
  </w:style>
  <w:style w:type="paragraph" w:customStyle="1" w:styleId="JuAppQuestion">
    <w:name w:val="Ju_App_Question"/>
    <w:basedOn w:val="Normale"/>
    <w:uiPriority w:val="5"/>
    <w:qFormat/>
    <w:rsid w:val="00A046D8"/>
    <w:pPr>
      <w:numPr>
        <w:numId w:val="35"/>
      </w:numPr>
      <w:jc w:val="left"/>
    </w:pPr>
    <w:rPr>
      <w:b/>
    </w:rPr>
  </w:style>
  <w:style w:type="paragraph" w:customStyle="1" w:styleId="JuCase">
    <w:name w:val="Ju_Case"/>
    <w:basedOn w:val="Normale"/>
    <w:next w:val="ECHRPara"/>
    <w:uiPriority w:val="10"/>
    <w:semiHidden/>
    <w:rsid w:val="00A046D8"/>
    <w:pPr>
      <w:ind w:firstLine="284"/>
    </w:pPr>
    <w:rPr>
      <w:b/>
    </w:rPr>
  </w:style>
  <w:style w:type="paragraph" w:customStyle="1" w:styleId="ECHRTitleCentre3">
    <w:name w:val="ECHR_Title_Centre_3"/>
    <w:aliases w:val="Ju_H_Article"/>
    <w:basedOn w:val="Normale"/>
    <w:next w:val="ECHRParaQuote"/>
    <w:uiPriority w:val="27"/>
    <w:qFormat/>
    <w:rsid w:val="00A046D8"/>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e"/>
    <w:next w:val="ECHRPara"/>
    <w:uiPriority w:val="3"/>
    <w:qFormat/>
    <w:rsid w:val="00A046D8"/>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e"/>
    <w:next w:val="OpiPara"/>
    <w:uiPriority w:val="39"/>
    <w:qFormat/>
    <w:rsid w:val="00A046D8"/>
    <w:pPr>
      <w:keepNext/>
      <w:keepLines/>
      <w:spacing w:after="240"/>
      <w:jc w:val="center"/>
      <w:outlineLvl w:val="0"/>
    </w:pPr>
    <w:rPr>
      <w:rFonts w:asciiTheme="majorHAnsi" w:hAnsiTheme="majorHAnsi"/>
      <w:sz w:val="28"/>
    </w:rPr>
  </w:style>
  <w:style w:type="paragraph" w:customStyle="1" w:styleId="JuCourt">
    <w:name w:val="Ju_Court"/>
    <w:basedOn w:val="Normale"/>
    <w:next w:val="Normale"/>
    <w:uiPriority w:val="16"/>
    <w:qFormat/>
    <w:rsid w:val="00A046D8"/>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e"/>
    <w:uiPriority w:val="31"/>
    <w:qFormat/>
    <w:rsid w:val="00A046D8"/>
    <w:pPr>
      <w:tabs>
        <w:tab w:val="center" w:pos="6407"/>
      </w:tabs>
      <w:spacing w:before="720"/>
      <w:jc w:val="right"/>
    </w:pPr>
  </w:style>
  <w:style w:type="paragraph" w:styleId="Titolo">
    <w:name w:val="Title"/>
    <w:basedOn w:val="Normale"/>
    <w:next w:val="Normale"/>
    <w:link w:val="TitoloCarattere"/>
    <w:uiPriority w:val="99"/>
    <w:semiHidden/>
    <w:qFormat/>
    <w:rsid w:val="00A046D8"/>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A046D8"/>
    <w:rPr>
      <w:rFonts w:asciiTheme="majorHAnsi" w:eastAsiaTheme="majorEastAsia" w:hAnsiTheme="majorHAnsi" w:cstheme="majorBidi"/>
      <w:spacing w:val="5"/>
      <w:sz w:val="52"/>
      <w:szCs w:val="52"/>
      <w:lang w:bidi="en-US"/>
    </w:rPr>
  </w:style>
  <w:style w:type="paragraph" w:customStyle="1" w:styleId="JuSigned">
    <w:name w:val="Ju_Signed"/>
    <w:basedOn w:val="Normale"/>
    <w:next w:val="JuParaLast"/>
    <w:uiPriority w:val="32"/>
    <w:qFormat/>
    <w:rsid w:val="00A046D8"/>
    <w:pPr>
      <w:tabs>
        <w:tab w:val="center" w:pos="851"/>
        <w:tab w:val="center" w:pos="6407"/>
      </w:tabs>
      <w:spacing w:before="720"/>
      <w:jc w:val="left"/>
    </w:pPr>
  </w:style>
  <w:style w:type="paragraph" w:customStyle="1" w:styleId="JuList">
    <w:name w:val="Ju_List"/>
    <w:basedOn w:val="Normale"/>
    <w:uiPriority w:val="28"/>
    <w:qFormat/>
    <w:rsid w:val="00A046D8"/>
    <w:pPr>
      <w:ind w:left="340" w:hanging="340"/>
    </w:pPr>
  </w:style>
  <w:style w:type="paragraph" w:customStyle="1" w:styleId="JuLista">
    <w:name w:val="Ju_List_a"/>
    <w:basedOn w:val="JuList"/>
    <w:uiPriority w:val="28"/>
    <w:qFormat/>
    <w:rsid w:val="00A046D8"/>
    <w:pPr>
      <w:ind w:left="346" w:firstLine="0"/>
    </w:pPr>
  </w:style>
  <w:style w:type="paragraph" w:customStyle="1" w:styleId="JuListi">
    <w:name w:val="Ju_List_i"/>
    <w:basedOn w:val="Normale"/>
    <w:next w:val="JuLista"/>
    <w:uiPriority w:val="28"/>
    <w:qFormat/>
    <w:rsid w:val="00A046D8"/>
    <w:pPr>
      <w:ind w:left="794"/>
    </w:pPr>
  </w:style>
  <w:style w:type="character" w:customStyle="1" w:styleId="JUNAMES">
    <w:name w:val="JU_NAMES"/>
    <w:uiPriority w:val="17"/>
    <w:qFormat/>
    <w:rsid w:val="00A046D8"/>
    <w:rPr>
      <w:caps w:val="0"/>
      <w:smallCaps/>
    </w:rPr>
  </w:style>
  <w:style w:type="paragraph" w:customStyle="1" w:styleId="JuParaSub">
    <w:name w:val="Ju_Para_Sub"/>
    <w:basedOn w:val="ECHRPara"/>
    <w:uiPriority w:val="13"/>
    <w:qFormat/>
    <w:rsid w:val="00A046D8"/>
    <w:pPr>
      <w:ind w:left="284"/>
    </w:pPr>
  </w:style>
  <w:style w:type="paragraph" w:customStyle="1" w:styleId="ECHRHeading1">
    <w:name w:val="ECHR_Heading_1"/>
    <w:aliases w:val="Ju_H_I_Roman"/>
    <w:basedOn w:val="Titolo1"/>
    <w:next w:val="ECHRPara"/>
    <w:uiPriority w:val="19"/>
    <w:qFormat/>
    <w:rsid w:val="00A046D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A046D8"/>
    <w:pPr>
      <w:keepNext/>
      <w:keepLines/>
      <w:tabs>
        <w:tab w:val="left" w:pos="584"/>
      </w:tabs>
      <w:spacing w:before="360" w:after="240"/>
      <w:ind w:left="584" w:hanging="352"/>
    </w:pPr>
    <w:rPr>
      <w:color w:val="auto"/>
      <w:sz w:val="24"/>
    </w:rPr>
  </w:style>
  <w:style w:type="paragraph" w:styleId="Intestazione">
    <w:name w:val="header"/>
    <w:basedOn w:val="Normale"/>
    <w:link w:val="IntestazioneCarattere"/>
    <w:uiPriority w:val="57"/>
    <w:semiHidden/>
    <w:rsid w:val="00A046D8"/>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A046D8"/>
    <w:rPr>
      <w:sz w:val="24"/>
      <w:lang w:val="en-GB"/>
    </w:rPr>
  </w:style>
  <w:style w:type="character" w:customStyle="1" w:styleId="Titolo1Carattere">
    <w:name w:val="Titolo 1 Carattere"/>
    <w:basedOn w:val="Carpredefinitoparagrafo"/>
    <w:link w:val="Titolo1"/>
    <w:uiPriority w:val="99"/>
    <w:semiHidden/>
    <w:rsid w:val="00A046D8"/>
    <w:rPr>
      <w:rFonts w:asciiTheme="majorHAnsi" w:eastAsiaTheme="majorEastAsia" w:hAnsiTheme="majorHAnsi" w:cstheme="majorBidi"/>
      <w:b/>
      <w:bCs/>
      <w:color w:val="333333"/>
      <w:sz w:val="28"/>
      <w:szCs w:val="28"/>
      <w:lang w:val="en-GB"/>
    </w:rPr>
  </w:style>
  <w:style w:type="paragraph" w:customStyle="1" w:styleId="ECHRHeading3">
    <w:name w:val="ECHR_Heading_3"/>
    <w:aliases w:val="Ju_H_1."/>
    <w:basedOn w:val="Titolo3"/>
    <w:next w:val="ECHRPara"/>
    <w:uiPriority w:val="21"/>
    <w:qFormat/>
    <w:rsid w:val="00A046D8"/>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A046D8"/>
    <w:pPr>
      <w:keepNext/>
      <w:keepLines/>
      <w:tabs>
        <w:tab w:val="left" w:pos="975"/>
      </w:tabs>
      <w:spacing w:before="240" w:after="120"/>
      <w:ind w:left="975" w:hanging="340"/>
    </w:pPr>
    <w:rPr>
      <w:i w:val="0"/>
      <w:color w:val="auto"/>
      <w:sz w:val="20"/>
    </w:rPr>
  </w:style>
  <w:style w:type="character" w:customStyle="1" w:styleId="Titolo2Carattere">
    <w:name w:val="Titolo 2 Carattere"/>
    <w:basedOn w:val="Carpredefinitoparagrafo"/>
    <w:link w:val="Titolo2"/>
    <w:uiPriority w:val="99"/>
    <w:semiHidden/>
    <w:rsid w:val="00A046D8"/>
    <w:rPr>
      <w:rFonts w:asciiTheme="majorHAnsi" w:eastAsiaTheme="majorEastAsia" w:hAnsiTheme="majorHAnsi" w:cstheme="majorBidi"/>
      <w:b/>
      <w:bCs/>
      <w:color w:val="4D4D4D"/>
      <w:sz w:val="26"/>
      <w:szCs w:val="26"/>
      <w:lang w:val="en-GB"/>
    </w:rPr>
  </w:style>
  <w:style w:type="paragraph" w:customStyle="1" w:styleId="ECHRHeading5">
    <w:name w:val="ECHR_Heading_5"/>
    <w:aliases w:val="Ju_H_i"/>
    <w:basedOn w:val="Titolo5"/>
    <w:next w:val="ECHRPara"/>
    <w:uiPriority w:val="23"/>
    <w:qFormat/>
    <w:rsid w:val="00A046D8"/>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A046D8"/>
    <w:pPr>
      <w:keepNext/>
      <w:keepLines/>
      <w:tabs>
        <w:tab w:val="left" w:pos="1372"/>
      </w:tabs>
      <w:spacing w:before="240" w:after="120" w:line="240" w:lineRule="auto"/>
      <w:ind w:left="1373" w:hanging="335"/>
    </w:pPr>
    <w:rPr>
      <w:b w:val="0"/>
      <w:i w:val="0"/>
      <w:color w:val="auto"/>
      <w:sz w:val="20"/>
    </w:rPr>
  </w:style>
  <w:style w:type="character" w:customStyle="1" w:styleId="Titolo3Carattere">
    <w:name w:val="Titolo 3 Carattere"/>
    <w:basedOn w:val="Carpredefinitoparagrafo"/>
    <w:link w:val="Titolo3"/>
    <w:uiPriority w:val="99"/>
    <w:semiHidden/>
    <w:rsid w:val="00A046D8"/>
    <w:rPr>
      <w:rFonts w:asciiTheme="majorHAnsi" w:eastAsiaTheme="majorEastAsia" w:hAnsiTheme="majorHAnsi" w:cstheme="majorBidi"/>
      <w:b/>
      <w:bCs/>
      <w:color w:val="5F5F5F"/>
      <w:sz w:val="24"/>
      <w:lang w:val="en-GB"/>
    </w:rPr>
  </w:style>
  <w:style w:type="paragraph" w:customStyle="1" w:styleId="ECHRHeading7">
    <w:name w:val="ECHR_Heading_7"/>
    <w:aliases w:val="Ju_H_–"/>
    <w:basedOn w:val="Titolo7"/>
    <w:next w:val="ECHRPara"/>
    <w:uiPriority w:val="25"/>
    <w:qFormat/>
    <w:rsid w:val="00A046D8"/>
    <w:pPr>
      <w:keepNext/>
      <w:keepLines/>
      <w:spacing w:before="240" w:after="120"/>
      <w:ind w:left="1236"/>
    </w:pPr>
    <w:rPr>
      <w:sz w:val="20"/>
      <w:lang w:val="en-GB"/>
    </w:rPr>
  </w:style>
  <w:style w:type="paragraph" w:customStyle="1" w:styleId="JuParaLast">
    <w:name w:val="Ju_Para_Last"/>
    <w:basedOn w:val="Normale"/>
    <w:next w:val="ECHRPara"/>
    <w:uiPriority w:val="30"/>
    <w:qFormat/>
    <w:rsid w:val="00A046D8"/>
    <w:pPr>
      <w:keepNext/>
      <w:keepLines/>
      <w:spacing w:before="240"/>
      <w:ind w:firstLine="284"/>
    </w:pPr>
  </w:style>
  <w:style w:type="character" w:customStyle="1" w:styleId="Titolo4Carattere">
    <w:name w:val="Titolo 4 Carattere"/>
    <w:basedOn w:val="Carpredefinitoparagrafo"/>
    <w:link w:val="Titolo4"/>
    <w:uiPriority w:val="99"/>
    <w:semiHidden/>
    <w:rsid w:val="00A046D8"/>
    <w:rPr>
      <w:rFonts w:asciiTheme="majorHAnsi" w:eastAsiaTheme="majorEastAsia" w:hAnsiTheme="majorHAnsi" w:cstheme="majorBidi"/>
      <w:b/>
      <w:bCs/>
      <w:i/>
      <w:iCs/>
      <w:color w:val="777777"/>
      <w:sz w:val="24"/>
      <w:lang w:val="en-GB"/>
    </w:rPr>
  </w:style>
  <w:style w:type="character" w:customStyle="1" w:styleId="JuITMark">
    <w:name w:val="Ju_ITMark"/>
    <w:basedOn w:val="Carpredefinitoparagrafo"/>
    <w:uiPriority w:val="38"/>
    <w:qFormat/>
    <w:rsid w:val="00A046D8"/>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9"/>
    <w:semiHidden/>
    <w:rsid w:val="00A046D8"/>
    <w:rPr>
      <w:rFonts w:asciiTheme="majorHAnsi" w:eastAsiaTheme="majorEastAsia" w:hAnsiTheme="majorHAnsi" w:cstheme="majorBidi"/>
      <w:b/>
      <w:bCs/>
      <w:color w:val="808080"/>
    </w:rPr>
  </w:style>
  <w:style w:type="paragraph" w:customStyle="1" w:styleId="JuQuotSub">
    <w:name w:val="Ju_Quot_Sub"/>
    <w:basedOn w:val="ECHRParaQuote"/>
    <w:uiPriority w:val="15"/>
    <w:qFormat/>
    <w:rsid w:val="00A046D8"/>
    <w:pPr>
      <w:ind w:left="567"/>
    </w:pPr>
  </w:style>
  <w:style w:type="paragraph" w:customStyle="1" w:styleId="OpiH1">
    <w:name w:val="Opi_H_1"/>
    <w:basedOn w:val="ECHRHeading2"/>
    <w:uiPriority w:val="42"/>
    <w:semiHidden/>
    <w:qFormat/>
    <w:rsid w:val="00A046D8"/>
    <w:pPr>
      <w:ind w:left="635" w:hanging="357"/>
      <w:outlineLvl w:val="2"/>
    </w:pPr>
  </w:style>
  <w:style w:type="character" w:styleId="Enfasidelicata">
    <w:name w:val="Subtle Emphasis"/>
    <w:uiPriority w:val="99"/>
    <w:semiHidden/>
    <w:qFormat/>
    <w:rsid w:val="00A046D8"/>
    <w:rPr>
      <w:i/>
      <w:iCs/>
    </w:rPr>
  </w:style>
  <w:style w:type="paragraph" w:customStyle="1" w:styleId="OpiHa">
    <w:name w:val="Opi_H_a"/>
    <w:basedOn w:val="ECHRHeading3"/>
    <w:uiPriority w:val="43"/>
    <w:semiHidden/>
    <w:qFormat/>
    <w:rsid w:val="00A046D8"/>
    <w:pPr>
      <w:ind w:left="833" w:hanging="357"/>
      <w:outlineLvl w:val="3"/>
    </w:pPr>
    <w:rPr>
      <w:b/>
      <w:i w:val="0"/>
      <w:sz w:val="20"/>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A046D8"/>
    <w:pPr>
      <w:keepNext/>
      <w:keepLines/>
      <w:spacing w:before="720" w:after="240"/>
      <w:outlineLvl w:val="0"/>
    </w:pPr>
    <w:rPr>
      <w:rFonts w:asciiTheme="majorHAnsi" w:hAnsiTheme="majorHAnsi"/>
      <w:sz w:val="28"/>
    </w:rPr>
  </w:style>
  <w:style w:type="paragraph" w:customStyle="1" w:styleId="OpiHA0">
    <w:name w:val="Opi_H_A"/>
    <w:basedOn w:val="ECHRHeading1"/>
    <w:next w:val="OpiPara"/>
    <w:uiPriority w:val="41"/>
    <w:semiHidden/>
    <w:qFormat/>
    <w:rsid w:val="00A046D8"/>
    <w:pPr>
      <w:tabs>
        <w:tab w:val="clear" w:pos="357"/>
      </w:tabs>
      <w:outlineLvl w:val="1"/>
    </w:pPr>
    <w:rPr>
      <w:b/>
    </w:rPr>
  </w:style>
  <w:style w:type="paragraph" w:customStyle="1" w:styleId="ECHRTitleCentre2">
    <w:name w:val="ECHR_Title_Centre_2"/>
    <w:aliases w:val="Dec_H_Case"/>
    <w:basedOn w:val="Normale"/>
    <w:next w:val="ECHRPara"/>
    <w:uiPriority w:val="8"/>
    <w:qFormat/>
    <w:rsid w:val="00A046D8"/>
    <w:pPr>
      <w:spacing w:after="240"/>
      <w:jc w:val="center"/>
      <w:outlineLvl w:val="0"/>
    </w:pPr>
    <w:rPr>
      <w:rFonts w:asciiTheme="majorHAnsi" w:hAnsiTheme="majorHAnsi"/>
    </w:rPr>
  </w:style>
  <w:style w:type="character" w:styleId="Enfasicorsivo">
    <w:name w:val="Emphasis"/>
    <w:uiPriority w:val="99"/>
    <w:semiHidden/>
    <w:qFormat/>
    <w:rsid w:val="00A046D8"/>
    <w:rPr>
      <w:b/>
      <w:bCs/>
      <w:i/>
      <w:iCs/>
      <w:spacing w:val="10"/>
      <w:bdr w:val="none" w:sz="0" w:space="0" w:color="auto"/>
      <w:shd w:val="clear" w:color="auto" w:fill="auto"/>
    </w:rPr>
  </w:style>
  <w:style w:type="paragraph" w:styleId="Pidipagina">
    <w:name w:val="footer"/>
    <w:basedOn w:val="Normale"/>
    <w:link w:val="PidipaginaCarattere"/>
    <w:uiPriority w:val="57"/>
    <w:semiHidden/>
    <w:rsid w:val="00A046D8"/>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A046D8"/>
    <w:rPr>
      <w:sz w:val="24"/>
      <w:lang w:val="en-GB"/>
    </w:rPr>
  </w:style>
  <w:style w:type="character" w:styleId="Rimandonotaapidipagina">
    <w:name w:val="footnote reference"/>
    <w:basedOn w:val="Carpredefinitoparagrafo"/>
    <w:uiPriority w:val="99"/>
    <w:semiHidden/>
    <w:rsid w:val="00A046D8"/>
    <w:rPr>
      <w:vertAlign w:val="superscript"/>
    </w:rPr>
  </w:style>
  <w:style w:type="paragraph" w:styleId="Testonotaapidipagina">
    <w:name w:val="footnote text"/>
    <w:basedOn w:val="Normale"/>
    <w:link w:val="TestonotaapidipaginaCarattere"/>
    <w:uiPriority w:val="99"/>
    <w:semiHidden/>
    <w:rsid w:val="00A046D8"/>
    <w:rPr>
      <w:sz w:val="20"/>
      <w:szCs w:val="20"/>
    </w:rPr>
  </w:style>
  <w:style w:type="character" w:customStyle="1" w:styleId="TestonotaapidipaginaCarattere">
    <w:name w:val="Testo nota a piè di pagina Carattere"/>
    <w:basedOn w:val="Carpredefinitoparagrafo"/>
    <w:link w:val="Testonotaapidipagina"/>
    <w:uiPriority w:val="99"/>
    <w:semiHidden/>
    <w:rsid w:val="00A046D8"/>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A046D8"/>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A046D8"/>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A046D8"/>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A046D8"/>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A046D8"/>
    <w:rPr>
      <w:color w:val="0072BC" w:themeColor="hyperlink"/>
      <w:u w:val="single"/>
    </w:rPr>
  </w:style>
  <w:style w:type="character" w:styleId="Enfasiintensa">
    <w:name w:val="Intense Emphasis"/>
    <w:uiPriority w:val="99"/>
    <w:semiHidden/>
    <w:qFormat/>
    <w:rsid w:val="00A046D8"/>
    <w:rPr>
      <w:b/>
      <w:bCs/>
    </w:rPr>
  </w:style>
  <w:style w:type="paragraph" w:styleId="Citazioneintensa">
    <w:name w:val="Intense Quote"/>
    <w:basedOn w:val="Normale"/>
    <w:next w:val="Normale"/>
    <w:link w:val="CitazioneintensaCarattere"/>
    <w:uiPriority w:val="99"/>
    <w:semiHidden/>
    <w:qFormat/>
    <w:rsid w:val="00A046D8"/>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A046D8"/>
    <w:rPr>
      <w:rFonts w:eastAsiaTheme="minorEastAsia"/>
      <w:b/>
      <w:bCs/>
      <w:i/>
      <w:iCs/>
      <w:lang w:bidi="en-US"/>
    </w:rPr>
  </w:style>
  <w:style w:type="character" w:styleId="Riferimentointenso">
    <w:name w:val="Intense Reference"/>
    <w:uiPriority w:val="99"/>
    <w:semiHidden/>
    <w:qFormat/>
    <w:rsid w:val="00A046D8"/>
    <w:rPr>
      <w:smallCaps/>
      <w:spacing w:val="5"/>
      <w:u w:val="single"/>
    </w:rPr>
  </w:style>
  <w:style w:type="paragraph" w:styleId="Paragrafoelenco">
    <w:name w:val="List Paragraph"/>
    <w:basedOn w:val="Normale"/>
    <w:uiPriority w:val="99"/>
    <w:semiHidden/>
    <w:qFormat/>
    <w:rsid w:val="00A046D8"/>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A046D8"/>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A046D8"/>
    <w:rPr>
      <w:rFonts w:eastAsiaTheme="minorEastAsia"/>
      <w:i/>
      <w:iCs/>
      <w:lang w:bidi="en-US"/>
    </w:rPr>
  </w:style>
  <w:style w:type="character" w:styleId="Riferimentodelicato">
    <w:name w:val="Subtle Reference"/>
    <w:uiPriority w:val="99"/>
    <w:semiHidden/>
    <w:qFormat/>
    <w:rsid w:val="00A046D8"/>
    <w:rPr>
      <w:smallCaps/>
    </w:rPr>
  </w:style>
  <w:style w:type="table" w:styleId="Grigliatabella">
    <w:name w:val="Table Grid"/>
    <w:basedOn w:val="Tabellanormale"/>
    <w:uiPriority w:val="59"/>
    <w:semiHidden/>
    <w:rsid w:val="00A046D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A046D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A046D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A046D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A046D8"/>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A046D8"/>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A046D8"/>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A046D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semiHidden/>
    <w:qFormat/>
    <w:rsid w:val="00A046D8"/>
    <w:pPr>
      <w:ind w:left="1037" w:hanging="357"/>
      <w:outlineLvl w:val="4"/>
    </w:pPr>
    <w:rPr>
      <w:b w:val="0"/>
      <w:i/>
    </w:rPr>
  </w:style>
  <w:style w:type="paragraph" w:customStyle="1" w:styleId="OpiPara">
    <w:name w:val="Opi_Para"/>
    <w:basedOn w:val="ECHRPara"/>
    <w:uiPriority w:val="46"/>
    <w:semiHidden/>
    <w:qFormat/>
    <w:rsid w:val="00A046D8"/>
  </w:style>
  <w:style w:type="paragraph" w:customStyle="1" w:styleId="OpiParaSub">
    <w:name w:val="Opi_Para_Sub"/>
    <w:basedOn w:val="JuParaSub"/>
    <w:uiPriority w:val="47"/>
    <w:semiHidden/>
    <w:qFormat/>
    <w:rsid w:val="00A046D8"/>
  </w:style>
  <w:style w:type="paragraph" w:customStyle="1" w:styleId="ECHRPara">
    <w:name w:val="ECHR_Para"/>
    <w:aliases w:val="Ju_Para,Para"/>
    <w:basedOn w:val="Normale"/>
    <w:link w:val="ECHRParaChar"/>
    <w:uiPriority w:val="12"/>
    <w:qFormat/>
    <w:rsid w:val="00A046D8"/>
    <w:pPr>
      <w:ind w:firstLine="284"/>
    </w:pPr>
  </w:style>
  <w:style w:type="paragraph" w:styleId="Sottotitolo">
    <w:name w:val="Subtitle"/>
    <w:basedOn w:val="Normale"/>
    <w:next w:val="Normale"/>
    <w:link w:val="SottotitoloCarattere"/>
    <w:uiPriority w:val="99"/>
    <w:semiHidden/>
    <w:qFormat/>
    <w:rsid w:val="00A046D8"/>
    <w:pPr>
      <w:spacing w:after="600"/>
    </w:pPr>
    <w:rPr>
      <w:rFonts w:asciiTheme="majorHAnsi" w:eastAsiaTheme="majorEastAsia" w:hAnsiTheme="majorHAnsi" w:cstheme="majorBidi"/>
      <w:i/>
      <w:iCs/>
      <w:spacing w:val="13"/>
      <w:szCs w:val="24"/>
      <w:lang w:val="en-US"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A046D8"/>
    <w:rPr>
      <w:rFonts w:asciiTheme="majorHAnsi" w:eastAsiaTheme="majorEastAsia" w:hAnsiTheme="majorHAnsi" w:cstheme="majorBidi"/>
      <w:i/>
      <w:iCs/>
      <w:spacing w:val="13"/>
      <w:sz w:val="24"/>
      <w:szCs w:val="24"/>
      <w:lang w:bidi="en-US"/>
    </w:r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046D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A71632"/>
    <w:pPr>
      <w:numPr>
        <w:numId w:val="3"/>
      </w:numPr>
    </w:pPr>
  </w:style>
  <w:style w:type="numbering" w:styleId="1ai">
    <w:name w:val="Outline List 1"/>
    <w:basedOn w:val="Nessunelenco"/>
    <w:semiHidden/>
    <w:unhideWhenUsed/>
    <w:rsid w:val="00A71632"/>
    <w:pPr>
      <w:numPr>
        <w:numId w:val="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A71632"/>
    <w:pPr>
      <w:numPr>
        <w:numId w:val="5"/>
      </w:numPr>
    </w:pPr>
  </w:style>
  <w:style w:type="paragraph" w:styleId="Bibliografia">
    <w:name w:val="Bibliography"/>
    <w:basedOn w:val="Normale"/>
    <w:next w:val="Normale"/>
    <w:uiPriority w:val="99"/>
    <w:semiHidden/>
    <w:rsid w:val="00A71632"/>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A046D8"/>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A71632"/>
    <w:rPr>
      <w:rFonts w:ascii="Times New Roman" w:hAnsi="Times New Roman" w:cs="Times New Roman"/>
      <w:sz w:val="18"/>
    </w:rPr>
  </w:style>
  <w:style w:type="character" w:styleId="Rimandocommento">
    <w:name w:val="annotation reference"/>
    <w:uiPriority w:val="99"/>
    <w:semiHidden/>
    <w:rsid w:val="00A71632"/>
    <w:rPr>
      <w:sz w:val="16"/>
    </w:rPr>
  </w:style>
  <w:style w:type="paragraph" w:styleId="Testocommento">
    <w:name w:val="annotation text"/>
    <w:basedOn w:val="Normale"/>
    <w:link w:val="TestocommentoCarattere"/>
    <w:semiHidden/>
    <w:rsid w:val="00A71632"/>
    <w:rPr>
      <w:sz w:val="20"/>
    </w:rPr>
  </w:style>
  <w:style w:type="character" w:customStyle="1" w:styleId="TestocommentoCarattere">
    <w:name w:val="Testo commento Carattere"/>
    <w:basedOn w:val="Carpredefinitoparagrafo"/>
    <w:link w:val="Testocommento"/>
    <w:semiHidden/>
    <w:rsid w:val="00A71632"/>
    <w:rPr>
      <w:rFonts w:eastAsiaTheme="minorEastAsia"/>
      <w:sz w:val="20"/>
    </w:rPr>
  </w:style>
  <w:style w:type="paragraph" w:customStyle="1" w:styleId="DecHTitle">
    <w:name w:val="Dec_H_Title"/>
    <w:basedOn w:val="ECHRTitleCentre1"/>
    <w:uiPriority w:val="7"/>
    <w:qFormat/>
    <w:rsid w:val="00A046D8"/>
  </w:style>
  <w:style w:type="paragraph" w:styleId="Testodelblocco">
    <w:name w:val="Block Text"/>
    <w:basedOn w:val="Normale"/>
    <w:uiPriority w:val="99"/>
    <w:semiHidden/>
    <w:rsid w:val="00A71632"/>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Puntoelenco2">
    <w:name w:val="List Bullet 2"/>
    <w:basedOn w:val="Normale"/>
    <w:uiPriority w:val="99"/>
    <w:semiHidden/>
    <w:rsid w:val="00A71632"/>
    <w:pPr>
      <w:numPr>
        <w:numId w:val="1"/>
      </w:numPr>
      <w:tabs>
        <w:tab w:val="clear" w:pos="643"/>
        <w:tab w:val="num" w:pos="360"/>
      </w:tabs>
      <w:ind w:left="0" w:firstLine="0"/>
      <w:contextualSpacing/>
    </w:pPr>
  </w:style>
  <w:style w:type="paragraph" w:styleId="Puntoelenco3">
    <w:name w:val="List Bullet 3"/>
    <w:basedOn w:val="Normale"/>
    <w:semiHidden/>
    <w:rsid w:val="00A71632"/>
    <w:pPr>
      <w:numPr>
        <w:numId w:val="2"/>
      </w:numPr>
      <w:contextualSpacing/>
    </w:pPr>
  </w:style>
  <w:style w:type="paragraph" w:styleId="Corpotesto">
    <w:name w:val="Body Text"/>
    <w:basedOn w:val="Normale"/>
    <w:link w:val="CorpotestoCarattere"/>
    <w:semiHidden/>
    <w:rsid w:val="00A71632"/>
    <w:pPr>
      <w:spacing w:after="120"/>
    </w:pPr>
  </w:style>
  <w:style w:type="character" w:customStyle="1" w:styleId="CorpotestoCarattere">
    <w:name w:val="Corpo testo Carattere"/>
    <w:basedOn w:val="Carpredefinitoparagrafo"/>
    <w:link w:val="Corpotesto"/>
    <w:semiHidden/>
    <w:rsid w:val="00A71632"/>
    <w:rPr>
      <w:rFonts w:eastAsiaTheme="minorEastAsia"/>
      <w:sz w:val="24"/>
    </w:rPr>
  </w:style>
  <w:style w:type="paragraph" w:styleId="Corpodeltesto2">
    <w:name w:val="Body Text 2"/>
    <w:basedOn w:val="Normale"/>
    <w:link w:val="Corpodeltesto2Carattere"/>
    <w:uiPriority w:val="99"/>
    <w:semiHidden/>
    <w:rsid w:val="00A71632"/>
    <w:pPr>
      <w:spacing w:after="120" w:line="480" w:lineRule="auto"/>
    </w:pPr>
  </w:style>
  <w:style w:type="character" w:customStyle="1" w:styleId="Corpodeltesto2Carattere">
    <w:name w:val="Corpo del testo 2 Carattere"/>
    <w:basedOn w:val="Carpredefinitoparagrafo"/>
    <w:link w:val="Corpodeltesto2"/>
    <w:uiPriority w:val="99"/>
    <w:semiHidden/>
    <w:rsid w:val="00A71632"/>
    <w:rPr>
      <w:rFonts w:eastAsiaTheme="minorEastAsia"/>
      <w:sz w:val="24"/>
    </w:rPr>
  </w:style>
  <w:style w:type="paragraph" w:styleId="Corpodeltesto3">
    <w:name w:val="Body Text 3"/>
    <w:basedOn w:val="Normale"/>
    <w:link w:val="Corpodeltesto3Carattere"/>
    <w:uiPriority w:val="99"/>
    <w:semiHidden/>
    <w:rsid w:val="00A7163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71632"/>
    <w:rPr>
      <w:rFonts w:eastAsiaTheme="minorEastAsia"/>
      <w:sz w:val="16"/>
      <w:szCs w:val="16"/>
    </w:rPr>
  </w:style>
  <w:style w:type="paragraph" w:styleId="Primorientrocorpodeltesto">
    <w:name w:val="Body Text First Indent"/>
    <w:basedOn w:val="Corpotesto"/>
    <w:link w:val="PrimorientrocorpodeltestoCarattere"/>
    <w:uiPriority w:val="99"/>
    <w:semiHidden/>
    <w:rsid w:val="00A71632"/>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A71632"/>
    <w:rPr>
      <w:rFonts w:eastAsiaTheme="minorEastAsia"/>
      <w:sz w:val="24"/>
    </w:rPr>
  </w:style>
  <w:style w:type="paragraph" w:styleId="Rientrocorpodeltesto">
    <w:name w:val="Body Text Indent"/>
    <w:basedOn w:val="Normale"/>
    <w:link w:val="RientrocorpodeltestoCarattere"/>
    <w:uiPriority w:val="99"/>
    <w:semiHidden/>
    <w:rsid w:val="00A7163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71632"/>
    <w:rPr>
      <w:rFonts w:eastAsiaTheme="minorEastAsia"/>
      <w:sz w:val="24"/>
    </w:rPr>
  </w:style>
  <w:style w:type="paragraph" w:styleId="Primorientrocorpodeltesto2">
    <w:name w:val="Body Text First Indent 2"/>
    <w:basedOn w:val="Rientrocorpodeltesto"/>
    <w:link w:val="Primorientrocorpodeltesto2Carattere"/>
    <w:semiHidden/>
    <w:rsid w:val="00A71632"/>
    <w:pPr>
      <w:spacing w:after="0"/>
      <w:ind w:left="360" w:firstLine="360"/>
    </w:pPr>
  </w:style>
  <w:style w:type="character" w:customStyle="1" w:styleId="Primorientrocorpodeltesto2Carattere">
    <w:name w:val="Primo rientro corpo del testo 2 Carattere"/>
    <w:basedOn w:val="RientrocorpodeltestoCarattere"/>
    <w:link w:val="Primorientrocorpodeltesto2"/>
    <w:semiHidden/>
    <w:rsid w:val="00A71632"/>
    <w:rPr>
      <w:rFonts w:eastAsiaTheme="minorEastAsia"/>
      <w:sz w:val="24"/>
    </w:rPr>
  </w:style>
  <w:style w:type="paragraph" w:styleId="Rientrocorpodeltesto2">
    <w:name w:val="Body Text Indent 2"/>
    <w:basedOn w:val="Normale"/>
    <w:link w:val="Rientrocorpodeltesto2Carattere"/>
    <w:semiHidden/>
    <w:rsid w:val="00A71632"/>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A71632"/>
    <w:rPr>
      <w:rFonts w:eastAsiaTheme="minorEastAsia"/>
      <w:sz w:val="24"/>
    </w:rPr>
  </w:style>
  <w:style w:type="paragraph" w:styleId="Rientrocorpodeltesto3">
    <w:name w:val="Body Text Indent 3"/>
    <w:basedOn w:val="Normale"/>
    <w:link w:val="Rientrocorpodeltesto3Carattere"/>
    <w:uiPriority w:val="99"/>
    <w:semiHidden/>
    <w:rsid w:val="00A7163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71632"/>
    <w:rPr>
      <w:rFonts w:eastAsiaTheme="minorEastAsia"/>
      <w:sz w:val="16"/>
      <w:szCs w:val="16"/>
    </w:rPr>
  </w:style>
  <w:style w:type="paragraph" w:styleId="Didascalia">
    <w:name w:val="caption"/>
    <w:basedOn w:val="Normale"/>
    <w:next w:val="Normale"/>
    <w:uiPriority w:val="99"/>
    <w:semiHidden/>
    <w:qFormat/>
    <w:rsid w:val="00A71632"/>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A71632"/>
    <w:pPr>
      <w:ind w:left="4252"/>
    </w:pPr>
  </w:style>
  <w:style w:type="character" w:customStyle="1" w:styleId="FormuladichiusuraCarattere">
    <w:name w:val="Formula di chiusura Carattere"/>
    <w:basedOn w:val="Carpredefinitoparagrafo"/>
    <w:link w:val="Formuladichiusura"/>
    <w:uiPriority w:val="99"/>
    <w:semiHidden/>
    <w:rsid w:val="00A71632"/>
    <w:rPr>
      <w:rFonts w:eastAsiaTheme="minorEastAsia"/>
      <w:sz w:val="24"/>
    </w:rPr>
  </w:style>
  <w:style w:type="table" w:styleId="Grigliaacolori">
    <w:name w:val="Colorful Grid"/>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A71632"/>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A71632"/>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A71632"/>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A71632"/>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A71632"/>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A71632"/>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A71632"/>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A71632"/>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A71632"/>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A71632"/>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A71632"/>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A71632"/>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A71632"/>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A71632"/>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A71632"/>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A71632"/>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A71632"/>
    <w:rPr>
      <w:b/>
      <w:bCs/>
      <w:szCs w:val="20"/>
    </w:rPr>
  </w:style>
  <w:style w:type="character" w:customStyle="1" w:styleId="SoggettocommentoCarattere">
    <w:name w:val="Soggetto commento Carattere"/>
    <w:basedOn w:val="TestocommentoCarattere"/>
    <w:link w:val="Soggettocommento"/>
    <w:semiHidden/>
    <w:rsid w:val="00A71632"/>
    <w:rPr>
      <w:rFonts w:eastAsiaTheme="minorEastAsia"/>
      <w:b/>
      <w:bCs/>
      <w:sz w:val="20"/>
      <w:szCs w:val="20"/>
    </w:rPr>
  </w:style>
  <w:style w:type="table" w:styleId="Elencoscuro">
    <w:name w:val="Dark List"/>
    <w:basedOn w:val="Tabellanormale"/>
    <w:uiPriority w:val="99"/>
    <w:semiHidden/>
    <w:rsid w:val="00A71632"/>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A71632"/>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A71632"/>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A71632"/>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A71632"/>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A71632"/>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A71632"/>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A71632"/>
  </w:style>
  <w:style w:type="character" w:customStyle="1" w:styleId="DataCarattere">
    <w:name w:val="Data Carattere"/>
    <w:basedOn w:val="Carpredefinitoparagrafo"/>
    <w:link w:val="Data"/>
    <w:uiPriority w:val="99"/>
    <w:semiHidden/>
    <w:rsid w:val="00A71632"/>
    <w:rPr>
      <w:rFonts w:eastAsiaTheme="minorEastAsia"/>
      <w:sz w:val="24"/>
    </w:rPr>
  </w:style>
  <w:style w:type="paragraph" w:styleId="Mappadocumento">
    <w:name w:val="Document Map"/>
    <w:basedOn w:val="Normale"/>
    <w:link w:val="MappadocumentoCarattere"/>
    <w:semiHidden/>
    <w:rsid w:val="00A71632"/>
    <w:rPr>
      <w:rFonts w:ascii="Tahoma" w:hAnsi="Tahoma" w:cs="Tahoma"/>
      <w:sz w:val="16"/>
      <w:szCs w:val="16"/>
    </w:rPr>
  </w:style>
  <w:style w:type="character" w:customStyle="1" w:styleId="MappadocumentoCarattere">
    <w:name w:val="Mappa documento Carattere"/>
    <w:basedOn w:val="Carpredefinitoparagrafo"/>
    <w:link w:val="Mappadocumento"/>
    <w:semiHidden/>
    <w:rsid w:val="00A71632"/>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A71632"/>
  </w:style>
  <w:style w:type="character" w:customStyle="1" w:styleId="FirmadipostaelettronicaCarattere">
    <w:name w:val="Firma di posta elettronica Carattere"/>
    <w:basedOn w:val="Carpredefinitoparagrafo"/>
    <w:link w:val="Firmadipostaelettronica"/>
    <w:uiPriority w:val="99"/>
    <w:semiHidden/>
    <w:rsid w:val="00A71632"/>
    <w:rPr>
      <w:rFonts w:eastAsiaTheme="minorEastAsia"/>
      <w:sz w:val="24"/>
    </w:rPr>
  </w:style>
  <w:style w:type="character" w:styleId="Rimandonotadichiusura">
    <w:name w:val="endnote reference"/>
    <w:basedOn w:val="Carpredefinitoparagrafo"/>
    <w:semiHidden/>
    <w:rsid w:val="00A71632"/>
    <w:rPr>
      <w:vertAlign w:val="superscript"/>
    </w:rPr>
  </w:style>
  <w:style w:type="paragraph" w:styleId="Testonotadichiusura">
    <w:name w:val="endnote text"/>
    <w:basedOn w:val="Normale"/>
    <w:link w:val="TestonotadichiusuraCarattere"/>
    <w:uiPriority w:val="99"/>
    <w:semiHidden/>
    <w:rsid w:val="00A71632"/>
    <w:rPr>
      <w:sz w:val="20"/>
      <w:szCs w:val="20"/>
    </w:rPr>
  </w:style>
  <w:style w:type="character" w:customStyle="1" w:styleId="TestonotadichiusuraCarattere">
    <w:name w:val="Testo nota di chiusura Carattere"/>
    <w:basedOn w:val="Carpredefinitoparagrafo"/>
    <w:link w:val="Testonotadichiusura"/>
    <w:uiPriority w:val="99"/>
    <w:semiHidden/>
    <w:rsid w:val="00A71632"/>
    <w:rPr>
      <w:rFonts w:eastAsiaTheme="minorEastAsia"/>
      <w:sz w:val="20"/>
      <w:szCs w:val="20"/>
    </w:rPr>
  </w:style>
  <w:style w:type="paragraph" w:styleId="Indirizzodestinatario">
    <w:name w:val="envelope address"/>
    <w:basedOn w:val="Normale"/>
    <w:uiPriority w:val="99"/>
    <w:semiHidden/>
    <w:rsid w:val="00A7163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A71632"/>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A71632"/>
    <w:rPr>
      <w:color w:val="7030A0" w:themeColor="followedHyperlink"/>
      <w:u w:val="single"/>
    </w:rPr>
  </w:style>
  <w:style w:type="character" w:styleId="AcronimoHTML">
    <w:name w:val="HTML Acronym"/>
    <w:basedOn w:val="Carpredefinitoparagrafo"/>
    <w:uiPriority w:val="99"/>
    <w:semiHidden/>
    <w:rsid w:val="00A71632"/>
  </w:style>
  <w:style w:type="paragraph" w:styleId="IndirizzoHTML">
    <w:name w:val="HTML Address"/>
    <w:basedOn w:val="Normale"/>
    <w:link w:val="IndirizzoHTMLCarattere"/>
    <w:semiHidden/>
    <w:rsid w:val="00A71632"/>
    <w:rPr>
      <w:i/>
      <w:iCs/>
    </w:rPr>
  </w:style>
  <w:style w:type="character" w:customStyle="1" w:styleId="IndirizzoHTMLCarattere">
    <w:name w:val="Indirizzo HTML Carattere"/>
    <w:basedOn w:val="Carpredefinitoparagrafo"/>
    <w:link w:val="IndirizzoHTML"/>
    <w:semiHidden/>
    <w:rsid w:val="00A71632"/>
    <w:rPr>
      <w:rFonts w:eastAsiaTheme="minorEastAsia"/>
      <w:i/>
      <w:iCs/>
      <w:sz w:val="24"/>
    </w:rPr>
  </w:style>
  <w:style w:type="character" w:styleId="CitazioneHTML">
    <w:name w:val="HTML Cite"/>
    <w:basedOn w:val="Carpredefinitoparagrafo"/>
    <w:uiPriority w:val="99"/>
    <w:semiHidden/>
    <w:rsid w:val="00A71632"/>
    <w:rPr>
      <w:i/>
      <w:iCs/>
    </w:rPr>
  </w:style>
  <w:style w:type="character" w:styleId="CodiceHTML">
    <w:name w:val="HTML Code"/>
    <w:basedOn w:val="Carpredefinitoparagrafo"/>
    <w:uiPriority w:val="99"/>
    <w:semiHidden/>
    <w:rsid w:val="00A71632"/>
    <w:rPr>
      <w:rFonts w:ascii="Consolas" w:hAnsi="Consolas" w:cs="Consolas"/>
      <w:sz w:val="20"/>
      <w:szCs w:val="20"/>
    </w:rPr>
  </w:style>
  <w:style w:type="character" w:styleId="DefinizioneHTML">
    <w:name w:val="HTML Definition"/>
    <w:basedOn w:val="Carpredefinitoparagrafo"/>
    <w:uiPriority w:val="99"/>
    <w:semiHidden/>
    <w:rsid w:val="00A71632"/>
    <w:rPr>
      <w:i/>
      <w:iCs/>
    </w:rPr>
  </w:style>
  <w:style w:type="character" w:styleId="TastieraHTML">
    <w:name w:val="HTML Keyboard"/>
    <w:basedOn w:val="Carpredefinitoparagrafo"/>
    <w:semiHidden/>
    <w:rsid w:val="00A71632"/>
    <w:rPr>
      <w:rFonts w:ascii="Consolas" w:hAnsi="Consolas" w:cs="Consolas"/>
      <w:sz w:val="20"/>
      <w:szCs w:val="20"/>
    </w:rPr>
  </w:style>
  <w:style w:type="paragraph" w:styleId="PreformattatoHTML">
    <w:name w:val="HTML Preformatted"/>
    <w:basedOn w:val="Normale"/>
    <w:link w:val="PreformattatoHTMLCarattere"/>
    <w:uiPriority w:val="99"/>
    <w:semiHidden/>
    <w:rsid w:val="00A7163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A71632"/>
    <w:rPr>
      <w:rFonts w:ascii="Consolas" w:eastAsiaTheme="minorEastAsia" w:hAnsi="Consolas" w:cs="Consolas"/>
      <w:sz w:val="20"/>
      <w:szCs w:val="20"/>
    </w:rPr>
  </w:style>
  <w:style w:type="character" w:styleId="EsempioHTML">
    <w:name w:val="HTML Sample"/>
    <w:basedOn w:val="Carpredefinitoparagrafo"/>
    <w:semiHidden/>
    <w:rsid w:val="00A71632"/>
    <w:rPr>
      <w:rFonts w:ascii="Consolas" w:hAnsi="Consolas" w:cs="Consolas"/>
      <w:sz w:val="24"/>
      <w:szCs w:val="24"/>
    </w:rPr>
  </w:style>
  <w:style w:type="character" w:styleId="MacchinadascrivereHTML">
    <w:name w:val="HTML Typewriter"/>
    <w:basedOn w:val="Carpredefinitoparagrafo"/>
    <w:uiPriority w:val="99"/>
    <w:semiHidden/>
    <w:rsid w:val="00A71632"/>
    <w:rPr>
      <w:rFonts w:ascii="Consolas" w:hAnsi="Consolas" w:cs="Consolas"/>
      <w:sz w:val="20"/>
      <w:szCs w:val="20"/>
    </w:rPr>
  </w:style>
  <w:style w:type="character" w:styleId="VariabileHTML">
    <w:name w:val="HTML Variable"/>
    <w:basedOn w:val="Carpredefinitoparagrafo"/>
    <w:semiHidden/>
    <w:rsid w:val="00A71632"/>
    <w:rPr>
      <w:i/>
      <w:iCs/>
    </w:rPr>
  </w:style>
  <w:style w:type="paragraph" w:styleId="Indice1">
    <w:name w:val="index 1"/>
    <w:basedOn w:val="Normale"/>
    <w:next w:val="Normale"/>
    <w:autoRedefine/>
    <w:uiPriority w:val="99"/>
    <w:semiHidden/>
    <w:rsid w:val="00A71632"/>
    <w:pPr>
      <w:ind w:left="240" w:hanging="240"/>
    </w:pPr>
  </w:style>
  <w:style w:type="paragraph" w:styleId="Indice2">
    <w:name w:val="index 2"/>
    <w:basedOn w:val="Normale"/>
    <w:next w:val="Normale"/>
    <w:autoRedefine/>
    <w:semiHidden/>
    <w:rsid w:val="00A71632"/>
    <w:pPr>
      <w:ind w:left="480" w:hanging="240"/>
    </w:pPr>
  </w:style>
  <w:style w:type="paragraph" w:styleId="Indice3">
    <w:name w:val="index 3"/>
    <w:basedOn w:val="Normale"/>
    <w:next w:val="Normale"/>
    <w:autoRedefine/>
    <w:uiPriority w:val="99"/>
    <w:semiHidden/>
    <w:rsid w:val="00A71632"/>
    <w:pPr>
      <w:ind w:left="720" w:hanging="240"/>
    </w:pPr>
  </w:style>
  <w:style w:type="paragraph" w:styleId="Indice4">
    <w:name w:val="index 4"/>
    <w:basedOn w:val="Normale"/>
    <w:next w:val="Normale"/>
    <w:autoRedefine/>
    <w:uiPriority w:val="99"/>
    <w:semiHidden/>
    <w:rsid w:val="00A71632"/>
    <w:pPr>
      <w:ind w:left="960" w:hanging="240"/>
    </w:pPr>
  </w:style>
  <w:style w:type="paragraph" w:styleId="Indice5">
    <w:name w:val="index 5"/>
    <w:basedOn w:val="Normale"/>
    <w:next w:val="Normale"/>
    <w:autoRedefine/>
    <w:uiPriority w:val="99"/>
    <w:semiHidden/>
    <w:rsid w:val="00A71632"/>
    <w:pPr>
      <w:ind w:left="1200" w:hanging="240"/>
    </w:pPr>
  </w:style>
  <w:style w:type="paragraph" w:styleId="Indice6">
    <w:name w:val="index 6"/>
    <w:basedOn w:val="Normale"/>
    <w:next w:val="Normale"/>
    <w:autoRedefine/>
    <w:semiHidden/>
    <w:rsid w:val="00A71632"/>
    <w:pPr>
      <w:ind w:left="1440" w:hanging="240"/>
    </w:pPr>
  </w:style>
  <w:style w:type="paragraph" w:styleId="Indice7">
    <w:name w:val="index 7"/>
    <w:basedOn w:val="Normale"/>
    <w:next w:val="Normale"/>
    <w:autoRedefine/>
    <w:uiPriority w:val="99"/>
    <w:semiHidden/>
    <w:rsid w:val="00A71632"/>
    <w:pPr>
      <w:ind w:left="1680" w:hanging="240"/>
    </w:pPr>
  </w:style>
  <w:style w:type="paragraph" w:styleId="Indice8">
    <w:name w:val="index 8"/>
    <w:basedOn w:val="Normale"/>
    <w:next w:val="Normale"/>
    <w:autoRedefine/>
    <w:semiHidden/>
    <w:rsid w:val="00A71632"/>
    <w:pPr>
      <w:ind w:left="1920" w:hanging="240"/>
    </w:pPr>
  </w:style>
  <w:style w:type="paragraph" w:styleId="Indice9">
    <w:name w:val="index 9"/>
    <w:basedOn w:val="Normale"/>
    <w:next w:val="Normale"/>
    <w:autoRedefine/>
    <w:uiPriority w:val="99"/>
    <w:semiHidden/>
    <w:rsid w:val="00A71632"/>
    <w:pPr>
      <w:ind w:left="2160" w:hanging="240"/>
    </w:pPr>
  </w:style>
  <w:style w:type="paragraph" w:styleId="Titoloindice">
    <w:name w:val="index heading"/>
    <w:basedOn w:val="Normale"/>
    <w:next w:val="Indice1"/>
    <w:semiHidden/>
    <w:rsid w:val="00A71632"/>
    <w:rPr>
      <w:rFonts w:asciiTheme="majorHAnsi" w:eastAsiaTheme="majorEastAsia" w:hAnsiTheme="majorHAnsi" w:cstheme="majorBidi"/>
      <w:b/>
      <w:bCs/>
    </w:rPr>
  </w:style>
  <w:style w:type="table" w:styleId="Grigliachiara">
    <w:name w:val="Light Grid"/>
    <w:basedOn w:val="Tabellanormale"/>
    <w:uiPriority w:val="99"/>
    <w:semiHidden/>
    <w:rsid w:val="00A716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A7163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A7163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A7163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A7163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A7163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A7163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A716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A7163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A7163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A7163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A7163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A7163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A7163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A716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A71632"/>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A71632"/>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A71632"/>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A71632"/>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A71632"/>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A71632"/>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A71632"/>
  </w:style>
  <w:style w:type="paragraph" w:styleId="Elenco">
    <w:name w:val="List"/>
    <w:basedOn w:val="Normale"/>
    <w:uiPriority w:val="99"/>
    <w:semiHidden/>
    <w:rsid w:val="00A71632"/>
    <w:pPr>
      <w:ind w:left="283" w:hanging="283"/>
      <w:contextualSpacing/>
    </w:pPr>
  </w:style>
  <w:style w:type="paragraph" w:styleId="Elenco2">
    <w:name w:val="List 2"/>
    <w:basedOn w:val="Normale"/>
    <w:semiHidden/>
    <w:rsid w:val="00A71632"/>
    <w:pPr>
      <w:ind w:left="566" w:hanging="283"/>
      <w:contextualSpacing/>
    </w:pPr>
  </w:style>
  <w:style w:type="paragraph" w:styleId="Elenco3">
    <w:name w:val="List 3"/>
    <w:basedOn w:val="Normale"/>
    <w:uiPriority w:val="99"/>
    <w:semiHidden/>
    <w:rsid w:val="00A71632"/>
    <w:pPr>
      <w:ind w:left="849" w:hanging="283"/>
      <w:contextualSpacing/>
    </w:pPr>
  </w:style>
  <w:style w:type="paragraph" w:styleId="Elenco4">
    <w:name w:val="List 4"/>
    <w:basedOn w:val="Normale"/>
    <w:semiHidden/>
    <w:rsid w:val="00A71632"/>
    <w:pPr>
      <w:ind w:left="1132" w:hanging="283"/>
      <w:contextualSpacing/>
    </w:pPr>
  </w:style>
  <w:style w:type="paragraph" w:styleId="Elenco5">
    <w:name w:val="List 5"/>
    <w:basedOn w:val="Normale"/>
    <w:uiPriority w:val="99"/>
    <w:semiHidden/>
    <w:rsid w:val="00A71632"/>
    <w:pPr>
      <w:ind w:left="1415" w:hanging="283"/>
      <w:contextualSpacing/>
    </w:pPr>
  </w:style>
  <w:style w:type="paragraph" w:styleId="Puntoelenco">
    <w:name w:val="List Bullet"/>
    <w:basedOn w:val="Normale"/>
    <w:uiPriority w:val="99"/>
    <w:semiHidden/>
    <w:rsid w:val="00A71632"/>
    <w:pPr>
      <w:numPr>
        <w:numId w:val="6"/>
      </w:numPr>
      <w:contextualSpacing/>
    </w:pPr>
  </w:style>
  <w:style w:type="paragraph" w:styleId="Puntoelenco4">
    <w:name w:val="List Bullet 4"/>
    <w:basedOn w:val="Normale"/>
    <w:uiPriority w:val="99"/>
    <w:semiHidden/>
    <w:rsid w:val="00A71632"/>
    <w:pPr>
      <w:numPr>
        <w:numId w:val="7"/>
      </w:numPr>
      <w:contextualSpacing/>
    </w:pPr>
  </w:style>
  <w:style w:type="paragraph" w:styleId="Puntoelenco5">
    <w:name w:val="List Bullet 5"/>
    <w:basedOn w:val="Normale"/>
    <w:semiHidden/>
    <w:rsid w:val="00A71632"/>
    <w:pPr>
      <w:numPr>
        <w:numId w:val="8"/>
      </w:numPr>
      <w:contextualSpacing/>
    </w:pPr>
  </w:style>
  <w:style w:type="paragraph" w:styleId="Elencocontinua">
    <w:name w:val="List Continue"/>
    <w:basedOn w:val="Normale"/>
    <w:uiPriority w:val="99"/>
    <w:semiHidden/>
    <w:rsid w:val="00A71632"/>
    <w:pPr>
      <w:spacing w:after="120"/>
      <w:ind w:left="283"/>
      <w:contextualSpacing/>
    </w:pPr>
  </w:style>
  <w:style w:type="paragraph" w:styleId="Elencocontinua2">
    <w:name w:val="List Continue 2"/>
    <w:basedOn w:val="Normale"/>
    <w:semiHidden/>
    <w:rsid w:val="00A71632"/>
    <w:pPr>
      <w:spacing w:after="120"/>
      <w:ind w:left="566"/>
      <w:contextualSpacing/>
    </w:pPr>
  </w:style>
  <w:style w:type="paragraph" w:styleId="Elencocontinua3">
    <w:name w:val="List Continue 3"/>
    <w:basedOn w:val="Normale"/>
    <w:uiPriority w:val="99"/>
    <w:semiHidden/>
    <w:rsid w:val="00A71632"/>
    <w:pPr>
      <w:spacing w:after="120"/>
      <w:ind w:left="849"/>
      <w:contextualSpacing/>
    </w:pPr>
  </w:style>
  <w:style w:type="paragraph" w:styleId="Elencocontinua4">
    <w:name w:val="List Continue 4"/>
    <w:basedOn w:val="Normale"/>
    <w:uiPriority w:val="99"/>
    <w:semiHidden/>
    <w:rsid w:val="00A71632"/>
    <w:pPr>
      <w:spacing w:after="120"/>
      <w:ind w:left="1132"/>
      <w:contextualSpacing/>
    </w:pPr>
  </w:style>
  <w:style w:type="paragraph" w:styleId="Elencocontinua5">
    <w:name w:val="List Continue 5"/>
    <w:basedOn w:val="Normale"/>
    <w:uiPriority w:val="99"/>
    <w:semiHidden/>
    <w:rsid w:val="00A71632"/>
    <w:pPr>
      <w:spacing w:after="120"/>
      <w:ind w:left="1415"/>
      <w:contextualSpacing/>
    </w:pPr>
  </w:style>
  <w:style w:type="paragraph" w:styleId="Numeroelenco">
    <w:name w:val="List Number"/>
    <w:basedOn w:val="Normale"/>
    <w:semiHidden/>
    <w:rsid w:val="00A71632"/>
    <w:pPr>
      <w:numPr>
        <w:numId w:val="9"/>
      </w:numPr>
      <w:contextualSpacing/>
    </w:pPr>
  </w:style>
  <w:style w:type="paragraph" w:styleId="Numeroelenco2">
    <w:name w:val="List Number 2"/>
    <w:basedOn w:val="Normale"/>
    <w:uiPriority w:val="99"/>
    <w:semiHidden/>
    <w:rsid w:val="00A71632"/>
    <w:pPr>
      <w:numPr>
        <w:numId w:val="10"/>
      </w:numPr>
      <w:contextualSpacing/>
    </w:pPr>
  </w:style>
  <w:style w:type="paragraph" w:styleId="Numeroelenco3">
    <w:name w:val="List Number 3"/>
    <w:basedOn w:val="Normale"/>
    <w:semiHidden/>
    <w:rsid w:val="00A71632"/>
    <w:pPr>
      <w:numPr>
        <w:numId w:val="11"/>
      </w:numPr>
      <w:contextualSpacing/>
    </w:pPr>
  </w:style>
  <w:style w:type="paragraph" w:styleId="Numeroelenco4">
    <w:name w:val="List Number 4"/>
    <w:basedOn w:val="Normale"/>
    <w:uiPriority w:val="99"/>
    <w:semiHidden/>
    <w:rsid w:val="00A71632"/>
    <w:pPr>
      <w:numPr>
        <w:numId w:val="12"/>
      </w:numPr>
      <w:contextualSpacing/>
    </w:pPr>
  </w:style>
  <w:style w:type="paragraph" w:styleId="Numeroelenco5">
    <w:name w:val="List Number 5"/>
    <w:basedOn w:val="Normale"/>
    <w:semiHidden/>
    <w:rsid w:val="00A71632"/>
    <w:pPr>
      <w:numPr>
        <w:numId w:val="13"/>
      </w:numPr>
      <w:contextualSpacing/>
    </w:pPr>
  </w:style>
  <w:style w:type="paragraph" w:styleId="Testomacro">
    <w:name w:val="macro"/>
    <w:link w:val="TestomacroCarattere"/>
    <w:uiPriority w:val="99"/>
    <w:semiHidden/>
    <w:rsid w:val="00A7163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A71632"/>
    <w:rPr>
      <w:rFonts w:ascii="Consolas" w:eastAsiaTheme="minorEastAsia" w:hAnsi="Consolas" w:cs="Consolas"/>
      <w:sz w:val="20"/>
      <w:szCs w:val="20"/>
    </w:rPr>
  </w:style>
  <w:style w:type="table" w:styleId="Grigliamedia1">
    <w:name w:val="Medium Grid 1"/>
    <w:basedOn w:val="Tabellanormale"/>
    <w:uiPriority w:val="67"/>
    <w:semiHidden/>
    <w:rsid w:val="00A7163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A7163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A7163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A7163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A7163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A7163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A7163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A7163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A71632"/>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A71632"/>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A71632"/>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A71632"/>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A71632"/>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A71632"/>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A7163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A7163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A7163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A7163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A7163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A7163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A7163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A7163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A71632"/>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A71632"/>
    <w:rPr>
      <w:rFonts w:ascii="Times New Roman" w:hAnsi="Times New Roman" w:cs="Times New Roman"/>
      <w:szCs w:val="24"/>
    </w:rPr>
  </w:style>
  <w:style w:type="paragraph" w:styleId="Rientronormale">
    <w:name w:val="Normal Indent"/>
    <w:basedOn w:val="Normale"/>
    <w:uiPriority w:val="99"/>
    <w:semiHidden/>
    <w:rsid w:val="00A71632"/>
    <w:pPr>
      <w:ind w:left="720"/>
    </w:pPr>
  </w:style>
  <w:style w:type="paragraph" w:styleId="Intestazionenota">
    <w:name w:val="Note Heading"/>
    <w:basedOn w:val="Normale"/>
    <w:next w:val="Normale"/>
    <w:link w:val="IntestazionenotaCarattere"/>
    <w:uiPriority w:val="99"/>
    <w:semiHidden/>
    <w:rsid w:val="00A71632"/>
  </w:style>
  <w:style w:type="character" w:customStyle="1" w:styleId="IntestazionenotaCarattere">
    <w:name w:val="Intestazione nota Carattere"/>
    <w:basedOn w:val="Carpredefinitoparagrafo"/>
    <w:link w:val="Intestazionenota"/>
    <w:uiPriority w:val="99"/>
    <w:semiHidden/>
    <w:rsid w:val="00A71632"/>
    <w:rPr>
      <w:rFonts w:eastAsiaTheme="minorEastAsia"/>
      <w:sz w:val="24"/>
    </w:rPr>
  </w:style>
  <w:style w:type="character" w:styleId="Testosegnaposto">
    <w:name w:val="Placeholder Text"/>
    <w:basedOn w:val="Carpredefinitoparagrafo"/>
    <w:uiPriority w:val="99"/>
    <w:semiHidden/>
    <w:rsid w:val="00A046D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A71632"/>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A71632"/>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A71632"/>
  </w:style>
  <w:style w:type="character" w:customStyle="1" w:styleId="FormuladiaperturaCarattere">
    <w:name w:val="Formula di apertura Carattere"/>
    <w:basedOn w:val="Carpredefinitoparagrafo"/>
    <w:link w:val="Formuladiapertura"/>
    <w:uiPriority w:val="99"/>
    <w:semiHidden/>
    <w:rsid w:val="00A71632"/>
    <w:rPr>
      <w:rFonts w:eastAsiaTheme="minorEastAsia"/>
      <w:sz w:val="24"/>
    </w:rPr>
  </w:style>
  <w:style w:type="paragraph" w:styleId="Firma">
    <w:name w:val="Signature"/>
    <w:basedOn w:val="Normale"/>
    <w:link w:val="FirmaCarattere"/>
    <w:uiPriority w:val="99"/>
    <w:semiHidden/>
    <w:rsid w:val="00A71632"/>
    <w:pPr>
      <w:ind w:left="4252"/>
    </w:pPr>
  </w:style>
  <w:style w:type="character" w:customStyle="1" w:styleId="FirmaCarattere">
    <w:name w:val="Firma Carattere"/>
    <w:basedOn w:val="Carpredefinitoparagrafo"/>
    <w:link w:val="Firma"/>
    <w:uiPriority w:val="99"/>
    <w:semiHidden/>
    <w:rsid w:val="00A71632"/>
    <w:rPr>
      <w:rFonts w:eastAsiaTheme="minorEastAsia"/>
      <w:sz w:val="24"/>
    </w:rPr>
  </w:style>
  <w:style w:type="table" w:styleId="Tabellaeffetti3D1">
    <w:name w:val="Table 3D effects 1"/>
    <w:basedOn w:val="Tabellanormale"/>
    <w:uiPriority w:val="99"/>
    <w:semiHidden/>
    <w:unhideWhenUsed/>
    <w:rsid w:val="00A7163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A7163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A7163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A7163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A7163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A7163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A7163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A7163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A7163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A7163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A7163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A7163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A7163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A7163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A7163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A7163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A7163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A7163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A7163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A7163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A7163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A7163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A7163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A7163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A7163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A7163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A7163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A7163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A7163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A7163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A7163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A7163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A7163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A71632"/>
    <w:pPr>
      <w:ind w:left="240" w:hanging="240"/>
    </w:pPr>
  </w:style>
  <w:style w:type="paragraph" w:styleId="Indicedellefigure">
    <w:name w:val="table of figures"/>
    <w:basedOn w:val="Normale"/>
    <w:next w:val="Normale"/>
    <w:uiPriority w:val="99"/>
    <w:semiHidden/>
    <w:rsid w:val="00A71632"/>
  </w:style>
  <w:style w:type="table" w:styleId="Tabellaprofessionale">
    <w:name w:val="Table Professional"/>
    <w:basedOn w:val="Tabellanormale"/>
    <w:uiPriority w:val="99"/>
    <w:semiHidden/>
    <w:unhideWhenUsed/>
    <w:rsid w:val="00A7163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A7163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A7163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A7163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A7163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A7163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A716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A7163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A7163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A7163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A046D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A046D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A71632"/>
    <w:pPr>
      <w:spacing w:after="100"/>
      <w:ind w:left="1680"/>
    </w:pPr>
  </w:style>
  <w:style w:type="paragraph" w:styleId="Sommario9">
    <w:name w:val="toc 9"/>
    <w:basedOn w:val="Normale"/>
    <w:next w:val="Normale"/>
    <w:autoRedefine/>
    <w:uiPriority w:val="99"/>
    <w:semiHidden/>
    <w:rsid w:val="00A71632"/>
    <w:pPr>
      <w:spacing w:after="100"/>
      <w:ind w:left="1920"/>
    </w:pPr>
  </w:style>
  <w:style w:type="paragraph" w:customStyle="1" w:styleId="OpiQuot">
    <w:name w:val="Opi_Quot"/>
    <w:basedOn w:val="ECHRParaQuote"/>
    <w:uiPriority w:val="48"/>
    <w:semiHidden/>
    <w:qFormat/>
    <w:rsid w:val="00A046D8"/>
  </w:style>
  <w:style w:type="paragraph" w:customStyle="1" w:styleId="OpiQuotSub">
    <w:name w:val="Opi_Quot_Sub"/>
    <w:basedOn w:val="JuQuotSub"/>
    <w:uiPriority w:val="49"/>
    <w:semiHidden/>
    <w:qFormat/>
    <w:rsid w:val="00A046D8"/>
  </w:style>
  <w:style w:type="paragraph" w:customStyle="1" w:styleId="OpiTranslation">
    <w:name w:val="Opi_Translation"/>
    <w:basedOn w:val="Normale"/>
    <w:next w:val="OpiPara"/>
    <w:uiPriority w:val="40"/>
    <w:semiHidden/>
    <w:qFormat/>
    <w:rsid w:val="00A046D8"/>
    <w:pPr>
      <w:jc w:val="center"/>
      <w:outlineLvl w:val="0"/>
    </w:pPr>
    <w:rPr>
      <w:i/>
    </w:rPr>
  </w:style>
  <w:style w:type="paragraph" w:customStyle="1" w:styleId="JuHeaderLandscape">
    <w:name w:val="Ju_Header_Landscape"/>
    <w:basedOn w:val="ECHRHeader"/>
    <w:uiPriority w:val="4"/>
    <w:qFormat/>
    <w:rsid w:val="00A046D8"/>
    <w:pPr>
      <w:tabs>
        <w:tab w:val="clear" w:pos="3686"/>
        <w:tab w:val="clear" w:pos="7371"/>
        <w:tab w:val="center" w:pos="6146"/>
        <w:tab w:val="right" w:pos="12293"/>
      </w:tabs>
    </w:pPr>
  </w:style>
  <w:style w:type="numbering" w:customStyle="1" w:styleId="ECHRA1StyleBulletedSquare">
    <w:name w:val="ECHR_A1_Style_Bulleted_Square"/>
    <w:basedOn w:val="Nessunelenco"/>
    <w:rsid w:val="00A046D8"/>
    <w:pPr>
      <w:numPr>
        <w:numId w:val="29"/>
      </w:numPr>
    </w:pPr>
  </w:style>
  <w:style w:type="numbering" w:customStyle="1" w:styleId="ECHRA1StyleNumberedList">
    <w:name w:val="ECHR_A1_Style_Numbered_List"/>
    <w:basedOn w:val="Nessunelenco"/>
    <w:rsid w:val="00A046D8"/>
    <w:pPr>
      <w:numPr>
        <w:numId w:val="30"/>
      </w:numPr>
    </w:pPr>
  </w:style>
  <w:style w:type="paragraph" w:customStyle="1" w:styleId="ECHRBullet1">
    <w:name w:val="ECHR_Bullet_1"/>
    <w:aliases w:val="Bul_1"/>
    <w:basedOn w:val="Normale"/>
    <w:uiPriority w:val="11"/>
    <w:rsid w:val="00A046D8"/>
    <w:pPr>
      <w:numPr>
        <w:numId w:val="29"/>
      </w:numPr>
      <w:spacing w:before="60" w:after="60"/>
    </w:pPr>
    <w:rPr>
      <w:sz w:val="22"/>
    </w:rPr>
  </w:style>
  <w:style w:type="paragraph" w:customStyle="1" w:styleId="ECHRBullet2">
    <w:name w:val="ECHR_Bullet_2"/>
    <w:aliases w:val="Bul_2"/>
    <w:basedOn w:val="ECHRBullet1"/>
    <w:uiPriority w:val="11"/>
    <w:rsid w:val="00A046D8"/>
    <w:pPr>
      <w:numPr>
        <w:ilvl w:val="1"/>
      </w:numPr>
    </w:pPr>
  </w:style>
  <w:style w:type="paragraph" w:customStyle="1" w:styleId="ECHRBullet3">
    <w:name w:val="ECHR_Bullet_3"/>
    <w:aliases w:val="Bul_3"/>
    <w:basedOn w:val="ECHRBullet2"/>
    <w:uiPriority w:val="11"/>
    <w:rsid w:val="00A046D8"/>
    <w:pPr>
      <w:numPr>
        <w:ilvl w:val="2"/>
      </w:numPr>
    </w:pPr>
  </w:style>
  <w:style w:type="paragraph" w:customStyle="1" w:styleId="ECHRBullet4">
    <w:name w:val="ECHR_Bullet_4"/>
    <w:aliases w:val="Bul_4"/>
    <w:basedOn w:val="ECHRBullet3"/>
    <w:uiPriority w:val="11"/>
    <w:rsid w:val="00A046D8"/>
    <w:pPr>
      <w:numPr>
        <w:ilvl w:val="3"/>
      </w:numPr>
    </w:pPr>
  </w:style>
  <w:style w:type="paragraph" w:customStyle="1" w:styleId="ECHRConfidential">
    <w:name w:val="ECHR_Confidential"/>
    <w:aliases w:val="Confidential"/>
    <w:basedOn w:val="ECHRPara"/>
    <w:next w:val="ECHRPara"/>
    <w:uiPriority w:val="37"/>
    <w:rsid w:val="00A046D8"/>
    <w:pPr>
      <w:ind w:firstLine="0"/>
      <w:jc w:val="right"/>
    </w:pPr>
    <w:rPr>
      <w:rFonts w:eastAsiaTheme="minorHAnsi"/>
      <w:color w:val="C00000"/>
      <w:sz w:val="20"/>
    </w:rPr>
  </w:style>
  <w:style w:type="paragraph" w:customStyle="1" w:styleId="ECHRCoverTitle1">
    <w:name w:val="ECHR_Cover_Title_1"/>
    <w:aliases w:val="Cover_1"/>
    <w:basedOn w:val="Normale"/>
    <w:next w:val="Normale"/>
    <w:uiPriority w:val="33"/>
    <w:rsid w:val="00A046D8"/>
    <w:pPr>
      <w:spacing w:before="840"/>
      <w:contextualSpacing/>
      <w:jc w:val="center"/>
    </w:pPr>
    <w:rPr>
      <w:rFonts w:eastAsiaTheme="minorHAnsi"/>
      <w:color w:val="2F2F2F" w:themeColor="accent3" w:themeShade="80"/>
      <w:sz w:val="36"/>
    </w:rPr>
  </w:style>
  <w:style w:type="paragraph" w:customStyle="1" w:styleId="ECHRCoverTitle2">
    <w:name w:val="ECHR_Cover_Title_2"/>
    <w:aliases w:val="Cover_2"/>
    <w:basedOn w:val="Normale"/>
    <w:next w:val="Normale"/>
    <w:uiPriority w:val="33"/>
    <w:rsid w:val="00A046D8"/>
    <w:pPr>
      <w:spacing w:before="600"/>
      <w:contextualSpacing/>
      <w:jc w:val="center"/>
    </w:pPr>
    <w:rPr>
      <w:rFonts w:asciiTheme="majorHAnsi" w:eastAsiaTheme="minorHAnsi" w:hAnsiTheme="majorHAnsi"/>
      <w:color w:val="474747" w:themeColor="accent3" w:themeShade="BF"/>
      <w:sz w:val="28"/>
    </w:rPr>
  </w:style>
  <w:style w:type="paragraph" w:customStyle="1" w:styleId="ECHRCoverTitle3">
    <w:name w:val="ECHR_Cover_Title_3"/>
    <w:aliases w:val="Cover_3"/>
    <w:basedOn w:val="Normale"/>
    <w:next w:val="ECHRCoverTitle4"/>
    <w:uiPriority w:val="33"/>
    <w:rsid w:val="00A046D8"/>
    <w:pPr>
      <w:spacing w:before="1080" w:after="1080"/>
      <w:contextualSpacing/>
      <w:jc w:val="center"/>
    </w:pPr>
    <w:rPr>
      <w:rFonts w:eastAsiaTheme="minorHAnsi"/>
      <w:b/>
      <w:color w:val="474747" w:themeColor="accent3" w:themeShade="BF"/>
    </w:rPr>
  </w:style>
  <w:style w:type="paragraph" w:customStyle="1" w:styleId="ECHRCoverTitle4">
    <w:name w:val="ECHR_Cover_Title_4"/>
    <w:aliases w:val="Cover_4"/>
    <w:basedOn w:val="Normale"/>
    <w:uiPriority w:val="33"/>
    <w:rsid w:val="00A046D8"/>
    <w:pPr>
      <w:tabs>
        <w:tab w:val="right" w:pos="7938"/>
      </w:tabs>
      <w:spacing w:before="120" w:after="120"/>
      <w:ind w:left="1134" w:right="1134"/>
      <w:jc w:val="left"/>
    </w:pPr>
    <w:rPr>
      <w:rFonts w:eastAsiaTheme="minorHAnsi"/>
      <w:color w:val="2F2F2F" w:themeColor="accent3" w:themeShade="80"/>
      <w:sz w:val="22"/>
    </w:rPr>
  </w:style>
  <w:style w:type="paragraph" w:customStyle="1" w:styleId="ECHRDivisionName">
    <w:name w:val="ECHR_DivisionName"/>
    <w:aliases w:val="Div_Name"/>
    <w:basedOn w:val="Normale"/>
    <w:link w:val="ECHRDivisionNameChar"/>
    <w:uiPriority w:val="36"/>
    <w:rsid w:val="00A046D8"/>
    <w:pPr>
      <w:contextualSpacing/>
      <w:jc w:val="center"/>
    </w:pPr>
    <w:rPr>
      <w:rFonts w:ascii="Arial Narrow" w:eastAsiaTheme="minorHAnsi" w:hAnsi="Arial Narrow"/>
      <w:i/>
      <w:color w:val="0072BC" w:themeColor="accent1"/>
      <w:sz w:val="32"/>
    </w:rPr>
  </w:style>
  <w:style w:type="character" w:customStyle="1" w:styleId="ECHRDivisionNameChar">
    <w:name w:val="ECHR_DivisionName Char"/>
    <w:aliases w:val="Div_Name Char"/>
    <w:basedOn w:val="Carpredefinitoparagrafo"/>
    <w:link w:val="ECHRDivisionName"/>
    <w:uiPriority w:val="36"/>
    <w:rsid w:val="00A046D8"/>
    <w:rPr>
      <w:rFonts w:ascii="Arial Narrow" w:hAnsi="Arial Narrow"/>
      <w:i/>
      <w:color w:val="0072BC" w:themeColor="accent1"/>
      <w:sz w:val="32"/>
      <w:lang w:val="en-GB"/>
    </w:rPr>
  </w:style>
  <w:style w:type="paragraph" w:customStyle="1" w:styleId="ECHRFooterLineLandscape">
    <w:name w:val="ECHR_Footer_Line_Landscape"/>
    <w:aliases w:val="Footer_Line_Landscape"/>
    <w:basedOn w:val="ECHRFooterLine"/>
    <w:uiPriority w:val="49"/>
    <w:rsid w:val="00A046D8"/>
    <w:pPr>
      <w:pBdr>
        <w:top w:val="single" w:sz="8" w:space="1" w:color="7F7F7F" w:themeColor="text1" w:themeTint="80"/>
      </w:pBdr>
      <w:tabs>
        <w:tab w:val="clear" w:pos="4536"/>
        <w:tab w:val="clear" w:pos="9696"/>
        <w:tab w:val="center" w:pos="6787"/>
        <w:tab w:val="right" w:pos="14640"/>
      </w:tabs>
    </w:pPr>
    <w:rPr>
      <w:rFonts w:eastAsiaTheme="minorHAnsi"/>
      <w:color w:val="474747" w:themeColor="accent3" w:themeShade="BF"/>
      <w:sz w:val="22"/>
    </w:rPr>
  </w:style>
  <w:style w:type="paragraph" w:customStyle="1" w:styleId="ECHRHeaderDate">
    <w:name w:val="ECHR_Header_Date"/>
    <w:aliases w:val="Ref_Date"/>
    <w:basedOn w:val="Normale"/>
    <w:uiPriority w:val="39"/>
    <w:rsid w:val="00A046D8"/>
    <w:pPr>
      <w:jc w:val="right"/>
    </w:pPr>
    <w:rPr>
      <w:rFonts w:eastAsiaTheme="minorHAnsi"/>
      <w:sz w:val="20"/>
    </w:rPr>
  </w:style>
  <w:style w:type="paragraph" w:customStyle="1" w:styleId="ECHRHeaderLandscape">
    <w:name w:val="ECHR_Header_Landscape"/>
    <w:aliases w:val="Header_Landscape"/>
    <w:basedOn w:val="Intestazione"/>
    <w:uiPriority w:val="46"/>
    <w:rsid w:val="00A046D8"/>
    <w:pPr>
      <w:tabs>
        <w:tab w:val="clear" w:pos="4536"/>
        <w:tab w:val="clear" w:pos="9072"/>
        <w:tab w:val="center" w:pos="6787"/>
        <w:tab w:val="right" w:pos="14640"/>
      </w:tabs>
      <w:ind w:left="-680" w:right="-680"/>
      <w:jc w:val="left"/>
    </w:pPr>
    <w:rPr>
      <w:sz w:val="22"/>
    </w:rPr>
  </w:style>
  <w:style w:type="paragraph" w:customStyle="1" w:styleId="ECHRHeaderRefIt">
    <w:name w:val="ECHR_Header_Ref_It"/>
    <w:aliases w:val="Ref_Ital"/>
    <w:basedOn w:val="Normale"/>
    <w:next w:val="ECHRHeaderDate"/>
    <w:uiPriority w:val="38"/>
    <w:rsid w:val="00A046D8"/>
    <w:pPr>
      <w:jc w:val="right"/>
    </w:pPr>
    <w:rPr>
      <w:rFonts w:eastAsiaTheme="minorHAnsi"/>
      <w:i/>
      <w:sz w:val="20"/>
    </w:rPr>
  </w:style>
  <w:style w:type="paragraph" w:customStyle="1" w:styleId="ECHRLine">
    <w:name w:val="ECHR_Line"/>
    <w:basedOn w:val="Normale"/>
    <w:next w:val="Normale"/>
    <w:uiPriority w:val="22"/>
    <w:rsid w:val="00A046D8"/>
    <w:pPr>
      <w:pBdr>
        <w:bottom w:val="single" w:sz="12" w:space="1" w:color="949494" w:themeColor="text2" w:themeShade="BF"/>
      </w:pBdr>
      <w:spacing w:after="120"/>
    </w:pPr>
    <w:rPr>
      <w:rFonts w:eastAsiaTheme="minorHAnsi"/>
      <w:sz w:val="12"/>
    </w:rPr>
  </w:style>
  <w:style w:type="paragraph" w:customStyle="1" w:styleId="ECHRNumberedList1">
    <w:name w:val="ECHR_Numbered_List_1"/>
    <w:aliases w:val="Num_1"/>
    <w:basedOn w:val="Normale"/>
    <w:uiPriority w:val="12"/>
    <w:rsid w:val="00A046D8"/>
    <w:pPr>
      <w:numPr>
        <w:numId w:val="30"/>
      </w:numPr>
      <w:spacing w:before="60" w:after="60"/>
      <w:jc w:val="left"/>
    </w:pPr>
    <w:rPr>
      <w:sz w:val="22"/>
    </w:rPr>
  </w:style>
  <w:style w:type="paragraph" w:customStyle="1" w:styleId="ECHRNumberedList2">
    <w:name w:val="ECHR_Numbered_List_2"/>
    <w:aliases w:val="Num_2"/>
    <w:basedOn w:val="ECHRNumberedList1"/>
    <w:uiPriority w:val="12"/>
    <w:rsid w:val="00A046D8"/>
    <w:pPr>
      <w:numPr>
        <w:ilvl w:val="1"/>
      </w:numPr>
    </w:pPr>
  </w:style>
  <w:style w:type="paragraph" w:customStyle="1" w:styleId="ECHRNumberedList3">
    <w:name w:val="ECHR_Numbered_List_3"/>
    <w:aliases w:val="Num_3"/>
    <w:basedOn w:val="ECHRNumberedList2"/>
    <w:uiPriority w:val="12"/>
    <w:rsid w:val="00A046D8"/>
    <w:pPr>
      <w:numPr>
        <w:ilvl w:val="2"/>
      </w:numPr>
    </w:pPr>
  </w:style>
  <w:style w:type="paragraph" w:customStyle="1" w:styleId="ECHRParaSpaced">
    <w:name w:val="ECHR_Para_Spaced"/>
    <w:aliases w:val="Para_Spaced"/>
    <w:basedOn w:val="ECHRPara"/>
    <w:uiPriority w:val="4"/>
    <w:rsid w:val="00A046D8"/>
    <w:pPr>
      <w:spacing w:before="120" w:after="120"/>
      <w:ind w:firstLine="0"/>
    </w:pPr>
    <w:rPr>
      <w:rFonts w:eastAsiaTheme="minorHAnsi"/>
      <w:sz w:val="22"/>
    </w:rPr>
  </w:style>
  <w:style w:type="character" w:customStyle="1" w:styleId="ECHRRed">
    <w:name w:val="ECHR_Red"/>
    <w:aliases w:val="Red"/>
    <w:basedOn w:val="Carpredefinitoparagrafo"/>
    <w:uiPriority w:val="19"/>
    <w:rsid w:val="00A046D8"/>
    <w:rPr>
      <w:color w:val="C00000" w:themeColor="accent2"/>
    </w:rPr>
  </w:style>
  <w:style w:type="paragraph" w:customStyle="1" w:styleId="ECHRSpacer">
    <w:name w:val="ECHR_Spacer"/>
    <w:basedOn w:val="Normale"/>
    <w:uiPriority w:val="45"/>
    <w:rsid w:val="00A046D8"/>
    <w:pPr>
      <w:jc w:val="left"/>
    </w:pPr>
    <w:rPr>
      <w:rFonts w:eastAsiaTheme="minorHAnsi"/>
      <w:sz w:val="4"/>
    </w:rPr>
  </w:style>
  <w:style w:type="paragraph" w:customStyle="1" w:styleId="ECHRTitle2">
    <w:name w:val="ECHR_Title_2"/>
    <w:aliases w:val="Title_L_2"/>
    <w:basedOn w:val="Normale"/>
    <w:next w:val="ECHRParaSpaced"/>
    <w:uiPriority w:val="29"/>
    <w:rsid w:val="00A046D8"/>
    <w:pPr>
      <w:keepNext/>
      <w:keepLines/>
      <w:spacing w:before="240"/>
      <w:contextualSpacing/>
      <w:jc w:val="left"/>
    </w:pPr>
    <w:rPr>
      <w:rFonts w:asciiTheme="majorHAnsi" w:eastAsiaTheme="minorHAnsi" w:hAnsiTheme="majorHAnsi"/>
      <w:b/>
      <w:color w:val="474747" w:themeColor="accent3" w:themeShade="BF"/>
      <w:sz w:val="28"/>
    </w:rPr>
  </w:style>
  <w:style w:type="paragraph" w:customStyle="1" w:styleId="ECHRTitle3">
    <w:name w:val="ECHR_Title_3"/>
    <w:aliases w:val="Title_L_3"/>
    <w:basedOn w:val="Normale"/>
    <w:next w:val="ECHRParaSpaced"/>
    <w:uiPriority w:val="29"/>
    <w:rsid w:val="00A046D8"/>
    <w:pPr>
      <w:keepNext/>
      <w:keepLines/>
      <w:spacing w:before="240"/>
      <w:contextualSpacing/>
      <w:jc w:val="left"/>
    </w:pPr>
    <w:rPr>
      <w:rFonts w:asciiTheme="majorHAnsi" w:eastAsiaTheme="minorHAnsi" w:hAnsiTheme="majorHAnsi"/>
      <w:b/>
      <w:color w:val="474747" w:themeColor="accent3" w:themeShade="BF"/>
    </w:rPr>
  </w:style>
  <w:style w:type="paragraph" w:customStyle="1" w:styleId="ECHRTitleCentreTOC1">
    <w:name w:val="ECHR_Title_Centre_TOC_1"/>
    <w:aliases w:val="Title_C_TOC"/>
    <w:basedOn w:val="ECHRTitleCentre1"/>
    <w:next w:val="ECHRHeading1"/>
    <w:uiPriority w:val="25"/>
    <w:rsid w:val="00A046D8"/>
    <w:pPr>
      <w:spacing w:before="240" w:after="0"/>
      <w:contextualSpacing/>
    </w:pPr>
    <w:rPr>
      <w:rFonts w:eastAsiaTheme="minorHAnsi"/>
      <w:b/>
      <w:color w:val="2F2F2F" w:themeColor="accent3" w:themeShade="80"/>
      <w:sz w:val="32"/>
    </w:rPr>
  </w:style>
  <w:style w:type="paragraph" w:customStyle="1" w:styleId="ECHRTitleTOC1">
    <w:name w:val="ECHR_Title_TOC_1"/>
    <w:aliases w:val="Title_L_TOC"/>
    <w:basedOn w:val="ECHRTitle1"/>
    <w:next w:val="ECHRHeading1"/>
    <w:uiPriority w:val="28"/>
    <w:rsid w:val="00A046D8"/>
    <w:pPr>
      <w:spacing w:before="240" w:after="0"/>
      <w:contextualSpacing/>
      <w:jc w:val="left"/>
    </w:pPr>
    <w:rPr>
      <w:rFonts w:eastAsiaTheme="minorHAnsi"/>
      <w:b/>
      <w:color w:val="2F2F2F" w:themeColor="accent3" w:themeShade="80"/>
      <w:sz w:val="32"/>
    </w:rPr>
  </w:style>
  <w:style w:type="paragraph" w:customStyle="1" w:styleId="ECHRParaIndent">
    <w:name w:val="ECHR_Para_Indent"/>
    <w:aliases w:val="Para_Indent"/>
    <w:basedOn w:val="ECHRParaSpaced"/>
    <w:uiPriority w:val="7"/>
    <w:rsid w:val="00A046D8"/>
    <w:pPr>
      <w:ind w:left="567"/>
    </w:pPr>
  </w:style>
  <w:style w:type="paragraph" w:customStyle="1" w:styleId="ECHRParaHanging">
    <w:name w:val="ECHR_Para_Hanging"/>
    <w:aliases w:val="Para_Hanging"/>
    <w:basedOn w:val="ECHRPara"/>
    <w:uiPriority w:val="10"/>
    <w:rsid w:val="00A046D8"/>
    <w:pPr>
      <w:ind w:left="567" w:hanging="567"/>
    </w:pPr>
    <w:rPr>
      <w:rFonts w:eastAsiaTheme="minorHAnsi"/>
      <w:sz w:val="22"/>
    </w:rPr>
  </w:style>
  <w:style w:type="table" w:customStyle="1" w:styleId="ECHRTableGrey">
    <w:name w:val="ECHR_Table_Grey"/>
    <w:basedOn w:val="Tabellanormale"/>
    <w:uiPriority w:val="99"/>
    <w:rsid w:val="00A046D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essunelenco"/>
    <w:uiPriority w:val="99"/>
    <w:rsid w:val="00A046D8"/>
    <w:pPr>
      <w:numPr>
        <w:numId w:val="32"/>
      </w:numPr>
    </w:pPr>
  </w:style>
  <w:style w:type="paragraph" w:customStyle="1" w:styleId="ECHRList1">
    <w:name w:val="ECHR_List_1"/>
    <w:aliases w:val="Num_Left_1"/>
    <w:basedOn w:val="Normale"/>
    <w:uiPriority w:val="12"/>
    <w:rsid w:val="00A046D8"/>
    <w:pPr>
      <w:numPr>
        <w:numId w:val="33"/>
      </w:numPr>
      <w:spacing w:before="60" w:after="60"/>
    </w:pPr>
    <w:rPr>
      <w:rFonts w:eastAsiaTheme="minorHAnsi"/>
      <w:sz w:val="22"/>
    </w:rPr>
  </w:style>
  <w:style w:type="paragraph" w:customStyle="1" w:styleId="ECHRList2">
    <w:name w:val="ECHR_List_2"/>
    <w:aliases w:val="Num_Left_2"/>
    <w:basedOn w:val="ECHRList1"/>
    <w:uiPriority w:val="12"/>
    <w:rsid w:val="00A046D8"/>
    <w:pPr>
      <w:numPr>
        <w:ilvl w:val="1"/>
      </w:numPr>
    </w:pPr>
  </w:style>
  <w:style w:type="paragraph" w:customStyle="1" w:styleId="ECHRList3">
    <w:name w:val="ECHR_List_3"/>
    <w:aliases w:val="Num_Left_3"/>
    <w:basedOn w:val="ECHRList2"/>
    <w:uiPriority w:val="12"/>
    <w:rsid w:val="00A046D8"/>
    <w:pPr>
      <w:numPr>
        <w:ilvl w:val="2"/>
      </w:numPr>
    </w:pPr>
  </w:style>
  <w:style w:type="table" w:customStyle="1" w:styleId="ECHRTable2016">
    <w:name w:val="ECHR_Table_2016"/>
    <w:basedOn w:val="Tabellanormale"/>
    <w:uiPriority w:val="99"/>
    <w:rsid w:val="00A046D8"/>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character" w:customStyle="1" w:styleId="ECHRParaChar">
    <w:name w:val="ECHR_Para Char"/>
    <w:aliases w:val="Ju_Para Char"/>
    <w:link w:val="ECHRPara"/>
    <w:uiPriority w:val="12"/>
    <w:rsid w:val="00A046D8"/>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0"/>
    <w:lsdException w:name="index 6" w:uiPriority="0"/>
    <w:lsdException w:name="index 8" w:uiPriority="0"/>
    <w:lsdException w:name="annotation text" w:uiPriority="0"/>
    <w:lsdException w:name="header" w:uiPriority="57"/>
    <w:lsdException w:name="footer" w:uiPriority="57"/>
    <w:lsdException w:name="index heading" w:uiPriority="0"/>
    <w:lsdException w:name="caption" w:qFormat="1"/>
    <w:lsdException w:name="envelope return" w:uiPriority="0"/>
    <w:lsdException w:name="line number" w:uiPriority="0"/>
    <w:lsdException w:name="endnote reference" w:uiPriority="0"/>
    <w:lsdException w:name="List Number" w:uiPriority="0" w:unhideWhenUsed="0"/>
    <w:lsdException w:name="List 2" w:uiPriority="0"/>
    <w:lsdException w:name="List 4" w:uiPriority="0" w:unhideWhenUsed="0"/>
    <w:lsdException w:name="List 5" w:unhideWhenUsed="0"/>
    <w:lsdException w:name="List Bullet 3" w:uiPriority="0"/>
    <w:lsdException w:name="List Bullet 5" w:uiPriority="0"/>
    <w:lsdException w:name="List Number 3" w:uiPriority="0"/>
    <w:lsdException w:name="List Number 5" w:uiPriority="0"/>
    <w:lsdException w:name="Title" w:semiHidden="0" w:unhideWhenUsed="0" w:qFormat="1"/>
    <w:lsdException w:name="Default Paragraph Font" w:uiPriority="1"/>
    <w:lsdException w:name="Body Text" w:uiPriority="0"/>
    <w:lsdException w:name="List Continue 2" w:uiPriority="0"/>
    <w:lsdException w:name="Subtitle" w:unhideWhenUsed="0" w:qFormat="1"/>
    <w:lsdException w:name="Salutation" w:unhideWhenUsed="0"/>
    <w:lsdException w:name="Date" w:unhideWhenUsed="0"/>
    <w:lsdException w:name="Body Text First Indent" w:unhideWhenUsed="0"/>
    <w:lsdException w:name="Body Text First Indent 2" w:uiPriority="0"/>
    <w:lsdException w:name="Body Text Indent 2" w:uiPriority="0"/>
    <w:lsdException w:name="Strong" w:semiHidden="0" w:unhideWhenUsed="0" w:qFormat="1"/>
    <w:lsdException w:name="Emphasis" w:semiHidden="0" w:unhideWhenUsed="0" w:qFormat="1"/>
    <w:lsdException w:name="Document Map" w:uiPriority="0"/>
    <w:lsdException w:name="HTML Address" w:uiPriority="0"/>
    <w:lsdException w:name="HTML Keyboard" w:uiPriority="0"/>
    <w:lsdException w:name="HTML Sample" w:uiPriority="0"/>
    <w:lsdException w:name="HTML Variable" w:uiPriority="0"/>
    <w:lsdException w:name="annotation subject" w:uiPriority="0"/>
    <w:lsdException w:name="Outline List 1"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iPriority="66" w:unhideWhenUsed="0"/>
    <w:lsdException w:name="Medium Grid 1" w:semiHidden="0" w:uiPriority="67"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72" w:unhideWhenUsed="0"/>
    <w:lsdException w:name="Colorful Grid" w:semiHidden="0" w:unhideWhenUsed="0"/>
    <w:lsdException w:name="Light Shading Accent 1" w:semiHidden="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nhideWhenUsed="0"/>
    <w:lsdException w:name="Medium List 2 Accent 2" w:semiHidden="0" w:uiPriority="66" w:unhideWhenUsed="0"/>
    <w:lsdException w:name="Medium Grid 1 Accent 2" w:semiHidden="0"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nhideWhenUsed="0"/>
    <w:lsdException w:name="Colorful List Accent 2" w:semiHidden="0" w:uiPriority="72" w:unhideWhenUsed="0"/>
    <w:lsdException w:name="Colorful Grid Accent 2" w:semiHidden="0"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iPriority="71"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iPriority="66" w:unhideWhenUsed="0"/>
    <w:lsdException w:name="Medium Grid 1 Accent 4" w:semiHidden="0" w:uiPriority="67"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nhideWhenUsed="0"/>
    <w:lsdException w:name="Medium Shading 1 Accent 6" w:semiHidden="0" w:unhideWhenUsed="0"/>
    <w:lsdException w:name="Medium Shading 2 Accent 6" w:semiHidden="0" w:uiPriority="64" w:unhideWhenUsed="0"/>
    <w:lsdException w:name="Medium List 1 Accent 6" w:semiHidden="0" w:unhideWhenUsed="0"/>
    <w:lsdException w:name="Medium List 2 Accent 6" w:semiHidden="0" w:unhideWhenUsed="0"/>
    <w:lsdException w:name="Medium Grid 1 Accent 6" w:semiHidden="0" w:uiPriority="67"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nhideWhenUsed="0"/>
    <w:lsdException w:name="Colorful List Accent 6" w:semiHidden="0" w:uiPriority="72"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A046D8"/>
    <w:pPr>
      <w:jc w:val="both"/>
    </w:pPr>
    <w:rPr>
      <w:rFonts w:eastAsiaTheme="minorEastAsia"/>
      <w:sz w:val="24"/>
      <w:lang w:val="en-GB"/>
    </w:rPr>
  </w:style>
  <w:style w:type="paragraph" w:styleId="Titolo1">
    <w:name w:val="heading 1"/>
    <w:basedOn w:val="Normale"/>
    <w:next w:val="Normale"/>
    <w:link w:val="Titolo1Carattere"/>
    <w:uiPriority w:val="99"/>
    <w:semiHidden/>
    <w:rsid w:val="00A046D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A046D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A046D8"/>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A046D8"/>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A046D8"/>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A046D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A046D8"/>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A046D8"/>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A046D8"/>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A046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46D8"/>
    <w:rPr>
      <w:rFonts w:ascii="Tahoma" w:eastAsiaTheme="minorEastAsia" w:hAnsi="Tahoma" w:cs="Tahoma"/>
      <w:sz w:val="16"/>
      <w:szCs w:val="16"/>
      <w:lang w:val="en-GB"/>
    </w:rPr>
  </w:style>
  <w:style w:type="character" w:styleId="Titolodellibro">
    <w:name w:val="Book Title"/>
    <w:uiPriority w:val="99"/>
    <w:semiHidden/>
    <w:qFormat/>
    <w:rsid w:val="00A046D8"/>
    <w:rPr>
      <w:i/>
      <w:iCs/>
      <w:smallCaps/>
      <w:spacing w:val="5"/>
    </w:rPr>
  </w:style>
  <w:style w:type="paragraph" w:customStyle="1" w:styleId="ECHRHeader">
    <w:name w:val="ECHR_Header"/>
    <w:aliases w:val="Ju_Header"/>
    <w:basedOn w:val="Intestazione"/>
    <w:uiPriority w:val="4"/>
    <w:qFormat/>
    <w:rsid w:val="00A046D8"/>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rsid w:val="00A046D8"/>
    <w:pPr>
      <w:jc w:val="left"/>
    </w:pPr>
    <w:rPr>
      <w:sz w:val="8"/>
    </w:rPr>
  </w:style>
  <w:style w:type="character" w:styleId="Enfasigrassetto">
    <w:name w:val="Strong"/>
    <w:uiPriority w:val="99"/>
    <w:semiHidden/>
    <w:qFormat/>
    <w:rsid w:val="00A046D8"/>
    <w:rPr>
      <w:b/>
      <w:bCs/>
    </w:rPr>
  </w:style>
  <w:style w:type="paragraph" w:styleId="Nessunaspaziatura">
    <w:name w:val="No Spacing"/>
    <w:basedOn w:val="Normale"/>
    <w:link w:val="NessunaspaziaturaCarattere"/>
    <w:semiHidden/>
    <w:qFormat/>
    <w:rsid w:val="00A046D8"/>
    <w:rPr>
      <w:sz w:val="22"/>
      <w:lang w:val="en-US"/>
    </w:rPr>
  </w:style>
  <w:style w:type="character" w:customStyle="1" w:styleId="NessunaspaziaturaCarattere">
    <w:name w:val="Nessuna spaziatura Carattere"/>
    <w:basedOn w:val="Carpredefinitoparagrafo"/>
    <w:link w:val="Nessunaspaziatura"/>
    <w:semiHidden/>
    <w:rsid w:val="00A046D8"/>
    <w:rPr>
      <w:rFonts w:eastAsiaTheme="minorEastAsia"/>
    </w:rPr>
  </w:style>
  <w:style w:type="paragraph" w:customStyle="1" w:styleId="ECHRFooterLine">
    <w:name w:val="ECHR_Footer_Line"/>
    <w:aliases w:val="Footer_Line"/>
    <w:basedOn w:val="Normale"/>
    <w:next w:val="ECHRFooter"/>
    <w:uiPriority w:val="57"/>
    <w:rsid w:val="00A046D8"/>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
    <w:basedOn w:val="Normale"/>
    <w:uiPriority w:val="14"/>
    <w:qFormat/>
    <w:rsid w:val="00A046D8"/>
    <w:pPr>
      <w:spacing w:before="120" w:after="120"/>
      <w:ind w:left="425" w:firstLine="142"/>
    </w:pPr>
    <w:rPr>
      <w:sz w:val="20"/>
    </w:rPr>
  </w:style>
  <w:style w:type="paragraph" w:customStyle="1" w:styleId="DecList">
    <w:name w:val="Dec_List"/>
    <w:basedOn w:val="Normale"/>
    <w:uiPriority w:val="9"/>
    <w:qFormat/>
    <w:rsid w:val="00A046D8"/>
    <w:pPr>
      <w:spacing w:before="240"/>
      <w:ind w:left="284"/>
    </w:pPr>
  </w:style>
  <w:style w:type="paragraph" w:customStyle="1" w:styleId="DummyStyle">
    <w:name w:val="Dummy_Style"/>
    <w:basedOn w:val="Normale"/>
    <w:semiHidden/>
    <w:qFormat/>
    <w:rsid w:val="00A046D8"/>
    <w:rPr>
      <w:color w:val="00B050"/>
    </w:rPr>
  </w:style>
  <w:style w:type="paragraph" w:customStyle="1" w:styleId="JuAppQuestion">
    <w:name w:val="Ju_App_Question"/>
    <w:basedOn w:val="Normale"/>
    <w:uiPriority w:val="5"/>
    <w:qFormat/>
    <w:rsid w:val="00A046D8"/>
    <w:pPr>
      <w:numPr>
        <w:numId w:val="35"/>
      </w:numPr>
      <w:jc w:val="left"/>
    </w:pPr>
    <w:rPr>
      <w:b/>
    </w:rPr>
  </w:style>
  <w:style w:type="paragraph" w:customStyle="1" w:styleId="JuCase">
    <w:name w:val="Ju_Case"/>
    <w:basedOn w:val="Normale"/>
    <w:next w:val="ECHRPara"/>
    <w:uiPriority w:val="10"/>
    <w:semiHidden/>
    <w:rsid w:val="00A046D8"/>
    <w:pPr>
      <w:ind w:firstLine="284"/>
    </w:pPr>
    <w:rPr>
      <w:b/>
    </w:rPr>
  </w:style>
  <w:style w:type="paragraph" w:customStyle="1" w:styleId="ECHRTitleCentre3">
    <w:name w:val="ECHR_Title_Centre_3"/>
    <w:aliases w:val="Ju_H_Article"/>
    <w:basedOn w:val="Normale"/>
    <w:next w:val="ECHRParaQuote"/>
    <w:uiPriority w:val="27"/>
    <w:qFormat/>
    <w:rsid w:val="00A046D8"/>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e"/>
    <w:next w:val="ECHRPara"/>
    <w:uiPriority w:val="3"/>
    <w:qFormat/>
    <w:rsid w:val="00A046D8"/>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e"/>
    <w:next w:val="OpiPara"/>
    <w:uiPriority w:val="39"/>
    <w:qFormat/>
    <w:rsid w:val="00A046D8"/>
    <w:pPr>
      <w:keepNext/>
      <w:keepLines/>
      <w:spacing w:after="240"/>
      <w:jc w:val="center"/>
      <w:outlineLvl w:val="0"/>
    </w:pPr>
    <w:rPr>
      <w:rFonts w:asciiTheme="majorHAnsi" w:hAnsiTheme="majorHAnsi"/>
      <w:sz w:val="28"/>
    </w:rPr>
  </w:style>
  <w:style w:type="paragraph" w:customStyle="1" w:styleId="JuCourt">
    <w:name w:val="Ju_Court"/>
    <w:basedOn w:val="Normale"/>
    <w:next w:val="Normale"/>
    <w:uiPriority w:val="16"/>
    <w:qFormat/>
    <w:rsid w:val="00A046D8"/>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e"/>
    <w:uiPriority w:val="31"/>
    <w:qFormat/>
    <w:rsid w:val="00A046D8"/>
    <w:pPr>
      <w:tabs>
        <w:tab w:val="center" w:pos="6407"/>
      </w:tabs>
      <w:spacing w:before="720"/>
      <w:jc w:val="right"/>
    </w:pPr>
  </w:style>
  <w:style w:type="paragraph" w:styleId="Titolo">
    <w:name w:val="Title"/>
    <w:basedOn w:val="Normale"/>
    <w:next w:val="Normale"/>
    <w:link w:val="TitoloCarattere"/>
    <w:uiPriority w:val="99"/>
    <w:semiHidden/>
    <w:qFormat/>
    <w:rsid w:val="00A046D8"/>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A046D8"/>
    <w:rPr>
      <w:rFonts w:asciiTheme="majorHAnsi" w:eastAsiaTheme="majorEastAsia" w:hAnsiTheme="majorHAnsi" w:cstheme="majorBidi"/>
      <w:spacing w:val="5"/>
      <w:sz w:val="52"/>
      <w:szCs w:val="52"/>
      <w:lang w:bidi="en-US"/>
    </w:rPr>
  </w:style>
  <w:style w:type="paragraph" w:customStyle="1" w:styleId="JuSigned">
    <w:name w:val="Ju_Signed"/>
    <w:basedOn w:val="Normale"/>
    <w:next w:val="JuParaLast"/>
    <w:uiPriority w:val="32"/>
    <w:qFormat/>
    <w:rsid w:val="00A046D8"/>
    <w:pPr>
      <w:tabs>
        <w:tab w:val="center" w:pos="851"/>
        <w:tab w:val="center" w:pos="6407"/>
      </w:tabs>
      <w:spacing w:before="720"/>
      <w:jc w:val="left"/>
    </w:pPr>
  </w:style>
  <w:style w:type="paragraph" w:customStyle="1" w:styleId="JuList">
    <w:name w:val="Ju_List"/>
    <w:basedOn w:val="Normale"/>
    <w:uiPriority w:val="28"/>
    <w:qFormat/>
    <w:rsid w:val="00A046D8"/>
    <w:pPr>
      <w:ind w:left="340" w:hanging="340"/>
    </w:pPr>
  </w:style>
  <w:style w:type="paragraph" w:customStyle="1" w:styleId="JuLista">
    <w:name w:val="Ju_List_a"/>
    <w:basedOn w:val="JuList"/>
    <w:uiPriority w:val="28"/>
    <w:qFormat/>
    <w:rsid w:val="00A046D8"/>
    <w:pPr>
      <w:ind w:left="346" w:firstLine="0"/>
    </w:pPr>
  </w:style>
  <w:style w:type="paragraph" w:customStyle="1" w:styleId="JuListi">
    <w:name w:val="Ju_List_i"/>
    <w:basedOn w:val="Normale"/>
    <w:next w:val="JuLista"/>
    <w:uiPriority w:val="28"/>
    <w:qFormat/>
    <w:rsid w:val="00A046D8"/>
    <w:pPr>
      <w:ind w:left="794"/>
    </w:pPr>
  </w:style>
  <w:style w:type="character" w:customStyle="1" w:styleId="JUNAMES">
    <w:name w:val="JU_NAMES"/>
    <w:uiPriority w:val="17"/>
    <w:qFormat/>
    <w:rsid w:val="00A046D8"/>
    <w:rPr>
      <w:caps w:val="0"/>
      <w:smallCaps/>
    </w:rPr>
  </w:style>
  <w:style w:type="paragraph" w:customStyle="1" w:styleId="JuParaSub">
    <w:name w:val="Ju_Para_Sub"/>
    <w:basedOn w:val="ECHRPara"/>
    <w:uiPriority w:val="13"/>
    <w:qFormat/>
    <w:rsid w:val="00A046D8"/>
    <w:pPr>
      <w:ind w:left="284"/>
    </w:pPr>
  </w:style>
  <w:style w:type="paragraph" w:customStyle="1" w:styleId="ECHRHeading1">
    <w:name w:val="ECHR_Heading_1"/>
    <w:aliases w:val="Ju_H_I_Roman"/>
    <w:basedOn w:val="Titolo1"/>
    <w:next w:val="ECHRPara"/>
    <w:uiPriority w:val="19"/>
    <w:qFormat/>
    <w:rsid w:val="00A046D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A046D8"/>
    <w:pPr>
      <w:keepNext/>
      <w:keepLines/>
      <w:tabs>
        <w:tab w:val="left" w:pos="584"/>
      </w:tabs>
      <w:spacing w:before="360" w:after="240"/>
      <w:ind w:left="584" w:hanging="352"/>
    </w:pPr>
    <w:rPr>
      <w:color w:val="auto"/>
      <w:sz w:val="24"/>
    </w:rPr>
  </w:style>
  <w:style w:type="paragraph" w:styleId="Intestazione">
    <w:name w:val="header"/>
    <w:basedOn w:val="Normale"/>
    <w:link w:val="IntestazioneCarattere"/>
    <w:uiPriority w:val="57"/>
    <w:semiHidden/>
    <w:rsid w:val="00A046D8"/>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A046D8"/>
    <w:rPr>
      <w:sz w:val="24"/>
      <w:lang w:val="en-GB"/>
    </w:rPr>
  </w:style>
  <w:style w:type="character" w:customStyle="1" w:styleId="Titolo1Carattere">
    <w:name w:val="Titolo 1 Carattere"/>
    <w:basedOn w:val="Carpredefinitoparagrafo"/>
    <w:link w:val="Titolo1"/>
    <w:uiPriority w:val="99"/>
    <w:semiHidden/>
    <w:rsid w:val="00A046D8"/>
    <w:rPr>
      <w:rFonts w:asciiTheme="majorHAnsi" w:eastAsiaTheme="majorEastAsia" w:hAnsiTheme="majorHAnsi" w:cstheme="majorBidi"/>
      <w:b/>
      <w:bCs/>
      <w:color w:val="333333"/>
      <w:sz w:val="28"/>
      <w:szCs w:val="28"/>
      <w:lang w:val="en-GB"/>
    </w:rPr>
  </w:style>
  <w:style w:type="paragraph" w:customStyle="1" w:styleId="ECHRHeading3">
    <w:name w:val="ECHR_Heading_3"/>
    <w:aliases w:val="Ju_H_1."/>
    <w:basedOn w:val="Titolo3"/>
    <w:next w:val="ECHRPara"/>
    <w:uiPriority w:val="21"/>
    <w:qFormat/>
    <w:rsid w:val="00A046D8"/>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A046D8"/>
    <w:pPr>
      <w:keepNext/>
      <w:keepLines/>
      <w:tabs>
        <w:tab w:val="left" w:pos="975"/>
      </w:tabs>
      <w:spacing w:before="240" w:after="120"/>
      <w:ind w:left="975" w:hanging="340"/>
    </w:pPr>
    <w:rPr>
      <w:i w:val="0"/>
      <w:color w:val="auto"/>
      <w:sz w:val="20"/>
    </w:rPr>
  </w:style>
  <w:style w:type="character" w:customStyle="1" w:styleId="Titolo2Carattere">
    <w:name w:val="Titolo 2 Carattere"/>
    <w:basedOn w:val="Carpredefinitoparagrafo"/>
    <w:link w:val="Titolo2"/>
    <w:uiPriority w:val="99"/>
    <w:semiHidden/>
    <w:rsid w:val="00A046D8"/>
    <w:rPr>
      <w:rFonts w:asciiTheme="majorHAnsi" w:eastAsiaTheme="majorEastAsia" w:hAnsiTheme="majorHAnsi" w:cstheme="majorBidi"/>
      <w:b/>
      <w:bCs/>
      <w:color w:val="4D4D4D"/>
      <w:sz w:val="26"/>
      <w:szCs w:val="26"/>
      <w:lang w:val="en-GB"/>
    </w:rPr>
  </w:style>
  <w:style w:type="paragraph" w:customStyle="1" w:styleId="ECHRHeading5">
    <w:name w:val="ECHR_Heading_5"/>
    <w:aliases w:val="Ju_H_i"/>
    <w:basedOn w:val="Titolo5"/>
    <w:next w:val="ECHRPara"/>
    <w:uiPriority w:val="23"/>
    <w:qFormat/>
    <w:rsid w:val="00A046D8"/>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A046D8"/>
    <w:pPr>
      <w:keepNext/>
      <w:keepLines/>
      <w:tabs>
        <w:tab w:val="left" w:pos="1372"/>
      </w:tabs>
      <w:spacing w:before="240" w:after="120" w:line="240" w:lineRule="auto"/>
      <w:ind w:left="1373" w:hanging="335"/>
    </w:pPr>
    <w:rPr>
      <w:b w:val="0"/>
      <w:i w:val="0"/>
      <w:color w:val="auto"/>
      <w:sz w:val="20"/>
    </w:rPr>
  </w:style>
  <w:style w:type="character" w:customStyle="1" w:styleId="Titolo3Carattere">
    <w:name w:val="Titolo 3 Carattere"/>
    <w:basedOn w:val="Carpredefinitoparagrafo"/>
    <w:link w:val="Titolo3"/>
    <w:uiPriority w:val="99"/>
    <w:semiHidden/>
    <w:rsid w:val="00A046D8"/>
    <w:rPr>
      <w:rFonts w:asciiTheme="majorHAnsi" w:eastAsiaTheme="majorEastAsia" w:hAnsiTheme="majorHAnsi" w:cstheme="majorBidi"/>
      <w:b/>
      <w:bCs/>
      <w:color w:val="5F5F5F"/>
      <w:sz w:val="24"/>
      <w:lang w:val="en-GB"/>
    </w:rPr>
  </w:style>
  <w:style w:type="paragraph" w:customStyle="1" w:styleId="ECHRHeading7">
    <w:name w:val="ECHR_Heading_7"/>
    <w:aliases w:val="Ju_H_–"/>
    <w:basedOn w:val="Titolo7"/>
    <w:next w:val="ECHRPara"/>
    <w:uiPriority w:val="25"/>
    <w:qFormat/>
    <w:rsid w:val="00A046D8"/>
    <w:pPr>
      <w:keepNext/>
      <w:keepLines/>
      <w:spacing w:before="240" w:after="120"/>
      <w:ind w:left="1236"/>
    </w:pPr>
    <w:rPr>
      <w:sz w:val="20"/>
      <w:lang w:val="en-GB"/>
    </w:rPr>
  </w:style>
  <w:style w:type="paragraph" w:customStyle="1" w:styleId="JuParaLast">
    <w:name w:val="Ju_Para_Last"/>
    <w:basedOn w:val="Normale"/>
    <w:next w:val="ECHRPara"/>
    <w:uiPriority w:val="30"/>
    <w:qFormat/>
    <w:rsid w:val="00A046D8"/>
    <w:pPr>
      <w:keepNext/>
      <w:keepLines/>
      <w:spacing w:before="240"/>
      <w:ind w:firstLine="284"/>
    </w:pPr>
  </w:style>
  <w:style w:type="character" w:customStyle="1" w:styleId="Titolo4Carattere">
    <w:name w:val="Titolo 4 Carattere"/>
    <w:basedOn w:val="Carpredefinitoparagrafo"/>
    <w:link w:val="Titolo4"/>
    <w:uiPriority w:val="99"/>
    <w:semiHidden/>
    <w:rsid w:val="00A046D8"/>
    <w:rPr>
      <w:rFonts w:asciiTheme="majorHAnsi" w:eastAsiaTheme="majorEastAsia" w:hAnsiTheme="majorHAnsi" w:cstheme="majorBidi"/>
      <w:b/>
      <w:bCs/>
      <w:i/>
      <w:iCs/>
      <w:color w:val="777777"/>
      <w:sz w:val="24"/>
      <w:lang w:val="en-GB"/>
    </w:rPr>
  </w:style>
  <w:style w:type="character" w:customStyle="1" w:styleId="JuITMark">
    <w:name w:val="Ju_ITMark"/>
    <w:basedOn w:val="Carpredefinitoparagrafo"/>
    <w:uiPriority w:val="38"/>
    <w:qFormat/>
    <w:rsid w:val="00A046D8"/>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9"/>
    <w:semiHidden/>
    <w:rsid w:val="00A046D8"/>
    <w:rPr>
      <w:rFonts w:asciiTheme="majorHAnsi" w:eastAsiaTheme="majorEastAsia" w:hAnsiTheme="majorHAnsi" w:cstheme="majorBidi"/>
      <w:b/>
      <w:bCs/>
      <w:color w:val="808080"/>
    </w:rPr>
  </w:style>
  <w:style w:type="paragraph" w:customStyle="1" w:styleId="JuQuotSub">
    <w:name w:val="Ju_Quot_Sub"/>
    <w:basedOn w:val="ECHRParaQuote"/>
    <w:uiPriority w:val="15"/>
    <w:qFormat/>
    <w:rsid w:val="00A046D8"/>
    <w:pPr>
      <w:ind w:left="567"/>
    </w:pPr>
  </w:style>
  <w:style w:type="paragraph" w:customStyle="1" w:styleId="OpiH1">
    <w:name w:val="Opi_H_1"/>
    <w:basedOn w:val="ECHRHeading2"/>
    <w:uiPriority w:val="42"/>
    <w:semiHidden/>
    <w:qFormat/>
    <w:rsid w:val="00A046D8"/>
    <w:pPr>
      <w:ind w:left="635" w:hanging="357"/>
      <w:outlineLvl w:val="2"/>
    </w:pPr>
  </w:style>
  <w:style w:type="character" w:styleId="Enfasidelicata">
    <w:name w:val="Subtle Emphasis"/>
    <w:uiPriority w:val="99"/>
    <w:semiHidden/>
    <w:qFormat/>
    <w:rsid w:val="00A046D8"/>
    <w:rPr>
      <w:i/>
      <w:iCs/>
    </w:rPr>
  </w:style>
  <w:style w:type="paragraph" w:customStyle="1" w:styleId="OpiHa">
    <w:name w:val="Opi_H_a"/>
    <w:basedOn w:val="ECHRHeading3"/>
    <w:uiPriority w:val="43"/>
    <w:semiHidden/>
    <w:qFormat/>
    <w:rsid w:val="00A046D8"/>
    <w:pPr>
      <w:ind w:left="833" w:hanging="357"/>
      <w:outlineLvl w:val="3"/>
    </w:pPr>
    <w:rPr>
      <w:b/>
      <w:i w:val="0"/>
      <w:sz w:val="20"/>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A046D8"/>
    <w:pPr>
      <w:keepNext/>
      <w:keepLines/>
      <w:spacing w:before="720" w:after="240"/>
      <w:outlineLvl w:val="0"/>
    </w:pPr>
    <w:rPr>
      <w:rFonts w:asciiTheme="majorHAnsi" w:hAnsiTheme="majorHAnsi"/>
      <w:sz w:val="28"/>
    </w:rPr>
  </w:style>
  <w:style w:type="paragraph" w:customStyle="1" w:styleId="OpiHA0">
    <w:name w:val="Opi_H_A"/>
    <w:basedOn w:val="ECHRHeading1"/>
    <w:next w:val="OpiPara"/>
    <w:uiPriority w:val="41"/>
    <w:semiHidden/>
    <w:qFormat/>
    <w:rsid w:val="00A046D8"/>
    <w:pPr>
      <w:tabs>
        <w:tab w:val="clear" w:pos="357"/>
      </w:tabs>
      <w:outlineLvl w:val="1"/>
    </w:pPr>
    <w:rPr>
      <w:b/>
    </w:rPr>
  </w:style>
  <w:style w:type="paragraph" w:customStyle="1" w:styleId="ECHRTitleCentre2">
    <w:name w:val="ECHR_Title_Centre_2"/>
    <w:aliases w:val="Dec_H_Case"/>
    <w:basedOn w:val="Normale"/>
    <w:next w:val="ECHRPara"/>
    <w:uiPriority w:val="8"/>
    <w:qFormat/>
    <w:rsid w:val="00A046D8"/>
    <w:pPr>
      <w:spacing w:after="240"/>
      <w:jc w:val="center"/>
      <w:outlineLvl w:val="0"/>
    </w:pPr>
    <w:rPr>
      <w:rFonts w:asciiTheme="majorHAnsi" w:hAnsiTheme="majorHAnsi"/>
    </w:rPr>
  </w:style>
  <w:style w:type="character" w:styleId="Enfasicorsivo">
    <w:name w:val="Emphasis"/>
    <w:uiPriority w:val="99"/>
    <w:semiHidden/>
    <w:qFormat/>
    <w:rsid w:val="00A046D8"/>
    <w:rPr>
      <w:b/>
      <w:bCs/>
      <w:i/>
      <w:iCs/>
      <w:spacing w:val="10"/>
      <w:bdr w:val="none" w:sz="0" w:space="0" w:color="auto"/>
      <w:shd w:val="clear" w:color="auto" w:fill="auto"/>
    </w:rPr>
  </w:style>
  <w:style w:type="paragraph" w:styleId="Pidipagina">
    <w:name w:val="footer"/>
    <w:basedOn w:val="Normale"/>
    <w:link w:val="PidipaginaCarattere"/>
    <w:uiPriority w:val="57"/>
    <w:semiHidden/>
    <w:rsid w:val="00A046D8"/>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A046D8"/>
    <w:rPr>
      <w:sz w:val="24"/>
      <w:lang w:val="en-GB"/>
    </w:rPr>
  </w:style>
  <w:style w:type="character" w:styleId="Rimandonotaapidipagina">
    <w:name w:val="footnote reference"/>
    <w:basedOn w:val="Carpredefinitoparagrafo"/>
    <w:uiPriority w:val="99"/>
    <w:semiHidden/>
    <w:rsid w:val="00A046D8"/>
    <w:rPr>
      <w:vertAlign w:val="superscript"/>
    </w:rPr>
  </w:style>
  <w:style w:type="paragraph" w:styleId="Testonotaapidipagina">
    <w:name w:val="footnote text"/>
    <w:basedOn w:val="Normale"/>
    <w:link w:val="TestonotaapidipaginaCarattere"/>
    <w:uiPriority w:val="99"/>
    <w:semiHidden/>
    <w:rsid w:val="00A046D8"/>
    <w:rPr>
      <w:sz w:val="20"/>
      <w:szCs w:val="20"/>
    </w:rPr>
  </w:style>
  <w:style w:type="character" w:customStyle="1" w:styleId="TestonotaapidipaginaCarattere">
    <w:name w:val="Testo nota a piè di pagina Carattere"/>
    <w:basedOn w:val="Carpredefinitoparagrafo"/>
    <w:link w:val="Testonotaapidipagina"/>
    <w:uiPriority w:val="99"/>
    <w:semiHidden/>
    <w:rsid w:val="00A046D8"/>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A046D8"/>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A046D8"/>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A046D8"/>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A046D8"/>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A046D8"/>
    <w:rPr>
      <w:color w:val="0072BC" w:themeColor="hyperlink"/>
      <w:u w:val="single"/>
    </w:rPr>
  </w:style>
  <w:style w:type="character" w:styleId="Enfasiintensa">
    <w:name w:val="Intense Emphasis"/>
    <w:uiPriority w:val="99"/>
    <w:semiHidden/>
    <w:qFormat/>
    <w:rsid w:val="00A046D8"/>
    <w:rPr>
      <w:b/>
      <w:bCs/>
    </w:rPr>
  </w:style>
  <w:style w:type="paragraph" w:styleId="Citazioneintensa">
    <w:name w:val="Intense Quote"/>
    <w:basedOn w:val="Normale"/>
    <w:next w:val="Normale"/>
    <w:link w:val="CitazioneintensaCarattere"/>
    <w:uiPriority w:val="99"/>
    <w:semiHidden/>
    <w:qFormat/>
    <w:rsid w:val="00A046D8"/>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A046D8"/>
    <w:rPr>
      <w:rFonts w:eastAsiaTheme="minorEastAsia"/>
      <w:b/>
      <w:bCs/>
      <w:i/>
      <w:iCs/>
      <w:lang w:bidi="en-US"/>
    </w:rPr>
  </w:style>
  <w:style w:type="character" w:styleId="Riferimentointenso">
    <w:name w:val="Intense Reference"/>
    <w:uiPriority w:val="99"/>
    <w:semiHidden/>
    <w:qFormat/>
    <w:rsid w:val="00A046D8"/>
    <w:rPr>
      <w:smallCaps/>
      <w:spacing w:val="5"/>
      <w:u w:val="single"/>
    </w:rPr>
  </w:style>
  <w:style w:type="paragraph" w:styleId="Paragrafoelenco">
    <w:name w:val="List Paragraph"/>
    <w:basedOn w:val="Normale"/>
    <w:uiPriority w:val="99"/>
    <w:semiHidden/>
    <w:qFormat/>
    <w:rsid w:val="00A046D8"/>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A046D8"/>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A046D8"/>
    <w:rPr>
      <w:rFonts w:eastAsiaTheme="minorEastAsia"/>
      <w:i/>
      <w:iCs/>
      <w:lang w:bidi="en-US"/>
    </w:rPr>
  </w:style>
  <w:style w:type="character" w:styleId="Riferimentodelicato">
    <w:name w:val="Subtle Reference"/>
    <w:uiPriority w:val="99"/>
    <w:semiHidden/>
    <w:qFormat/>
    <w:rsid w:val="00A046D8"/>
    <w:rPr>
      <w:smallCaps/>
    </w:rPr>
  </w:style>
  <w:style w:type="table" w:styleId="Grigliatabella">
    <w:name w:val="Table Grid"/>
    <w:basedOn w:val="Tabellanormale"/>
    <w:uiPriority w:val="59"/>
    <w:semiHidden/>
    <w:rsid w:val="00A046D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A046D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A046D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A046D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A046D8"/>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A046D8"/>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A046D8"/>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A046D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semiHidden/>
    <w:qFormat/>
    <w:rsid w:val="00A046D8"/>
    <w:pPr>
      <w:ind w:left="1037" w:hanging="357"/>
      <w:outlineLvl w:val="4"/>
    </w:pPr>
    <w:rPr>
      <w:b w:val="0"/>
      <w:i/>
    </w:rPr>
  </w:style>
  <w:style w:type="paragraph" w:customStyle="1" w:styleId="OpiPara">
    <w:name w:val="Opi_Para"/>
    <w:basedOn w:val="ECHRPara"/>
    <w:uiPriority w:val="46"/>
    <w:semiHidden/>
    <w:qFormat/>
    <w:rsid w:val="00A046D8"/>
  </w:style>
  <w:style w:type="paragraph" w:customStyle="1" w:styleId="OpiParaSub">
    <w:name w:val="Opi_Para_Sub"/>
    <w:basedOn w:val="JuParaSub"/>
    <w:uiPriority w:val="47"/>
    <w:semiHidden/>
    <w:qFormat/>
    <w:rsid w:val="00A046D8"/>
  </w:style>
  <w:style w:type="paragraph" w:customStyle="1" w:styleId="ECHRPara">
    <w:name w:val="ECHR_Para"/>
    <w:aliases w:val="Ju_Para,Para"/>
    <w:basedOn w:val="Normale"/>
    <w:link w:val="ECHRParaChar"/>
    <w:uiPriority w:val="12"/>
    <w:qFormat/>
    <w:rsid w:val="00A046D8"/>
    <w:pPr>
      <w:ind w:firstLine="284"/>
    </w:pPr>
  </w:style>
  <w:style w:type="paragraph" w:styleId="Sottotitolo">
    <w:name w:val="Subtitle"/>
    <w:basedOn w:val="Normale"/>
    <w:next w:val="Normale"/>
    <w:link w:val="SottotitoloCarattere"/>
    <w:uiPriority w:val="99"/>
    <w:semiHidden/>
    <w:qFormat/>
    <w:rsid w:val="00A046D8"/>
    <w:pPr>
      <w:spacing w:after="600"/>
    </w:pPr>
    <w:rPr>
      <w:rFonts w:asciiTheme="majorHAnsi" w:eastAsiaTheme="majorEastAsia" w:hAnsiTheme="majorHAnsi" w:cstheme="majorBidi"/>
      <w:i/>
      <w:iCs/>
      <w:spacing w:val="13"/>
      <w:szCs w:val="24"/>
      <w:lang w:val="en-US"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A046D8"/>
    <w:rPr>
      <w:rFonts w:asciiTheme="majorHAnsi" w:eastAsiaTheme="majorEastAsia" w:hAnsiTheme="majorHAnsi" w:cstheme="majorBidi"/>
      <w:i/>
      <w:iCs/>
      <w:spacing w:val="13"/>
      <w:sz w:val="24"/>
      <w:szCs w:val="24"/>
      <w:lang w:bidi="en-US"/>
    </w:r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046D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A71632"/>
    <w:pPr>
      <w:numPr>
        <w:numId w:val="3"/>
      </w:numPr>
    </w:pPr>
  </w:style>
  <w:style w:type="numbering" w:styleId="1ai">
    <w:name w:val="Outline List 1"/>
    <w:basedOn w:val="Nessunelenco"/>
    <w:semiHidden/>
    <w:unhideWhenUsed/>
    <w:rsid w:val="00A71632"/>
    <w:pPr>
      <w:numPr>
        <w:numId w:val="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A71632"/>
    <w:pPr>
      <w:numPr>
        <w:numId w:val="5"/>
      </w:numPr>
    </w:pPr>
  </w:style>
  <w:style w:type="paragraph" w:styleId="Bibliografia">
    <w:name w:val="Bibliography"/>
    <w:basedOn w:val="Normale"/>
    <w:next w:val="Normale"/>
    <w:uiPriority w:val="99"/>
    <w:semiHidden/>
    <w:rsid w:val="00A71632"/>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A046D8"/>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A71632"/>
    <w:rPr>
      <w:rFonts w:ascii="Times New Roman" w:hAnsi="Times New Roman" w:cs="Times New Roman"/>
      <w:sz w:val="18"/>
    </w:rPr>
  </w:style>
  <w:style w:type="character" w:styleId="Rimandocommento">
    <w:name w:val="annotation reference"/>
    <w:uiPriority w:val="99"/>
    <w:semiHidden/>
    <w:rsid w:val="00A71632"/>
    <w:rPr>
      <w:sz w:val="16"/>
    </w:rPr>
  </w:style>
  <w:style w:type="paragraph" w:styleId="Testocommento">
    <w:name w:val="annotation text"/>
    <w:basedOn w:val="Normale"/>
    <w:link w:val="TestocommentoCarattere"/>
    <w:semiHidden/>
    <w:rsid w:val="00A71632"/>
    <w:rPr>
      <w:sz w:val="20"/>
    </w:rPr>
  </w:style>
  <w:style w:type="character" w:customStyle="1" w:styleId="TestocommentoCarattere">
    <w:name w:val="Testo commento Carattere"/>
    <w:basedOn w:val="Carpredefinitoparagrafo"/>
    <w:link w:val="Testocommento"/>
    <w:semiHidden/>
    <w:rsid w:val="00A71632"/>
    <w:rPr>
      <w:rFonts w:eastAsiaTheme="minorEastAsia"/>
      <w:sz w:val="20"/>
    </w:rPr>
  </w:style>
  <w:style w:type="paragraph" w:customStyle="1" w:styleId="DecHTitle">
    <w:name w:val="Dec_H_Title"/>
    <w:basedOn w:val="ECHRTitleCentre1"/>
    <w:uiPriority w:val="7"/>
    <w:qFormat/>
    <w:rsid w:val="00A046D8"/>
  </w:style>
  <w:style w:type="paragraph" w:styleId="Testodelblocco">
    <w:name w:val="Block Text"/>
    <w:basedOn w:val="Normale"/>
    <w:uiPriority w:val="99"/>
    <w:semiHidden/>
    <w:rsid w:val="00A71632"/>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Puntoelenco2">
    <w:name w:val="List Bullet 2"/>
    <w:basedOn w:val="Normale"/>
    <w:uiPriority w:val="99"/>
    <w:semiHidden/>
    <w:rsid w:val="00A71632"/>
    <w:pPr>
      <w:numPr>
        <w:numId w:val="1"/>
      </w:numPr>
      <w:tabs>
        <w:tab w:val="clear" w:pos="643"/>
        <w:tab w:val="num" w:pos="360"/>
      </w:tabs>
      <w:ind w:left="0" w:firstLine="0"/>
      <w:contextualSpacing/>
    </w:pPr>
  </w:style>
  <w:style w:type="paragraph" w:styleId="Puntoelenco3">
    <w:name w:val="List Bullet 3"/>
    <w:basedOn w:val="Normale"/>
    <w:semiHidden/>
    <w:rsid w:val="00A71632"/>
    <w:pPr>
      <w:numPr>
        <w:numId w:val="2"/>
      </w:numPr>
      <w:contextualSpacing/>
    </w:pPr>
  </w:style>
  <w:style w:type="paragraph" w:styleId="Corpotesto">
    <w:name w:val="Body Text"/>
    <w:basedOn w:val="Normale"/>
    <w:link w:val="CorpotestoCarattere"/>
    <w:semiHidden/>
    <w:rsid w:val="00A71632"/>
    <w:pPr>
      <w:spacing w:after="120"/>
    </w:pPr>
  </w:style>
  <w:style w:type="character" w:customStyle="1" w:styleId="CorpotestoCarattere">
    <w:name w:val="Corpo testo Carattere"/>
    <w:basedOn w:val="Carpredefinitoparagrafo"/>
    <w:link w:val="Corpotesto"/>
    <w:semiHidden/>
    <w:rsid w:val="00A71632"/>
    <w:rPr>
      <w:rFonts w:eastAsiaTheme="minorEastAsia"/>
      <w:sz w:val="24"/>
    </w:rPr>
  </w:style>
  <w:style w:type="paragraph" w:styleId="Corpodeltesto2">
    <w:name w:val="Body Text 2"/>
    <w:basedOn w:val="Normale"/>
    <w:link w:val="Corpodeltesto2Carattere"/>
    <w:uiPriority w:val="99"/>
    <w:semiHidden/>
    <w:rsid w:val="00A71632"/>
    <w:pPr>
      <w:spacing w:after="120" w:line="480" w:lineRule="auto"/>
    </w:pPr>
  </w:style>
  <w:style w:type="character" w:customStyle="1" w:styleId="Corpodeltesto2Carattere">
    <w:name w:val="Corpo del testo 2 Carattere"/>
    <w:basedOn w:val="Carpredefinitoparagrafo"/>
    <w:link w:val="Corpodeltesto2"/>
    <w:uiPriority w:val="99"/>
    <w:semiHidden/>
    <w:rsid w:val="00A71632"/>
    <w:rPr>
      <w:rFonts w:eastAsiaTheme="minorEastAsia"/>
      <w:sz w:val="24"/>
    </w:rPr>
  </w:style>
  <w:style w:type="paragraph" w:styleId="Corpodeltesto3">
    <w:name w:val="Body Text 3"/>
    <w:basedOn w:val="Normale"/>
    <w:link w:val="Corpodeltesto3Carattere"/>
    <w:uiPriority w:val="99"/>
    <w:semiHidden/>
    <w:rsid w:val="00A7163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71632"/>
    <w:rPr>
      <w:rFonts w:eastAsiaTheme="minorEastAsia"/>
      <w:sz w:val="16"/>
      <w:szCs w:val="16"/>
    </w:rPr>
  </w:style>
  <w:style w:type="paragraph" w:styleId="Primorientrocorpodeltesto">
    <w:name w:val="Body Text First Indent"/>
    <w:basedOn w:val="Corpotesto"/>
    <w:link w:val="PrimorientrocorpodeltestoCarattere"/>
    <w:uiPriority w:val="99"/>
    <w:semiHidden/>
    <w:rsid w:val="00A71632"/>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A71632"/>
    <w:rPr>
      <w:rFonts w:eastAsiaTheme="minorEastAsia"/>
      <w:sz w:val="24"/>
    </w:rPr>
  </w:style>
  <w:style w:type="paragraph" w:styleId="Rientrocorpodeltesto">
    <w:name w:val="Body Text Indent"/>
    <w:basedOn w:val="Normale"/>
    <w:link w:val="RientrocorpodeltestoCarattere"/>
    <w:uiPriority w:val="99"/>
    <w:semiHidden/>
    <w:rsid w:val="00A7163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71632"/>
    <w:rPr>
      <w:rFonts w:eastAsiaTheme="minorEastAsia"/>
      <w:sz w:val="24"/>
    </w:rPr>
  </w:style>
  <w:style w:type="paragraph" w:styleId="Primorientrocorpodeltesto2">
    <w:name w:val="Body Text First Indent 2"/>
    <w:basedOn w:val="Rientrocorpodeltesto"/>
    <w:link w:val="Primorientrocorpodeltesto2Carattere"/>
    <w:semiHidden/>
    <w:rsid w:val="00A71632"/>
    <w:pPr>
      <w:spacing w:after="0"/>
      <w:ind w:left="360" w:firstLine="360"/>
    </w:pPr>
  </w:style>
  <w:style w:type="character" w:customStyle="1" w:styleId="Primorientrocorpodeltesto2Carattere">
    <w:name w:val="Primo rientro corpo del testo 2 Carattere"/>
    <w:basedOn w:val="RientrocorpodeltestoCarattere"/>
    <w:link w:val="Primorientrocorpodeltesto2"/>
    <w:semiHidden/>
    <w:rsid w:val="00A71632"/>
    <w:rPr>
      <w:rFonts w:eastAsiaTheme="minorEastAsia"/>
      <w:sz w:val="24"/>
    </w:rPr>
  </w:style>
  <w:style w:type="paragraph" w:styleId="Rientrocorpodeltesto2">
    <w:name w:val="Body Text Indent 2"/>
    <w:basedOn w:val="Normale"/>
    <w:link w:val="Rientrocorpodeltesto2Carattere"/>
    <w:semiHidden/>
    <w:rsid w:val="00A71632"/>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A71632"/>
    <w:rPr>
      <w:rFonts w:eastAsiaTheme="minorEastAsia"/>
      <w:sz w:val="24"/>
    </w:rPr>
  </w:style>
  <w:style w:type="paragraph" w:styleId="Rientrocorpodeltesto3">
    <w:name w:val="Body Text Indent 3"/>
    <w:basedOn w:val="Normale"/>
    <w:link w:val="Rientrocorpodeltesto3Carattere"/>
    <w:uiPriority w:val="99"/>
    <w:semiHidden/>
    <w:rsid w:val="00A7163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71632"/>
    <w:rPr>
      <w:rFonts w:eastAsiaTheme="minorEastAsia"/>
      <w:sz w:val="16"/>
      <w:szCs w:val="16"/>
    </w:rPr>
  </w:style>
  <w:style w:type="paragraph" w:styleId="Didascalia">
    <w:name w:val="caption"/>
    <w:basedOn w:val="Normale"/>
    <w:next w:val="Normale"/>
    <w:uiPriority w:val="99"/>
    <w:semiHidden/>
    <w:qFormat/>
    <w:rsid w:val="00A71632"/>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A71632"/>
    <w:pPr>
      <w:ind w:left="4252"/>
    </w:pPr>
  </w:style>
  <w:style w:type="character" w:customStyle="1" w:styleId="FormuladichiusuraCarattere">
    <w:name w:val="Formula di chiusura Carattere"/>
    <w:basedOn w:val="Carpredefinitoparagrafo"/>
    <w:link w:val="Formuladichiusura"/>
    <w:uiPriority w:val="99"/>
    <w:semiHidden/>
    <w:rsid w:val="00A71632"/>
    <w:rPr>
      <w:rFonts w:eastAsiaTheme="minorEastAsia"/>
      <w:sz w:val="24"/>
    </w:rPr>
  </w:style>
  <w:style w:type="table" w:styleId="Grigliaacolori">
    <w:name w:val="Colorful Grid"/>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A71632"/>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A71632"/>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A71632"/>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A71632"/>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A71632"/>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A71632"/>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A71632"/>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A71632"/>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A71632"/>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A71632"/>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A71632"/>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A71632"/>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A71632"/>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A71632"/>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A71632"/>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A71632"/>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A71632"/>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A71632"/>
    <w:rPr>
      <w:b/>
      <w:bCs/>
      <w:szCs w:val="20"/>
    </w:rPr>
  </w:style>
  <w:style w:type="character" w:customStyle="1" w:styleId="SoggettocommentoCarattere">
    <w:name w:val="Soggetto commento Carattere"/>
    <w:basedOn w:val="TestocommentoCarattere"/>
    <w:link w:val="Soggettocommento"/>
    <w:semiHidden/>
    <w:rsid w:val="00A71632"/>
    <w:rPr>
      <w:rFonts w:eastAsiaTheme="minorEastAsia"/>
      <w:b/>
      <w:bCs/>
      <w:sz w:val="20"/>
      <w:szCs w:val="20"/>
    </w:rPr>
  </w:style>
  <w:style w:type="table" w:styleId="Elencoscuro">
    <w:name w:val="Dark List"/>
    <w:basedOn w:val="Tabellanormale"/>
    <w:uiPriority w:val="99"/>
    <w:semiHidden/>
    <w:rsid w:val="00A71632"/>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A71632"/>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A71632"/>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A71632"/>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A71632"/>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A71632"/>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A71632"/>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A71632"/>
  </w:style>
  <w:style w:type="character" w:customStyle="1" w:styleId="DataCarattere">
    <w:name w:val="Data Carattere"/>
    <w:basedOn w:val="Carpredefinitoparagrafo"/>
    <w:link w:val="Data"/>
    <w:uiPriority w:val="99"/>
    <w:semiHidden/>
    <w:rsid w:val="00A71632"/>
    <w:rPr>
      <w:rFonts w:eastAsiaTheme="minorEastAsia"/>
      <w:sz w:val="24"/>
    </w:rPr>
  </w:style>
  <w:style w:type="paragraph" w:styleId="Mappadocumento">
    <w:name w:val="Document Map"/>
    <w:basedOn w:val="Normale"/>
    <w:link w:val="MappadocumentoCarattere"/>
    <w:semiHidden/>
    <w:rsid w:val="00A71632"/>
    <w:rPr>
      <w:rFonts w:ascii="Tahoma" w:hAnsi="Tahoma" w:cs="Tahoma"/>
      <w:sz w:val="16"/>
      <w:szCs w:val="16"/>
    </w:rPr>
  </w:style>
  <w:style w:type="character" w:customStyle="1" w:styleId="MappadocumentoCarattere">
    <w:name w:val="Mappa documento Carattere"/>
    <w:basedOn w:val="Carpredefinitoparagrafo"/>
    <w:link w:val="Mappadocumento"/>
    <w:semiHidden/>
    <w:rsid w:val="00A71632"/>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A71632"/>
  </w:style>
  <w:style w:type="character" w:customStyle="1" w:styleId="FirmadipostaelettronicaCarattere">
    <w:name w:val="Firma di posta elettronica Carattere"/>
    <w:basedOn w:val="Carpredefinitoparagrafo"/>
    <w:link w:val="Firmadipostaelettronica"/>
    <w:uiPriority w:val="99"/>
    <w:semiHidden/>
    <w:rsid w:val="00A71632"/>
    <w:rPr>
      <w:rFonts w:eastAsiaTheme="minorEastAsia"/>
      <w:sz w:val="24"/>
    </w:rPr>
  </w:style>
  <w:style w:type="character" w:styleId="Rimandonotadichiusura">
    <w:name w:val="endnote reference"/>
    <w:basedOn w:val="Carpredefinitoparagrafo"/>
    <w:semiHidden/>
    <w:rsid w:val="00A71632"/>
    <w:rPr>
      <w:vertAlign w:val="superscript"/>
    </w:rPr>
  </w:style>
  <w:style w:type="paragraph" w:styleId="Testonotadichiusura">
    <w:name w:val="endnote text"/>
    <w:basedOn w:val="Normale"/>
    <w:link w:val="TestonotadichiusuraCarattere"/>
    <w:uiPriority w:val="99"/>
    <w:semiHidden/>
    <w:rsid w:val="00A71632"/>
    <w:rPr>
      <w:sz w:val="20"/>
      <w:szCs w:val="20"/>
    </w:rPr>
  </w:style>
  <w:style w:type="character" w:customStyle="1" w:styleId="TestonotadichiusuraCarattere">
    <w:name w:val="Testo nota di chiusura Carattere"/>
    <w:basedOn w:val="Carpredefinitoparagrafo"/>
    <w:link w:val="Testonotadichiusura"/>
    <w:uiPriority w:val="99"/>
    <w:semiHidden/>
    <w:rsid w:val="00A71632"/>
    <w:rPr>
      <w:rFonts w:eastAsiaTheme="minorEastAsia"/>
      <w:sz w:val="20"/>
      <w:szCs w:val="20"/>
    </w:rPr>
  </w:style>
  <w:style w:type="paragraph" w:styleId="Indirizzodestinatario">
    <w:name w:val="envelope address"/>
    <w:basedOn w:val="Normale"/>
    <w:uiPriority w:val="99"/>
    <w:semiHidden/>
    <w:rsid w:val="00A7163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A71632"/>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A71632"/>
    <w:rPr>
      <w:color w:val="7030A0" w:themeColor="followedHyperlink"/>
      <w:u w:val="single"/>
    </w:rPr>
  </w:style>
  <w:style w:type="character" w:styleId="AcronimoHTML">
    <w:name w:val="HTML Acronym"/>
    <w:basedOn w:val="Carpredefinitoparagrafo"/>
    <w:uiPriority w:val="99"/>
    <w:semiHidden/>
    <w:rsid w:val="00A71632"/>
  </w:style>
  <w:style w:type="paragraph" w:styleId="IndirizzoHTML">
    <w:name w:val="HTML Address"/>
    <w:basedOn w:val="Normale"/>
    <w:link w:val="IndirizzoHTMLCarattere"/>
    <w:semiHidden/>
    <w:rsid w:val="00A71632"/>
    <w:rPr>
      <w:i/>
      <w:iCs/>
    </w:rPr>
  </w:style>
  <w:style w:type="character" w:customStyle="1" w:styleId="IndirizzoHTMLCarattere">
    <w:name w:val="Indirizzo HTML Carattere"/>
    <w:basedOn w:val="Carpredefinitoparagrafo"/>
    <w:link w:val="IndirizzoHTML"/>
    <w:semiHidden/>
    <w:rsid w:val="00A71632"/>
    <w:rPr>
      <w:rFonts w:eastAsiaTheme="minorEastAsia"/>
      <w:i/>
      <w:iCs/>
      <w:sz w:val="24"/>
    </w:rPr>
  </w:style>
  <w:style w:type="character" w:styleId="CitazioneHTML">
    <w:name w:val="HTML Cite"/>
    <w:basedOn w:val="Carpredefinitoparagrafo"/>
    <w:uiPriority w:val="99"/>
    <w:semiHidden/>
    <w:rsid w:val="00A71632"/>
    <w:rPr>
      <w:i/>
      <w:iCs/>
    </w:rPr>
  </w:style>
  <w:style w:type="character" w:styleId="CodiceHTML">
    <w:name w:val="HTML Code"/>
    <w:basedOn w:val="Carpredefinitoparagrafo"/>
    <w:uiPriority w:val="99"/>
    <w:semiHidden/>
    <w:rsid w:val="00A71632"/>
    <w:rPr>
      <w:rFonts w:ascii="Consolas" w:hAnsi="Consolas" w:cs="Consolas"/>
      <w:sz w:val="20"/>
      <w:szCs w:val="20"/>
    </w:rPr>
  </w:style>
  <w:style w:type="character" w:styleId="DefinizioneHTML">
    <w:name w:val="HTML Definition"/>
    <w:basedOn w:val="Carpredefinitoparagrafo"/>
    <w:uiPriority w:val="99"/>
    <w:semiHidden/>
    <w:rsid w:val="00A71632"/>
    <w:rPr>
      <w:i/>
      <w:iCs/>
    </w:rPr>
  </w:style>
  <w:style w:type="character" w:styleId="TastieraHTML">
    <w:name w:val="HTML Keyboard"/>
    <w:basedOn w:val="Carpredefinitoparagrafo"/>
    <w:semiHidden/>
    <w:rsid w:val="00A71632"/>
    <w:rPr>
      <w:rFonts w:ascii="Consolas" w:hAnsi="Consolas" w:cs="Consolas"/>
      <w:sz w:val="20"/>
      <w:szCs w:val="20"/>
    </w:rPr>
  </w:style>
  <w:style w:type="paragraph" w:styleId="PreformattatoHTML">
    <w:name w:val="HTML Preformatted"/>
    <w:basedOn w:val="Normale"/>
    <w:link w:val="PreformattatoHTMLCarattere"/>
    <w:uiPriority w:val="99"/>
    <w:semiHidden/>
    <w:rsid w:val="00A7163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A71632"/>
    <w:rPr>
      <w:rFonts w:ascii="Consolas" w:eastAsiaTheme="minorEastAsia" w:hAnsi="Consolas" w:cs="Consolas"/>
      <w:sz w:val="20"/>
      <w:szCs w:val="20"/>
    </w:rPr>
  </w:style>
  <w:style w:type="character" w:styleId="EsempioHTML">
    <w:name w:val="HTML Sample"/>
    <w:basedOn w:val="Carpredefinitoparagrafo"/>
    <w:semiHidden/>
    <w:rsid w:val="00A71632"/>
    <w:rPr>
      <w:rFonts w:ascii="Consolas" w:hAnsi="Consolas" w:cs="Consolas"/>
      <w:sz w:val="24"/>
      <w:szCs w:val="24"/>
    </w:rPr>
  </w:style>
  <w:style w:type="character" w:styleId="MacchinadascrivereHTML">
    <w:name w:val="HTML Typewriter"/>
    <w:basedOn w:val="Carpredefinitoparagrafo"/>
    <w:uiPriority w:val="99"/>
    <w:semiHidden/>
    <w:rsid w:val="00A71632"/>
    <w:rPr>
      <w:rFonts w:ascii="Consolas" w:hAnsi="Consolas" w:cs="Consolas"/>
      <w:sz w:val="20"/>
      <w:szCs w:val="20"/>
    </w:rPr>
  </w:style>
  <w:style w:type="character" w:styleId="VariabileHTML">
    <w:name w:val="HTML Variable"/>
    <w:basedOn w:val="Carpredefinitoparagrafo"/>
    <w:semiHidden/>
    <w:rsid w:val="00A71632"/>
    <w:rPr>
      <w:i/>
      <w:iCs/>
    </w:rPr>
  </w:style>
  <w:style w:type="paragraph" w:styleId="Indice1">
    <w:name w:val="index 1"/>
    <w:basedOn w:val="Normale"/>
    <w:next w:val="Normale"/>
    <w:autoRedefine/>
    <w:uiPriority w:val="99"/>
    <w:semiHidden/>
    <w:rsid w:val="00A71632"/>
    <w:pPr>
      <w:ind w:left="240" w:hanging="240"/>
    </w:pPr>
  </w:style>
  <w:style w:type="paragraph" w:styleId="Indice2">
    <w:name w:val="index 2"/>
    <w:basedOn w:val="Normale"/>
    <w:next w:val="Normale"/>
    <w:autoRedefine/>
    <w:semiHidden/>
    <w:rsid w:val="00A71632"/>
    <w:pPr>
      <w:ind w:left="480" w:hanging="240"/>
    </w:pPr>
  </w:style>
  <w:style w:type="paragraph" w:styleId="Indice3">
    <w:name w:val="index 3"/>
    <w:basedOn w:val="Normale"/>
    <w:next w:val="Normale"/>
    <w:autoRedefine/>
    <w:uiPriority w:val="99"/>
    <w:semiHidden/>
    <w:rsid w:val="00A71632"/>
    <w:pPr>
      <w:ind w:left="720" w:hanging="240"/>
    </w:pPr>
  </w:style>
  <w:style w:type="paragraph" w:styleId="Indice4">
    <w:name w:val="index 4"/>
    <w:basedOn w:val="Normale"/>
    <w:next w:val="Normale"/>
    <w:autoRedefine/>
    <w:uiPriority w:val="99"/>
    <w:semiHidden/>
    <w:rsid w:val="00A71632"/>
    <w:pPr>
      <w:ind w:left="960" w:hanging="240"/>
    </w:pPr>
  </w:style>
  <w:style w:type="paragraph" w:styleId="Indice5">
    <w:name w:val="index 5"/>
    <w:basedOn w:val="Normale"/>
    <w:next w:val="Normale"/>
    <w:autoRedefine/>
    <w:uiPriority w:val="99"/>
    <w:semiHidden/>
    <w:rsid w:val="00A71632"/>
    <w:pPr>
      <w:ind w:left="1200" w:hanging="240"/>
    </w:pPr>
  </w:style>
  <w:style w:type="paragraph" w:styleId="Indice6">
    <w:name w:val="index 6"/>
    <w:basedOn w:val="Normale"/>
    <w:next w:val="Normale"/>
    <w:autoRedefine/>
    <w:semiHidden/>
    <w:rsid w:val="00A71632"/>
    <w:pPr>
      <w:ind w:left="1440" w:hanging="240"/>
    </w:pPr>
  </w:style>
  <w:style w:type="paragraph" w:styleId="Indice7">
    <w:name w:val="index 7"/>
    <w:basedOn w:val="Normale"/>
    <w:next w:val="Normale"/>
    <w:autoRedefine/>
    <w:uiPriority w:val="99"/>
    <w:semiHidden/>
    <w:rsid w:val="00A71632"/>
    <w:pPr>
      <w:ind w:left="1680" w:hanging="240"/>
    </w:pPr>
  </w:style>
  <w:style w:type="paragraph" w:styleId="Indice8">
    <w:name w:val="index 8"/>
    <w:basedOn w:val="Normale"/>
    <w:next w:val="Normale"/>
    <w:autoRedefine/>
    <w:semiHidden/>
    <w:rsid w:val="00A71632"/>
    <w:pPr>
      <w:ind w:left="1920" w:hanging="240"/>
    </w:pPr>
  </w:style>
  <w:style w:type="paragraph" w:styleId="Indice9">
    <w:name w:val="index 9"/>
    <w:basedOn w:val="Normale"/>
    <w:next w:val="Normale"/>
    <w:autoRedefine/>
    <w:uiPriority w:val="99"/>
    <w:semiHidden/>
    <w:rsid w:val="00A71632"/>
    <w:pPr>
      <w:ind w:left="2160" w:hanging="240"/>
    </w:pPr>
  </w:style>
  <w:style w:type="paragraph" w:styleId="Titoloindice">
    <w:name w:val="index heading"/>
    <w:basedOn w:val="Normale"/>
    <w:next w:val="Indice1"/>
    <w:semiHidden/>
    <w:rsid w:val="00A71632"/>
    <w:rPr>
      <w:rFonts w:asciiTheme="majorHAnsi" w:eastAsiaTheme="majorEastAsia" w:hAnsiTheme="majorHAnsi" w:cstheme="majorBidi"/>
      <w:b/>
      <w:bCs/>
    </w:rPr>
  </w:style>
  <w:style w:type="table" w:styleId="Grigliachiara">
    <w:name w:val="Light Grid"/>
    <w:basedOn w:val="Tabellanormale"/>
    <w:uiPriority w:val="99"/>
    <w:semiHidden/>
    <w:rsid w:val="00A716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A7163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A7163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A7163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A7163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A7163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A7163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A716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A7163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A7163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A7163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A7163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A7163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A7163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A716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A71632"/>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A71632"/>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A71632"/>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A71632"/>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A71632"/>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A71632"/>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A71632"/>
  </w:style>
  <w:style w:type="paragraph" w:styleId="Elenco">
    <w:name w:val="List"/>
    <w:basedOn w:val="Normale"/>
    <w:uiPriority w:val="99"/>
    <w:semiHidden/>
    <w:rsid w:val="00A71632"/>
    <w:pPr>
      <w:ind w:left="283" w:hanging="283"/>
      <w:contextualSpacing/>
    </w:pPr>
  </w:style>
  <w:style w:type="paragraph" w:styleId="Elenco2">
    <w:name w:val="List 2"/>
    <w:basedOn w:val="Normale"/>
    <w:semiHidden/>
    <w:rsid w:val="00A71632"/>
    <w:pPr>
      <w:ind w:left="566" w:hanging="283"/>
      <w:contextualSpacing/>
    </w:pPr>
  </w:style>
  <w:style w:type="paragraph" w:styleId="Elenco3">
    <w:name w:val="List 3"/>
    <w:basedOn w:val="Normale"/>
    <w:uiPriority w:val="99"/>
    <w:semiHidden/>
    <w:rsid w:val="00A71632"/>
    <w:pPr>
      <w:ind w:left="849" w:hanging="283"/>
      <w:contextualSpacing/>
    </w:pPr>
  </w:style>
  <w:style w:type="paragraph" w:styleId="Elenco4">
    <w:name w:val="List 4"/>
    <w:basedOn w:val="Normale"/>
    <w:semiHidden/>
    <w:rsid w:val="00A71632"/>
    <w:pPr>
      <w:ind w:left="1132" w:hanging="283"/>
      <w:contextualSpacing/>
    </w:pPr>
  </w:style>
  <w:style w:type="paragraph" w:styleId="Elenco5">
    <w:name w:val="List 5"/>
    <w:basedOn w:val="Normale"/>
    <w:uiPriority w:val="99"/>
    <w:semiHidden/>
    <w:rsid w:val="00A71632"/>
    <w:pPr>
      <w:ind w:left="1415" w:hanging="283"/>
      <w:contextualSpacing/>
    </w:pPr>
  </w:style>
  <w:style w:type="paragraph" w:styleId="Puntoelenco">
    <w:name w:val="List Bullet"/>
    <w:basedOn w:val="Normale"/>
    <w:uiPriority w:val="99"/>
    <w:semiHidden/>
    <w:rsid w:val="00A71632"/>
    <w:pPr>
      <w:numPr>
        <w:numId w:val="6"/>
      </w:numPr>
      <w:contextualSpacing/>
    </w:pPr>
  </w:style>
  <w:style w:type="paragraph" w:styleId="Puntoelenco4">
    <w:name w:val="List Bullet 4"/>
    <w:basedOn w:val="Normale"/>
    <w:uiPriority w:val="99"/>
    <w:semiHidden/>
    <w:rsid w:val="00A71632"/>
    <w:pPr>
      <w:numPr>
        <w:numId w:val="7"/>
      </w:numPr>
      <w:contextualSpacing/>
    </w:pPr>
  </w:style>
  <w:style w:type="paragraph" w:styleId="Puntoelenco5">
    <w:name w:val="List Bullet 5"/>
    <w:basedOn w:val="Normale"/>
    <w:semiHidden/>
    <w:rsid w:val="00A71632"/>
    <w:pPr>
      <w:numPr>
        <w:numId w:val="8"/>
      </w:numPr>
      <w:contextualSpacing/>
    </w:pPr>
  </w:style>
  <w:style w:type="paragraph" w:styleId="Elencocontinua">
    <w:name w:val="List Continue"/>
    <w:basedOn w:val="Normale"/>
    <w:uiPriority w:val="99"/>
    <w:semiHidden/>
    <w:rsid w:val="00A71632"/>
    <w:pPr>
      <w:spacing w:after="120"/>
      <w:ind w:left="283"/>
      <w:contextualSpacing/>
    </w:pPr>
  </w:style>
  <w:style w:type="paragraph" w:styleId="Elencocontinua2">
    <w:name w:val="List Continue 2"/>
    <w:basedOn w:val="Normale"/>
    <w:semiHidden/>
    <w:rsid w:val="00A71632"/>
    <w:pPr>
      <w:spacing w:after="120"/>
      <w:ind w:left="566"/>
      <w:contextualSpacing/>
    </w:pPr>
  </w:style>
  <w:style w:type="paragraph" w:styleId="Elencocontinua3">
    <w:name w:val="List Continue 3"/>
    <w:basedOn w:val="Normale"/>
    <w:uiPriority w:val="99"/>
    <w:semiHidden/>
    <w:rsid w:val="00A71632"/>
    <w:pPr>
      <w:spacing w:after="120"/>
      <w:ind w:left="849"/>
      <w:contextualSpacing/>
    </w:pPr>
  </w:style>
  <w:style w:type="paragraph" w:styleId="Elencocontinua4">
    <w:name w:val="List Continue 4"/>
    <w:basedOn w:val="Normale"/>
    <w:uiPriority w:val="99"/>
    <w:semiHidden/>
    <w:rsid w:val="00A71632"/>
    <w:pPr>
      <w:spacing w:after="120"/>
      <w:ind w:left="1132"/>
      <w:contextualSpacing/>
    </w:pPr>
  </w:style>
  <w:style w:type="paragraph" w:styleId="Elencocontinua5">
    <w:name w:val="List Continue 5"/>
    <w:basedOn w:val="Normale"/>
    <w:uiPriority w:val="99"/>
    <w:semiHidden/>
    <w:rsid w:val="00A71632"/>
    <w:pPr>
      <w:spacing w:after="120"/>
      <w:ind w:left="1415"/>
      <w:contextualSpacing/>
    </w:pPr>
  </w:style>
  <w:style w:type="paragraph" w:styleId="Numeroelenco">
    <w:name w:val="List Number"/>
    <w:basedOn w:val="Normale"/>
    <w:semiHidden/>
    <w:rsid w:val="00A71632"/>
    <w:pPr>
      <w:numPr>
        <w:numId w:val="9"/>
      </w:numPr>
      <w:contextualSpacing/>
    </w:pPr>
  </w:style>
  <w:style w:type="paragraph" w:styleId="Numeroelenco2">
    <w:name w:val="List Number 2"/>
    <w:basedOn w:val="Normale"/>
    <w:uiPriority w:val="99"/>
    <w:semiHidden/>
    <w:rsid w:val="00A71632"/>
    <w:pPr>
      <w:numPr>
        <w:numId w:val="10"/>
      </w:numPr>
      <w:contextualSpacing/>
    </w:pPr>
  </w:style>
  <w:style w:type="paragraph" w:styleId="Numeroelenco3">
    <w:name w:val="List Number 3"/>
    <w:basedOn w:val="Normale"/>
    <w:semiHidden/>
    <w:rsid w:val="00A71632"/>
    <w:pPr>
      <w:numPr>
        <w:numId w:val="11"/>
      </w:numPr>
      <w:contextualSpacing/>
    </w:pPr>
  </w:style>
  <w:style w:type="paragraph" w:styleId="Numeroelenco4">
    <w:name w:val="List Number 4"/>
    <w:basedOn w:val="Normale"/>
    <w:uiPriority w:val="99"/>
    <w:semiHidden/>
    <w:rsid w:val="00A71632"/>
    <w:pPr>
      <w:numPr>
        <w:numId w:val="12"/>
      </w:numPr>
      <w:contextualSpacing/>
    </w:pPr>
  </w:style>
  <w:style w:type="paragraph" w:styleId="Numeroelenco5">
    <w:name w:val="List Number 5"/>
    <w:basedOn w:val="Normale"/>
    <w:semiHidden/>
    <w:rsid w:val="00A71632"/>
    <w:pPr>
      <w:numPr>
        <w:numId w:val="13"/>
      </w:numPr>
      <w:contextualSpacing/>
    </w:pPr>
  </w:style>
  <w:style w:type="paragraph" w:styleId="Testomacro">
    <w:name w:val="macro"/>
    <w:link w:val="TestomacroCarattere"/>
    <w:uiPriority w:val="99"/>
    <w:semiHidden/>
    <w:rsid w:val="00A7163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A71632"/>
    <w:rPr>
      <w:rFonts w:ascii="Consolas" w:eastAsiaTheme="minorEastAsia" w:hAnsi="Consolas" w:cs="Consolas"/>
      <w:sz w:val="20"/>
      <w:szCs w:val="20"/>
    </w:rPr>
  </w:style>
  <w:style w:type="table" w:styleId="Grigliamedia1">
    <w:name w:val="Medium Grid 1"/>
    <w:basedOn w:val="Tabellanormale"/>
    <w:uiPriority w:val="67"/>
    <w:semiHidden/>
    <w:rsid w:val="00A7163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A7163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A7163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A7163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A7163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A7163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A7163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A7163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A7163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A71632"/>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A71632"/>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A71632"/>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A71632"/>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A71632"/>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A71632"/>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A7163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A7163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A7163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A7163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A7163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A7163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A7163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A7163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A716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A7163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A71632"/>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A71632"/>
    <w:rPr>
      <w:rFonts w:ascii="Times New Roman" w:hAnsi="Times New Roman" w:cs="Times New Roman"/>
      <w:szCs w:val="24"/>
    </w:rPr>
  </w:style>
  <w:style w:type="paragraph" w:styleId="Rientronormale">
    <w:name w:val="Normal Indent"/>
    <w:basedOn w:val="Normale"/>
    <w:uiPriority w:val="99"/>
    <w:semiHidden/>
    <w:rsid w:val="00A71632"/>
    <w:pPr>
      <w:ind w:left="720"/>
    </w:pPr>
  </w:style>
  <w:style w:type="paragraph" w:styleId="Intestazionenota">
    <w:name w:val="Note Heading"/>
    <w:basedOn w:val="Normale"/>
    <w:next w:val="Normale"/>
    <w:link w:val="IntestazionenotaCarattere"/>
    <w:uiPriority w:val="99"/>
    <w:semiHidden/>
    <w:rsid w:val="00A71632"/>
  </w:style>
  <w:style w:type="character" w:customStyle="1" w:styleId="IntestazionenotaCarattere">
    <w:name w:val="Intestazione nota Carattere"/>
    <w:basedOn w:val="Carpredefinitoparagrafo"/>
    <w:link w:val="Intestazionenota"/>
    <w:uiPriority w:val="99"/>
    <w:semiHidden/>
    <w:rsid w:val="00A71632"/>
    <w:rPr>
      <w:rFonts w:eastAsiaTheme="minorEastAsia"/>
      <w:sz w:val="24"/>
    </w:rPr>
  </w:style>
  <w:style w:type="character" w:styleId="Testosegnaposto">
    <w:name w:val="Placeholder Text"/>
    <w:basedOn w:val="Carpredefinitoparagrafo"/>
    <w:uiPriority w:val="99"/>
    <w:semiHidden/>
    <w:rsid w:val="00A046D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A71632"/>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A71632"/>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A71632"/>
  </w:style>
  <w:style w:type="character" w:customStyle="1" w:styleId="FormuladiaperturaCarattere">
    <w:name w:val="Formula di apertura Carattere"/>
    <w:basedOn w:val="Carpredefinitoparagrafo"/>
    <w:link w:val="Formuladiapertura"/>
    <w:uiPriority w:val="99"/>
    <w:semiHidden/>
    <w:rsid w:val="00A71632"/>
    <w:rPr>
      <w:rFonts w:eastAsiaTheme="minorEastAsia"/>
      <w:sz w:val="24"/>
    </w:rPr>
  </w:style>
  <w:style w:type="paragraph" w:styleId="Firma">
    <w:name w:val="Signature"/>
    <w:basedOn w:val="Normale"/>
    <w:link w:val="FirmaCarattere"/>
    <w:uiPriority w:val="99"/>
    <w:semiHidden/>
    <w:rsid w:val="00A71632"/>
    <w:pPr>
      <w:ind w:left="4252"/>
    </w:pPr>
  </w:style>
  <w:style w:type="character" w:customStyle="1" w:styleId="FirmaCarattere">
    <w:name w:val="Firma Carattere"/>
    <w:basedOn w:val="Carpredefinitoparagrafo"/>
    <w:link w:val="Firma"/>
    <w:uiPriority w:val="99"/>
    <w:semiHidden/>
    <w:rsid w:val="00A71632"/>
    <w:rPr>
      <w:rFonts w:eastAsiaTheme="minorEastAsia"/>
      <w:sz w:val="24"/>
    </w:rPr>
  </w:style>
  <w:style w:type="table" w:styleId="Tabellaeffetti3D1">
    <w:name w:val="Table 3D effects 1"/>
    <w:basedOn w:val="Tabellanormale"/>
    <w:uiPriority w:val="99"/>
    <w:semiHidden/>
    <w:unhideWhenUsed/>
    <w:rsid w:val="00A7163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A7163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A7163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A7163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A7163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A7163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A7163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A7163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A7163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A7163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A7163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A7163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A7163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A7163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A7163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A7163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A7163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A7163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A7163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A7163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A7163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A7163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A7163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A7163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A7163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A7163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A7163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A7163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A7163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A7163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A7163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A7163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A7163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A71632"/>
    <w:pPr>
      <w:ind w:left="240" w:hanging="240"/>
    </w:pPr>
  </w:style>
  <w:style w:type="paragraph" w:styleId="Indicedellefigure">
    <w:name w:val="table of figures"/>
    <w:basedOn w:val="Normale"/>
    <w:next w:val="Normale"/>
    <w:uiPriority w:val="99"/>
    <w:semiHidden/>
    <w:rsid w:val="00A71632"/>
  </w:style>
  <w:style w:type="table" w:styleId="Tabellaprofessionale">
    <w:name w:val="Table Professional"/>
    <w:basedOn w:val="Tabellanormale"/>
    <w:uiPriority w:val="99"/>
    <w:semiHidden/>
    <w:unhideWhenUsed/>
    <w:rsid w:val="00A7163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A7163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A7163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A7163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A7163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A7163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A716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A7163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A7163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A7163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A046D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A046D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A71632"/>
    <w:pPr>
      <w:spacing w:after="100"/>
      <w:ind w:left="1680"/>
    </w:pPr>
  </w:style>
  <w:style w:type="paragraph" w:styleId="Sommario9">
    <w:name w:val="toc 9"/>
    <w:basedOn w:val="Normale"/>
    <w:next w:val="Normale"/>
    <w:autoRedefine/>
    <w:uiPriority w:val="99"/>
    <w:semiHidden/>
    <w:rsid w:val="00A71632"/>
    <w:pPr>
      <w:spacing w:after="100"/>
      <w:ind w:left="1920"/>
    </w:pPr>
  </w:style>
  <w:style w:type="paragraph" w:customStyle="1" w:styleId="OpiQuot">
    <w:name w:val="Opi_Quot"/>
    <w:basedOn w:val="ECHRParaQuote"/>
    <w:uiPriority w:val="48"/>
    <w:semiHidden/>
    <w:qFormat/>
    <w:rsid w:val="00A046D8"/>
  </w:style>
  <w:style w:type="paragraph" w:customStyle="1" w:styleId="OpiQuotSub">
    <w:name w:val="Opi_Quot_Sub"/>
    <w:basedOn w:val="JuQuotSub"/>
    <w:uiPriority w:val="49"/>
    <w:semiHidden/>
    <w:qFormat/>
    <w:rsid w:val="00A046D8"/>
  </w:style>
  <w:style w:type="paragraph" w:customStyle="1" w:styleId="OpiTranslation">
    <w:name w:val="Opi_Translation"/>
    <w:basedOn w:val="Normale"/>
    <w:next w:val="OpiPara"/>
    <w:uiPriority w:val="40"/>
    <w:semiHidden/>
    <w:qFormat/>
    <w:rsid w:val="00A046D8"/>
    <w:pPr>
      <w:jc w:val="center"/>
      <w:outlineLvl w:val="0"/>
    </w:pPr>
    <w:rPr>
      <w:i/>
    </w:rPr>
  </w:style>
  <w:style w:type="paragraph" w:customStyle="1" w:styleId="JuHeaderLandscape">
    <w:name w:val="Ju_Header_Landscape"/>
    <w:basedOn w:val="ECHRHeader"/>
    <w:uiPriority w:val="4"/>
    <w:qFormat/>
    <w:rsid w:val="00A046D8"/>
    <w:pPr>
      <w:tabs>
        <w:tab w:val="clear" w:pos="3686"/>
        <w:tab w:val="clear" w:pos="7371"/>
        <w:tab w:val="center" w:pos="6146"/>
        <w:tab w:val="right" w:pos="12293"/>
      </w:tabs>
    </w:pPr>
  </w:style>
  <w:style w:type="numbering" w:customStyle="1" w:styleId="ECHRA1StyleBulletedSquare">
    <w:name w:val="ECHR_A1_Style_Bulleted_Square"/>
    <w:basedOn w:val="Nessunelenco"/>
    <w:rsid w:val="00A046D8"/>
    <w:pPr>
      <w:numPr>
        <w:numId w:val="29"/>
      </w:numPr>
    </w:pPr>
  </w:style>
  <w:style w:type="numbering" w:customStyle="1" w:styleId="ECHRA1StyleNumberedList">
    <w:name w:val="ECHR_A1_Style_Numbered_List"/>
    <w:basedOn w:val="Nessunelenco"/>
    <w:rsid w:val="00A046D8"/>
    <w:pPr>
      <w:numPr>
        <w:numId w:val="30"/>
      </w:numPr>
    </w:pPr>
  </w:style>
  <w:style w:type="paragraph" w:customStyle="1" w:styleId="ECHRBullet1">
    <w:name w:val="ECHR_Bullet_1"/>
    <w:aliases w:val="Bul_1"/>
    <w:basedOn w:val="Normale"/>
    <w:uiPriority w:val="11"/>
    <w:rsid w:val="00A046D8"/>
    <w:pPr>
      <w:numPr>
        <w:numId w:val="29"/>
      </w:numPr>
      <w:spacing w:before="60" w:after="60"/>
    </w:pPr>
    <w:rPr>
      <w:sz w:val="22"/>
    </w:rPr>
  </w:style>
  <w:style w:type="paragraph" w:customStyle="1" w:styleId="ECHRBullet2">
    <w:name w:val="ECHR_Bullet_2"/>
    <w:aliases w:val="Bul_2"/>
    <w:basedOn w:val="ECHRBullet1"/>
    <w:uiPriority w:val="11"/>
    <w:rsid w:val="00A046D8"/>
    <w:pPr>
      <w:numPr>
        <w:ilvl w:val="1"/>
      </w:numPr>
    </w:pPr>
  </w:style>
  <w:style w:type="paragraph" w:customStyle="1" w:styleId="ECHRBullet3">
    <w:name w:val="ECHR_Bullet_3"/>
    <w:aliases w:val="Bul_3"/>
    <w:basedOn w:val="ECHRBullet2"/>
    <w:uiPriority w:val="11"/>
    <w:rsid w:val="00A046D8"/>
    <w:pPr>
      <w:numPr>
        <w:ilvl w:val="2"/>
      </w:numPr>
    </w:pPr>
  </w:style>
  <w:style w:type="paragraph" w:customStyle="1" w:styleId="ECHRBullet4">
    <w:name w:val="ECHR_Bullet_4"/>
    <w:aliases w:val="Bul_4"/>
    <w:basedOn w:val="ECHRBullet3"/>
    <w:uiPriority w:val="11"/>
    <w:rsid w:val="00A046D8"/>
    <w:pPr>
      <w:numPr>
        <w:ilvl w:val="3"/>
      </w:numPr>
    </w:pPr>
  </w:style>
  <w:style w:type="paragraph" w:customStyle="1" w:styleId="ECHRConfidential">
    <w:name w:val="ECHR_Confidential"/>
    <w:aliases w:val="Confidential"/>
    <w:basedOn w:val="ECHRPara"/>
    <w:next w:val="ECHRPara"/>
    <w:uiPriority w:val="37"/>
    <w:rsid w:val="00A046D8"/>
    <w:pPr>
      <w:ind w:firstLine="0"/>
      <w:jc w:val="right"/>
    </w:pPr>
    <w:rPr>
      <w:rFonts w:eastAsiaTheme="minorHAnsi"/>
      <w:color w:val="C00000"/>
      <w:sz w:val="20"/>
    </w:rPr>
  </w:style>
  <w:style w:type="paragraph" w:customStyle="1" w:styleId="ECHRCoverTitle1">
    <w:name w:val="ECHR_Cover_Title_1"/>
    <w:aliases w:val="Cover_1"/>
    <w:basedOn w:val="Normale"/>
    <w:next w:val="Normale"/>
    <w:uiPriority w:val="33"/>
    <w:rsid w:val="00A046D8"/>
    <w:pPr>
      <w:spacing w:before="840"/>
      <w:contextualSpacing/>
      <w:jc w:val="center"/>
    </w:pPr>
    <w:rPr>
      <w:rFonts w:eastAsiaTheme="minorHAnsi"/>
      <w:color w:val="2F2F2F" w:themeColor="accent3" w:themeShade="80"/>
      <w:sz w:val="36"/>
    </w:rPr>
  </w:style>
  <w:style w:type="paragraph" w:customStyle="1" w:styleId="ECHRCoverTitle2">
    <w:name w:val="ECHR_Cover_Title_2"/>
    <w:aliases w:val="Cover_2"/>
    <w:basedOn w:val="Normale"/>
    <w:next w:val="Normale"/>
    <w:uiPriority w:val="33"/>
    <w:rsid w:val="00A046D8"/>
    <w:pPr>
      <w:spacing w:before="600"/>
      <w:contextualSpacing/>
      <w:jc w:val="center"/>
    </w:pPr>
    <w:rPr>
      <w:rFonts w:asciiTheme="majorHAnsi" w:eastAsiaTheme="minorHAnsi" w:hAnsiTheme="majorHAnsi"/>
      <w:color w:val="474747" w:themeColor="accent3" w:themeShade="BF"/>
      <w:sz w:val="28"/>
    </w:rPr>
  </w:style>
  <w:style w:type="paragraph" w:customStyle="1" w:styleId="ECHRCoverTitle3">
    <w:name w:val="ECHR_Cover_Title_3"/>
    <w:aliases w:val="Cover_3"/>
    <w:basedOn w:val="Normale"/>
    <w:next w:val="ECHRCoverTitle4"/>
    <w:uiPriority w:val="33"/>
    <w:rsid w:val="00A046D8"/>
    <w:pPr>
      <w:spacing w:before="1080" w:after="1080"/>
      <w:contextualSpacing/>
      <w:jc w:val="center"/>
    </w:pPr>
    <w:rPr>
      <w:rFonts w:eastAsiaTheme="minorHAnsi"/>
      <w:b/>
      <w:color w:val="474747" w:themeColor="accent3" w:themeShade="BF"/>
    </w:rPr>
  </w:style>
  <w:style w:type="paragraph" w:customStyle="1" w:styleId="ECHRCoverTitle4">
    <w:name w:val="ECHR_Cover_Title_4"/>
    <w:aliases w:val="Cover_4"/>
    <w:basedOn w:val="Normale"/>
    <w:uiPriority w:val="33"/>
    <w:rsid w:val="00A046D8"/>
    <w:pPr>
      <w:tabs>
        <w:tab w:val="right" w:pos="7938"/>
      </w:tabs>
      <w:spacing w:before="120" w:after="120"/>
      <w:ind w:left="1134" w:right="1134"/>
      <w:jc w:val="left"/>
    </w:pPr>
    <w:rPr>
      <w:rFonts w:eastAsiaTheme="minorHAnsi"/>
      <w:color w:val="2F2F2F" w:themeColor="accent3" w:themeShade="80"/>
      <w:sz w:val="22"/>
    </w:rPr>
  </w:style>
  <w:style w:type="paragraph" w:customStyle="1" w:styleId="ECHRDivisionName">
    <w:name w:val="ECHR_DivisionName"/>
    <w:aliases w:val="Div_Name"/>
    <w:basedOn w:val="Normale"/>
    <w:link w:val="ECHRDivisionNameChar"/>
    <w:uiPriority w:val="36"/>
    <w:rsid w:val="00A046D8"/>
    <w:pPr>
      <w:contextualSpacing/>
      <w:jc w:val="center"/>
    </w:pPr>
    <w:rPr>
      <w:rFonts w:ascii="Arial Narrow" w:eastAsiaTheme="minorHAnsi" w:hAnsi="Arial Narrow"/>
      <w:i/>
      <w:color w:val="0072BC" w:themeColor="accent1"/>
      <w:sz w:val="32"/>
    </w:rPr>
  </w:style>
  <w:style w:type="character" w:customStyle="1" w:styleId="ECHRDivisionNameChar">
    <w:name w:val="ECHR_DivisionName Char"/>
    <w:aliases w:val="Div_Name Char"/>
    <w:basedOn w:val="Carpredefinitoparagrafo"/>
    <w:link w:val="ECHRDivisionName"/>
    <w:uiPriority w:val="36"/>
    <w:rsid w:val="00A046D8"/>
    <w:rPr>
      <w:rFonts w:ascii="Arial Narrow" w:hAnsi="Arial Narrow"/>
      <w:i/>
      <w:color w:val="0072BC" w:themeColor="accent1"/>
      <w:sz w:val="32"/>
      <w:lang w:val="en-GB"/>
    </w:rPr>
  </w:style>
  <w:style w:type="paragraph" w:customStyle="1" w:styleId="ECHRFooterLineLandscape">
    <w:name w:val="ECHR_Footer_Line_Landscape"/>
    <w:aliases w:val="Footer_Line_Landscape"/>
    <w:basedOn w:val="ECHRFooterLine"/>
    <w:uiPriority w:val="49"/>
    <w:rsid w:val="00A046D8"/>
    <w:pPr>
      <w:pBdr>
        <w:top w:val="single" w:sz="8" w:space="1" w:color="7F7F7F" w:themeColor="text1" w:themeTint="80"/>
      </w:pBdr>
      <w:tabs>
        <w:tab w:val="clear" w:pos="4536"/>
        <w:tab w:val="clear" w:pos="9696"/>
        <w:tab w:val="center" w:pos="6787"/>
        <w:tab w:val="right" w:pos="14640"/>
      </w:tabs>
    </w:pPr>
    <w:rPr>
      <w:rFonts w:eastAsiaTheme="minorHAnsi"/>
      <w:color w:val="474747" w:themeColor="accent3" w:themeShade="BF"/>
      <w:sz w:val="22"/>
    </w:rPr>
  </w:style>
  <w:style w:type="paragraph" w:customStyle="1" w:styleId="ECHRHeaderDate">
    <w:name w:val="ECHR_Header_Date"/>
    <w:aliases w:val="Ref_Date"/>
    <w:basedOn w:val="Normale"/>
    <w:uiPriority w:val="39"/>
    <w:rsid w:val="00A046D8"/>
    <w:pPr>
      <w:jc w:val="right"/>
    </w:pPr>
    <w:rPr>
      <w:rFonts w:eastAsiaTheme="minorHAnsi"/>
      <w:sz w:val="20"/>
    </w:rPr>
  </w:style>
  <w:style w:type="paragraph" w:customStyle="1" w:styleId="ECHRHeaderLandscape">
    <w:name w:val="ECHR_Header_Landscape"/>
    <w:aliases w:val="Header_Landscape"/>
    <w:basedOn w:val="Intestazione"/>
    <w:uiPriority w:val="46"/>
    <w:rsid w:val="00A046D8"/>
    <w:pPr>
      <w:tabs>
        <w:tab w:val="clear" w:pos="4536"/>
        <w:tab w:val="clear" w:pos="9072"/>
        <w:tab w:val="center" w:pos="6787"/>
        <w:tab w:val="right" w:pos="14640"/>
      </w:tabs>
      <w:ind w:left="-680" w:right="-680"/>
      <w:jc w:val="left"/>
    </w:pPr>
    <w:rPr>
      <w:sz w:val="22"/>
    </w:rPr>
  </w:style>
  <w:style w:type="paragraph" w:customStyle="1" w:styleId="ECHRHeaderRefIt">
    <w:name w:val="ECHR_Header_Ref_It"/>
    <w:aliases w:val="Ref_Ital"/>
    <w:basedOn w:val="Normale"/>
    <w:next w:val="ECHRHeaderDate"/>
    <w:uiPriority w:val="38"/>
    <w:rsid w:val="00A046D8"/>
    <w:pPr>
      <w:jc w:val="right"/>
    </w:pPr>
    <w:rPr>
      <w:rFonts w:eastAsiaTheme="minorHAnsi"/>
      <w:i/>
      <w:sz w:val="20"/>
    </w:rPr>
  </w:style>
  <w:style w:type="paragraph" w:customStyle="1" w:styleId="ECHRLine">
    <w:name w:val="ECHR_Line"/>
    <w:basedOn w:val="Normale"/>
    <w:next w:val="Normale"/>
    <w:uiPriority w:val="22"/>
    <w:rsid w:val="00A046D8"/>
    <w:pPr>
      <w:pBdr>
        <w:bottom w:val="single" w:sz="12" w:space="1" w:color="949494" w:themeColor="text2" w:themeShade="BF"/>
      </w:pBdr>
      <w:spacing w:after="120"/>
    </w:pPr>
    <w:rPr>
      <w:rFonts w:eastAsiaTheme="minorHAnsi"/>
      <w:sz w:val="12"/>
    </w:rPr>
  </w:style>
  <w:style w:type="paragraph" w:customStyle="1" w:styleId="ECHRNumberedList1">
    <w:name w:val="ECHR_Numbered_List_1"/>
    <w:aliases w:val="Num_1"/>
    <w:basedOn w:val="Normale"/>
    <w:uiPriority w:val="12"/>
    <w:rsid w:val="00A046D8"/>
    <w:pPr>
      <w:numPr>
        <w:numId w:val="30"/>
      </w:numPr>
      <w:spacing w:before="60" w:after="60"/>
      <w:jc w:val="left"/>
    </w:pPr>
    <w:rPr>
      <w:sz w:val="22"/>
    </w:rPr>
  </w:style>
  <w:style w:type="paragraph" w:customStyle="1" w:styleId="ECHRNumberedList2">
    <w:name w:val="ECHR_Numbered_List_2"/>
    <w:aliases w:val="Num_2"/>
    <w:basedOn w:val="ECHRNumberedList1"/>
    <w:uiPriority w:val="12"/>
    <w:rsid w:val="00A046D8"/>
    <w:pPr>
      <w:numPr>
        <w:ilvl w:val="1"/>
      </w:numPr>
    </w:pPr>
  </w:style>
  <w:style w:type="paragraph" w:customStyle="1" w:styleId="ECHRNumberedList3">
    <w:name w:val="ECHR_Numbered_List_3"/>
    <w:aliases w:val="Num_3"/>
    <w:basedOn w:val="ECHRNumberedList2"/>
    <w:uiPriority w:val="12"/>
    <w:rsid w:val="00A046D8"/>
    <w:pPr>
      <w:numPr>
        <w:ilvl w:val="2"/>
      </w:numPr>
    </w:pPr>
  </w:style>
  <w:style w:type="paragraph" w:customStyle="1" w:styleId="ECHRParaSpaced">
    <w:name w:val="ECHR_Para_Spaced"/>
    <w:aliases w:val="Para_Spaced"/>
    <w:basedOn w:val="ECHRPara"/>
    <w:uiPriority w:val="4"/>
    <w:rsid w:val="00A046D8"/>
    <w:pPr>
      <w:spacing w:before="120" w:after="120"/>
      <w:ind w:firstLine="0"/>
    </w:pPr>
    <w:rPr>
      <w:rFonts w:eastAsiaTheme="minorHAnsi"/>
      <w:sz w:val="22"/>
    </w:rPr>
  </w:style>
  <w:style w:type="character" w:customStyle="1" w:styleId="ECHRRed">
    <w:name w:val="ECHR_Red"/>
    <w:aliases w:val="Red"/>
    <w:basedOn w:val="Carpredefinitoparagrafo"/>
    <w:uiPriority w:val="19"/>
    <w:rsid w:val="00A046D8"/>
    <w:rPr>
      <w:color w:val="C00000" w:themeColor="accent2"/>
    </w:rPr>
  </w:style>
  <w:style w:type="paragraph" w:customStyle="1" w:styleId="ECHRSpacer">
    <w:name w:val="ECHR_Spacer"/>
    <w:basedOn w:val="Normale"/>
    <w:uiPriority w:val="45"/>
    <w:rsid w:val="00A046D8"/>
    <w:pPr>
      <w:jc w:val="left"/>
    </w:pPr>
    <w:rPr>
      <w:rFonts w:eastAsiaTheme="minorHAnsi"/>
      <w:sz w:val="4"/>
    </w:rPr>
  </w:style>
  <w:style w:type="paragraph" w:customStyle="1" w:styleId="ECHRTitle2">
    <w:name w:val="ECHR_Title_2"/>
    <w:aliases w:val="Title_L_2"/>
    <w:basedOn w:val="Normale"/>
    <w:next w:val="ECHRParaSpaced"/>
    <w:uiPriority w:val="29"/>
    <w:rsid w:val="00A046D8"/>
    <w:pPr>
      <w:keepNext/>
      <w:keepLines/>
      <w:spacing w:before="240"/>
      <w:contextualSpacing/>
      <w:jc w:val="left"/>
    </w:pPr>
    <w:rPr>
      <w:rFonts w:asciiTheme="majorHAnsi" w:eastAsiaTheme="minorHAnsi" w:hAnsiTheme="majorHAnsi"/>
      <w:b/>
      <w:color w:val="474747" w:themeColor="accent3" w:themeShade="BF"/>
      <w:sz w:val="28"/>
    </w:rPr>
  </w:style>
  <w:style w:type="paragraph" w:customStyle="1" w:styleId="ECHRTitle3">
    <w:name w:val="ECHR_Title_3"/>
    <w:aliases w:val="Title_L_3"/>
    <w:basedOn w:val="Normale"/>
    <w:next w:val="ECHRParaSpaced"/>
    <w:uiPriority w:val="29"/>
    <w:rsid w:val="00A046D8"/>
    <w:pPr>
      <w:keepNext/>
      <w:keepLines/>
      <w:spacing w:before="240"/>
      <w:contextualSpacing/>
      <w:jc w:val="left"/>
    </w:pPr>
    <w:rPr>
      <w:rFonts w:asciiTheme="majorHAnsi" w:eastAsiaTheme="minorHAnsi" w:hAnsiTheme="majorHAnsi"/>
      <w:b/>
      <w:color w:val="474747" w:themeColor="accent3" w:themeShade="BF"/>
    </w:rPr>
  </w:style>
  <w:style w:type="paragraph" w:customStyle="1" w:styleId="ECHRTitleCentreTOC1">
    <w:name w:val="ECHR_Title_Centre_TOC_1"/>
    <w:aliases w:val="Title_C_TOC"/>
    <w:basedOn w:val="ECHRTitleCentre1"/>
    <w:next w:val="ECHRHeading1"/>
    <w:uiPriority w:val="25"/>
    <w:rsid w:val="00A046D8"/>
    <w:pPr>
      <w:spacing w:before="240" w:after="0"/>
      <w:contextualSpacing/>
    </w:pPr>
    <w:rPr>
      <w:rFonts w:eastAsiaTheme="minorHAnsi"/>
      <w:b/>
      <w:color w:val="2F2F2F" w:themeColor="accent3" w:themeShade="80"/>
      <w:sz w:val="32"/>
    </w:rPr>
  </w:style>
  <w:style w:type="paragraph" w:customStyle="1" w:styleId="ECHRTitleTOC1">
    <w:name w:val="ECHR_Title_TOC_1"/>
    <w:aliases w:val="Title_L_TOC"/>
    <w:basedOn w:val="ECHRTitle1"/>
    <w:next w:val="ECHRHeading1"/>
    <w:uiPriority w:val="28"/>
    <w:rsid w:val="00A046D8"/>
    <w:pPr>
      <w:spacing w:before="240" w:after="0"/>
      <w:contextualSpacing/>
      <w:jc w:val="left"/>
    </w:pPr>
    <w:rPr>
      <w:rFonts w:eastAsiaTheme="minorHAnsi"/>
      <w:b/>
      <w:color w:val="2F2F2F" w:themeColor="accent3" w:themeShade="80"/>
      <w:sz w:val="32"/>
    </w:rPr>
  </w:style>
  <w:style w:type="paragraph" w:customStyle="1" w:styleId="ECHRParaIndent">
    <w:name w:val="ECHR_Para_Indent"/>
    <w:aliases w:val="Para_Indent"/>
    <w:basedOn w:val="ECHRParaSpaced"/>
    <w:uiPriority w:val="7"/>
    <w:rsid w:val="00A046D8"/>
    <w:pPr>
      <w:ind w:left="567"/>
    </w:pPr>
  </w:style>
  <w:style w:type="paragraph" w:customStyle="1" w:styleId="ECHRParaHanging">
    <w:name w:val="ECHR_Para_Hanging"/>
    <w:aliases w:val="Para_Hanging"/>
    <w:basedOn w:val="ECHRPara"/>
    <w:uiPriority w:val="10"/>
    <w:rsid w:val="00A046D8"/>
    <w:pPr>
      <w:ind w:left="567" w:hanging="567"/>
    </w:pPr>
    <w:rPr>
      <w:rFonts w:eastAsiaTheme="minorHAnsi"/>
      <w:sz w:val="22"/>
    </w:rPr>
  </w:style>
  <w:style w:type="table" w:customStyle="1" w:styleId="ECHRTableGrey">
    <w:name w:val="ECHR_Table_Grey"/>
    <w:basedOn w:val="Tabellanormale"/>
    <w:uiPriority w:val="99"/>
    <w:rsid w:val="00A046D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essunelenco"/>
    <w:uiPriority w:val="99"/>
    <w:rsid w:val="00A046D8"/>
    <w:pPr>
      <w:numPr>
        <w:numId w:val="32"/>
      </w:numPr>
    </w:pPr>
  </w:style>
  <w:style w:type="paragraph" w:customStyle="1" w:styleId="ECHRList1">
    <w:name w:val="ECHR_List_1"/>
    <w:aliases w:val="Num_Left_1"/>
    <w:basedOn w:val="Normale"/>
    <w:uiPriority w:val="12"/>
    <w:rsid w:val="00A046D8"/>
    <w:pPr>
      <w:numPr>
        <w:numId w:val="33"/>
      </w:numPr>
      <w:spacing w:before="60" w:after="60"/>
    </w:pPr>
    <w:rPr>
      <w:rFonts w:eastAsiaTheme="minorHAnsi"/>
      <w:sz w:val="22"/>
    </w:rPr>
  </w:style>
  <w:style w:type="paragraph" w:customStyle="1" w:styleId="ECHRList2">
    <w:name w:val="ECHR_List_2"/>
    <w:aliases w:val="Num_Left_2"/>
    <w:basedOn w:val="ECHRList1"/>
    <w:uiPriority w:val="12"/>
    <w:rsid w:val="00A046D8"/>
    <w:pPr>
      <w:numPr>
        <w:ilvl w:val="1"/>
      </w:numPr>
    </w:pPr>
  </w:style>
  <w:style w:type="paragraph" w:customStyle="1" w:styleId="ECHRList3">
    <w:name w:val="ECHR_List_3"/>
    <w:aliases w:val="Num_Left_3"/>
    <w:basedOn w:val="ECHRList2"/>
    <w:uiPriority w:val="12"/>
    <w:rsid w:val="00A046D8"/>
    <w:pPr>
      <w:numPr>
        <w:ilvl w:val="2"/>
      </w:numPr>
    </w:pPr>
  </w:style>
  <w:style w:type="table" w:customStyle="1" w:styleId="ECHRTable2016">
    <w:name w:val="ECHR_Table_2016"/>
    <w:basedOn w:val="Tabellanormale"/>
    <w:uiPriority w:val="99"/>
    <w:rsid w:val="00A046D8"/>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character" w:customStyle="1" w:styleId="ECHRParaChar">
    <w:name w:val="ECHR_Para Char"/>
    <w:aliases w:val="Ju_Para Char"/>
    <w:link w:val="ECHRPara"/>
    <w:uiPriority w:val="12"/>
    <w:rsid w:val="00A046D8"/>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80F2-5737-4026-BA6C-E9100B73C8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D1F1A-E729-4EB8-AF13-B03159D9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28AC37-8EF3-494C-921D-0195C4EF4DD9}">
  <ds:schemaRefs>
    <ds:schemaRef ds:uri="http://schemas.microsoft.com/sharepoint/v3/contenttype/forms"/>
  </ds:schemaRefs>
</ds:datastoreItem>
</file>

<file path=customXml/itemProps4.xml><?xml version="1.0" encoding="utf-8"?>
<ds:datastoreItem xmlns:ds="http://schemas.openxmlformats.org/officeDocument/2006/customXml" ds:itemID="{5240F10E-A2BA-4672-A535-353C7F7D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4694</Words>
  <Characters>26757</Characters>
  <Application>Microsoft Office Word</Application>
  <DocSecurity>0</DocSecurity>
  <Lines>222</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LinksUpToDate>false</LinksUpToDate>
  <CharactersWithSpaces>31389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2019-06-06T15:11:00Z</dcterms:created>
  <dcterms:modified xsi:type="dcterms:W3CDTF">2019-06-06T15:11:00Z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63289/17</vt:lpwstr>
  </property>
  <property fmtid="{D5CDD505-2E9C-101B-9397-08002B2CF9AE}" pid="4" name="CASEID">
    <vt:lpwstr>1336546</vt:lpwstr>
  </property>
  <property fmtid="{D5CDD505-2E9C-101B-9397-08002B2CF9AE}" pid="5" name="ContentTypeId">
    <vt:lpwstr>0x010100558EB02BDB9E204AB350EDD385B68E10</vt:lpwstr>
  </property>
</Properties>
</file>