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813CF" w:rsidRDefault="00950340" w:rsidP="00E813CF">
      <w:pPr>
        <w:pStyle w:val="DecHTitle"/>
        <w:rPr>
          <w:sz w:val="4"/>
          <w:szCs w:val="4"/>
        </w:rPr>
      </w:pPr>
      <w:bookmarkStart w:id="0" w:name="_GoBack"/>
      <w:bookmarkEnd w:id="0"/>
      <w:r w:rsidRPr="00E813CF">
        <w:rPr>
          <w:szCs w:val="24"/>
        </w:rPr>
        <w:t>PREMIÈRE SECTION</w:t>
      </w:r>
    </w:p>
    <w:p w:rsidR="006544C4" w:rsidRPr="00E813CF" w:rsidRDefault="006544C4" w:rsidP="00E813CF">
      <w:pPr>
        <w:pStyle w:val="DecHTitle"/>
        <w:rPr>
          <w:caps/>
          <w:sz w:val="32"/>
        </w:rPr>
      </w:pPr>
      <w:r w:rsidRPr="00E813CF">
        <w:t>DÉCISION</w:t>
      </w:r>
    </w:p>
    <w:p w:rsidR="006544C4" w:rsidRPr="00E813CF" w:rsidRDefault="00950340" w:rsidP="00E813CF">
      <w:pPr>
        <w:pStyle w:val="DecHCase"/>
      </w:pPr>
      <w:r w:rsidRPr="00E813CF">
        <w:t>Requête n</w:t>
      </w:r>
      <w:r w:rsidRPr="00E813CF">
        <w:rPr>
          <w:vertAlign w:val="superscript"/>
        </w:rPr>
        <w:t>o</w:t>
      </w:r>
      <w:r w:rsidR="006544C4" w:rsidRPr="00E813CF">
        <w:t xml:space="preserve"> </w:t>
      </w:r>
      <w:r w:rsidRPr="00E813CF">
        <w:t>42401/13</w:t>
      </w:r>
      <w:r w:rsidR="006544C4" w:rsidRPr="00E813CF">
        <w:br/>
      </w:r>
      <w:r w:rsidRPr="00E813CF">
        <w:t>Pasquale RAIMONDO</w:t>
      </w:r>
      <w:r w:rsidRPr="00E813CF">
        <w:br/>
      </w:r>
      <w:r w:rsidR="006544C4" w:rsidRPr="00E813CF">
        <w:t xml:space="preserve">contre </w:t>
      </w:r>
      <w:r w:rsidRPr="00E813CF">
        <w:t>l</w:t>
      </w:r>
      <w:r w:rsidR="00E813CF" w:rsidRPr="00E813CF">
        <w:t>’</w:t>
      </w:r>
      <w:r w:rsidRPr="00E813CF">
        <w:t>Italie</w:t>
      </w:r>
    </w:p>
    <w:p w:rsidR="00EC2784" w:rsidRPr="00E813CF" w:rsidRDefault="00EC2784" w:rsidP="00E813CF">
      <w:pPr>
        <w:pStyle w:val="JuParaLast"/>
        <w:rPr>
          <w:rStyle w:val="JuITMark"/>
          <w:shd w:val="clear" w:color="auto" w:fill="auto"/>
        </w:rPr>
      </w:pPr>
    </w:p>
    <w:p w:rsidR="00950340" w:rsidRPr="00E813CF" w:rsidRDefault="00950340" w:rsidP="00E813CF">
      <w:pPr>
        <w:pStyle w:val="JuPara"/>
      </w:pPr>
      <w:r w:rsidRPr="00E813CF">
        <w:t>La Cour européenne des droits de l</w:t>
      </w:r>
      <w:r w:rsidR="00E813CF" w:rsidRPr="00E813CF">
        <w:t>’</w:t>
      </w:r>
      <w:r w:rsidRPr="00E813CF">
        <w:t xml:space="preserve">homme (première section), siégeant le </w:t>
      </w:r>
      <w:r w:rsidR="00B03CF0" w:rsidRPr="00E813CF">
        <w:t>17 septembre 2019</w:t>
      </w:r>
      <w:r w:rsidRPr="00E813CF">
        <w:t xml:space="preserve"> en un comité composé de :</w:t>
      </w:r>
    </w:p>
    <w:p w:rsidR="00D26605" w:rsidRPr="00E813CF" w:rsidRDefault="00D26605" w:rsidP="00E813CF">
      <w:pPr>
        <w:pStyle w:val="JuJudges"/>
        <w:rPr>
          <w:i/>
        </w:rPr>
      </w:pPr>
      <w:r w:rsidRPr="00E813CF">
        <w:tab/>
        <w:t>Krzysztof Wojtyczek,</w:t>
      </w:r>
      <w:r w:rsidRPr="00E813CF">
        <w:rPr>
          <w:i/>
        </w:rPr>
        <w:t xml:space="preserve"> président,</w:t>
      </w:r>
    </w:p>
    <w:p w:rsidR="00D26605" w:rsidRPr="00E813CF" w:rsidRDefault="00D26605" w:rsidP="00E813CF">
      <w:pPr>
        <w:pStyle w:val="JuJudges"/>
      </w:pPr>
      <w:r w:rsidRPr="00E813CF">
        <w:tab/>
        <w:t>Armen Harutyunyan,</w:t>
      </w:r>
    </w:p>
    <w:p w:rsidR="00950340" w:rsidRPr="00E813CF" w:rsidRDefault="00D26605" w:rsidP="00E813CF">
      <w:pPr>
        <w:pStyle w:val="JuJudges"/>
      </w:pPr>
      <w:r w:rsidRPr="00E813CF">
        <w:tab/>
        <w:t>Pere Pastor Vilanova,</w:t>
      </w:r>
      <w:r w:rsidRPr="00E813CF">
        <w:rPr>
          <w:i/>
        </w:rPr>
        <w:t xml:space="preserve"> juges,</w:t>
      </w:r>
    </w:p>
    <w:p w:rsidR="00950340" w:rsidRPr="00E813CF" w:rsidRDefault="00950340" w:rsidP="00E813CF">
      <w:pPr>
        <w:pStyle w:val="JuPara"/>
      </w:pPr>
      <w:r w:rsidRPr="00E813CF">
        <w:t xml:space="preserve">et de Renata Degener, </w:t>
      </w:r>
      <w:r w:rsidRPr="00E813CF">
        <w:rPr>
          <w:i/>
        </w:rPr>
        <w:t>greffière adjointe</w:t>
      </w:r>
      <w:r w:rsidRPr="00E813CF">
        <w:rPr>
          <w:i/>
          <w:iCs/>
        </w:rPr>
        <w:t xml:space="preserve"> d</w:t>
      </w:r>
      <w:r w:rsidRPr="00E813CF">
        <w:rPr>
          <w:i/>
        </w:rPr>
        <w:t>e section</w:t>
      </w:r>
      <w:r w:rsidRPr="00E813CF">
        <w:t>,</w:t>
      </w:r>
    </w:p>
    <w:p w:rsidR="00950340" w:rsidRPr="00E813CF" w:rsidRDefault="00950340" w:rsidP="00E813CF">
      <w:pPr>
        <w:pStyle w:val="JuPara"/>
      </w:pPr>
      <w:r w:rsidRPr="00E813CF">
        <w:t>Vu la requête susmentionnée introduite le 26 juin 2013,</w:t>
      </w:r>
    </w:p>
    <w:p w:rsidR="00950340" w:rsidRPr="00E813CF" w:rsidRDefault="00950340" w:rsidP="00E813CF">
      <w:pPr>
        <w:pStyle w:val="JuPara"/>
      </w:pPr>
      <w:r w:rsidRPr="00E813CF">
        <w:t>Vu les observations soumises par le gouvernement défendeur et celles présentées en réponse par le requérant,</w:t>
      </w:r>
    </w:p>
    <w:p w:rsidR="00950340" w:rsidRPr="00E813CF" w:rsidRDefault="00950340" w:rsidP="00E813CF">
      <w:pPr>
        <w:pStyle w:val="JuPara"/>
      </w:pPr>
      <w:r w:rsidRPr="00E813CF">
        <w:t>Après en avoir délibéré, rend la décision suivante :</w:t>
      </w:r>
    </w:p>
    <w:p w:rsidR="00950340" w:rsidRPr="00E813CF" w:rsidRDefault="00950340" w:rsidP="00E813CF">
      <w:pPr>
        <w:pStyle w:val="JuHHead"/>
      </w:pPr>
      <w:r w:rsidRPr="00E813CF">
        <w:t>EN FAIT</w:t>
      </w:r>
    </w:p>
    <w:p w:rsidR="00950340" w:rsidRPr="00E813CF" w:rsidRDefault="00950340" w:rsidP="00E813CF">
      <w:pPr>
        <w:pStyle w:val="JuPara"/>
      </w:pPr>
      <w:r w:rsidRPr="00E813CF">
        <w:t>1.  Le requérant, M. Pasquale Raimondo, est</w:t>
      </w:r>
      <w:r w:rsidR="00E813CF" w:rsidRPr="00E813CF">
        <w:t xml:space="preserve"> un ressortissant italien né en </w:t>
      </w:r>
      <w:r w:rsidRPr="00E813CF">
        <w:t>1944 et résidant à Larino. Il a été représenté devant la Cour par M</w:t>
      </w:r>
      <w:r w:rsidRPr="00E813CF">
        <w:rPr>
          <w:vertAlign w:val="superscript"/>
        </w:rPr>
        <w:t>e</w:t>
      </w:r>
      <w:r w:rsidRPr="00E813CF">
        <w:t> A. Mascia, avocate</w:t>
      </w:r>
      <w:r w:rsidRPr="00E813CF">
        <w:rPr>
          <w:color w:val="FF0000"/>
        </w:rPr>
        <w:t xml:space="preserve"> </w:t>
      </w:r>
      <w:r w:rsidRPr="00E813CF">
        <w:t>exerçant à Vérone.</w:t>
      </w:r>
    </w:p>
    <w:p w:rsidR="00950340" w:rsidRPr="00E813CF" w:rsidRDefault="00950340" w:rsidP="00E813CF">
      <w:pPr>
        <w:pStyle w:val="JuPara"/>
      </w:pPr>
      <w:r w:rsidRPr="00E813CF">
        <w:t>2.  Le gouvernement italien (« le Gouvernement ») a été représenté par son agent, L. D</w:t>
      </w:r>
      <w:r w:rsidR="00E813CF" w:rsidRPr="00E813CF">
        <w:t>’</w:t>
      </w:r>
      <w:r w:rsidRPr="00E813CF">
        <w:t>Ascia.</w:t>
      </w:r>
    </w:p>
    <w:p w:rsidR="00950340" w:rsidRPr="00E813CF" w:rsidRDefault="00B03CF0" w:rsidP="00E813CF">
      <w:pPr>
        <w:pStyle w:val="JuHA"/>
        <w:numPr>
          <w:ilvl w:val="0"/>
          <w:numId w:val="0"/>
        </w:numPr>
        <w:ind w:left="584"/>
      </w:pPr>
      <w:r w:rsidRPr="00E813CF">
        <w:t>A</w:t>
      </w:r>
      <w:r w:rsidR="00E979DB" w:rsidRPr="00E813CF">
        <w:t>.</w:t>
      </w:r>
      <w:r w:rsidR="00950340" w:rsidRPr="00E813CF">
        <w:t>  Les circonstances de l</w:t>
      </w:r>
      <w:r w:rsidR="00E813CF" w:rsidRPr="00E813CF">
        <w:t>’</w:t>
      </w:r>
      <w:r w:rsidR="00950340" w:rsidRPr="00E813CF">
        <w:t>espèce</w:t>
      </w:r>
    </w:p>
    <w:p w:rsidR="00950340" w:rsidRPr="00E813CF" w:rsidRDefault="00950340" w:rsidP="00E813CF">
      <w:pPr>
        <w:pStyle w:val="JuPara"/>
      </w:pPr>
      <w:r w:rsidRPr="00E813CF">
        <w:t>3.  Les faits de la cause, tels qu</w:t>
      </w:r>
      <w:r w:rsidR="00E813CF" w:rsidRPr="00E813CF">
        <w:t>’</w:t>
      </w:r>
      <w:r w:rsidRPr="00E813CF">
        <w:t>ils ont été exposés par les parties, peuvent se résumer comme suit.</w:t>
      </w:r>
    </w:p>
    <w:p w:rsidR="00950340" w:rsidRPr="00E813CF" w:rsidRDefault="00950340" w:rsidP="00E813CF">
      <w:pPr>
        <w:pStyle w:val="JuPara"/>
      </w:pPr>
      <w:r w:rsidRPr="00E813CF">
        <w:t>4.  Le requérant était propriétaire d</w:t>
      </w:r>
      <w:r w:rsidR="00E813CF" w:rsidRPr="00E813CF">
        <w:t>’</w:t>
      </w:r>
      <w:r w:rsidRPr="00E813CF">
        <w:t>un terrain de plusieurs hectares et d</w:t>
      </w:r>
      <w:r w:rsidR="00E813CF" w:rsidRPr="00E813CF">
        <w:t>’</w:t>
      </w:r>
      <w:r w:rsidRPr="00E813CF">
        <w:t>une maison à deux étages.</w:t>
      </w:r>
    </w:p>
    <w:p w:rsidR="00950340" w:rsidRPr="00E813CF" w:rsidRDefault="00950340" w:rsidP="00E813CF">
      <w:pPr>
        <w:pStyle w:val="JuPara"/>
      </w:pPr>
      <w:r w:rsidRPr="00E813CF">
        <w:t>5.  Le 30 avril 1976, la municipalité de Larino approuva un plan de lotissement sollicité par le requérant et concernant sa propriété.</w:t>
      </w:r>
    </w:p>
    <w:p w:rsidR="00950340" w:rsidRPr="00E813CF" w:rsidRDefault="00950340" w:rsidP="00E813CF">
      <w:pPr>
        <w:pStyle w:val="JuPara"/>
      </w:pPr>
      <w:r w:rsidRPr="00E813CF">
        <w:t>6.  Entre septembre 1979 et décembre 1981, le requérant procéda à la rénovation de sa maison.</w:t>
      </w:r>
    </w:p>
    <w:p w:rsidR="00950340" w:rsidRPr="00E813CF" w:rsidRDefault="00950340" w:rsidP="00E813CF">
      <w:pPr>
        <w:pStyle w:val="JuPara"/>
      </w:pPr>
      <w:r w:rsidRPr="00E813CF">
        <w:lastRenderedPageBreak/>
        <w:t>7.  Entre-temps, le 9 septembre 1980, le préfet de Campobasso autorisa l</w:t>
      </w:r>
      <w:r w:rsidR="00E813CF" w:rsidRPr="00E813CF">
        <w:t>’</w:t>
      </w:r>
      <w:r w:rsidRPr="00E813CF">
        <w:t>inspectorat des travaux publics à occuper les terrains à exproprier pour la construction d</w:t>
      </w:r>
      <w:r w:rsidR="00E813CF" w:rsidRPr="00E813CF">
        <w:t>’</w:t>
      </w:r>
      <w:r w:rsidRPr="00E813CF">
        <w:t>une prison. Parmi ceux-ci, 330 mètres carrés appartenaient au requérant.</w:t>
      </w:r>
    </w:p>
    <w:p w:rsidR="00950340" w:rsidRPr="00E813CF" w:rsidRDefault="00950340" w:rsidP="00E813CF">
      <w:pPr>
        <w:pStyle w:val="JuPara"/>
      </w:pPr>
      <w:r w:rsidRPr="00E813CF">
        <w:t>8.  Les travaux de construction de la prison s</w:t>
      </w:r>
      <w:r w:rsidR="00E813CF" w:rsidRPr="00E813CF">
        <w:t>’</w:t>
      </w:r>
      <w:r w:rsidRPr="00E813CF">
        <w:t>achevèrent en 1987.</w:t>
      </w:r>
    </w:p>
    <w:p w:rsidR="00950340" w:rsidRPr="00E813CF" w:rsidRDefault="00950340" w:rsidP="00E813CF">
      <w:pPr>
        <w:pStyle w:val="JuPara"/>
      </w:pPr>
      <w:r w:rsidRPr="00E813CF">
        <w:t>9.  La prison fut construite à une distance de quarante mètres du domicile du requérant et celui-ci fut exproprié d</w:t>
      </w:r>
      <w:r w:rsidR="00E813CF" w:rsidRPr="00E813CF">
        <w:t>’</w:t>
      </w:r>
      <w:r w:rsidRPr="00E813CF">
        <w:t>un terrain égal à 2 070 mètres carrés.</w:t>
      </w:r>
    </w:p>
    <w:p w:rsidR="00950340" w:rsidRPr="00E813CF" w:rsidRDefault="00950340" w:rsidP="00E813CF">
      <w:pPr>
        <w:pStyle w:val="JuPara"/>
      </w:pPr>
      <w:r w:rsidRPr="00E813CF">
        <w:t>10.  La prison entra en service en 1987. Elle avait été équipée d</w:t>
      </w:r>
      <w:r w:rsidR="00E813CF" w:rsidRPr="00E813CF">
        <w:t>’</w:t>
      </w:r>
      <w:r w:rsidRPr="00E813CF">
        <w:t>une haute clôture métallique constituée de barres verticales en fer galvanisé très rapprochées dont les vibrations, par l</w:t>
      </w:r>
      <w:r w:rsidR="00E813CF" w:rsidRPr="00E813CF">
        <w:t>’</w:t>
      </w:r>
      <w:r w:rsidRPr="00E813CF">
        <w:t>action du vent constant dans la zone, émettaient un fort bruit. La façade de l</w:t>
      </w:r>
      <w:r w:rsidR="00E813CF" w:rsidRPr="00E813CF">
        <w:t>’</w:t>
      </w:r>
      <w:r w:rsidRPr="00E813CF">
        <w:t>habitation du requérant se trouvait juste en face de la tour située à 7,50 mètres du sol et munie à son sommet d</w:t>
      </w:r>
      <w:r w:rsidR="00E813CF" w:rsidRPr="00E813CF">
        <w:t>’</w:t>
      </w:r>
      <w:r w:rsidRPr="00E813CF">
        <w:t>un puissant foyer lumineux qui pendant la nuit éclairait la zone autour de la prison. Par conséquent, toutes les nuits l</w:t>
      </w:r>
      <w:r w:rsidR="00E813CF" w:rsidRPr="00E813CF">
        <w:t>’</w:t>
      </w:r>
      <w:r w:rsidRPr="00E813CF">
        <w:t>habitation du requérant était assujettie à une intense et aveuglante lumière qui pénétrait à l</w:t>
      </w:r>
      <w:r w:rsidR="00E813CF" w:rsidRPr="00E813CF">
        <w:t>’</w:t>
      </w:r>
      <w:r w:rsidRPr="00E813CF">
        <w:t>intérieur du domicile malgré les volets fermés.</w:t>
      </w:r>
    </w:p>
    <w:p w:rsidR="00950340" w:rsidRPr="00E813CF" w:rsidRDefault="00B03CF0" w:rsidP="00E813CF">
      <w:pPr>
        <w:pStyle w:val="JuH1"/>
        <w:numPr>
          <w:ilvl w:val="0"/>
          <w:numId w:val="0"/>
        </w:numPr>
        <w:ind w:left="731"/>
      </w:pPr>
      <w:r w:rsidRPr="00E813CF">
        <w:t>1</w:t>
      </w:r>
      <w:r w:rsidR="00950340" w:rsidRPr="00E813CF">
        <w:t>.  La première procédure devant le tribunal de Campobasso</w:t>
      </w:r>
    </w:p>
    <w:p w:rsidR="00950340" w:rsidRPr="00E813CF" w:rsidRDefault="00950340" w:rsidP="00E813CF">
      <w:pPr>
        <w:pStyle w:val="JuPara"/>
      </w:pPr>
      <w:r w:rsidRPr="00E813CF">
        <w:t>11.  Par un acte d</w:t>
      </w:r>
      <w:r w:rsidR="00E813CF" w:rsidRPr="00E813CF">
        <w:t>’</w:t>
      </w:r>
      <w:r w:rsidRPr="00E813CF">
        <w:t>assignation notifié le 28 septembre 1987, le requérant introduisit devant le tribunal de Campobasso une action en dommage-intérêts à l</w:t>
      </w:r>
      <w:r w:rsidR="00E813CF" w:rsidRPr="00E813CF">
        <w:t>’</w:t>
      </w:r>
      <w:r w:rsidRPr="00E813CF">
        <w:t>encontre du ministère des travaux publics, de l</w:t>
      </w:r>
      <w:r w:rsidR="00E813CF" w:rsidRPr="00E813CF">
        <w:t>’</w:t>
      </w:r>
      <w:r w:rsidRPr="00E813CF">
        <w:t>inspectorat des travaux publics de la région Molise, de la direction de l</w:t>
      </w:r>
      <w:r w:rsidR="00E813CF" w:rsidRPr="00E813CF">
        <w:t>’</w:t>
      </w:r>
      <w:r w:rsidRPr="00E813CF">
        <w:t>administration des finances et du ministère de la justice.</w:t>
      </w:r>
    </w:p>
    <w:p w:rsidR="00950340" w:rsidRPr="00E813CF" w:rsidRDefault="00950340" w:rsidP="00E813CF">
      <w:pPr>
        <w:pStyle w:val="JuPara"/>
      </w:pPr>
      <w:r w:rsidRPr="00E813CF">
        <w:t>12.  Le requérant - outre à se plaindre de l</w:t>
      </w:r>
      <w:r w:rsidR="00E813CF" w:rsidRPr="00E813CF">
        <w:t>’</w:t>
      </w:r>
      <w:r w:rsidRPr="00E813CF">
        <w:t>expropriation subie - allégua aux termes de l</w:t>
      </w:r>
      <w:r w:rsidR="00E813CF" w:rsidRPr="00E813CF">
        <w:t>’</w:t>
      </w:r>
      <w:r w:rsidRPr="00E813CF">
        <w:t>article 844 du code civil que des nuisances sonores et lumineuses intolérables provenaient de la prison et que sa maison nouvellement rénovée avait d</w:t>
      </w:r>
      <w:r w:rsidR="00E813CF" w:rsidRPr="00E813CF">
        <w:t>’</w:t>
      </w:r>
      <w:r w:rsidRPr="00E813CF">
        <w:t>ailleurs perdu sa valeur commerciale de façon considérable. Par conséquent, il demanda au tribunal de déclarer que les nuisances lumineuses et sonores étaient intolérables et de lui allouer un dédommag</w:t>
      </w:r>
      <w:r w:rsidR="00103A87" w:rsidRPr="00E813CF">
        <w:t xml:space="preserve">ement de 500 000 </w:t>
      </w:r>
      <w:r w:rsidRPr="00E813CF">
        <w:t>euros (EUR), somme correspondant à la perte de la valeur de marché de ses biens.</w:t>
      </w:r>
    </w:p>
    <w:p w:rsidR="00950340" w:rsidRPr="00E813CF" w:rsidRDefault="00950340" w:rsidP="00E813CF">
      <w:pPr>
        <w:pStyle w:val="JuPara"/>
      </w:pPr>
      <w:r w:rsidRPr="00E813CF">
        <w:t>13.  Au cours de cette procédure, six expertises et évaluations techniques attestant la pollution sonore existante furent déposées au greffe.</w:t>
      </w:r>
    </w:p>
    <w:p w:rsidR="00950340" w:rsidRPr="00E813CF" w:rsidRDefault="00950340" w:rsidP="00E813CF">
      <w:pPr>
        <w:pStyle w:val="JuPara"/>
      </w:pPr>
      <w:r w:rsidRPr="00E813CF">
        <w:t>14.  Par un jugement du 22 mars 2004, le tribunal de Campobasso fit droit à la demande du requérant. Selon le tribunal, les experts avaient relevé que les nuisances lumineuses et sonores n</w:t>
      </w:r>
      <w:r w:rsidR="00E813CF" w:rsidRPr="00E813CF">
        <w:t>’</w:t>
      </w:r>
      <w:r w:rsidRPr="00E813CF">
        <w:t>étaient pas conformes à la loi et étaient intolérables. Il considéra qu</w:t>
      </w:r>
      <w:r w:rsidR="00E813CF" w:rsidRPr="00E813CF">
        <w:t>’</w:t>
      </w:r>
      <w:r w:rsidRPr="00E813CF">
        <w:t>il n</w:t>
      </w:r>
      <w:r w:rsidR="00E813CF" w:rsidRPr="00E813CF">
        <w:t>’</w:t>
      </w:r>
      <w:r w:rsidRPr="00E813CF">
        <w:t xml:space="preserve"> était pas possible de condamner l</w:t>
      </w:r>
      <w:r w:rsidR="00E813CF" w:rsidRPr="00E813CF">
        <w:t>’</w:t>
      </w:r>
      <w:r w:rsidRPr="00E813CF">
        <w:t xml:space="preserve">administration publique à exécuter une obligation de </w:t>
      </w:r>
      <w:r w:rsidRPr="00E813CF">
        <w:rPr>
          <w:i/>
        </w:rPr>
        <w:t>«facere</w:t>
      </w:r>
      <w:r w:rsidRPr="00E813CF">
        <w:t xml:space="preserve"> », et reconnut au requérant le montant 25 822,24 EUR pour les nuisances sonores et lumineuses subies et pour soutenir les coûts de réalisation d</w:t>
      </w:r>
      <w:r w:rsidR="00E813CF" w:rsidRPr="00E813CF">
        <w:t>’</w:t>
      </w:r>
      <w:r w:rsidRPr="00E813CF">
        <w:t>une haie d</w:t>
      </w:r>
      <w:r w:rsidR="00E813CF" w:rsidRPr="00E813CF">
        <w:t>’</w:t>
      </w:r>
      <w:r w:rsidRPr="00E813CF">
        <w:t>arbres afin de mettre l</w:t>
      </w:r>
      <w:r w:rsidR="00E813CF" w:rsidRPr="00E813CF">
        <w:t>’</w:t>
      </w:r>
      <w:r w:rsidRPr="00E813CF">
        <w:t xml:space="preserve"> habitation à l</w:t>
      </w:r>
      <w:r w:rsidR="00E813CF" w:rsidRPr="00E813CF">
        <w:t>’</w:t>
      </w:r>
      <w:r w:rsidRPr="00E813CF">
        <w:t xml:space="preserve">abri de la pollution lumineuse. Enfin, le tribunal de Campobasso rejeta la demande de dédommagement </w:t>
      </w:r>
      <w:r w:rsidR="00103A87" w:rsidRPr="00E813CF">
        <w:t>correspondant à la somme de 500 </w:t>
      </w:r>
      <w:r w:rsidRPr="00E813CF">
        <w:t>000 EUR et relative à la perte de valeur de l</w:t>
      </w:r>
      <w:r w:rsidR="00E813CF" w:rsidRPr="00E813CF">
        <w:t>’</w:t>
      </w:r>
      <w:r w:rsidRPr="00E813CF">
        <w:t>habitation familiale.</w:t>
      </w:r>
    </w:p>
    <w:p w:rsidR="00950340" w:rsidRPr="00E813CF" w:rsidRDefault="00950340" w:rsidP="00E813CF">
      <w:pPr>
        <w:pStyle w:val="JuPara"/>
      </w:pPr>
      <w:r w:rsidRPr="00E813CF">
        <w:lastRenderedPageBreak/>
        <w:t>15.  Le ministère des infrastructures et des transports interjeta appel quant aux paramètres de quantification de l</w:t>
      </w:r>
      <w:r w:rsidR="00E813CF" w:rsidRPr="00E813CF">
        <w:t>’</w:t>
      </w:r>
      <w:r w:rsidRPr="00E813CF">
        <w:t>indemnité d</w:t>
      </w:r>
      <w:r w:rsidR="00E813CF" w:rsidRPr="00E813CF">
        <w:t>’</w:t>
      </w:r>
      <w:r w:rsidRPr="00E813CF">
        <w:t>expropriation adoptée par le tribunal. Au cours de la procédure d</w:t>
      </w:r>
      <w:r w:rsidR="00E813CF" w:rsidRPr="00E813CF">
        <w:t>’</w:t>
      </w:r>
      <w:r w:rsidRPr="00E813CF">
        <w:t>autres expertises furent ordonnées.</w:t>
      </w:r>
    </w:p>
    <w:p w:rsidR="00950340" w:rsidRPr="00E813CF" w:rsidRDefault="00950340" w:rsidP="00E813CF">
      <w:pPr>
        <w:pStyle w:val="JuPara"/>
        <w:rPr>
          <w:rFonts w:eastAsia="Calibri"/>
        </w:rPr>
      </w:pPr>
      <w:r w:rsidRPr="00E813CF">
        <w:t>16.  </w:t>
      </w:r>
      <w:r w:rsidRPr="00E813CF">
        <w:rPr>
          <w:rFonts w:eastAsia="Calibri"/>
        </w:rPr>
        <w:t>Par un arrêt du 28 mars 2007, la cour d</w:t>
      </w:r>
      <w:r w:rsidR="00E813CF" w:rsidRPr="00E813CF">
        <w:rPr>
          <w:rFonts w:eastAsia="Calibri"/>
        </w:rPr>
        <w:t>’</w:t>
      </w:r>
      <w:r w:rsidRPr="00E813CF">
        <w:rPr>
          <w:rFonts w:eastAsia="Calibri"/>
        </w:rPr>
        <w:t>appel de Campobasso, entre autres, confirma le jugement du tribunal concernant les nuisances sonores et lumineuses.</w:t>
      </w:r>
    </w:p>
    <w:p w:rsidR="00950340" w:rsidRPr="00E813CF" w:rsidRDefault="00950340" w:rsidP="00E813CF">
      <w:pPr>
        <w:pStyle w:val="JuPara"/>
        <w:rPr>
          <w:rFonts w:eastAsia="Calibri"/>
          <w:color w:val="2C2C2D"/>
        </w:rPr>
      </w:pPr>
      <w:r w:rsidRPr="00E813CF">
        <w:rPr>
          <w:rFonts w:eastAsia="Calibri"/>
        </w:rPr>
        <w:t>17.  </w:t>
      </w:r>
      <w:r w:rsidRPr="00E813CF">
        <w:t>Le requérant ne se pourvut pas en cassation et l</w:t>
      </w:r>
      <w:r w:rsidR="00E813CF" w:rsidRPr="00E813CF">
        <w:t>’</w:t>
      </w:r>
      <w:r w:rsidRPr="00E813CF">
        <w:t xml:space="preserve">arrêt devint </w:t>
      </w:r>
      <w:r w:rsidRPr="00E813CF">
        <w:rPr>
          <w:rFonts w:eastAsia="Calibri"/>
        </w:rPr>
        <w:t>définitif.</w:t>
      </w:r>
    </w:p>
    <w:p w:rsidR="00950340" w:rsidRPr="00E813CF" w:rsidRDefault="00950340" w:rsidP="00E813CF">
      <w:pPr>
        <w:pStyle w:val="JuH1"/>
        <w:numPr>
          <w:ilvl w:val="0"/>
          <w:numId w:val="0"/>
        </w:numPr>
        <w:ind w:left="731"/>
        <w:rPr>
          <w:rFonts w:eastAsia="Calibri"/>
          <w:color w:val="2C2C2D"/>
        </w:rPr>
      </w:pPr>
      <w:r w:rsidRPr="00E813CF">
        <w:rPr>
          <w:rFonts w:eastAsia="Calibri"/>
        </w:rPr>
        <w:t>2.  La deuxième procédure devant le tribunal de Campobasso</w:t>
      </w:r>
    </w:p>
    <w:p w:rsidR="00950340" w:rsidRPr="00E813CF" w:rsidRDefault="00950340" w:rsidP="00E813CF">
      <w:pPr>
        <w:pStyle w:val="JuPara"/>
      </w:pPr>
      <w:r w:rsidRPr="00E813CF">
        <w:t>18.  Par un acte d</w:t>
      </w:r>
      <w:r w:rsidR="00E813CF" w:rsidRPr="00E813CF">
        <w:t>’</w:t>
      </w:r>
      <w:r w:rsidRPr="00E813CF">
        <w:t xml:space="preserve">assignation du 10 octobre 2004, </w:t>
      </w:r>
      <w:r w:rsidRPr="00E813CF">
        <w:rPr>
          <w:rFonts w:eastAsia="Calibri"/>
        </w:rPr>
        <w:t>le requérant introdui</w:t>
      </w:r>
      <w:r w:rsidRPr="00E813CF">
        <w:rPr>
          <w:rFonts w:eastAsia="Calibri"/>
          <w:color w:val="585858"/>
        </w:rPr>
        <w:t>s</w:t>
      </w:r>
      <w:r w:rsidRPr="00E813CF">
        <w:rPr>
          <w:rFonts w:eastAsia="Calibri"/>
        </w:rPr>
        <w:t xml:space="preserve">it devant le tribunal de Campobasso une nouvelle action en dommage-intérêts </w:t>
      </w:r>
      <w:r w:rsidRPr="00E813CF">
        <w:t>à l</w:t>
      </w:r>
      <w:r w:rsidR="00E813CF" w:rsidRPr="00E813CF">
        <w:t>’</w:t>
      </w:r>
      <w:r w:rsidRPr="00E813CF">
        <w:t>encontre du ministère des infrastructures et de transports et du ministère de la justice aux termes de l</w:t>
      </w:r>
      <w:r w:rsidR="00E813CF" w:rsidRPr="00E813CF">
        <w:t>’</w:t>
      </w:r>
      <w:r w:rsidRPr="00E813CF">
        <w:t>article 844 du code civil.</w:t>
      </w:r>
    </w:p>
    <w:p w:rsidR="00950340" w:rsidRPr="00E813CF" w:rsidRDefault="00950340" w:rsidP="00E813CF">
      <w:pPr>
        <w:pStyle w:val="JuPara"/>
      </w:pPr>
      <w:r w:rsidRPr="00E813CF">
        <w:t>19.  Il allégua à nouveau que les nuisances sonores et lumineuses n</w:t>
      </w:r>
      <w:r w:rsidR="00E813CF" w:rsidRPr="00E813CF">
        <w:t>’</w:t>
      </w:r>
      <w:r w:rsidRPr="00E813CF">
        <w:t>étaient pas encore éliminées malgré le jugement du 22 mars (voir paragraphe 30 ci-dessus) et demanda un dédommagement pour toute nuisance sonore et lumineuse successive au jugement du 22 mars 2004 jusqu</w:t>
      </w:r>
      <w:r w:rsidR="00E813CF" w:rsidRPr="00E813CF">
        <w:t>’</w:t>
      </w:r>
      <w:r w:rsidRPr="00E813CF">
        <w:t>à la cessation de cette pollution. Il demanda également la somme de 300 000 EUR, correspondant à la valeur vénale de son habitation.</w:t>
      </w:r>
    </w:p>
    <w:p w:rsidR="00950340" w:rsidRPr="00E813CF" w:rsidRDefault="00950340" w:rsidP="00E813CF">
      <w:pPr>
        <w:pStyle w:val="JuPara"/>
      </w:pPr>
      <w:r w:rsidRPr="00E813CF">
        <w:t>20.  Par un jugement du 9 juillet 2008, le tribunal après avoir constaté que le requérant continuait à subir des préjudices liés aux nuisances sonores et lumineuses condamna la partie défenderesse à payer le montant de 19 230,90 EUR à titre de dommage-intérêts.</w:t>
      </w:r>
    </w:p>
    <w:p w:rsidR="00950340" w:rsidRPr="00E813CF" w:rsidRDefault="00950340" w:rsidP="00E813CF">
      <w:pPr>
        <w:pStyle w:val="JuPara"/>
      </w:pPr>
      <w:r w:rsidRPr="00E813CF">
        <w:t>21.  Le requérant interjeta appel en se plaignant de l</w:t>
      </w:r>
      <w:r w:rsidR="00E813CF" w:rsidRPr="00E813CF">
        <w:t>’</w:t>
      </w:r>
      <w:r w:rsidRPr="00E813CF">
        <w:t>exiguïté du dédommagement.</w:t>
      </w:r>
    </w:p>
    <w:p w:rsidR="00950340" w:rsidRPr="00E813CF" w:rsidRDefault="00950340" w:rsidP="00E813CF">
      <w:pPr>
        <w:pStyle w:val="JuPara"/>
      </w:pPr>
      <w:r w:rsidRPr="00E813CF">
        <w:t>22.  Par un arrêt du 4 août 2015, la cour d</w:t>
      </w:r>
      <w:r w:rsidR="00E813CF" w:rsidRPr="00E813CF">
        <w:t>’</w:t>
      </w:r>
      <w:r w:rsidRPr="00E813CF">
        <w:t>appel réduisit le montant reconnu initialement par le tribunal à 7 692,36 EUR. Selon la cour d</w:t>
      </w:r>
      <w:r w:rsidR="00E813CF" w:rsidRPr="00E813CF">
        <w:t>’</w:t>
      </w:r>
      <w:r w:rsidRPr="00E813CF">
        <w:t>appel le montant alloué au requérant par le jugement du 22 mars 2004 dans la première procédure contentieuse devait être considéré comme la somme correspondante au coût pour constituer une haie afin d</w:t>
      </w:r>
      <w:r w:rsidR="00E813CF" w:rsidRPr="00E813CF">
        <w:t>’</w:t>
      </w:r>
      <w:r w:rsidRPr="00E813CF">
        <w:t>éliminer les nuisances lumineuses. Par conséquent, l</w:t>
      </w:r>
      <w:r w:rsidR="00E813CF" w:rsidRPr="00E813CF">
        <w:t>’</w:t>
      </w:r>
      <w:r w:rsidRPr="00E813CF">
        <w:t>administration publique ne pouvait pas être tenue responsable du fait que le requérant n</w:t>
      </w:r>
      <w:r w:rsidR="00E813CF" w:rsidRPr="00E813CF">
        <w:t>’</w:t>
      </w:r>
      <w:r w:rsidRPr="00E813CF">
        <w:t>avait pas planté une haie dans sa propriété afin d</w:t>
      </w:r>
      <w:r w:rsidR="00E813CF" w:rsidRPr="00E813CF">
        <w:t>’</w:t>
      </w:r>
      <w:r w:rsidRPr="00E813CF">
        <w:t>éliminer ladite pollution lumineuse.</w:t>
      </w:r>
    </w:p>
    <w:p w:rsidR="00950340" w:rsidRPr="00E813CF" w:rsidRDefault="00950340" w:rsidP="00E813CF">
      <w:pPr>
        <w:pStyle w:val="JuPara"/>
        <w:rPr>
          <w:rFonts w:eastAsia="Calibri"/>
          <w:color w:val="2C2C2D"/>
        </w:rPr>
      </w:pPr>
      <w:r w:rsidRPr="00E813CF">
        <w:rPr>
          <w:rFonts w:eastAsia="Calibri"/>
        </w:rPr>
        <w:t>23.  Le requérant ne se pourvut pas en cassation.</w:t>
      </w:r>
    </w:p>
    <w:p w:rsidR="00950340" w:rsidRPr="00E813CF" w:rsidRDefault="00950340" w:rsidP="00E813CF">
      <w:pPr>
        <w:pStyle w:val="JuPara"/>
      </w:pPr>
      <w:r w:rsidRPr="00E813CF">
        <w:rPr>
          <w:rFonts w:eastAsia="Calibri"/>
        </w:rPr>
        <w:t>24.  </w:t>
      </w:r>
      <w:r w:rsidRPr="00E813CF">
        <w:t>En 1990, le requérant planta de son propre chef une haie près de sa maison afin de la mettre à l</w:t>
      </w:r>
      <w:r w:rsidR="00E813CF" w:rsidRPr="00E813CF">
        <w:t>’</w:t>
      </w:r>
      <w:r w:rsidRPr="00E813CF">
        <w:t>abri de la lumière provenant de la tour-phare de la prison. Il choisit des arbres de Cupressus arizonica, en haie haute pour lutter contre le vent et la nuisance lumineuse. Ces types d</w:t>
      </w:r>
      <w:r w:rsidR="00E813CF" w:rsidRPr="00E813CF">
        <w:t>’</w:t>
      </w:r>
      <w:r w:rsidRPr="00E813CF">
        <w:t>arbres atteignent moyennement une hauteur de 2,5 à 3 mètres en dix ans.</w:t>
      </w:r>
    </w:p>
    <w:p w:rsidR="00950340" w:rsidRPr="00E813CF" w:rsidRDefault="00950340" w:rsidP="00E813CF">
      <w:pPr>
        <w:pStyle w:val="JuPara"/>
      </w:pPr>
      <w:r w:rsidRPr="00E813CF">
        <w:t>25.  Par un décret n</w:t>
      </w:r>
      <w:r w:rsidRPr="00E813CF">
        <w:rPr>
          <w:vertAlign w:val="superscript"/>
        </w:rPr>
        <w:t>o</w:t>
      </w:r>
      <w:r w:rsidR="00103A87" w:rsidRPr="00E813CF">
        <w:rPr>
          <w:vertAlign w:val="superscript"/>
        </w:rPr>
        <w:t> </w:t>
      </w:r>
      <w:r w:rsidRPr="00E813CF">
        <w:t>17234/VI, promulgué le 13 mai 2010, le ministère de l</w:t>
      </w:r>
      <w:r w:rsidR="00E813CF" w:rsidRPr="00E813CF">
        <w:t>’</w:t>
      </w:r>
      <w:r w:rsidRPr="00E813CF">
        <w:t>infrastructure et des transports alloua des fonds pour financer un programme visant à éliminer ou réduire le bruit fort provenant de la prison.</w:t>
      </w:r>
    </w:p>
    <w:p w:rsidR="00950340" w:rsidRPr="00E813CF" w:rsidRDefault="00950340" w:rsidP="00E813CF">
      <w:pPr>
        <w:pStyle w:val="JuPara"/>
      </w:pPr>
      <w:r w:rsidRPr="00E813CF">
        <w:lastRenderedPageBreak/>
        <w:t>26.  Le 24 juillet 2012, l</w:t>
      </w:r>
      <w:r w:rsidR="00E813CF" w:rsidRPr="00E813CF">
        <w:t>’</w:t>
      </w:r>
      <w:r w:rsidRPr="00E813CF">
        <w:t>administration publique publia un appel d</w:t>
      </w:r>
      <w:r w:rsidR="00E813CF" w:rsidRPr="00E813CF">
        <w:t>’</w:t>
      </w:r>
      <w:r w:rsidRPr="00E813CF">
        <w:t>offres.</w:t>
      </w:r>
    </w:p>
    <w:p w:rsidR="00950340" w:rsidRPr="00E813CF" w:rsidRDefault="00950340" w:rsidP="00E813CF">
      <w:pPr>
        <w:pStyle w:val="JuPara"/>
      </w:pPr>
      <w:r w:rsidRPr="00E813CF">
        <w:t>27.  Le 30 octobre 2012, le comité d</w:t>
      </w:r>
      <w:r w:rsidR="00E813CF" w:rsidRPr="00E813CF">
        <w:t>’</w:t>
      </w:r>
      <w:r w:rsidRPr="00E813CF">
        <w:t>appel d</w:t>
      </w:r>
      <w:r w:rsidR="00E813CF" w:rsidRPr="00E813CF">
        <w:t>’</w:t>
      </w:r>
      <w:r w:rsidRPr="00E813CF">
        <w:t>offres désigna adjudicataire temporaire la société P.T.A.M. Costruzioni S.r.l. Toutefois, le 5 juillet 2013, le Préfet de Naples transmit au ministère les informations dites "</w:t>
      </w:r>
      <w:r w:rsidRPr="00E813CF">
        <w:rPr>
          <w:i/>
        </w:rPr>
        <w:t>informativa antimafia</w:t>
      </w:r>
      <w:r w:rsidRPr="00E813CF">
        <w:t>" concernant l</w:t>
      </w:r>
      <w:r w:rsidR="00E813CF" w:rsidRPr="00E813CF">
        <w:t>’</w:t>
      </w:r>
      <w:r w:rsidRPr="00E813CF">
        <w:t>A.T.I. P.T.T.A.M. (cette information est une mesure que le Préfet utilise pour empêcher l</w:t>
      </w:r>
      <w:r w:rsidR="00E813CF" w:rsidRPr="00E813CF">
        <w:t>’</w:t>
      </w:r>
      <w:r w:rsidRPr="00E813CF">
        <w:t>administration publique de conclure des contrats avec des entreprises qui pourraient avoir une activité criminelle). De ce fait, l</w:t>
      </w:r>
      <w:r w:rsidR="00E813CF" w:rsidRPr="00E813CF">
        <w:t>’</w:t>
      </w:r>
      <w:r w:rsidRPr="00E813CF">
        <w:t>administration publique ne put pas désigner l</w:t>
      </w:r>
      <w:r w:rsidR="00E813CF" w:rsidRPr="00E813CF">
        <w:t>’</w:t>
      </w:r>
      <w:r w:rsidRPr="00E813CF">
        <w:t>adjudicataire final.</w:t>
      </w:r>
    </w:p>
    <w:p w:rsidR="00950340" w:rsidRPr="00E813CF" w:rsidRDefault="00950340" w:rsidP="00E813CF">
      <w:pPr>
        <w:pStyle w:val="JuPara"/>
      </w:pPr>
      <w:r w:rsidRPr="00E813CF">
        <w:t>28.  Le 7 mars 2018, l</w:t>
      </w:r>
      <w:r w:rsidR="00E813CF" w:rsidRPr="00E813CF">
        <w:t>’</w:t>
      </w:r>
      <w:r w:rsidRPr="00E813CF">
        <w:t>administration publique désigna l</w:t>
      </w:r>
      <w:r w:rsidR="00E813CF" w:rsidRPr="00E813CF">
        <w:t>’</w:t>
      </w:r>
      <w:r w:rsidRPr="00E813CF">
        <w:t>adjudicataire final.</w:t>
      </w:r>
    </w:p>
    <w:p w:rsidR="00950340" w:rsidRPr="00E813CF" w:rsidRDefault="00950340" w:rsidP="00E813CF">
      <w:pPr>
        <w:pStyle w:val="JuPara"/>
      </w:pPr>
      <w:r w:rsidRPr="00E813CF">
        <w:t>29.  Le Gouvernement a informé la Cour de ce que, pour une première partie des travaux, l</w:t>
      </w:r>
      <w:r w:rsidR="00E813CF" w:rsidRPr="00E813CF">
        <w:t>’</w:t>
      </w:r>
      <w:r w:rsidR="00103A87" w:rsidRPr="00E813CF">
        <w:t>État a prévu une dépense de 661 </w:t>
      </w:r>
      <w:r w:rsidRPr="00E813CF">
        <w:t>151,09 EUR.</w:t>
      </w:r>
    </w:p>
    <w:p w:rsidR="00950340" w:rsidRPr="00E813CF" w:rsidRDefault="00950340" w:rsidP="00E813CF">
      <w:pPr>
        <w:pStyle w:val="JuHA"/>
        <w:numPr>
          <w:ilvl w:val="0"/>
          <w:numId w:val="0"/>
        </w:numPr>
        <w:ind w:left="584"/>
      </w:pPr>
      <w:r w:rsidRPr="00E813CF">
        <w:t>B.  Le droit interne pertinent</w:t>
      </w:r>
    </w:p>
    <w:p w:rsidR="00950340" w:rsidRPr="00E813CF" w:rsidRDefault="00950340" w:rsidP="00E813CF">
      <w:pPr>
        <w:pStyle w:val="JuPara"/>
      </w:pPr>
      <w:bookmarkStart w:id="1" w:name="par14"/>
      <w:bookmarkStart w:id="2" w:name="par30"/>
      <w:r w:rsidRPr="00E813CF">
        <w:t>30</w:t>
      </w:r>
      <w:bookmarkEnd w:id="1"/>
      <w:bookmarkEnd w:id="2"/>
      <w:r w:rsidRPr="00E813CF">
        <w:t>.  L</w:t>
      </w:r>
      <w:r w:rsidR="00E813CF" w:rsidRPr="00E813CF">
        <w:t>’</w:t>
      </w:r>
      <w:r w:rsidRPr="00E813CF">
        <w:t>article 844 du code civil dispose que le propriétaire d</w:t>
      </w:r>
      <w:r w:rsidR="00E813CF" w:rsidRPr="00E813CF">
        <w:t>’</w:t>
      </w:r>
      <w:r w:rsidRPr="00E813CF">
        <w:t>un terrain ne peut empêcher les nuisances provenant d</w:t>
      </w:r>
      <w:r w:rsidR="00E813CF" w:rsidRPr="00E813CF">
        <w:t>’</w:t>
      </w:r>
      <w:r w:rsidRPr="00E813CF">
        <w:t>un terrain voisin si celles-ci ne dépassent pas un seuil supportable.</w:t>
      </w:r>
    </w:p>
    <w:p w:rsidR="00950340" w:rsidRPr="00E813CF" w:rsidRDefault="00950340" w:rsidP="00E813CF">
      <w:pPr>
        <w:pStyle w:val="JuPara"/>
      </w:pPr>
      <w:r w:rsidRPr="00E813CF">
        <w:t>31.  L</w:t>
      </w:r>
      <w:r w:rsidR="00E813CF" w:rsidRPr="00E813CF">
        <w:t>’</w:t>
      </w:r>
      <w:r w:rsidRPr="00E813CF">
        <w:t xml:space="preserve">article 2043 du code civil énonce le principe du </w:t>
      </w:r>
      <w:r w:rsidRPr="00E813CF">
        <w:rPr>
          <w:i/>
        </w:rPr>
        <w:t>neminem laedere</w:t>
      </w:r>
      <w:r w:rsidRPr="00E813CF">
        <w:t>, c</w:t>
      </w:r>
      <w:r w:rsidR="00E813CF" w:rsidRPr="00E813CF">
        <w:t>’</w:t>
      </w:r>
      <w:r w:rsidRPr="00E813CF">
        <w:t>est-à-dire le devoir général de ne pas causer de dommage à autrui. Quiconque allègue avoir subi un dommage en violation de ce principe peut engager une action en responsabilité.</w:t>
      </w:r>
    </w:p>
    <w:p w:rsidR="00950340" w:rsidRPr="00E813CF" w:rsidRDefault="00950340" w:rsidP="00E813CF">
      <w:pPr>
        <w:pStyle w:val="JuPara"/>
      </w:pPr>
      <w:r w:rsidRPr="00E813CF">
        <w:t>32.  L</w:t>
      </w:r>
      <w:r w:rsidR="00E813CF" w:rsidRPr="00E813CF">
        <w:t>’</w:t>
      </w:r>
      <w:r w:rsidRPr="00E813CF">
        <w:t>article 2050 du code civil consacre le principe général de la responsabilité du fait des « activités dangereuses ».</w:t>
      </w:r>
    </w:p>
    <w:p w:rsidR="00950340" w:rsidRPr="00E813CF" w:rsidRDefault="00950340" w:rsidP="00E813CF">
      <w:pPr>
        <w:pStyle w:val="JuPara"/>
      </w:pPr>
      <w:r w:rsidRPr="00E813CF">
        <w:t>33.  Selon la jurisprudence de la Cour de cassation il est possible de demander au juge civil, au sens de l</w:t>
      </w:r>
      <w:r w:rsidR="00E813CF" w:rsidRPr="00E813CF">
        <w:t>’</w:t>
      </w:r>
      <w:r w:rsidRPr="00E813CF">
        <w:t>article 844 du code civil, d</w:t>
      </w:r>
      <w:r w:rsidR="00E813CF" w:rsidRPr="00E813CF">
        <w:t>’</w:t>
      </w:r>
      <w:r w:rsidRPr="00E813CF">
        <w:t>ordonner à l</w:t>
      </w:r>
      <w:r w:rsidR="00E813CF" w:rsidRPr="00E813CF">
        <w:t>’</w:t>
      </w:r>
      <w:r w:rsidRPr="00E813CF">
        <w:t>administration publique la cessation de nuisances (voir la jurisprudence de la Cour de cassation, telle qu</w:t>
      </w:r>
      <w:r w:rsidR="00E813CF" w:rsidRPr="00E813CF">
        <w:t>’</w:t>
      </w:r>
      <w:r w:rsidRPr="00E813CF">
        <w:t>elle peut se lire notamment dans ses arrêts n</w:t>
      </w:r>
      <w:r w:rsidRPr="00E813CF">
        <w:rPr>
          <w:vertAlign w:val="superscript"/>
        </w:rPr>
        <w:t>o</w:t>
      </w:r>
      <w:r w:rsidR="00103A87" w:rsidRPr="00E813CF">
        <w:t> </w:t>
      </w:r>
      <w:r w:rsidRPr="00E813CF">
        <w:t>23245 de 2016, n</w:t>
      </w:r>
      <w:r w:rsidRPr="00E813CF">
        <w:rPr>
          <w:vertAlign w:val="superscript"/>
        </w:rPr>
        <w:t>o</w:t>
      </w:r>
      <w:r w:rsidRPr="00E813CF">
        <w:t xml:space="preserve"> 4848 de 2013; n</w:t>
      </w:r>
      <w:r w:rsidRPr="00E813CF">
        <w:rPr>
          <w:vertAlign w:val="superscript"/>
        </w:rPr>
        <w:t>o</w:t>
      </w:r>
      <w:r w:rsidR="00103A87" w:rsidRPr="00E813CF">
        <w:t xml:space="preserve"> 2598 de 1996</w:t>
      </w:r>
      <w:r w:rsidRPr="00E813CF">
        <w:t xml:space="preserve">; </w:t>
      </w:r>
      <w:r w:rsidR="00103A87" w:rsidRPr="00E813CF">
        <w:t xml:space="preserve">et </w:t>
      </w:r>
      <w:r w:rsidRPr="00E813CF">
        <w:t>n</w:t>
      </w:r>
      <w:r w:rsidRPr="00E813CF">
        <w:rPr>
          <w:vertAlign w:val="superscript"/>
        </w:rPr>
        <w:t>o</w:t>
      </w:r>
      <w:r w:rsidRPr="00E813CF">
        <w:t> 1469 de 1982).</w:t>
      </w:r>
    </w:p>
    <w:p w:rsidR="00950340" w:rsidRPr="00E813CF" w:rsidRDefault="00950340" w:rsidP="00E813CF">
      <w:pPr>
        <w:pStyle w:val="JuHHead"/>
      </w:pPr>
      <w:r w:rsidRPr="00E813CF">
        <w:t>GRIEFS</w:t>
      </w:r>
    </w:p>
    <w:p w:rsidR="00950340" w:rsidRPr="00E813CF" w:rsidRDefault="00950340" w:rsidP="00E813CF">
      <w:pPr>
        <w:pStyle w:val="JuPara"/>
      </w:pPr>
      <w:r w:rsidRPr="00E813CF">
        <w:t xml:space="preserve">34.  Invoquant les article 8 et 13 de la Convention, le requérant se plaint </w:t>
      </w:r>
      <w:r w:rsidRPr="00E813CF">
        <w:rPr>
          <w:bCs/>
        </w:rPr>
        <w:t>des nuisances acoustiques et visuelles subies au quotidien sur sa propriété en raison de la construction d</w:t>
      </w:r>
      <w:r w:rsidR="00E813CF" w:rsidRPr="00E813CF">
        <w:rPr>
          <w:bCs/>
        </w:rPr>
        <w:t>’</w:t>
      </w:r>
      <w:r w:rsidRPr="00E813CF">
        <w:rPr>
          <w:bCs/>
        </w:rPr>
        <w:t>une prison à environ quarante mètres de sa maison, et du défaut des autorités à prendre les mesures aptes à lui assurer un respect effectif de sa vie privée et familiale et de son domicile.</w:t>
      </w:r>
    </w:p>
    <w:p w:rsidR="00950340" w:rsidRPr="00E813CF" w:rsidRDefault="00950340" w:rsidP="00E813CF">
      <w:pPr>
        <w:pStyle w:val="JuHHead"/>
      </w:pPr>
      <w:r w:rsidRPr="00E813CF">
        <w:t>EN DROIT</w:t>
      </w:r>
    </w:p>
    <w:p w:rsidR="00950340" w:rsidRPr="00E813CF" w:rsidRDefault="00950340" w:rsidP="00E813CF">
      <w:pPr>
        <w:pStyle w:val="JuPara"/>
      </w:pPr>
      <w:r w:rsidRPr="00E813CF">
        <w:t xml:space="preserve">35.  Le Gouvernement excipe du non-épuisement des voies de recours internes, au motif que le requérant aurait omis de demander aux juridictions, </w:t>
      </w:r>
      <w:r w:rsidRPr="00E813CF">
        <w:lastRenderedPageBreak/>
        <w:t>la cessation des nuisances acoustiques et visuelles sur la base de l</w:t>
      </w:r>
      <w:r w:rsidR="00E813CF" w:rsidRPr="00E813CF">
        <w:t>’</w:t>
      </w:r>
      <w:r w:rsidRPr="00E813CF">
        <w:t>article 844 du code civil (voir paragraphe 30 ci-dessus).</w:t>
      </w:r>
    </w:p>
    <w:p w:rsidR="00950340" w:rsidRPr="00E813CF" w:rsidRDefault="00950340" w:rsidP="00E813CF">
      <w:pPr>
        <w:pStyle w:val="JuPara"/>
      </w:pPr>
      <w:r w:rsidRPr="00E813CF">
        <w:t>36.  Selon le Gouvernement, le requérant aurait dû s</w:t>
      </w:r>
      <w:r w:rsidR="00E813CF" w:rsidRPr="00E813CF">
        <w:t>’</w:t>
      </w:r>
      <w:r w:rsidRPr="00E813CF">
        <w:t>adresser, et il pourrait encore le faire, directement au juge civil en lui demandant au sens de cet article qui interdit toute nuisance dépassant un seuil de nuisance supportable la cessation des nuisances acoustiques et visuelles (voir, entre autres, les arrêts de la Cour de cassation n</w:t>
      </w:r>
      <w:r w:rsidRPr="00E813CF">
        <w:rPr>
          <w:vertAlign w:val="superscript"/>
        </w:rPr>
        <w:t>o</w:t>
      </w:r>
      <w:r w:rsidRPr="00E813CF">
        <w:t xml:space="preserve"> 23245 de 2016; Cour de cassation n</w:t>
      </w:r>
      <w:r w:rsidRPr="00E813CF">
        <w:rPr>
          <w:vertAlign w:val="superscript"/>
        </w:rPr>
        <w:t>o</w:t>
      </w:r>
      <w:r w:rsidRPr="00E813CF">
        <w:t xml:space="preserve"> 4848 de 2013; Cour de cassation n</w:t>
      </w:r>
      <w:r w:rsidRPr="00E813CF">
        <w:rPr>
          <w:vertAlign w:val="superscript"/>
        </w:rPr>
        <w:t>o</w:t>
      </w:r>
      <w:r w:rsidRPr="00E813CF">
        <w:t xml:space="preserve"> 2598 de 1996; Cour de cassation n</w:t>
      </w:r>
      <w:r w:rsidRPr="00E813CF">
        <w:rPr>
          <w:vertAlign w:val="superscript"/>
        </w:rPr>
        <w:t>o</w:t>
      </w:r>
      <w:r w:rsidRPr="00E813CF">
        <w:t xml:space="preserve"> 1469 de 1982).</w:t>
      </w:r>
    </w:p>
    <w:p w:rsidR="00950340" w:rsidRPr="00E813CF" w:rsidRDefault="00950340" w:rsidP="00E813CF">
      <w:pPr>
        <w:pStyle w:val="JuPara"/>
      </w:pPr>
      <w:r w:rsidRPr="00E813CF">
        <w:t>37.  En outre, en cas de non-exécution de la part de l</w:t>
      </w:r>
      <w:r w:rsidR="00E813CF" w:rsidRPr="00E813CF">
        <w:t>’</w:t>
      </w:r>
      <w:r w:rsidRPr="00E813CF">
        <w:t>administration de la décision du juge, le requérant aurait pu introduire un recours en exécution (</w:t>
      </w:r>
      <w:r w:rsidRPr="00E813CF">
        <w:rPr>
          <w:i/>
        </w:rPr>
        <w:t>ricorso in ottemperanza</w:t>
      </w:r>
      <w:r w:rsidRPr="00E813CF">
        <w:t>) qui lui aurait permis de forcer l</w:t>
      </w:r>
      <w:r w:rsidR="00E813CF" w:rsidRPr="00E813CF">
        <w:t>’</w:t>
      </w:r>
      <w:r w:rsidRPr="00E813CF">
        <w:t>administration publique à cesser le comportement nuisible.</w:t>
      </w:r>
    </w:p>
    <w:p w:rsidR="00950340" w:rsidRPr="00E813CF" w:rsidRDefault="00950340" w:rsidP="00E813CF">
      <w:pPr>
        <w:pStyle w:val="JuPara"/>
      </w:pPr>
      <w:r w:rsidRPr="00E813CF">
        <w:t>38.  Enfin le Gouvernement souligne que le requérant ne s</w:t>
      </w:r>
      <w:r w:rsidR="00E813CF" w:rsidRPr="00E813CF">
        <w:t>’</w:t>
      </w:r>
      <w:r w:rsidRPr="00E813CF">
        <w:t>est pas pourvu en cassation contre les deux arrêts de la cour d</w:t>
      </w:r>
      <w:r w:rsidR="00E813CF" w:rsidRPr="00E813CF">
        <w:t>’</w:t>
      </w:r>
      <w:r w:rsidRPr="00E813CF">
        <w:t>appel de Campobasso.</w:t>
      </w:r>
    </w:p>
    <w:p w:rsidR="00950340" w:rsidRPr="00E813CF" w:rsidRDefault="00950340" w:rsidP="00E813CF">
      <w:pPr>
        <w:pStyle w:val="JuPara"/>
      </w:pPr>
      <w:r w:rsidRPr="00E813CF">
        <w:t>39.  Le requérant s</w:t>
      </w:r>
      <w:r w:rsidR="00E813CF" w:rsidRPr="00E813CF">
        <w:t>’</w:t>
      </w:r>
      <w:r w:rsidRPr="00E813CF">
        <w:t>oppose à l</w:t>
      </w:r>
      <w:r w:rsidR="00E813CF" w:rsidRPr="00E813CF">
        <w:t>’</w:t>
      </w:r>
      <w:r w:rsidRPr="00E813CF">
        <w:t>exception du Gouvernement et affirme ne pas avoir demandé la cessation des nuisances au motif que, depuis 2009, l</w:t>
      </w:r>
      <w:r w:rsidR="00E813CF" w:rsidRPr="00E813CF">
        <w:t>’</w:t>
      </w:r>
      <w:r w:rsidRPr="00E813CF">
        <w:t>administration publique avait déjà manifesté sa volonté d</w:t>
      </w:r>
      <w:r w:rsidR="00E813CF" w:rsidRPr="00E813CF">
        <w:t>’</w:t>
      </w:r>
      <w:r w:rsidRPr="00E813CF">
        <w:t>éliminer la pollution sonore provenant de la prison. Il n</w:t>
      </w:r>
      <w:r w:rsidR="00E813CF" w:rsidRPr="00E813CF">
        <w:t>’</w:t>
      </w:r>
      <w:r w:rsidRPr="00E813CF">
        <w:t>était donc pas obligé d</w:t>
      </w:r>
      <w:r w:rsidR="00E813CF" w:rsidRPr="00E813CF">
        <w:t>’</w:t>
      </w:r>
      <w:r w:rsidRPr="00E813CF">
        <w:t>épuiser une des voies de recours internes indiquées par le Gouvernement afin d</w:t>
      </w:r>
      <w:r w:rsidR="00E813CF" w:rsidRPr="00E813CF">
        <w:t>’</w:t>
      </w:r>
      <w:r w:rsidRPr="00E813CF">
        <w:t>obtenir une mesure déjà adoptée par l</w:t>
      </w:r>
      <w:r w:rsidR="00E813CF" w:rsidRPr="00E813CF">
        <w:t>’</w:t>
      </w:r>
      <w:r w:rsidRPr="00E813CF">
        <w:t>administration publique, à savoir une intervention sur la clôture afin d</w:t>
      </w:r>
      <w:r w:rsidR="00E813CF" w:rsidRPr="00E813CF">
        <w:t>’</w:t>
      </w:r>
      <w:r w:rsidRPr="00E813CF">
        <w:t>éliminer la pollution sonore.</w:t>
      </w:r>
    </w:p>
    <w:p w:rsidR="00950340" w:rsidRPr="00E813CF" w:rsidRDefault="00950340" w:rsidP="00E813CF">
      <w:pPr>
        <w:pStyle w:val="JuPara"/>
      </w:pPr>
      <w:r w:rsidRPr="00E813CF">
        <w:t>40.  En outre, le requérant argue que l</w:t>
      </w:r>
      <w:r w:rsidR="00E813CF" w:rsidRPr="00E813CF">
        <w:t>’</w:t>
      </w:r>
      <w:r w:rsidRPr="00E813CF">
        <w:t>introduction d</w:t>
      </w:r>
      <w:r w:rsidR="00E813CF" w:rsidRPr="00E813CF">
        <w:t>’</w:t>
      </w:r>
      <w:r w:rsidRPr="00E813CF">
        <w:t>un recours en exécution afin de permettre à l</w:t>
      </w:r>
      <w:r w:rsidR="00E813CF" w:rsidRPr="00E813CF">
        <w:t>’</w:t>
      </w:r>
      <w:r w:rsidRPr="00E813CF">
        <w:t>administration publique de s</w:t>
      </w:r>
      <w:r w:rsidR="00E813CF" w:rsidRPr="00E813CF">
        <w:t>’</w:t>
      </w:r>
      <w:r w:rsidRPr="00E813CF">
        <w:t>acquitter de son obligation (</w:t>
      </w:r>
      <w:r w:rsidRPr="00E813CF">
        <w:rPr>
          <w:i/>
        </w:rPr>
        <w:t>Dello Preite c. Italie</w:t>
      </w:r>
      <w:r w:rsidRPr="00E813CF">
        <w:t>, n</w:t>
      </w:r>
      <w:r w:rsidRPr="00E813CF">
        <w:rPr>
          <w:vertAlign w:val="superscript"/>
        </w:rPr>
        <w:t>o</w:t>
      </w:r>
      <w:r w:rsidRPr="00E813CF">
        <w:t xml:space="preserve"> 15488/89 (déc.), 27 février 1995), ne semble pas avoir des perspectives raisonnables de succès.</w:t>
      </w:r>
    </w:p>
    <w:p w:rsidR="00950340" w:rsidRPr="00E813CF" w:rsidRDefault="00950340" w:rsidP="00E813CF">
      <w:pPr>
        <w:pStyle w:val="JuPara"/>
      </w:pPr>
      <w:r w:rsidRPr="00E813CF">
        <w:t>41.  Enfin, le requérant souligne qu</w:t>
      </w:r>
      <w:r w:rsidR="00E813CF" w:rsidRPr="00E813CF">
        <w:t>’</w:t>
      </w:r>
      <w:r w:rsidRPr="00E813CF">
        <w:t>il n</w:t>
      </w:r>
      <w:r w:rsidR="00E813CF" w:rsidRPr="00E813CF">
        <w:t>’</w:t>
      </w:r>
      <w:r w:rsidRPr="00E813CF">
        <w:t>était pas possible de contester devant la Cour de cassation l</w:t>
      </w:r>
      <w:r w:rsidR="00E813CF" w:rsidRPr="00E813CF">
        <w:t>’</w:t>
      </w:r>
      <w:r w:rsidRPr="00E813CF">
        <w:t>exiguïté du dédommagement reconnu par les juridictions internes car cette demande concerne le fond de l</w:t>
      </w:r>
      <w:r w:rsidR="00E813CF" w:rsidRPr="00E813CF">
        <w:t>’</w:t>
      </w:r>
      <w:r w:rsidRPr="00E813CF">
        <w:t>affaire et son pourvoi aurait été déclaré irrecevable avec le risque concret d</w:t>
      </w:r>
      <w:r w:rsidR="00E813CF" w:rsidRPr="00E813CF">
        <w:t>’</w:t>
      </w:r>
      <w:r w:rsidRPr="00E813CF">
        <w:t>être condamné au paiement des frais de procédure.</w:t>
      </w:r>
    </w:p>
    <w:p w:rsidR="00950340" w:rsidRPr="00E813CF" w:rsidRDefault="00950340" w:rsidP="00E813CF">
      <w:pPr>
        <w:pStyle w:val="JuPara"/>
      </w:pPr>
      <w:r w:rsidRPr="00E813CF">
        <w:t>42.  La Cour rappelle qu</w:t>
      </w:r>
      <w:r w:rsidR="00E813CF" w:rsidRPr="00E813CF">
        <w:t>’</w:t>
      </w:r>
      <w:r w:rsidRPr="00E813CF">
        <w:t>au terme de l</w:t>
      </w:r>
      <w:r w:rsidR="00E813CF" w:rsidRPr="00E813CF">
        <w:t>’</w:t>
      </w:r>
      <w:r w:rsidRPr="00E813CF">
        <w:t>article 35 § 1 de la Convention, elle ne peut être saisie qu</w:t>
      </w:r>
      <w:r w:rsidR="00E813CF" w:rsidRPr="00E813CF">
        <w:t>’</w:t>
      </w:r>
      <w:r w:rsidRPr="00E813CF">
        <w:t>après l</w:t>
      </w:r>
      <w:r w:rsidR="00E813CF" w:rsidRPr="00E813CF">
        <w:t>’</w:t>
      </w:r>
      <w:r w:rsidRPr="00E813CF">
        <w:t>épuisement des voies de recours internes. La finalité de cette règle est de ménager aux États contractants l</w:t>
      </w:r>
      <w:r w:rsidR="00E813CF" w:rsidRPr="00E813CF">
        <w:t>’</w:t>
      </w:r>
      <w:r w:rsidRPr="00E813CF">
        <w:t>occasion de prévenir ou de redresser les violations alléguées contre eux avant que la Cour n</w:t>
      </w:r>
      <w:r w:rsidR="00E813CF" w:rsidRPr="00E813CF">
        <w:t>’</w:t>
      </w:r>
      <w:r w:rsidRPr="00E813CF">
        <w:t>en soit saisie (voir, parmi d</w:t>
      </w:r>
      <w:r w:rsidR="00E813CF" w:rsidRPr="00E813CF">
        <w:t>’</w:t>
      </w:r>
      <w:r w:rsidRPr="00E813CF">
        <w:t xml:space="preserve">autres, </w:t>
      </w:r>
      <w:r w:rsidRPr="00E813CF">
        <w:rPr>
          <w:i/>
        </w:rPr>
        <w:t>Mifsud c. France</w:t>
      </w:r>
      <w:r w:rsidRPr="00E813CF">
        <w:t xml:space="preserve"> (déc.) [GC], n</w:t>
      </w:r>
      <w:r w:rsidRPr="00E813CF">
        <w:rPr>
          <w:vertAlign w:val="superscript"/>
        </w:rPr>
        <w:t>o</w:t>
      </w:r>
      <w:r w:rsidRPr="00E813CF">
        <w:t> </w:t>
      </w:r>
      <w:hyperlink r:id="rId12" w:anchor="{&quot;appno&quot;:[&quot;57220/00&quot;]}" w:tgtFrame="_blank" w:history="1">
        <w:r w:rsidRPr="00E813CF">
          <w:t>57220/00</w:t>
        </w:r>
      </w:hyperlink>
      <w:r w:rsidRPr="00E813CF">
        <w:t>, § 15, CEDH 2002</w:t>
      </w:r>
      <w:r w:rsidRPr="00E813CF">
        <w:noBreakHyphen/>
        <w:t xml:space="preserve">VIII, et, plus récemment, </w:t>
      </w:r>
      <w:r w:rsidRPr="00E813CF">
        <w:rPr>
          <w:i/>
        </w:rPr>
        <w:t>Simons c. Belgique</w:t>
      </w:r>
      <w:r w:rsidRPr="00E813CF">
        <w:t xml:space="preserve"> (déc.), n</w:t>
      </w:r>
      <w:r w:rsidRPr="00E813CF">
        <w:rPr>
          <w:vertAlign w:val="superscript"/>
        </w:rPr>
        <w:t xml:space="preserve">o </w:t>
      </w:r>
      <w:r w:rsidRPr="00E813CF">
        <w:t>71407/10 § 23, 28 août 2012).</w:t>
      </w:r>
    </w:p>
    <w:p w:rsidR="00950340" w:rsidRPr="00E813CF" w:rsidRDefault="00950340" w:rsidP="00E813CF">
      <w:pPr>
        <w:pStyle w:val="JuPara"/>
        <w:rPr>
          <w:rFonts w:ascii="Calibri" w:hAnsi="Calibri" w:cs="Calibri"/>
          <w:color w:val="000000"/>
        </w:rPr>
      </w:pPr>
      <w:r w:rsidRPr="00E813CF">
        <w:t>43.  L</w:t>
      </w:r>
      <w:r w:rsidR="00E813CF" w:rsidRPr="00E813CF">
        <w:t>’</w:t>
      </w:r>
      <w:r w:rsidRPr="00E813CF">
        <w:t>article 35 § 1 de la Convention ne prescrit cependant que l</w:t>
      </w:r>
      <w:r w:rsidR="00E813CF" w:rsidRPr="00E813CF">
        <w:t>’</w:t>
      </w:r>
      <w:r w:rsidRPr="00E813CF">
        <w:t>épuisement des recours à la fois relatifs aux violations incriminées, mais encore disponibles et adéquats. Un recours est effectif lorsqu</w:t>
      </w:r>
      <w:r w:rsidR="00E813CF" w:rsidRPr="00E813CF">
        <w:t>’</w:t>
      </w:r>
      <w:r w:rsidRPr="00E813CF">
        <w:t>il est disponible tant en théorie qu</w:t>
      </w:r>
      <w:r w:rsidR="00E813CF" w:rsidRPr="00E813CF">
        <w:t>’</w:t>
      </w:r>
      <w:r w:rsidRPr="00E813CF">
        <w:t>en pratique à l</w:t>
      </w:r>
      <w:r w:rsidR="00E813CF" w:rsidRPr="00E813CF">
        <w:t>’</w:t>
      </w:r>
      <w:r w:rsidRPr="00E813CF">
        <w:t>époque des faits, c</w:t>
      </w:r>
      <w:r w:rsidR="00E813CF" w:rsidRPr="00E813CF">
        <w:t>’</w:t>
      </w:r>
      <w:r w:rsidRPr="00E813CF">
        <w:t>est-à-dire lorsqu</w:t>
      </w:r>
      <w:r w:rsidR="00E813CF" w:rsidRPr="00E813CF">
        <w:t>’</w:t>
      </w:r>
      <w:r w:rsidRPr="00E813CF">
        <w:t>il est accessible, susceptible d</w:t>
      </w:r>
      <w:r w:rsidR="00E813CF" w:rsidRPr="00E813CF">
        <w:t>’</w:t>
      </w:r>
      <w:r w:rsidRPr="00E813CF">
        <w:t xml:space="preserve">offrir au requérant le redressement de ses griefs et présente des perspectives raisonnables de succès. À cet égard, </w:t>
      </w:r>
      <w:r w:rsidRPr="00E813CF">
        <w:lastRenderedPageBreak/>
        <w:t>le simple fait de nourrir des doutes quant aux perspectives de succès d</w:t>
      </w:r>
      <w:r w:rsidR="00E813CF" w:rsidRPr="00E813CF">
        <w:t>’</w:t>
      </w:r>
      <w:r w:rsidRPr="00E813CF">
        <w:t>un recours donné, qui n</w:t>
      </w:r>
      <w:r w:rsidR="00E813CF" w:rsidRPr="00E813CF">
        <w:t>’</w:t>
      </w:r>
      <w:r w:rsidRPr="00E813CF">
        <w:t>est pas de toute évidence voué à l</w:t>
      </w:r>
      <w:r w:rsidR="00E813CF" w:rsidRPr="00E813CF">
        <w:t>’</w:t>
      </w:r>
      <w:r w:rsidRPr="00E813CF">
        <w:t>échec, ne constitue pas une raison valable pour justifier la non-utilisation de recours internes (</w:t>
      </w:r>
      <w:r w:rsidRPr="00E813CF">
        <w:rPr>
          <w:i/>
        </w:rPr>
        <w:t>Brusco c. Italie</w:t>
      </w:r>
      <w:r w:rsidRPr="00E813CF">
        <w:t xml:space="preserve"> (déc.), n</w:t>
      </w:r>
      <w:r w:rsidRPr="00E813CF">
        <w:rPr>
          <w:vertAlign w:val="superscript"/>
        </w:rPr>
        <w:t>o</w:t>
      </w:r>
      <w:r w:rsidRPr="00E813CF">
        <w:t xml:space="preserve"> </w:t>
      </w:r>
      <w:hyperlink r:id="rId13" w:anchor="{&quot;appno&quot;:[&quot;69789/01&quot;]}" w:tgtFrame="_blank" w:history="1">
        <w:r w:rsidRPr="00E813CF">
          <w:t>69789/01</w:t>
        </w:r>
      </w:hyperlink>
      <w:r w:rsidRPr="00E813CF">
        <w:t>, CEDH 2001</w:t>
      </w:r>
      <w:r w:rsidRPr="00E813CF">
        <w:noBreakHyphen/>
        <w:t xml:space="preserve">IX, </w:t>
      </w:r>
      <w:r w:rsidRPr="00E813CF">
        <w:rPr>
          <w:i/>
        </w:rPr>
        <w:t>Sardinas Albo c. Italie</w:t>
      </w:r>
      <w:r w:rsidRPr="00E813CF">
        <w:t xml:space="preserve"> (déc.), n</w:t>
      </w:r>
      <w:r w:rsidRPr="00E813CF">
        <w:rPr>
          <w:vertAlign w:val="superscript"/>
        </w:rPr>
        <w:t>o</w:t>
      </w:r>
      <w:r w:rsidRPr="00E813CF">
        <w:t> </w:t>
      </w:r>
      <w:hyperlink r:id="rId14" w:anchor="{&quot;appno&quot;:[&quot;56271/00&quot;]}" w:tgtFrame="_blank" w:history="1">
        <w:r w:rsidRPr="00E813CF">
          <w:t>56271/00</w:t>
        </w:r>
      </w:hyperlink>
      <w:r w:rsidRPr="00E813CF">
        <w:t>, CEDH 2004</w:t>
      </w:r>
      <w:r w:rsidRPr="00E813CF">
        <w:noBreakHyphen/>
        <w:t xml:space="preserve">I (extraits), </w:t>
      </w:r>
      <w:r w:rsidRPr="00E813CF">
        <w:rPr>
          <w:i/>
        </w:rPr>
        <w:t>Sejdovic c. Italie</w:t>
      </w:r>
      <w:r w:rsidRPr="00E813CF">
        <w:t xml:space="preserve"> [GC], n</w:t>
      </w:r>
      <w:r w:rsidRPr="00E813CF">
        <w:rPr>
          <w:vertAlign w:val="superscript"/>
        </w:rPr>
        <w:t>o</w:t>
      </w:r>
      <w:r w:rsidRPr="00E813CF">
        <w:t xml:space="preserve"> </w:t>
      </w:r>
      <w:hyperlink r:id="rId15" w:anchor="{&quot;appno&quot;:[&quot;56581/00&quot;]}" w:tgtFrame="_blank" w:history="1">
        <w:r w:rsidRPr="00E813CF">
          <w:t>56581/00</w:t>
        </w:r>
      </w:hyperlink>
      <w:r w:rsidRPr="00E813CF">
        <w:t>, § 46 CEDH 2006</w:t>
      </w:r>
      <w:r w:rsidRPr="00E813CF">
        <w:noBreakHyphen/>
        <w:t xml:space="preserve">II, et </w:t>
      </w:r>
      <w:r w:rsidR="00103A87" w:rsidRPr="00E813CF">
        <w:rPr>
          <w:i/>
        </w:rPr>
        <w:t>Alberto Eugénio da Conceicao c. </w:t>
      </w:r>
      <w:r w:rsidRPr="00E813CF">
        <w:rPr>
          <w:i/>
        </w:rPr>
        <w:t>Portugal</w:t>
      </w:r>
      <w:r w:rsidRPr="00E813CF">
        <w:t xml:space="preserve"> (déc.), n</w:t>
      </w:r>
      <w:r w:rsidRPr="00E813CF">
        <w:rPr>
          <w:vertAlign w:val="superscript"/>
        </w:rPr>
        <w:t>o</w:t>
      </w:r>
      <w:r w:rsidRPr="00E813CF">
        <w:t> </w:t>
      </w:r>
      <w:hyperlink r:id="rId16" w:anchor="{&quot;appno&quot;:[&quot;74044/11&quot;]}" w:tgtFrame="_blank" w:history="1">
        <w:r w:rsidRPr="00E813CF">
          <w:t>74044/11</w:t>
        </w:r>
      </w:hyperlink>
      <w:r w:rsidRPr="00E813CF">
        <w:t>, 29 mai 2012).</w:t>
      </w:r>
    </w:p>
    <w:p w:rsidR="00950340" w:rsidRPr="00E813CF" w:rsidRDefault="00950340" w:rsidP="00E813CF">
      <w:pPr>
        <w:pStyle w:val="JuPara"/>
      </w:pPr>
      <w:r w:rsidRPr="00E813CF">
        <w:t>44.  La Cour note qu</w:t>
      </w:r>
      <w:r w:rsidR="00E813CF" w:rsidRPr="00E813CF">
        <w:t>’</w:t>
      </w:r>
      <w:r w:rsidRPr="00E813CF">
        <w:t>à deux reprises le requérant a saisi les juridictions internes d</w:t>
      </w:r>
      <w:r w:rsidR="00E813CF" w:rsidRPr="00E813CF">
        <w:t>’</w:t>
      </w:r>
      <w:r w:rsidRPr="00E813CF">
        <w:t>une action en dédommagement sans demander la cessation des nuisances sonores et visuelles. Elle rappelle ici son rôle subsidiaire par rapport aux systèmes nationaux de garantie des droits de l</w:t>
      </w:r>
      <w:r w:rsidR="00E813CF" w:rsidRPr="00E813CF">
        <w:t>’</w:t>
      </w:r>
      <w:r w:rsidRPr="00E813CF">
        <w:t>homme (</w:t>
      </w:r>
      <w:r w:rsidRPr="00E813CF">
        <w:rPr>
          <w:i/>
        </w:rPr>
        <w:t>Handyside c. Royaume</w:t>
      </w:r>
      <w:r w:rsidRPr="00E813CF">
        <w:rPr>
          <w:i/>
        </w:rPr>
        <w:noBreakHyphen/>
        <w:t>Uni</w:t>
      </w:r>
      <w:r w:rsidRPr="00E813CF">
        <w:t>, 7 décembre 1976, § 48, série A n</w:t>
      </w:r>
      <w:r w:rsidRPr="00E813CF">
        <w:rPr>
          <w:vertAlign w:val="superscript"/>
        </w:rPr>
        <w:t>o</w:t>
      </w:r>
      <w:r w:rsidRPr="00E813CF">
        <w:t xml:space="preserve"> 24, et </w:t>
      </w:r>
      <w:r w:rsidRPr="00E813CF">
        <w:rPr>
          <w:i/>
        </w:rPr>
        <w:t>Vučković et autres c. Serbie</w:t>
      </w:r>
      <w:r w:rsidRPr="00E813CF">
        <w:t xml:space="preserve"> [GC], n</w:t>
      </w:r>
      <w:r w:rsidRPr="00E813CF">
        <w:rPr>
          <w:vertAlign w:val="superscript"/>
        </w:rPr>
        <w:t>o</w:t>
      </w:r>
      <w:r w:rsidRPr="00E813CF">
        <w:t xml:space="preserve"> 17153/11, § 69, 25 mars 2014), et estime que le requérant avait à sa disposition plusieurs normes légales qui lui auraient permis de donner aux juridictions internes l</w:t>
      </w:r>
      <w:r w:rsidR="00E813CF" w:rsidRPr="00E813CF">
        <w:t>’</w:t>
      </w:r>
      <w:r w:rsidRPr="00E813CF">
        <w:t>occasion de remédier au niveau national à la prétendue violation de l</w:t>
      </w:r>
      <w:r w:rsidR="00E813CF" w:rsidRPr="00E813CF">
        <w:t>’</w:t>
      </w:r>
      <w:r w:rsidRPr="00E813CF">
        <w:t>article 8.</w:t>
      </w:r>
    </w:p>
    <w:p w:rsidR="00950340" w:rsidRPr="00E813CF" w:rsidRDefault="00950340" w:rsidP="00E813CF">
      <w:pPr>
        <w:pStyle w:val="JuPara"/>
      </w:pPr>
      <w:r w:rsidRPr="00E813CF">
        <w:t>45.  Or la Cour note, à l</w:t>
      </w:r>
      <w:r w:rsidR="00E813CF" w:rsidRPr="00E813CF">
        <w:t>’</w:t>
      </w:r>
      <w:r w:rsidRPr="00E813CF">
        <w:t>instar du Gouvernement, que le requérant aurait pu demander au juge civil au sens de l</w:t>
      </w:r>
      <w:r w:rsidR="00E813CF" w:rsidRPr="00E813CF">
        <w:t>’</w:t>
      </w:r>
      <w:r w:rsidRPr="00E813CF">
        <w:t>article 844 du code civil (voir la jurisprudence de la Cour de cassation, telle qu</w:t>
      </w:r>
      <w:r w:rsidR="00E813CF" w:rsidRPr="00E813CF">
        <w:t>’</w:t>
      </w:r>
      <w:r w:rsidRPr="00E813CF">
        <w:t>elle peut se lire notamment dans ses arrêts n</w:t>
      </w:r>
      <w:r w:rsidRPr="00E813CF">
        <w:rPr>
          <w:vertAlign w:val="superscript"/>
        </w:rPr>
        <w:t>o</w:t>
      </w:r>
      <w:r w:rsidRPr="00E813CF">
        <w:t xml:space="preserve"> 23245 de 2016, n</w:t>
      </w:r>
      <w:r w:rsidRPr="00E813CF">
        <w:rPr>
          <w:vertAlign w:val="superscript"/>
        </w:rPr>
        <w:t>o</w:t>
      </w:r>
      <w:r w:rsidRPr="00E813CF">
        <w:t xml:space="preserve"> 4848 de 2013; n</w:t>
      </w:r>
      <w:r w:rsidRPr="00E813CF">
        <w:rPr>
          <w:vertAlign w:val="superscript"/>
        </w:rPr>
        <w:t>o</w:t>
      </w:r>
      <w:r w:rsidRPr="00E813CF">
        <w:t xml:space="preserve"> 2598 de 1996; n</w:t>
      </w:r>
      <w:r w:rsidRPr="00E813CF">
        <w:rPr>
          <w:vertAlign w:val="superscript"/>
        </w:rPr>
        <w:t>o</w:t>
      </w:r>
      <w:r w:rsidRPr="00E813CF">
        <w:t> 1469 de 1982) d</w:t>
      </w:r>
      <w:r w:rsidR="00E813CF" w:rsidRPr="00E813CF">
        <w:t>’</w:t>
      </w:r>
      <w:r w:rsidRPr="00E813CF">
        <w:t>ordonner à l</w:t>
      </w:r>
      <w:r w:rsidR="00E813CF" w:rsidRPr="00E813CF">
        <w:t>’</w:t>
      </w:r>
      <w:r w:rsidRPr="00E813CF">
        <w:t>administration publique de cesser les nuisances. En cas de non-respect par l</w:t>
      </w:r>
      <w:r w:rsidR="00E813CF" w:rsidRPr="00E813CF">
        <w:t>’</w:t>
      </w:r>
      <w:r w:rsidRPr="00E813CF">
        <w:t>administration de l</w:t>
      </w:r>
      <w:r w:rsidR="00E813CF" w:rsidRPr="00E813CF">
        <w:t>’</w:t>
      </w:r>
      <w:r w:rsidRPr="00E813CF">
        <w:t xml:space="preserve">éventuelle décision, le requérant aurait pu introduire devant les juridictions administratives un recours en exécution (« </w:t>
      </w:r>
      <w:r w:rsidRPr="00E813CF">
        <w:rPr>
          <w:i/>
        </w:rPr>
        <w:t>giudizio di ottemperanza</w:t>
      </w:r>
      <w:r w:rsidRPr="00E813CF">
        <w:t xml:space="preserve"> »). Cette jurisprudence n</w:t>
      </w:r>
      <w:r w:rsidR="00E813CF" w:rsidRPr="00E813CF">
        <w:t>’</w:t>
      </w:r>
      <w:r w:rsidRPr="00E813CF">
        <w:t>a pas été contestée par le requérant.</w:t>
      </w:r>
    </w:p>
    <w:p w:rsidR="00950340" w:rsidRPr="00E813CF" w:rsidRDefault="00950340" w:rsidP="00E813CF">
      <w:pPr>
        <w:pStyle w:val="JuPara"/>
      </w:pPr>
      <w:r w:rsidRPr="00E813CF">
        <w:t>46.  Par ailleurs, la Cour ne dispose d</w:t>
      </w:r>
      <w:r w:rsidR="00E813CF" w:rsidRPr="00E813CF">
        <w:t>’</w:t>
      </w:r>
      <w:r w:rsidRPr="00E813CF">
        <w:t>aucun élément qui lui permettrait de dire que le recours en question n</w:t>
      </w:r>
      <w:r w:rsidR="00E813CF" w:rsidRPr="00E813CF">
        <w:t>’</w:t>
      </w:r>
      <w:r w:rsidRPr="00E813CF">
        <w:t>était pas susceptible d</w:t>
      </w:r>
      <w:r w:rsidR="00E813CF" w:rsidRPr="00E813CF">
        <w:t>’</w:t>
      </w:r>
      <w:r w:rsidRPr="00E813CF">
        <w:t>apporter un redressement approprié au grief du requérant tiré de l</w:t>
      </w:r>
      <w:r w:rsidR="00E813CF" w:rsidRPr="00E813CF">
        <w:t>’</w:t>
      </w:r>
      <w:r w:rsidRPr="00E813CF">
        <w:t>article 8 de la Convention et qu</w:t>
      </w:r>
      <w:r w:rsidR="00E813CF" w:rsidRPr="00E813CF">
        <w:t>’</w:t>
      </w:r>
      <w:r w:rsidRPr="00E813CF">
        <w:t>il n</w:t>
      </w:r>
      <w:r w:rsidR="00E813CF" w:rsidRPr="00E813CF">
        <w:t>’</w:t>
      </w:r>
      <w:r w:rsidRPr="00E813CF">
        <w:t xml:space="preserve">offrait pas de perspectives raisonnables de succès (voir, en ce sens et, </w:t>
      </w:r>
      <w:r w:rsidRPr="00E813CF">
        <w:rPr>
          <w:i/>
        </w:rPr>
        <w:t>mutatis mutandis</w:t>
      </w:r>
      <w:r w:rsidRPr="00E813CF">
        <w:t xml:space="preserve">, </w:t>
      </w:r>
      <w:r w:rsidRPr="00E813CF">
        <w:rPr>
          <w:i/>
        </w:rPr>
        <w:t>Taron c. Allemagne</w:t>
      </w:r>
      <w:r w:rsidRPr="00E813CF">
        <w:t xml:space="preserve"> (déc.), n</w:t>
      </w:r>
      <w:r w:rsidRPr="00E813CF">
        <w:rPr>
          <w:vertAlign w:val="superscript"/>
        </w:rPr>
        <w:t>o</w:t>
      </w:r>
      <w:r w:rsidRPr="00E813CF">
        <w:t> </w:t>
      </w:r>
      <w:hyperlink r:id="rId17" w:anchor="{&quot;appno&quot;:[&quot;53126/07&quot;]}" w:tgtFrame="_blank" w:history="1">
        <w:r w:rsidRPr="00E813CF">
          <w:t>53126/07</w:t>
        </w:r>
      </w:hyperlink>
      <w:r w:rsidRPr="00E813CF">
        <w:t>, § 40, 29 mai 2012). Il convient de rappeler ici que lorsqu</w:t>
      </w:r>
      <w:r w:rsidR="00E813CF" w:rsidRPr="00E813CF">
        <w:t>’</w:t>
      </w:r>
      <w:r w:rsidRPr="00E813CF">
        <w:t>il existe un doute sur l</w:t>
      </w:r>
      <w:r w:rsidR="00E813CF" w:rsidRPr="00E813CF">
        <w:t>’</w:t>
      </w:r>
      <w:r w:rsidRPr="00E813CF">
        <w:t>effectivité et les chances de succès d</w:t>
      </w:r>
      <w:r w:rsidR="00E813CF" w:rsidRPr="00E813CF">
        <w:t>’</w:t>
      </w:r>
      <w:r w:rsidRPr="00E813CF">
        <w:t>un recours interne, celui-ci doit être tenté (</w:t>
      </w:r>
      <w:r w:rsidRPr="00E813CF">
        <w:rPr>
          <w:i/>
        </w:rPr>
        <w:t>Voisine c. France</w:t>
      </w:r>
      <w:r w:rsidRPr="00E813CF">
        <w:t>, n</w:t>
      </w:r>
      <w:r w:rsidRPr="00E813CF">
        <w:rPr>
          <w:vertAlign w:val="superscript"/>
        </w:rPr>
        <w:t>o</w:t>
      </w:r>
      <w:r w:rsidRPr="00E813CF">
        <w:t> </w:t>
      </w:r>
      <w:hyperlink r:id="rId18" w:anchor="{&quot;appno&quot;:[&quot;27362/95&quot;]}" w:tgtFrame="_blank" w:history="1">
        <w:r w:rsidRPr="00E813CF">
          <w:t>27362/95</w:t>
        </w:r>
      </w:hyperlink>
      <w:r w:rsidRPr="00E813CF">
        <w:t xml:space="preserve">, décision de la Commission du 14 janvier 1998, et </w:t>
      </w:r>
      <w:r w:rsidRPr="00E813CF">
        <w:rPr>
          <w:i/>
        </w:rPr>
        <w:t>Gürceğiz c. Turquie</w:t>
      </w:r>
      <w:r w:rsidRPr="00E813CF">
        <w:t>, n</w:t>
      </w:r>
      <w:r w:rsidRPr="00E813CF">
        <w:rPr>
          <w:vertAlign w:val="superscript"/>
        </w:rPr>
        <w:t>o</w:t>
      </w:r>
      <w:r w:rsidR="00103A87" w:rsidRPr="00E813CF">
        <w:t> </w:t>
      </w:r>
      <w:r w:rsidRPr="00E813CF">
        <w:t>11045/07</w:t>
      </w:r>
      <w:r w:rsidRPr="00E813CF">
        <w:rPr>
          <w:snapToGrid w:val="0"/>
        </w:rPr>
        <w:t xml:space="preserve">, § 32, 15 </w:t>
      </w:r>
      <w:r w:rsidRPr="00E813CF">
        <w:t>novembre</w:t>
      </w:r>
      <w:r w:rsidRPr="00E813CF">
        <w:rPr>
          <w:snapToGrid w:val="0"/>
        </w:rPr>
        <w:t xml:space="preserve"> 2012</w:t>
      </w:r>
      <w:r w:rsidRPr="00E813CF">
        <w:t>). Le requérant ne peut donc passer pour avoir épuisé correctement les voies de recours internes (</w:t>
      </w:r>
      <w:r w:rsidRPr="00E813CF">
        <w:rPr>
          <w:i/>
        </w:rPr>
        <w:t>mutatis mutandis</w:t>
      </w:r>
      <w:r w:rsidRPr="00E813CF">
        <w:t xml:space="preserve"> </w:t>
      </w:r>
      <w:r w:rsidRPr="00E813CF">
        <w:rPr>
          <w:i/>
        </w:rPr>
        <w:t>Pagliccia et autres c. Italie,</w:t>
      </w:r>
      <w:r w:rsidRPr="00E813CF">
        <w:t xml:space="preserve"> n</w:t>
      </w:r>
      <w:r w:rsidRPr="00E813CF">
        <w:rPr>
          <w:vertAlign w:val="superscript"/>
        </w:rPr>
        <w:t>o</w:t>
      </w:r>
      <w:r w:rsidRPr="00E813CF">
        <w:t xml:space="preserve"> </w:t>
      </w:r>
      <w:hyperlink r:id="rId19" w:anchor="{&quot;appno&quot;:[&quot;35392/97&quot;]}" w:tgtFrame="_blank" w:history="1">
        <w:r w:rsidRPr="00E813CF">
          <w:t>35392/97</w:t>
        </w:r>
      </w:hyperlink>
      <w:r w:rsidRPr="00E813CF">
        <w:t xml:space="preserve">, déc. 7 septembre 2000, et </w:t>
      </w:r>
      <w:r w:rsidRPr="00E813CF">
        <w:rPr>
          <w:i/>
        </w:rPr>
        <w:t>De Ciantis c. Italie</w:t>
      </w:r>
      <w:r w:rsidRPr="00E813CF">
        <w:t xml:space="preserve"> n</w:t>
      </w:r>
      <w:r w:rsidRPr="00E813CF">
        <w:rPr>
          <w:vertAlign w:val="superscript"/>
        </w:rPr>
        <w:t xml:space="preserve">o </w:t>
      </w:r>
      <w:r w:rsidRPr="00E813CF">
        <w:t>39386/10, déc. 16 décembre 2014).</w:t>
      </w:r>
    </w:p>
    <w:p w:rsidR="00950340" w:rsidRPr="00E813CF" w:rsidRDefault="00950340" w:rsidP="00E813CF">
      <w:pPr>
        <w:pStyle w:val="JuPara"/>
      </w:pPr>
      <w:r w:rsidRPr="00E813CF">
        <w:t xml:space="preserve">47.  En conclusion, la Cour estime </w:t>
      </w:r>
      <w:r w:rsidRPr="00E813CF">
        <w:rPr>
          <w:color w:val="000000"/>
        </w:rPr>
        <w:t>qu</w:t>
      </w:r>
      <w:r w:rsidR="00E813CF" w:rsidRPr="00E813CF">
        <w:rPr>
          <w:color w:val="000000"/>
        </w:rPr>
        <w:t>’</w:t>
      </w:r>
      <w:r w:rsidRPr="00E813CF">
        <w:rPr>
          <w:color w:val="000000"/>
        </w:rPr>
        <w:t>en raison de l</w:t>
      </w:r>
      <w:r w:rsidR="00E813CF" w:rsidRPr="00E813CF">
        <w:rPr>
          <w:color w:val="000000"/>
        </w:rPr>
        <w:t>’</w:t>
      </w:r>
      <w:r w:rsidRPr="00E813CF">
        <w:rPr>
          <w:color w:val="000000"/>
        </w:rPr>
        <w:t>absence d</w:t>
      </w:r>
      <w:r w:rsidR="00E813CF" w:rsidRPr="00E813CF">
        <w:rPr>
          <w:color w:val="000000"/>
        </w:rPr>
        <w:t>’</w:t>
      </w:r>
      <w:r w:rsidRPr="00E813CF">
        <w:rPr>
          <w:color w:val="000000"/>
        </w:rPr>
        <w:t>exercice du recours en cessation de nuisances litigieuses, établi à l</w:t>
      </w:r>
      <w:r w:rsidR="00E813CF" w:rsidRPr="00E813CF">
        <w:rPr>
          <w:color w:val="000000"/>
        </w:rPr>
        <w:t>’</w:t>
      </w:r>
      <w:r w:rsidRPr="00E813CF">
        <w:rPr>
          <w:color w:val="000000"/>
        </w:rPr>
        <w:t xml:space="preserve">article 844 du code civil, </w:t>
      </w:r>
      <w:r w:rsidRPr="00E813CF">
        <w:t>le requérant n</w:t>
      </w:r>
      <w:r w:rsidR="00E813CF" w:rsidRPr="00E813CF">
        <w:t>’</w:t>
      </w:r>
      <w:r w:rsidRPr="00E813CF">
        <w:t>a pas donné aux juridictions nationales l</w:t>
      </w:r>
      <w:r w:rsidR="00E813CF" w:rsidRPr="00E813CF">
        <w:t>’</w:t>
      </w:r>
      <w:r w:rsidRPr="00E813CF">
        <w:t>occasion de prévenir ou redresser dans leur ordre juridique interne les violations de la Convention. Dès lors, il y a lieu d</w:t>
      </w:r>
      <w:r w:rsidR="00E813CF" w:rsidRPr="00E813CF">
        <w:t>’</w:t>
      </w:r>
      <w:r w:rsidRPr="00E813CF">
        <w:t>accueillir l</w:t>
      </w:r>
      <w:r w:rsidR="00E813CF" w:rsidRPr="00E813CF">
        <w:t>’</w:t>
      </w:r>
      <w:r w:rsidRPr="00E813CF">
        <w:t xml:space="preserve">exception de non-épuisement des voies de recours internes soulevée par le Gouvernement car le requérant </w:t>
      </w:r>
      <w:r w:rsidRPr="00E813CF">
        <w:lastRenderedPageBreak/>
        <w:t>s</w:t>
      </w:r>
      <w:r w:rsidR="00E813CF" w:rsidRPr="00E813CF">
        <w:t>’</w:t>
      </w:r>
      <w:r w:rsidRPr="00E813CF">
        <w:t>est privé lui-même de la possibilité de protéger ses droits garantis par l</w:t>
      </w:r>
      <w:r w:rsidR="00E813CF" w:rsidRPr="00E813CF">
        <w:t>’</w:t>
      </w:r>
      <w:r w:rsidRPr="00E813CF">
        <w:t>article 8 de la Convention à la suite des nuisances dénoncées.</w:t>
      </w:r>
    </w:p>
    <w:p w:rsidR="00950340" w:rsidRPr="00E813CF" w:rsidRDefault="00950340" w:rsidP="00E813CF">
      <w:pPr>
        <w:pStyle w:val="JuPara"/>
      </w:pPr>
      <w:r w:rsidRPr="00E813CF">
        <w:t>48.  La Cour accueille donc l</w:t>
      </w:r>
      <w:r w:rsidR="00E813CF" w:rsidRPr="00E813CF">
        <w:t>’</w:t>
      </w:r>
      <w:r w:rsidRPr="00E813CF">
        <w:t>exception du Gouvernement et rejette la requête pour non-épuisement des voies de recours internes, en application de l</w:t>
      </w:r>
      <w:r w:rsidR="00E813CF" w:rsidRPr="00E813CF">
        <w:t>’</w:t>
      </w:r>
      <w:r w:rsidRPr="00E813CF">
        <w:t>article 35 §§ 1 et 4 de la Convention.</w:t>
      </w:r>
    </w:p>
    <w:p w:rsidR="00950340" w:rsidRPr="00E813CF" w:rsidRDefault="00950340" w:rsidP="00E813CF">
      <w:pPr>
        <w:pStyle w:val="JuParaLast"/>
      </w:pPr>
      <w:r w:rsidRPr="00E813CF">
        <w:t>Par ces motifs, la Cour, à l</w:t>
      </w:r>
      <w:r w:rsidR="00E813CF" w:rsidRPr="00E813CF">
        <w:t>’</w:t>
      </w:r>
      <w:r w:rsidRPr="00E813CF">
        <w:t>unanimité,</w:t>
      </w:r>
    </w:p>
    <w:p w:rsidR="00950340" w:rsidRPr="00E813CF" w:rsidRDefault="00950340" w:rsidP="00E813CF">
      <w:pPr>
        <w:pStyle w:val="DecList"/>
      </w:pPr>
      <w:r w:rsidRPr="00E813CF">
        <w:rPr>
          <w:i/>
        </w:rPr>
        <w:t>Déclare</w:t>
      </w:r>
      <w:r w:rsidRPr="00E813CF">
        <w:t xml:space="preserve"> la requête irrecevable.</w:t>
      </w:r>
    </w:p>
    <w:p w:rsidR="00050A32" w:rsidRPr="00E813CF" w:rsidRDefault="00F40988" w:rsidP="00E813CF">
      <w:pPr>
        <w:pStyle w:val="JuParaLast"/>
        <w:rPr>
          <w:sz w:val="14"/>
        </w:rPr>
      </w:pPr>
      <w:r w:rsidRPr="00E813CF">
        <w:rPr>
          <w:szCs w:val="24"/>
        </w:rPr>
        <w:t xml:space="preserve">Fait en français puis communiqué par écrit le </w:t>
      </w:r>
      <w:r w:rsidR="00950340" w:rsidRPr="00E813CF">
        <w:rPr>
          <w:szCs w:val="24"/>
        </w:rPr>
        <w:t>10 octobre 2019</w:t>
      </w:r>
      <w:r w:rsidRPr="00E813CF">
        <w:t>.</w:t>
      </w:r>
    </w:p>
    <w:p w:rsidR="00234E8A" w:rsidRPr="00E813CF" w:rsidRDefault="00050A32" w:rsidP="00E813CF">
      <w:pPr>
        <w:pStyle w:val="JuSigned"/>
      </w:pPr>
      <w:r w:rsidRPr="00E813CF">
        <w:tab/>
      </w:r>
      <w:r w:rsidR="00252D41" w:rsidRPr="00E813CF">
        <w:t>Renata Degener</w:t>
      </w:r>
      <w:r w:rsidR="0091478F" w:rsidRPr="00E813CF">
        <w:tab/>
      </w:r>
      <w:r w:rsidR="00950340" w:rsidRPr="00E813CF">
        <w:t>Krzysztof Wojtyczek</w:t>
      </w:r>
      <w:r w:rsidR="0058193F" w:rsidRPr="00E813CF">
        <w:br/>
      </w:r>
      <w:r w:rsidR="0035621E" w:rsidRPr="00E813CF">
        <w:rPr>
          <w:iCs/>
        </w:rPr>
        <w:tab/>
      </w:r>
      <w:r w:rsidR="00950340" w:rsidRPr="00E813CF">
        <w:t>Greffi</w:t>
      </w:r>
      <w:r w:rsidR="00252D41" w:rsidRPr="00E813CF">
        <w:t>ère adjointe</w:t>
      </w:r>
      <w:r w:rsidR="0091478F" w:rsidRPr="00E813CF">
        <w:tab/>
      </w:r>
      <w:r w:rsidR="00950340" w:rsidRPr="00E813CF">
        <w:t>Président</w:t>
      </w:r>
    </w:p>
    <w:sectPr w:rsidR="00234E8A" w:rsidRPr="00E813CF" w:rsidSect="00AF7102">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8D" w:rsidRPr="00B615B9" w:rsidRDefault="00A4798D" w:rsidP="006544C4">
      <w:r w:rsidRPr="00B615B9">
        <w:separator/>
      </w:r>
    </w:p>
  </w:endnote>
  <w:endnote w:type="continuationSeparator" w:id="0">
    <w:p w:rsidR="00A4798D" w:rsidRPr="00B615B9" w:rsidRDefault="00A4798D" w:rsidP="006544C4">
      <w:r w:rsidRPr="00B615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40" w:rsidRDefault="0095034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40" w:rsidRDefault="0095034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40" w:rsidRPr="00150BFA" w:rsidRDefault="00950340" w:rsidP="0020718E">
    <w:pPr>
      <w:jc w:val="center"/>
    </w:pPr>
    <w:r>
      <w:rPr>
        <w:noProof/>
        <w:lang w:val="it-IT" w:eastAsia="it-IT"/>
      </w:rPr>
      <w:drawing>
        <wp:inline distT="0" distB="0" distL="0" distR="0" wp14:anchorId="0D4C3DE0" wp14:editId="40EE615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B615B9" w:rsidRDefault="00A4798D"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8D" w:rsidRPr="00B615B9" w:rsidRDefault="00A4798D" w:rsidP="006544C4">
      <w:r w:rsidRPr="00B615B9">
        <w:separator/>
      </w:r>
    </w:p>
  </w:footnote>
  <w:footnote w:type="continuationSeparator" w:id="0">
    <w:p w:rsidR="00A4798D" w:rsidRPr="00B615B9" w:rsidRDefault="00A4798D" w:rsidP="006544C4">
      <w:r w:rsidRPr="00B615B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560C6F" w:rsidRDefault="00B03CF0" w:rsidP="003312A3">
    <w:pPr>
      <w:pStyle w:val="Ju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6D2F7B">
      <w:rPr>
        <w:rStyle w:val="Numeropagina"/>
        <w:noProof/>
        <w:lang w:val="en-GB"/>
      </w:rPr>
      <w:t>6</w:t>
    </w:r>
    <w:r>
      <w:rPr>
        <w:rStyle w:val="Numeropagina"/>
        <w:lang w:val="en-GB"/>
      </w:rPr>
      <w:fldChar w:fldCharType="end"/>
    </w:r>
    <w:r w:rsidR="00334EC5" w:rsidRPr="00560C6F">
      <w:rPr>
        <w:lang w:val="en-GB"/>
      </w:rPr>
      <w:tab/>
      <w:t xml:space="preserve">DÉCISION </w:t>
    </w:r>
    <w:r>
      <w:rPr>
        <w:lang w:val="en-GB"/>
      </w:rPr>
      <w:t>RAIMONDO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560C6F" w:rsidRDefault="00334EC5" w:rsidP="006544C4">
    <w:pPr>
      <w:pStyle w:val="JuHeader"/>
      <w:rPr>
        <w:lang w:val="en-GB"/>
      </w:rPr>
    </w:pPr>
    <w:r w:rsidRPr="00B615B9">
      <w:tab/>
    </w:r>
    <w:r w:rsidRPr="00560C6F">
      <w:rPr>
        <w:lang w:val="en-GB"/>
      </w:rPr>
      <w:t xml:space="preserve">DÉCISION </w:t>
    </w:r>
    <w:r w:rsidR="00B03CF0">
      <w:rPr>
        <w:lang w:val="en-GB"/>
      </w:rPr>
      <w:t>RAIMONDO c. ITALIE</w:t>
    </w:r>
    <w:r w:rsidRPr="00560C6F">
      <w:rPr>
        <w:lang w:val="en-GB"/>
      </w:rPr>
      <w:tab/>
    </w:r>
    <w:r w:rsidR="00B03CF0">
      <w:rPr>
        <w:rStyle w:val="Numeropagina"/>
        <w:lang w:val="en-GB"/>
      </w:rPr>
      <w:fldChar w:fldCharType="begin"/>
    </w:r>
    <w:r w:rsidR="00B03CF0">
      <w:rPr>
        <w:rStyle w:val="Numeropagina"/>
        <w:lang w:val="en-GB"/>
      </w:rPr>
      <w:instrText xml:space="preserve"> PAGE </w:instrText>
    </w:r>
    <w:r w:rsidR="00B03CF0">
      <w:rPr>
        <w:rStyle w:val="Numeropagina"/>
        <w:lang w:val="en-GB"/>
      </w:rPr>
      <w:fldChar w:fldCharType="separate"/>
    </w:r>
    <w:r w:rsidR="006D2F7B">
      <w:rPr>
        <w:rStyle w:val="Numeropagina"/>
        <w:noProof/>
        <w:lang w:val="en-GB"/>
      </w:rPr>
      <w:t>7</w:t>
    </w:r>
    <w:r w:rsidR="00B03CF0">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40" w:rsidRPr="00A45145" w:rsidRDefault="00950340" w:rsidP="00A45145">
    <w:pPr>
      <w:jc w:val="center"/>
    </w:pPr>
    <w:r>
      <w:rPr>
        <w:noProof/>
        <w:lang w:val="it-IT" w:eastAsia="it-IT"/>
      </w:rPr>
      <w:drawing>
        <wp:inline distT="0" distB="0" distL="0" distR="0" wp14:anchorId="7A4957F8" wp14:editId="6AC0B06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B615B9" w:rsidRDefault="00A4798D"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2"/>
  </w:num>
  <w:num w:numId="28">
    <w:abstractNumId w:val="12"/>
  </w:num>
  <w:num w:numId="29">
    <w:abstractNumId w:val="12"/>
  </w:num>
  <w:num w:numId="30">
    <w:abstractNumId w:val="13"/>
  </w:num>
  <w:num w:numId="31">
    <w:abstractNumId w:val="10"/>
  </w:num>
  <w:num w:numId="32">
    <w:abstractNumId w:val="9"/>
  </w:num>
  <w:num w:numId="33">
    <w:abstractNumId w:val="14"/>
  </w:num>
  <w:num w:numId="34">
    <w:abstractNumId w:val="11"/>
  </w:num>
  <w:num w:numId="35">
    <w:abstractNumId w:val="15"/>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950340"/>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3A87"/>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0B15"/>
    <w:rsid w:val="0024222D"/>
    <w:rsid w:val="00244B0E"/>
    <w:rsid w:val="00244F6C"/>
    <w:rsid w:val="00252D41"/>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2F7B"/>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0340"/>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4798D"/>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03CF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26605"/>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13CF"/>
    <w:rsid w:val="00E849F7"/>
    <w:rsid w:val="00E8668A"/>
    <w:rsid w:val="00E90302"/>
    <w:rsid w:val="00E97396"/>
    <w:rsid w:val="00E979DB"/>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2D609F"/>
    <w:pPr>
      <w:jc w:val="both"/>
    </w:pPr>
    <w:rPr>
      <w:rFonts w:eastAsiaTheme="minorEastAsia"/>
      <w:sz w:val="24"/>
      <w:lang w:val="fr-FR"/>
    </w:rPr>
  </w:style>
  <w:style w:type="paragraph" w:styleId="Titolo1">
    <w:name w:val="heading 1"/>
    <w:basedOn w:val="Normale"/>
    <w:next w:val="Normale"/>
    <w:link w:val="Titolo1Carattere"/>
    <w:uiPriority w:val="99"/>
    <w:semiHidden/>
    <w:rsid w:val="002D609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2D609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2D609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2D609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2D609F"/>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2D609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2D609F"/>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2D609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2D609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D60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09F"/>
    <w:rPr>
      <w:rFonts w:ascii="Tahoma" w:eastAsiaTheme="minorEastAsia" w:hAnsi="Tahoma" w:cs="Tahoma"/>
      <w:sz w:val="16"/>
      <w:szCs w:val="16"/>
      <w:lang w:val="fr-FR"/>
    </w:rPr>
  </w:style>
  <w:style w:type="character" w:styleId="Titolodellibro">
    <w:name w:val="Book Title"/>
    <w:uiPriority w:val="99"/>
    <w:semiHidden/>
    <w:qFormat/>
    <w:rsid w:val="002D609F"/>
    <w:rPr>
      <w:i/>
      <w:iCs/>
      <w:smallCaps/>
      <w:spacing w:val="5"/>
    </w:rPr>
  </w:style>
  <w:style w:type="paragraph" w:customStyle="1" w:styleId="JuHeader">
    <w:name w:val="Ju_Header"/>
    <w:aliases w:val="_Header"/>
    <w:basedOn w:val="Intestazione"/>
    <w:uiPriority w:val="29"/>
    <w:qFormat/>
    <w:rsid w:val="002D609F"/>
    <w:pPr>
      <w:tabs>
        <w:tab w:val="clear" w:pos="4536"/>
        <w:tab w:val="clear" w:pos="9072"/>
        <w:tab w:val="center" w:pos="3686"/>
        <w:tab w:val="right" w:pos="7371"/>
      </w:tabs>
    </w:pPr>
    <w:rPr>
      <w:sz w:val="18"/>
    </w:rPr>
  </w:style>
  <w:style w:type="paragraph" w:customStyle="1" w:styleId="NormalJustified">
    <w:name w:val="Normal_Justified"/>
    <w:basedOn w:val="Normale"/>
    <w:semiHidden/>
    <w:rsid w:val="002D609F"/>
  </w:style>
  <w:style w:type="character" w:styleId="Enfasigrassetto">
    <w:name w:val="Strong"/>
    <w:uiPriority w:val="99"/>
    <w:semiHidden/>
    <w:qFormat/>
    <w:rsid w:val="002D609F"/>
    <w:rPr>
      <w:b/>
      <w:bCs/>
    </w:rPr>
  </w:style>
  <w:style w:type="paragraph" w:styleId="Nessunaspaziatura">
    <w:name w:val="No Spacing"/>
    <w:basedOn w:val="Normale"/>
    <w:link w:val="NessunaspaziaturaCarattere"/>
    <w:semiHidden/>
    <w:qFormat/>
    <w:rsid w:val="002D609F"/>
  </w:style>
  <w:style w:type="character" w:customStyle="1" w:styleId="NessunaspaziaturaCarattere">
    <w:name w:val="Nessuna spaziatura Carattere"/>
    <w:basedOn w:val="Carpredefinitoparagrafo"/>
    <w:link w:val="Nessunaspaziatura"/>
    <w:semiHidden/>
    <w:rsid w:val="002D609F"/>
    <w:rPr>
      <w:rFonts w:eastAsiaTheme="minorEastAsia"/>
      <w:sz w:val="24"/>
      <w:lang w:val="fr-FR"/>
    </w:rPr>
  </w:style>
  <w:style w:type="paragraph" w:customStyle="1" w:styleId="DecList">
    <w:name w:val="Dec_List"/>
    <w:aliases w:val="_List"/>
    <w:basedOn w:val="JuList"/>
    <w:uiPriority w:val="9"/>
    <w:qFormat/>
    <w:rsid w:val="002D609F"/>
    <w:pPr>
      <w:numPr>
        <w:numId w:val="0"/>
      </w:numPr>
      <w:ind w:left="340"/>
    </w:pPr>
  </w:style>
  <w:style w:type="paragraph" w:customStyle="1" w:styleId="JuQuot">
    <w:name w:val="Ju_Quot"/>
    <w:aliases w:val="_Quote"/>
    <w:basedOn w:val="NormalJustified"/>
    <w:uiPriority w:val="21"/>
    <w:qFormat/>
    <w:rsid w:val="002D609F"/>
    <w:pPr>
      <w:spacing w:before="120" w:after="120"/>
      <w:ind w:left="425" w:firstLine="142"/>
    </w:pPr>
    <w:rPr>
      <w:sz w:val="20"/>
    </w:rPr>
  </w:style>
  <w:style w:type="paragraph" w:customStyle="1" w:styleId="JuList">
    <w:name w:val="Ju_List"/>
    <w:aliases w:val="_List_1"/>
    <w:basedOn w:val="NormalJustified"/>
    <w:uiPriority w:val="23"/>
    <w:qFormat/>
    <w:rsid w:val="002D609F"/>
    <w:pPr>
      <w:numPr>
        <w:numId w:val="29"/>
      </w:numPr>
      <w:spacing w:before="280" w:after="60"/>
    </w:pPr>
    <w:rPr>
      <w:rFonts w:eastAsiaTheme="minorHAnsi"/>
    </w:rPr>
  </w:style>
  <w:style w:type="paragraph" w:customStyle="1" w:styleId="JuLista">
    <w:name w:val="Ju_List_a"/>
    <w:aliases w:val="_List_2"/>
    <w:basedOn w:val="NormalJustified"/>
    <w:uiPriority w:val="23"/>
    <w:rsid w:val="002D609F"/>
    <w:pPr>
      <w:numPr>
        <w:ilvl w:val="1"/>
        <w:numId w:val="29"/>
      </w:numPr>
    </w:pPr>
  </w:style>
  <w:style w:type="paragraph" w:customStyle="1" w:styleId="JuListi">
    <w:name w:val="Ju_List_i"/>
    <w:aliases w:val="_List_3"/>
    <w:basedOn w:val="NormalJustified"/>
    <w:uiPriority w:val="23"/>
    <w:rsid w:val="002D609F"/>
    <w:pPr>
      <w:numPr>
        <w:ilvl w:val="2"/>
        <w:numId w:val="29"/>
      </w:numPr>
    </w:pPr>
  </w:style>
  <w:style w:type="paragraph" w:customStyle="1" w:styleId="Title4">
    <w:name w:val="_Title_4"/>
    <w:basedOn w:val="JuPara"/>
    <w:next w:val="JuPara"/>
    <w:uiPriority w:val="35"/>
    <w:qFormat/>
    <w:rsid w:val="002D609F"/>
    <w:pPr>
      <w:keepNext/>
      <w:keepLines/>
      <w:tabs>
        <w:tab w:val="right" w:pos="7938"/>
      </w:tabs>
      <w:ind w:firstLine="0"/>
      <w:jc w:val="center"/>
    </w:pPr>
    <w:rPr>
      <w:rFonts w:eastAsiaTheme="minorHAnsi"/>
      <w:i/>
    </w:rPr>
  </w:style>
  <w:style w:type="paragraph" w:customStyle="1" w:styleId="JuHArticle">
    <w:name w:val="Ju_H_Article"/>
    <w:aliases w:val="_Title_Quote"/>
    <w:basedOn w:val="Normale"/>
    <w:next w:val="JuQuot"/>
    <w:uiPriority w:val="20"/>
    <w:qFormat/>
    <w:rsid w:val="002D609F"/>
    <w:pPr>
      <w:keepNext/>
      <w:spacing w:before="100" w:beforeAutospacing="1" w:after="120"/>
      <w:contextualSpacing/>
      <w:jc w:val="center"/>
    </w:pPr>
    <w:rPr>
      <w:rFonts w:eastAsiaTheme="minorHAnsi"/>
      <w:b/>
      <w:sz w:val="20"/>
    </w:rPr>
  </w:style>
  <w:style w:type="numbering" w:customStyle="1" w:styleId="ECHRA1StyleBulletedSquare">
    <w:name w:val="ECHR_A1_Style_Bulleted_Square"/>
    <w:basedOn w:val="Nessunelenco"/>
    <w:rsid w:val="002D609F"/>
    <w:pPr>
      <w:numPr>
        <w:numId w:val="6"/>
      </w:numPr>
    </w:pPr>
  </w:style>
  <w:style w:type="numbering" w:customStyle="1" w:styleId="ECHRA1StyleList">
    <w:name w:val="ECHR_A1_Style_List"/>
    <w:basedOn w:val="Nessunelenco"/>
    <w:uiPriority w:val="99"/>
    <w:rsid w:val="002D609F"/>
    <w:pPr>
      <w:numPr>
        <w:numId w:val="7"/>
      </w:numPr>
    </w:pPr>
  </w:style>
  <w:style w:type="paragraph" w:customStyle="1" w:styleId="JuHHead">
    <w:name w:val="Ju_H_Head"/>
    <w:aliases w:val="_Head_1,ECHR_Title_1"/>
    <w:basedOn w:val="Normale"/>
    <w:next w:val="JuPara"/>
    <w:uiPriority w:val="18"/>
    <w:qFormat/>
    <w:rsid w:val="002D609F"/>
    <w:pPr>
      <w:keepNext/>
      <w:keepLines/>
      <w:numPr>
        <w:numId w:val="26"/>
      </w:numPr>
      <w:spacing w:before="100" w:beforeAutospacing="1" w:after="240"/>
      <w:outlineLvl w:val="0"/>
    </w:pPr>
    <w:rPr>
      <w:caps/>
      <w:sz w:val="28"/>
    </w:rPr>
  </w:style>
  <w:style w:type="numbering" w:customStyle="1" w:styleId="ECHRA1StyleNumberedList">
    <w:name w:val="ECHR_A1_Style_Numbered_List"/>
    <w:basedOn w:val="Nessunelenco"/>
    <w:rsid w:val="002D609F"/>
    <w:pPr>
      <w:numPr>
        <w:numId w:val="8"/>
      </w:numPr>
    </w:pPr>
  </w:style>
  <w:style w:type="paragraph" w:styleId="Titolo">
    <w:name w:val="Title"/>
    <w:basedOn w:val="Normale"/>
    <w:next w:val="Normale"/>
    <w:link w:val="TitoloCarattere"/>
    <w:uiPriority w:val="99"/>
    <w:semiHidden/>
    <w:qFormat/>
    <w:rsid w:val="002D609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2D609F"/>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2D609F"/>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basedOn w:val="Normale"/>
    <w:next w:val="JuPara"/>
    <w:uiPriority w:val="31"/>
    <w:rsid w:val="002D609F"/>
    <w:pPr>
      <w:ind w:firstLine="284"/>
    </w:pPr>
    <w:rPr>
      <w:b/>
    </w:rPr>
  </w:style>
  <w:style w:type="paragraph" w:customStyle="1" w:styleId="JuCourt">
    <w:name w:val="Ju_Court"/>
    <w:basedOn w:val="Normale"/>
    <w:next w:val="Normale"/>
    <w:uiPriority w:val="31"/>
    <w:qFormat/>
    <w:rsid w:val="002D609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D609F"/>
    <w:pPr>
      <w:tabs>
        <w:tab w:val="center" w:pos="6407"/>
      </w:tabs>
      <w:spacing w:before="720"/>
      <w:jc w:val="right"/>
    </w:pPr>
  </w:style>
  <w:style w:type="paragraph" w:customStyle="1" w:styleId="JuHIRoman">
    <w:name w:val="Ju_H_I_Roman"/>
    <w:aliases w:val="_Head_2"/>
    <w:basedOn w:val="Normale"/>
    <w:next w:val="JuPara"/>
    <w:uiPriority w:val="19"/>
    <w:qFormat/>
    <w:rsid w:val="002D609F"/>
    <w:pPr>
      <w:keepNext/>
      <w:keepLines/>
      <w:numPr>
        <w:ilvl w:val="1"/>
        <w:numId w:val="26"/>
      </w:numPr>
      <w:spacing w:before="100" w:beforeAutospacing="1" w:after="240"/>
      <w:outlineLvl w:val="1"/>
    </w:pPr>
    <w:rPr>
      <w:caps/>
    </w:rPr>
  </w:style>
  <w:style w:type="paragraph" w:customStyle="1" w:styleId="JuHA">
    <w:name w:val="Ju_H_A"/>
    <w:aliases w:val="_Head_3,ECHR_Heading_2"/>
    <w:basedOn w:val="Normale"/>
    <w:next w:val="JuPara"/>
    <w:uiPriority w:val="20"/>
    <w:qFormat/>
    <w:rsid w:val="002D609F"/>
    <w:pPr>
      <w:keepNext/>
      <w:keepLines/>
      <w:numPr>
        <w:ilvl w:val="2"/>
        <w:numId w:val="26"/>
      </w:numPr>
      <w:spacing w:before="100" w:beforeAutospacing="1" w:after="240"/>
      <w:outlineLvl w:val="2"/>
    </w:pPr>
    <w:rPr>
      <w:b/>
    </w:rPr>
  </w:style>
  <w:style w:type="paragraph" w:customStyle="1" w:styleId="JuH1">
    <w:name w:val="Ju_H_1."/>
    <w:aliases w:val="_Head_4,ECHR_Heading_3"/>
    <w:basedOn w:val="Normale"/>
    <w:next w:val="JuPara"/>
    <w:uiPriority w:val="21"/>
    <w:qFormat/>
    <w:rsid w:val="002D609F"/>
    <w:pPr>
      <w:keepNext/>
      <w:keepLines/>
      <w:numPr>
        <w:ilvl w:val="3"/>
        <w:numId w:val="26"/>
      </w:numPr>
      <w:spacing w:before="100" w:beforeAutospacing="1" w:after="120"/>
      <w:outlineLvl w:val="3"/>
    </w:pPr>
    <w:rPr>
      <w:i/>
    </w:rPr>
  </w:style>
  <w:style w:type="paragraph" w:styleId="Intestazione">
    <w:name w:val="header"/>
    <w:basedOn w:val="Normale"/>
    <w:link w:val="IntestazioneCarattere"/>
    <w:uiPriority w:val="57"/>
    <w:semiHidden/>
    <w:rsid w:val="002D609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2D609F"/>
    <w:rPr>
      <w:sz w:val="24"/>
      <w:lang w:val="fr-FR"/>
    </w:rPr>
  </w:style>
  <w:style w:type="character" w:customStyle="1" w:styleId="Titolo1Carattere">
    <w:name w:val="Titolo 1 Carattere"/>
    <w:basedOn w:val="Carpredefinitoparagrafo"/>
    <w:link w:val="Titolo1"/>
    <w:uiPriority w:val="99"/>
    <w:semiHidden/>
    <w:rsid w:val="002D609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e"/>
    <w:next w:val="JuPara"/>
    <w:uiPriority w:val="19"/>
    <w:rsid w:val="002D609F"/>
    <w:pPr>
      <w:keepNext/>
      <w:keepLines/>
      <w:numPr>
        <w:ilvl w:val="4"/>
        <w:numId w:val="26"/>
      </w:numPr>
      <w:spacing w:before="100" w:beforeAutospacing="1" w:after="120"/>
      <w:outlineLvl w:val="4"/>
    </w:pPr>
    <w:rPr>
      <w:b/>
      <w:sz w:val="20"/>
    </w:rPr>
  </w:style>
  <w:style w:type="paragraph" w:customStyle="1" w:styleId="JuHi">
    <w:name w:val="Ju_H_i"/>
    <w:aliases w:val="_Head_6"/>
    <w:basedOn w:val="Normale"/>
    <w:next w:val="JuPara"/>
    <w:uiPriority w:val="19"/>
    <w:rsid w:val="002D609F"/>
    <w:pPr>
      <w:keepNext/>
      <w:keepLines/>
      <w:numPr>
        <w:ilvl w:val="5"/>
        <w:numId w:val="26"/>
      </w:numPr>
      <w:spacing w:before="100" w:beforeAutospacing="1" w:after="120"/>
      <w:outlineLvl w:val="5"/>
    </w:pPr>
    <w:rPr>
      <w:i/>
      <w:sz w:val="20"/>
    </w:rPr>
  </w:style>
  <w:style w:type="character" w:customStyle="1" w:styleId="Titolo2Carattere">
    <w:name w:val="Titolo 2 Carattere"/>
    <w:basedOn w:val="Carpredefinitoparagrafo"/>
    <w:link w:val="Titolo2"/>
    <w:uiPriority w:val="99"/>
    <w:semiHidden/>
    <w:rsid w:val="002D609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e"/>
    <w:next w:val="JuPara"/>
    <w:uiPriority w:val="19"/>
    <w:rsid w:val="002D609F"/>
    <w:pPr>
      <w:keepNext/>
      <w:keepLines/>
      <w:numPr>
        <w:ilvl w:val="6"/>
        <w:numId w:val="26"/>
      </w:numPr>
      <w:spacing w:before="100" w:beforeAutospacing="1" w:after="120"/>
      <w:outlineLvl w:val="6"/>
    </w:pPr>
    <w:rPr>
      <w:sz w:val="20"/>
    </w:rPr>
  </w:style>
  <w:style w:type="paragraph" w:customStyle="1" w:styleId="JuH">
    <w:name w:val="Ju_H_–"/>
    <w:aliases w:val="_Head_8"/>
    <w:basedOn w:val="Normale"/>
    <w:next w:val="JuPara"/>
    <w:uiPriority w:val="19"/>
    <w:rsid w:val="002D609F"/>
    <w:pPr>
      <w:keepNext/>
      <w:keepLines/>
      <w:numPr>
        <w:ilvl w:val="7"/>
        <w:numId w:val="26"/>
      </w:numPr>
      <w:spacing w:before="100" w:beforeAutospacing="1" w:after="120"/>
      <w:outlineLvl w:val="7"/>
    </w:pPr>
    <w:rPr>
      <w:i/>
      <w:sz w:val="20"/>
    </w:rPr>
  </w:style>
  <w:style w:type="character" w:customStyle="1" w:styleId="Titolo3Carattere">
    <w:name w:val="Titolo 3 Carattere"/>
    <w:basedOn w:val="Carpredefinitoparagrafo"/>
    <w:link w:val="Titolo3"/>
    <w:uiPriority w:val="99"/>
    <w:semiHidden/>
    <w:rsid w:val="002D609F"/>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30"/>
    <w:qFormat/>
    <w:rsid w:val="002D609F"/>
    <w:pPr>
      <w:keepNext/>
      <w:keepLines/>
      <w:spacing w:before="240" w:after="240"/>
      <w:ind w:firstLine="284"/>
    </w:pPr>
    <w:rPr>
      <w:rFonts w:eastAsiaTheme="minorHAnsi"/>
    </w:rPr>
  </w:style>
  <w:style w:type="character" w:customStyle="1" w:styleId="JuITMark">
    <w:name w:val="Ju_ITMark"/>
    <w:basedOn w:val="Carpredefinitoparagrafo"/>
    <w:uiPriority w:val="38"/>
    <w:qFormat/>
    <w:rsid w:val="002D609F"/>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9"/>
    <w:semiHidden/>
    <w:rsid w:val="002D609F"/>
    <w:rPr>
      <w:rFonts w:asciiTheme="majorHAnsi" w:eastAsiaTheme="majorEastAsia" w:hAnsiTheme="majorHAnsi" w:cstheme="majorBidi"/>
      <w:b/>
      <w:bCs/>
      <w:i/>
      <w:iCs/>
      <w:color w:val="777777"/>
      <w:sz w:val="24"/>
      <w:lang w:val="fr-FR"/>
    </w:rPr>
  </w:style>
  <w:style w:type="paragraph" w:customStyle="1" w:styleId="JuJudges">
    <w:name w:val="Ju_Judges"/>
    <w:aliases w:val="ECHR_Decision_Body"/>
    <w:basedOn w:val="Normale"/>
    <w:uiPriority w:val="11"/>
    <w:qFormat/>
    <w:rsid w:val="002D609F"/>
    <w:pPr>
      <w:tabs>
        <w:tab w:val="left" w:pos="567"/>
        <w:tab w:val="left" w:pos="1134"/>
      </w:tabs>
    </w:pPr>
  </w:style>
  <w:style w:type="character" w:customStyle="1" w:styleId="Titolo5Carattere">
    <w:name w:val="Titolo 5 Carattere"/>
    <w:basedOn w:val="Carpredefinitoparagrafo"/>
    <w:link w:val="Titolo5"/>
    <w:uiPriority w:val="99"/>
    <w:semiHidden/>
    <w:rsid w:val="002D609F"/>
    <w:rPr>
      <w:rFonts w:asciiTheme="majorHAnsi" w:eastAsiaTheme="majorEastAsia" w:hAnsiTheme="majorHAnsi" w:cstheme="majorBidi"/>
      <w:b/>
      <w:bCs/>
      <w:color w:val="808080"/>
      <w:sz w:val="24"/>
      <w:lang w:val="fr-FR"/>
    </w:rPr>
  </w:style>
  <w:style w:type="character" w:customStyle="1" w:styleId="JUNAMES">
    <w:name w:val="JU_NAMES"/>
    <w:uiPriority w:val="34"/>
    <w:qFormat/>
    <w:rsid w:val="002D609F"/>
    <w:rPr>
      <w:caps w:val="0"/>
      <w:smallCaps/>
    </w:rPr>
  </w:style>
  <w:style w:type="character" w:styleId="Enfasidelicata">
    <w:name w:val="Subtle Emphasis"/>
    <w:uiPriority w:val="99"/>
    <w:semiHidden/>
    <w:qFormat/>
    <w:rsid w:val="002D609F"/>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D609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5"/>
    <w:qFormat/>
    <w:rsid w:val="002D609F"/>
    <w:pPr>
      <w:keepNext/>
      <w:keepLines/>
      <w:spacing w:after="280"/>
      <w:ind w:firstLine="0"/>
      <w:jc w:val="center"/>
    </w:pPr>
    <w:rPr>
      <w:rFonts w:asciiTheme="majorHAnsi" w:hAnsiTheme="majorHAnsi"/>
    </w:rPr>
  </w:style>
  <w:style w:type="character" w:styleId="Enfasicorsivo">
    <w:name w:val="Emphasis"/>
    <w:uiPriority w:val="99"/>
    <w:semiHidden/>
    <w:qFormat/>
    <w:rsid w:val="002D609F"/>
    <w:rPr>
      <w:b/>
      <w:bCs/>
      <w:i/>
      <w:iCs/>
      <w:spacing w:val="10"/>
      <w:bdr w:val="none" w:sz="0" w:space="0" w:color="auto"/>
      <w:shd w:val="clear" w:color="auto" w:fill="auto"/>
    </w:rPr>
  </w:style>
  <w:style w:type="paragraph" w:styleId="Pidipagina">
    <w:name w:val="footer"/>
    <w:basedOn w:val="Normale"/>
    <w:link w:val="PidipaginaCarattere"/>
    <w:uiPriority w:val="57"/>
    <w:semiHidden/>
    <w:rsid w:val="002D609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2D609F"/>
    <w:rPr>
      <w:sz w:val="24"/>
      <w:lang w:val="fr-FR"/>
    </w:rPr>
  </w:style>
  <w:style w:type="character" w:styleId="Rimandonotaapidipagina">
    <w:name w:val="footnote reference"/>
    <w:basedOn w:val="Carpredefinitoparagrafo"/>
    <w:uiPriority w:val="99"/>
    <w:semiHidden/>
    <w:rsid w:val="002D609F"/>
    <w:rPr>
      <w:vertAlign w:val="superscript"/>
    </w:rPr>
  </w:style>
  <w:style w:type="paragraph" w:styleId="Testonotaapidipagina">
    <w:name w:val="footnote text"/>
    <w:basedOn w:val="Normale"/>
    <w:link w:val="TestonotaapidipaginaCarattere"/>
    <w:uiPriority w:val="99"/>
    <w:semiHidden/>
    <w:rsid w:val="002D609F"/>
    <w:rPr>
      <w:sz w:val="20"/>
      <w:szCs w:val="20"/>
    </w:rPr>
  </w:style>
  <w:style w:type="character" w:customStyle="1" w:styleId="TestonotaapidipaginaCarattere">
    <w:name w:val="Testo nota a piè di pagina Carattere"/>
    <w:basedOn w:val="Carpredefinitoparagrafo"/>
    <w:link w:val="Testonotaapidipagina"/>
    <w:uiPriority w:val="99"/>
    <w:semiHidden/>
    <w:rsid w:val="002D609F"/>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2D609F"/>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2D609F"/>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2D609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2D609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2D609F"/>
    <w:rPr>
      <w:color w:val="0072BC" w:themeColor="hyperlink"/>
      <w:u w:val="single"/>
    </w:rPr>
  </w:style>
  <w:style w:type="character" w:styleId="Enfasiintensa">
    <w:name w:val="Intense Emphasis"/>
    <w:uiPriority w:val="99"/>
    <w:semiHidden/>
    <w:qFormat/>
    <w:rsid w:val="002D609F"/>
    <w:rPr>
      <w:b/>
      <w:bCs/>
    </w:rPr>
  </w:style>
  <w:style w:type="paragraph" w:styleId="Citazioneintensa">
    <w:name w:val="Intense Quote"/>
    <w:basedOn w:val="Normale"/>
    <w:next w:val="Normale"/>
    <w:link w:val="CitazioneintensaCarattere"/>
    <w:uiPriority w:val="99"/>
    <w:semiHidden/>
    <w:qFormat/>
    <w:rsid w:val="002D609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2D609F"/>
    <w:rPr>
      <w:rFonts w:eastAsiaTheme="minorEastAsia"/>
      <w:b/>
      <w:bCs/>
      <w:i/>
      <w:iCs/>
      <w:sz w:val="24"/>
      <w:lang w:val="fr-FR" w:bidi="en-US"/>
    </w:rPr>
  </w:style>
  <w:style w:type="character" w:styleId="Riferimentointenso">
    <w:name w:val="Intense Reference"/>
    <w:uiPriority w:val="99"/>
    <w:semiHidden/>
    <w:qFormat/>
    <w:rsid w:val="002D609F"/>
    <w:rPr>
      <w:smallCaps/>
      <w:spacing w:val="5"/>
      <w:u w:val="single"/>
    </w:rPr>
  </w:style>
  <w:style w:type="paragraph" w:styleId="Paragrafoelenco">
    <w:name w:val="List Paragraph"/>
    <w:basedOn w:val="Normale"/>
    <w:uiPriority w:val="99"/>
    <w:semiHidden/>
    <w:qFormat/>
    <w:rsid w:val="002D609F"/>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2D609F"/>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2D609F"/>
    <w:rPr>
      <w:rFonts w:eastAsiaTheme="minorEastAsia"/>
      <w:i/>
      <w:iCs/>
      <w:sz w:val="24"/>
      <w:lang w:val="fr-FR" w:bidi="en-US"/>
    </w:rPr>
  </w:style>
  <w:style w:type="character" w:styleId="Riferimentodelicato">
    <w:name w:val="Subtle Reference"/>
    <w:uiPriority w:val="99"/>
    <w:semiHidden/>
    <w:qFormat/>
    <w:rsid w:val="002D609F"/>
    <w:rPr>
      <w:smallCaps/>
    </w:rPr>
  </w:style>
  <w:style w:type="table" w:styleId="Grigliatabella">
    <w:name w:val="Table Grid"/>
    <w:basedOn w:val="Tabellanormale"/>
    <w:uiPriority w:val="59"/>
    <w:semiHidden/>
    <w:rsid w:val="002D609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2D609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2D609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2D609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2D609F"/>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2D609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2D609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D609F"/>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D609F"/>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2D609F"/>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2D609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2D609F"/>
    <w:pPr>
      <w:spacing w:after="600"/>
    </w:pPr>
    <w:rPr>
      <w:rFonts w:asciiTheme="majorHAnsi" w:eastAsiaTheme="majorEastAsia" w:hAnsiTheme="majorHAnsi" w:cstheme="majorBidi"/>
      <w:i/>
      <w:iCs/>
      <w:spacing w:val="13"/>
      <w:szCs w:val="24"/>
      <w:lang w:bidi="en-US"/>
    </w:rPr>
  </w:style>
  <w:style w:type="paragraph" w:customStyle="1" w:styleId="JuPara">
    <w:name w:val="Ju_Para"/>
    <w:aliases w:val="_Para,ECHR_Para"/>
    <w:basedOn w:val="NormalJustified"/>
    <w:link w:val="JuParaChar"/>
    <w:uiPriority w:val="12"/>
    <w:qFormat/>
    <w:rsid w:val="002D609F"/>
    <w:pPr>
      <w:ind w:firstLine="284"/>
    </w:pPr>
  </w:style>
  <w:style w:type="character" w:customStyle="1" w:styleId="SottotitoloCarattere">
    <w:name w:val="Sottotitolo Carattere"/>
    <w:basedOn w:val="Carpredefinitoparagrafo"/>
    <w:link w:val="Sottotitolo"/>
    <w:uiPriority w:val="99"/>
    <w:semiHidden/>
    <w:rsid w:val="002D609F"/>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2D609F"/>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D609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2D609F"/>
    <w:pPr>
      <w:numPr>
        <w:numId w:val="3"/>
      </w:numPr>
    </w:pPr>
  </w:style>
  <w:style w:type="table" w:customStyle="1" w:styleId="ECHRTableForInternalUse">
    <w:name w:val="ECHR_Table_For_Internal_Use"/>
    <w:basedOn w:val="Tabellanormale"/>
    <w:uiPriority w:val="99"/>
    <w:rsid w:val="002D609F"/>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2D609F"/>
    <w:pPr>
      <w:numPr>
        <w:numId w:val="4"/>
      </w:numPr>
    </w:pPr>
  </w:style>
  <w:style w:type="numbering" w:styleId="ArticoloSezione">
    <w:name w:val="Outline List 3"/>
    <w:basedOn w:val="Nessunelenco"/>
    <w:uiPriority w:val="99"/>
    <w:semiHidden/>
    <w:unhideWhenUsed/>
    <w:rsid w:val="002D609F"/>
    <w:pPr>
      <w:numPr>
        <w:numId w:val="5"/>
      </w:numPr>
    </w:pPr>
  </w:style>
  <w:style w:type="table" w:customStyle="1" w:styleId="ECHRHeaderTable">
    <w:name w:val="ECHR_Header_Table"/>
    <w:basedOn w:val="Tabellanormale"/>
    <w:uiPriority w:val="99"/>
    <w:rsid w:val="002D609F"/>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2D609F"/>
  </w:style>
  <w:style w:type="paragraph" w:styleId="Testodelblocco">
    <w:name w:val="Block Text"/>
    <w:basedOn w:val="Normale"/>
    <w:uiPriority w:val="99"/>
    <w:semiHidden/>
    <w:rsid w:val="002D609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2D609F"/>
    <w:pPr>
      <w:spacing w:after="120"/>
    </w:pPr>
  </w:style>
  <w:style w:type="table" w:customStyle="1" w:styleId="ECHRHeaderTableReduced">
    <w:name w:val="ECHR_Header_Table_Reduced"/>
    <w:basedOn w:val="Tabellanormale"/>
    <w:uiPriority w:val="99"/>
    <w:rsid w:val="002D609F"/>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2D609F"/>
    <w:rPr>
      <w:sz w:val="18"/>
    </w:rPr>
  </w:style>
  <w:style w:type="character" w:styleId="Rimandocommento">
    <w:name w:val="annotation reference"/>
    <w:basedOn w:val="Carpredefinitoparagrafo"/>
    <w:uiPriority w:val="99"/>
    <w:semiHidden/>
    <w:rsid w:val="002D609F"/>
    <w:rPr>
      <w:sz w:val="16"/>
      <w:szCs w:val="16"/>
    </w:rPr>
  </w:style>
  <w:style w:type="paragraph" w:styleId="Testocommento">
    <w:name w:val="annotation text"/>
    <w:basedOn w:val="Normale"/>
    <w:link w:val="TestocommentoCarattere"/>
    <w:semiHidden/>
    <w:rsid w:val="002D609F"/>
    <w:rPr>
      <w:sz w:val="20"/>
      <w:szCs w:val="20"/>
    </w:rPr>
  </w:style>
  <w:style w:type="character" w:customStyle="1" w:styleId="TestocommentoCarattere">
    <w:name w:val="Testo commento Carattere"/>
    <w:basedOn w:val="Carpredefinitoparagrafo"/>
    <w:link w:val="Testocommento"/>
    <w:semiHidden/>
    <w:rsid w:val="002D609F"/>
    <w:rPr>
      <w:rFonts w:eastAsiaTheme="minorEastAsia"/>
      <w:sz w:val="20"/>
      <w:szCs w:val="20"/>
      <w:lang w:val="fr-FR"/>
    </w:rPr>
  </w:style>
  <w:style w:type="paragraph" w:customStyle="1" w:styleId="JuSigned">
    <w:name w:val="Ju_Signed"/>
    <w:aliases w:val="_Signature"/>
    <w:basedOn w:val="Normale"/>
    <w:next w:val="JuPara"/>
    <w:uiPriority w:val="30"/>
    <w:qFormat/>
    <w:rsid w:val="002D609F"/>
    <w:pPr>
      <w:tabs>
        <w:tab w:val="center" w:pos="851"/>
        <w:tab w:val="center" w:pos="6407"/>
      </w:tabs>
      <w:spacing w:before="720"/>
    </w:pPr>
  </w:style>
  <w:style w:type="paragraph" w:customStyle="1" w:styleId="JuTitle">
    <w:name w:val="Ju_Title"/>
    <w:aliases w:val="_Title_2"/>
    <w:basedOn w:val="Normale"/>
    <w:next w:val="JuPara"/>
    <w:uiPriority w:val="35"/>
    <w:qFormat/>
    <w:rsid w:val="002D609F"/>
    <w:pPr>
      <w:keepNext/>
      <w:keepLines/>
      <w:spacing w:before="1320" w:after="280"/>
      <w:contextualSpacing/>
      <w:jc w:val="center"/>
    </w:pPr>
    <w:rPr>
      <w:rFonts w:eastAsiaTheme="minorHAnsi"/>
      <w:b/>
    </w:rPr>
  </w:style>
  <w:style w:type="paragraph" w:customStyle="1" w:styleId="DecHTitle">
    <w:name w:val="Dec_H_Title"/>
    <w:aliases w:val="_Title_1"/>
    <w:basedOn w:val="JuPara"/>
    <w:next w:val="JuPara"/>
    <w:uiPriority w:val="35"/>
    <w:qFormat/>
    <w:rsid w:val="002D609F"/>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2D609F"/>
    <w:pPr>
      <w:numPr>
        <w:numId w:val="37"/>
      </w:numPr>
      <w:contextualSpacing/>
    </w:pPr>
  </w:style>
  <w:style w:type="paragraph" w:styleId="Puntoelenco3">
    <w:name w:val="List Bullet 3"/>
    <w:basedOn w:val="Normale"/>
    <w:uiPriority w:val="99"/>
    <w:semiHidden/>
    <w:rsid w:val="002D609F"/>
    <w:pPr>
      <w:numPr>
        <w:numId w:val="38"/>
      </w:numPr>
      <w:contextualSpacing/>
    </w:pPr>
  </w:style>
  <w:style w:type="character" w:customStyle="1" w:styleId="CorpotestoCarattere">
    <w:name w:val="Corpo testo Carattere"/>
    <w:basedOn w:val="Carpredefinitoparagrafo"/>
    <w:link w:val="Corpotesto"/>
    <w:uiPriority w:val="99"/>
    <w:semiHidden/>
    <w:rsid w:val="002D609F"/>
    <w:rPr>
      <w:rFonts w:eastAsiaTheme="minorEastAsia"/>
      <w:sz w:val="24"/>
      <w:lang w:val="fr-FR"/>
    </w:rPr>
  </w:style>
  <w:style w:type="paragraph" w:styleId="Corpodeltesto2">
    <w:name w:val="Body Text 2"/>
    <w:basedOn w:val="Normale"/>
    <w:link w:val="Corpodeltesto2Carattere"/>
    <w:uiPriority w:val="99"/>
    <w:semiHidden/>
    <w:rsid w:val="002D609F"/>
    <w:pPr>
      <w:spacing w:after="120" w:line="480" w:lineRule="auto"/>
    </w:pPr>
  </w:style>
  <w:style w:type="character" w:customStyle="1" w:styleId="Corpodeltesto2Carattere">
    <w:name w:val="Corpo del testo 2 Carattere"/>
    <w:basedOn w:val="Carpredefinitoparagrafo"/>
    <w:link w:val="Corpodeltesto2"/>
    <w:uiPriority w:val="99"/>
    <w:semiHidden/>
    <w:rsid w:val="002D609F"/>
    <w:rPr>
      <w:rFonts w:eastAsiaTheme="minorEastAsia"/>
      <w:sz w:val="24"/>
      <w:lang w:val="fr-FR"/>
    </w:rPr>
  </w:style>
  <w:style w:type="paragraph" w:styleId="Corpodeltesto3">
    <w:name w:val="Body Text 3"/>
    <w:basedOn w:val="Normale"/>
    <w:link w:val="Corpodeltesto3Carattere"/>
    <w:uiPriority w:val="99"/>
    <w:semiHidden/>
    <w:rsid w:val="002D609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609F"/>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2D609F"/>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609F"/>
    <w:rPr>
      <w:rFonts w:eastAsiaTheme="minorEastAsia"/>
      <w:sz w:val="24"/>
      <w:lang w:val="fr-FR"/>
    </w:rPr>
  </w:style>
  <w:style w:type="paragraph" w:styleId="Rientrocorpodeltesto">
    <w:name w:val="Body Text Indent"/>
    <w:basedOn w:val="Normale"/>
    <w:link w:val="RientrocorpodeltestoCarattere"/>
    <w:uiPriority w:val="99"/>
    <w:semiHidden/>
    <w:rsid w:val="002D60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609F"/>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2D609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609F"/>
    <w:rPr>
      <w:rFonts w:eastAsiaTheme="minorEastAsia"/>
      <w:sz w:val="24"/>
      <w:lang w:val="fr-FR"/>
    </w:rPr>
  </w:style>
  <w:style w:type="paragraph" w:styleId="Rientrocorpodeltesto2">
    <w:name w:val="Body Text Indent 2"/>
    <w:basedOn w:val="Normale"/>
    <w:link w:val="Rientrocorpodeltesto2Carattere"/>
    <w:uiPriority w:val="99"/>
    <w:semiHidden/>
    <w:rsid w:val="002D609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609F"/>
    <w:rPr>
      <w:rFonts w:eastAsiaTheme="minorEastAsia"/>
      <w:sz w:val="24"/>
      <w:lang w:val="fr-FR"/>
    </w:rPr>
  </w:style>
  <w:style w:type="paragraph" w:styleId="Rientrocorpodeltesto3">
    <w:name w:val="Body Text Indent 3"/>
    <w:basedOn w:val="Normale"/>
    <w:link w:val="Rientrocorpodeltesto3Carattere"/>
    <w:uiPriority w:val="99"/>
    <w:semiHidden/>
    <w:rsid w:val="002D609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609F"/>
    <w:rPr>
      <w:rFonts w:eastAsiaTheme="minorEastAsia"/>
      <w:sz w:val="16"/>
      <w:szCs w:val="16"/>
      <w:lang w:val="fr-FR"/>
    </w:rPr>
  </w:style>
  <w:style w:type="paragraph" w:styleId="Didascalia">
    <w:name w:val="caption"/>
    <w:basedOn w:val="Normale"/>
    <w:next w:val="Normale"/>
    <w:uiPriority w:val="99"/>
    <w:semiHidden/>
    <w:qFormat/>
    <w:rsid w:val="002D609F"/>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609F"/>
    <w:pPr>
      <w:ind w:left="4252"/>
    </w:pPr>
  </w:style>
  <w:style w:type="character" w:customStyle="1" w:styleId="FormuladichiusuraCarattere">
    <w:name w:val="Formula di chiusura Carattere"/>
    <w:basedOn w:val="Carpredefinitoparagrafo"/>
    <w:link w:val="Formuladichiusura"/>
    <w:uiPriority w:val="99"/>
    <w:semiHidden/>
    <w:rsid w:val="002D609F"/>
    <w:rPr>
      <w:rFonts w:eastAsiaTheme="minorEastAsia"/>
      <w:sz w:val="24"/>
      <w:lang w:val="fr-FR"/>
    </w:rPr>
  </w:style>
  <w:style w:type="table" w:styleId="Grigliaacolori">
    <w:name w:val="Colorful Grid"/>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609F"/>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609F"/>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609F"/>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609F"/>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609F"/>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609F"/>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609F"/>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609F"/>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609F"/>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609F"/>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609F"/>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2D609F"/>
    <w:rPr>
      <w:b/>
      <w:bCs/>
    </w:rPr>
  </w:style>
  <w:style w:type="character" w:customStyle="1" w:styleId="SoggettocommentoCarattere">
    <w:name w:val="Soggetto commento Carattere"/>
    <w:basedOn w:val="TestocommentoCarattere"/>
    <w:link w:val="Soggettocommento"/>
    <w:uiPriority w:val="99"/>
    <w:semiHidden/>
    <w:rsid w:val="002D609F"/>
    <w:rPr>
      <w:rFonts w:eastAsiaTheme="minorEastAsia"/>
      <w:b/>
      <w:bCs/>
      <w:sz w:val="20"/>
      <w:szCs w:val="20"/>
      <w:lang w:val="fr-FR"/>
    </w:rPr>
  </w:style>
  <w:style w:type="table" w:styleId="Elencoscuro">
    <w:name w:val="Dark List"/>
    <w:basedOn w:val="Tabellanormale"/>
    <w:uiPriority w:val="70"/>
    <w:semiHidden/>
    <w:rsid w:val="002D609F"/>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609F"/>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609F"/>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609F"/>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609F"/>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609F"/>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609F"/>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609F"/>
  </w:style>
  <w:style w:type="character" w:customStyle="1" w:styleId="DataCarattere">
    <w:name w:val="Data Carattere"/>
    <w:basedOn w:val="Carpredefinitoparagrafo"/>
    <w:link w:val="Data"/>
    <w:uiPriority w:val="99"/>
    <w:semiHidden/>
    <w:rsid w:val="002D609F"/>
    <w:rPr>
      <w:rFonts w:eastAsiaTheme="minorEastAsia"/>
      <w:sz w:val="24"/>
      <w:lang w:val="fr-FR"/>
    </w:rPr>
  </w:style>
  <w:style w:type="paragraph" w:styleId="Mappadocumento">
    <w:name w:val="Document Map"/>
    <w:basedOn w:val="Normale"/>
    <w:link w:val="MappadocumentoCarattere"/>
    <w:uiPriority w:val="99"/>
    <w:semiHidden/>
    <w:rsid w:val="002D609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609F"/>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2D609F"/>
  </w:style>
  <w:style w:type="character" w:customStyle="1" w:styleId="FirmadipostaelettronicaCarattere">
    <w:name w:val="Firma di posta elettronica Carattere"/>
    <w:basedOn w:val="Carpredefinitoparagrafo"/>
    <w:link w:val="Firmadipostaelettronica"/>
    <w:uiPriority w:val="99"/>
    <w:semiHidden/>
    <w:rsid w:val="002D609F"/>
    <w:rPr>
      <w:rFonts w:eastAsiaTheme="minorEastAsia"/>
      <w:sz w:val="24"/>
      <w:lang w:val="fr-FR"/>
    </w:rPr>
  </w:style>
  <w:style w:type="character" w:styleId="Rimandonotadichiusura">
    <w:name w:val="endnote reference"/>
    <w:basedOn w:val="Carpredefinitoparagrafo"/>
    <w:uiPriority w:val="99"/>
    <w:semiHidden/>
    <w:rsid w:val="002D609F"/>
    <w:rPr>
      <w:vertAlign w:val="superscript"/>
    </w:rPr>
  </w:style>
  <w:style w:type="paragraph" w:styleId="Testonotadichiusura">
    <w:name w:val="endnote text"/>
    <w:basedOn w:val="Normale"/>
    <w:link w:val="TestonotadichiusuraCarattere"/>
    <w:uiPriority w:val="99"/>
    <w:semiHidden/>
    <w:rsid w:val="002D609F"/>
    <w:rPr>
      <w:sz w:val="20"/>
      <w:szCs w:val="20"/>
    </w:rPr>
  </w:style>
  <w:style w:type="character" w:customStyle="1" w:styleId="TestonotadichiusuraCarattere">
    <w:name w:val="Testo nota di chiusura Carattere"/>
    <w:basedOn w:val="Carpredefinitoparagrafo"/>
    <w:link w:val="Testonotadichiusura"/>
    <w:uiPriority w:val="99"/>
    <w:semiHidden/>
    <w:rsid w:val="002D609F"/>
    <w:rPr>
      <w:rFonts w:eastAsiaTheme="minorEastAsia"/>
      <w:sz w:val="20"/>
      <w:szCs w:val="20"/>
      <w:lang w:val="fr-FR"/>
    </w:rPr>
  </w:style>
  <w:style w:type="paragraph" w:styleId="Indirizzodestinatario">
    <w:name w:val="envelope address"/>
    <w:basedOn w:val="Normale"/>
    <w:uiPriority w:val="99"/>
    <w:semiHidden/>
    <w:rsid w:val="002D609F"/>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609F"/>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609F"/>
    <w:rPr>
      <w:color w:val="7030A0" w:themeColor="followedHyperlink"/>
      <w:u w:val="single"/>
    </w:rPr>
  </w:style>
  <w:style w:type="character" w:styleId="AcronimoHTML">
    <w:name w:val="HTML Acronym"/>
    <w:basedOn w:val="Carpredefinitoparagrafo"/>
    <w:uiPriority w:val="99"/>
    <w:semiHidden/>
    <w:rsid w:val="002D609F"/>
  </w:style>
  <w:style w:type="paragraph" w:styleId="IndirizzoHTML">
    <w:name w:val="HTML Address"/>
    <w:basedOn w:val="Normale"/>
    <w:link w:val="IndirizzoHTMLCarattere"/>
    <w:uiPriority w:val="99"/>
    <w:semiHidden/>
    <w:rsid w:val="002D609F"/>
    <w:rPr>
      <w:i/>
      <w:iCs/>
    </w:rPr>
  </w:style>
  <w:style w:type="character" w:customStyle="1" w:styleId="IndirizzoHTMLCarattere">
    <w:name w:val="Indirizzo HTML Carattere"/>
    <w:basedOn w:val="Carpredefinitoparagrafo"/>
    <w:link w:val="IndirizzoHTML"/>
    <w:uiPriority w:val="99"/>
    <w:semiHidden/>
    <w:rsid w:val="002D609F"/>
    <w:rPr>
      <w:rFonts w:eastAsiaTheme="minorEastAsia"/>
      <w:i/>
      <w:iCs/>
      <w:sz w:val="24"/>
      <w:lang w:val="fr-FR"/>
    </w:rPr>
  </w:style>
  <w:style w:type="character" w:styleId="CitazioneHTML">
    <w:name w:val="HTML Cite"/>
    <w:basedOn w:val="Carpredefinitoparagrafo"/>
    <w:uiPriority w:val="99"/>
    <w:semiHidden/>
    <w:rsid w:val="002D609F"/>
    <w:rPr>
      <w:i/>
      <w:iCs/>
    </w:rPr>
  </w:style>
  <w:style w:type="character" w:styleId="CodiceHTML">
    <w:name w:val="HTML Code"/>
    <w:basedOn w:val="Carpredefinitoparagrafo"/>
    <w:uiPriority w:val="99"/>
    <w:semiHidden/>
    <w:rsid w:val="002D609F"/>
    <w:rPr>
      <w:rFonts w:ascii="Consolas" w:hAnsi="Consolas" w:cs="Consolas"/>
      <w:sz w:val="20"/>
      <w:szCs w:val="20"/>
    </w:rPr>
  </w:style>
  <w:style w:type="character" w:styleId="DefinizioneHTML">
    <w:name w:val="HTML Definition"/>
    <w:basedOn w:val="Carpredefinitoparagrafo"/>
    <w:uiPriority w:val="99"/>
    <w:semiHidden/>
    <w:rsid w:val="002D609F"/>
    <w:rPr>
      <w:i/>
      <w:iCs/>
    </w:rPr>
  </w:style>
  <w:style w:type="character" w:styleId="TastieraHTML">
    <w:name w:val="HTML Keyboard"/>
    <w:basedOn w:val="Carpredefinitoparagrafo"/>
    <w:uiPriority w:val="99"/>
    <w:semiHidden/>
    <w:rsid w:val="002D609F"/>
    <w:rPr>
      <w:rFonts w:ascii="Consolas" w:hAnsi="Consolas" w:cs="Consolas"/>
      <w:sz w:val="20"/>
      <w:szCs w:val="20"/>
    </w:rPr>
  </w:style>
  <w:style w:type="paragraph" w:styleId="PreformattatoHTML">
    <w:name w:val="HTML Preformatted"/>
    <w:basedOn w:val="Normale"/>
    <w:link w:val="PreformattatoHTMLCarattere"/>
    <w:uiPriority w:val="99"/>
    <w:semiHidden/>
    <w:rsid w:val="002D609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609F"/>
    <w:rPr>
      <w:rFonts w:ascii="Consolas" w:eastAsiaTheme="minorEastAsia" w:hAnsi="Consolas" w:cs="Consolas"/>
      <w:sz w:val="20"/>
      <w:szCs w:val="20"/>
      <w:lang w:val="fr-FR"/>
    </w:rPr>
  </w:style>
  <w:style w:type="character" w:styleId="EsempioHTML">
    <w:name w:val="HTML Sample"/>
    <w:basedOn w:val="Carpredefinitoparagrafo"/>
    <w:uiPriority w:val="99"/>
    <w:semiHidden/>
    <w:rsid w:val="002D609F"/>
    <w:rPr>
      <w:rFonts w:ascii="Consolas" w:hAnsi="Consolas" w:cs="Consolas"/>
      <w:sz w:val="24"/>
      <w:szCs w:val="24"/>
    </w:rPr>
  </w:style>
  <w:style w:type="character" w:styleId="MacchinadascrivereHTML">
    <w:name w:val="HTML Typewriter"/>
    <w:basedOn w:val="Carpredefinitoparagrafo"/>
    <w:uiPriority w:val="99"/>
    <w:semiHidden/>
    <w:rsid w:val="002D609F"/>
    <w:rPr>
      <w:rFonts w:ascii="Consolas" w:hAnsi="Consolas" w:cs="Consolas"/>
      <w:sz w:val="20"/>
      <w:szCs w:val="20"/>
    </w:rPr>
  </w:style>
  <w:style w:type="character" w:styleId="VariabileHTML">
    <w:name w:val="HTML Variable"/>
    <w:basedOn w:val="Carpredefinitoparagrafo"/>
    <w:uiPriority w:val="99"/>
    <w:semiHidden/>
    <w:rsid w:val="002D609F"/>
    <w:rPr>
      <w:i/>
      <w:iCs/>
    </w:rPr>
  </w:style>
  <w:style w:type="paragraph" w:styleId="Indice1">
    <w:name w:val="index 1"/>
    <w:basedOn w:val="Normale"/>
    <w:next w:val="Normale"/>
    <w:autoRedefine/>
    <w:uiPriority w:val="99"/>
    <w:semiHidden/>
    <w:rsid w:val="002D609F"/>
    <w:pPr>
      <w:ind w:left="240" w:hanging="240"/>
    </w:pPr>
  </w:style>
  <w:style w:type="paragraph" w:styleId="Indice2">
    <w:name w:val="index 2"/>
    <w:basedOn w:val="Normale"/>
    <w:next w:val="Normale"/>
    <w:autoRedefine/>
    <w:uiPriority w:val="99"/>
    <w:semiHidden/>
    <w:rsid w:val="002D609F"/>
    <w:pPr>
      <w:ind w:left="480" w:hanging="240"/>
    </w:pPr>
  </w:style>
  <w:style w:type="paragraph" w:styleId="Indice3">
    <w:name w:val="index 3"/>
    <w:basedOn w:val="Normale"/>
    <w:next w:val="Normale"/>
    <w:autoRedefine/>
    <w:uiPriority w:val="99"/>
    <w:semiHidden/>
    <w:rsid w:val="002D609F"/>
    <w:pPr>
      <w:ind w:left="720" w:hanging="240"/>
    </w:pPr>
  </w:style>
  <w:style w:type="paragraph" w:styleId="Indice4">
    <w:name w:val="index 4"/>
    <w:basedOn w:val="Normale"/>
    <w:next w:val="Normale"/>
    <w:autoRedefine/>
    <w:uiPriority w:val="99"/>
    <w:semiHidden/>
    <w:rsid w:val="002D609F"/>
    <w:pPr>
      <w:ind w:left="960" w:hanging="240"/>
    </w:pPr>
  </w:style>
  <w:style w:type="paragraph" w:styleId="Indice5">
    <w:name w:val="index 5"/>
    <w:basedOn w:val="Normale"/>
    <w:next w:val="Normale"/>
    <w:autoRedefine/>
    <w:uiPriority w:val="99"/>
    <w:semiHidden/>
    <w:rsid w:val="002D609F"/>
    <w:pPr>
      <w:ind w:left="1200" w:hanging="240"/>
    </w:pPr>
  </w:style>
  <w:style w:type="paragraph" w:styleId="Indice6">
    <w:name w:val="index 6"/>
    <w:basedOn w:val="Normale"/>
    <w:next w:val="Normale"/>
    <w:autoRedefine/>
    <w:uiPriority w:val="99"/>
    <w:semiHidden/>
    <w:rsid w:val="002D609F"/>
    <w:pPr>
      <w:ind w:left="1440" w:hanging="240"/>
    </w:pPr>
  </w:style>
  <w:style w:type="paragraph" w:styleId="Indice7">
    <w:name w:val="index 7"/>
    <w:basedOn w:val="Normale"/>
    <w:next w:val="Normale"/>
    <w:autoRedefine/>
    <w:uiPriority w:val="99"/>
    <w:semiHidden/>
    <w:rsid w:val="002D609F"/>
    <w:pPr>
      <w:ind w:left="1680" w:hanging="240"/>
    </w:pPr>
  </w:style>
  <w:style w:type="paragraph" w:styleId="Indice8">
    <w:name w:val="index 8"/>
    <w:basedOn w:val="Normale"/>
    <w:next w:val="Normale"/>
    <w:autoRedefine/>
    <w:uiPriority w:val="99"/>
    <w:semiHidden/>
    <w:rsid w:val="002D609F"/>
    <w:pPr>
      <w:ind w:left="1920" w:hanging="240"/>
    </w:pPr>
  </w:style>
  <w:style w:type="paragraph" w:styleId="Indice9">
    <w:name w:val="index 9"/>
    <w:basedOn w:val="Normale"/>
    <w:next w:val="Normale"/>
    <w:autoRedefine/>
    <w:uiPriority w:val="99"/>
    <w:semiHidden/>
    <w:rsid w:val="002D609F"/>
    <w:pPr>
      <w:ind w:left="2160" w:hanging="240"/>
    </w:pPr>
  </w:style>
  <w:style w:type="paragraph" w:styleId="Titoloindice">
    <w:name w:val="index heading"/>
    <w:basedOn w:val="Normale"/>
    <w:next w:val="Indice1"/>
    <w:uiPriority w:val="99"/>
    <w:semiHidden/>
    <w:rsid w:val="002D609F"/>
    <w:rPr>
      <w:rFonts w:asciiTheme="majorHAnsi" w:eastAsiaTheme="majorEastAsia" w:hAnsiTheme="majorHAnsi" w:cstheme="majorBidi"/>
      <w:b/>
      <w:bCs/>
    </w:rPr>
  </w:style>
  <w:style w:type="table" w:styleId="Grigliachiara">
    <w:name w:val="Light Grid"/>
    <w:basedOn w:val="Tabellanormale"/>
    <w:uiPriority w:val="62"/>
    <w:semiHidden/>
    <w:rsid w:val="002D60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609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609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609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609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609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609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60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609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609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609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609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609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609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60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609F"/>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609F"/>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609F"/>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609F"/>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609F"/>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609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609F"/>
  </w:style>
  <w:style w:type="paragraph" w:styleId="Elenco">
    <w:name w:val="List"/>
    <w:basedOn w:val="Normale"/>
    <w:uiPriority w:val="99"/>
    <w:semiHidden/>
    <w:rsid w:val="002D609F"/>
    <w:pPr>
      <w:ind w:left="283" w:hanging="283"/>
      <w:contextualSpacing/>
    </w:pPr>
  </w:style>
  <w:style w:type="paragraph" w:styleId="Elenco2">
    <w:name w:val="List 2"/>
    <w:basedOn w:val="Normale"/>
    <w:uiPriority w:val="99"/>
    <w:semiHidden/>
    <w:rsid w:val="002D609F"/>
    <w:pPr>
      <w:ind w:left="566" w:hanging="283"/>
      <w:contextualSpacing/>
    </w:pPr>
  </w:style>
  <w:style w:type="paragraph" w:styleId="Elenco3">
    <w:name w:val="List 3"/>
    <w:basedOn w:val="Normale"/>
    <w:uiPriority w:val="99"/>
    <w:semiHidden/>
    <w:rsid w:val="002D609F"/>
    <w:pPr>
      <w:ind w:left="849" w:hanging="283"/>
      <w:contextualSpacing/>
    </w:pPr>
  </w:style>
  <w:style w:type="paragraph" w:styleId="Elenco4">
    <w:name w:val="List 4"/>
    <w:basedOn w:val="Normale"/>
    <w:uiPriority w:val="99"/>
    <w:semiHidden/>
    <w:rsid w:val="002D609F"/>
    <w:pPr>
      <w:ind w:left="1132" w:hanging="283"/>
      <w:contextualSpacing/>
    </w:pPr>
  </w:style>
  <w:style w:type="paragraph" w:styleId="Elenco5">
    <w:name w:val="List 5"/>
    <w:basedOn w:val="Normale"/>
    <w:uiPriority w:val="99"/>
    <w:semiHidden/>
    <w:rsid w:val="002D609F"/>
    <w:pPr>
      <w:ind w:left="1415" w:hanging="283"/>
      <w:contextualSpacing/>
    </w:pPr>
  </w:style>
  <w:style w:type="paragraph" w:styleId="Puntoelenco">
    <w:name w:val="List Bullet"/>
    <w:basedOn w:val="Normale"/>
    <w:uiPriority w:val="99"/>
    <w:semiHidden/>
    <w:rsid w:val="002D609F"/>
    <w:pPr>
      <w:numPr>
        <w:numId w:val="36"/>
      </w:numPr>
    </w:pPr>
  </w:style>
  <w:style w:type="paragraph" w:styleId="Puntoelenco4">
    <w:name w:val="List Bullet 4"/>
    <w:basedOn w:val="Normale"/>
    <w:uiPriority w:val="99"/>
    <w:semiHidden/>
    <w:rsid w:val="002D609F"/>
    <w:pPr>
      <w:numPr>
        <w:numId w:val="39"/>
      </w:numPr>
      <w:contextualSpacing/>
    </w:pPr>
  </w:style>
  <w:style w:type="paragraph" w:styleId="Puntoelenco5">
    <w:name w:val="List Bullet 5"/>
    <w:basedOn w:val="Normale"/>
    <w:uiPriority w:val="99"/>
    <w:semiHidden/>
    <w:rsid w:val="002D609F"/>
    <w:pPr>
      <w:numPr>
        <w:numId w:val="40"/>
      </w:numPr>
      <w:contextualSpacing/>
    </w:pPr>
  </w:style>
  <w:style w:type="paragraph" w:styleId="Elencocontinua">
    <w:name w:val="List Continue"/>
    <w:basedOn w:val="Normale"/>
    <w:uiPriority w:val="99"/>
    <w:semiHidden/>
    <w:rsid w:val="002D609F"/>
    <w:pPr>
      <w:spacing w:after="120"/>
      <w:ind w:left="283"/>
      <w:contextualSpacing/>
    </w:pPr>
  </w:style>
  <w:style w:type="paragraph" w:styleId="Elencocontinua2">
    <w:name w:val="List Continue 2"/>
    <w:basedOn w:val="Normale"/>
    <w:uiPriority w:val="99"/>
    <w:semiHidden/>
    <w:rsid w:val="002D609F"/>
    <w:pPr>
      <w:spacing w:after="120"/>
      <w:ind w:left="566"/>
      <w:contextualSpacing/>
    </w:pPr>
  </w:style>
  <w:style w:type="paragraph" w:styleId="Elencocontinua3">
    <w:name w:val="List Continue 3"/>
    <w:basedOn w:val="Normale"/>
    <w:uiPriority w:val="99"/>
    <w:semiHidden/>
    <w:rsid w:val="002D609F"/>
    <w:pPr>
      <w:spacing w:after="120"/>
      <w:ind w:left="849"/>
      <w:contextualSpacing/>
    </w:pPr>
  </w:style>
  <w:style w:type="paragraph" w:styleId="Elencocontinua4">
    <w:name w:val="List Continue 4"/>
    <w:basedOn w:val="Normale"/>
    <w:uiPriority w:val="99"/>
    <w:semiHidden/>
    <w:rsid w:val="002D609F"/>
    <w:pPr>
      <w:spacing w:after="120"/>
      <w:ind w:left="1132"/>
      <w:contextualSpacing/>
    </w:pPr>
  </w:style>
  <w:style w:type="paragraph" w:styleId="Elencocontinua5">
    <w:name w:val="List Continue 5"/>
    <w:basedOn w:val="Normale"/>
    <w:uiPriority w:val="99"/>
    <w:semiHidden/>
    <w:rsid w:val="002D609F"/>
    <w:pPr>
      <w:spacing w:after="120"/>
      <w:ind w:left="1415"/>
      <w:contextualSpacing/>
    </w:pPr>
  </w:style>
  <w:style w:type="paragraph" w:styleId="Numeroelenco">
    <w:name w:val="List Number"/>
    <w:basedOn w:val="Normale"/>
    <w:uiPriority w:val="99"/>
    <w:semiHidden/>
    <w:rsid w:val="002D609F"/>
    <w:pPr>
      <w:numPr>
        <w:numId w:val="41"/>
      </w:numPr>
      <w:contextualSpacing/>
    </w:pPr>
  </w:style>
  <w:style w:type="paragraph" w:styleId="Numeroelenco2">
    <w:name w:val="List Number 2"/>
    <w:basedOn w:val="Normale"/>
    <w:uiPriority w:val="99"/>
    <w:semiHidden/>
    <w:rsid w:val="002D609F"/>
    <w:pPr>
      <w:numPr>
        <w:numId w:val="42"/>
      </w:numPr>
      <w:contextualSpacing/>
    </w:pPr>
  </w:style>
  <w:style w:type="paragraph" w:styleId="Numeroelenco3">
    <w:name w:val="List Number 3"/>
    <w:basedOn w:val="Normale"/>
    <w:uiPriority w:val="99"/>
    <w:semiHidden/>
    <w:rsid w:val="002D609F"/>
    <w:pPr>
      <w:numPr>
        <w:numId w:val="43"/>
      </w:numPr>
      <w:contextualSpacing/>
    </w:pPr>
  </w:style>
  <w:style w:type="paragraph" w:styleId="Numeroelenco4">
    <w:name w:val="List Number 4"/>
    <w:basedOn w:val="Normale"/>
    <w:uiPriority w:val="99"/>
    <w:semiHidden/>
    <w:rsid w:val="002D609F"/>
    <w:pPr>
      <w:numPr>
        <w:numId w:val="44"/>
      </w:numPr>
      <w:contextualSpacing/>
    </w:pPr>
  </w:style>
  <w:style w:type="paragraph" w:styleId="Numeroelenco5">
    <w:name w:val="List Number 5"/>
    <w:basedOn w:val="Normale"/>
    <w:uiPriority w:val="99"/>
    <w:semiHidden/>
    <w:rsid w:val="002D609F"/>
    <w:pPr>
      <w:numPr>
        <w:numId w:val="45"/>
      </w:numPr>
      <w:contextualSpacing/>
    </w:pPr>
  </w:style>
  <w:style w:type="paragraph" w:styleId="Testomacro">
    <w:name w:val="macro"/>
    <w:link w:val="TestomacroCarattere"/>
    <w:uiPriority w:val="99"/>
    <w:semiHidden/>
    <w:rsid w:val="002D609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609F"/>
    <w:rPr>
      <w:rFonts w:ascii="Consolas" w:eastAsiaTheme="minorEastAsia" w:hAnsi="Consolas" w:cs="Consolas"/>
      <w:sz w:val="20"/>
      <w:szCs w:val="20"/>
    </w:rPr>
  </w:style>
  <w:style w:type="table" w:styleId="Grigliamedia1">
    <w:name w:val="Medium Grid 1"/>
    <w:basedOn w:val="Tabellanormale"/>
    <w:uiPriority w:val="67"/>
    <w:semiHidden/>
    <w:rsid w:val="002D60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609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609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609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609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609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609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609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609F"/>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609F"/>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609F"/>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609F"/>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609F"/>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609F"/>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60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609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609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609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609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609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609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60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609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2D609F"/>
    <w:rPr>
      <w:rFonts w:ascii="Times New Roman" w:hAnsi="Times New Roman" w:cs="Times New Roman"/>
      <w:szCs w:val="24"/>
    </w:rPr>
  </w:style>
  <w:style w:type="paragraph" w:styleId="Rientronormale">
    <w:name w:val="Normal Indent"/>
    <w:basedOn w:val="Normale"/>
    <w:uiPriority w:val="99"/>
    <w:semiHidden/>
    <w:rsid w:val="002D609F"/>
    <w:pPr>
      <w:ind w:left="720"/>
    </w:pPr>
  </w:style>
  <w:style w:type="paragraph" w:styleId="Intestazionenota">
    <w:name w:val="Note Heading"/>
    <w:basedOn w:val="Normale"/>
    <w:next w:val="Normale"/>
    <w:link w:val="IntestazionenotaCarattere"/>
    <w:uiPriority w:val="99"/>
    <w:semiHidden/>
    <w:rsid w:val="002D609F"/>
  </w:style>
  <w:style w:type="character" w:customStyle="1" w:styleId="IntestazionenotaCarattere">
    <w:name w:val="Intestazione nota Carattere"/>
    <w:basedOn w:val="Carpredefinitoparagrafo"/>
    <w:link w:val="Intestazionenota"/>
    <w:uiPriority w:val="99"/>
    <w:semiHidden/>
    <w:rsid w:val="002D609F"/>
    <w:rPr>
      <w:rFonts w:eastAsiaTheme="minorEastAsia"/>
      <w:sz w:val="24"/>
      <w:lang w:val="fr-FR"/>
    </w:rPr>
  </w:style>
  <w:style w:type="character" w:styleId="Testosegnaposto">
    <w:name w:val="Placeholder Text"/>
    <w:basedOn w:val="Carpredefinitoparagrafo"/>
    <w:uiPriority w:val="99"/>
    <w:semiHidden/>
    <w:rsid w:val="002D609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609F"/>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609F"/>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2D609F"/>
  </w:style>
  <w:style w:type="character" w:customStyle="1" w:styleId="FormuladiaperturaCarattere">
    <w:name w:val="Formula di apertura Carattere"/>
    <w:basedOn w:val="Carpredefinitoparagrafo"/>
    <w:link w:val="Formuladiapertura"/>
    <w:uiPriority w:val="99"/>
    <w:semiHidden/>
    <w:rsid w:val="002D609F"/>
    <w:rPr>
      <w:rFonts w:eastAsiaTheme="minorEastAsia"/>
      <w:sz w:val="24"/>
      <w:lang w:val="fr-FR"/>
    </w:rPr>
  </w:style>
  <w:style w:type="paragraph" w:styleId="Firma">
    <w:name w:val="Signature"/>
    <w:basedOn w:val="Normale"/>
    <w:link w:val="FirmaCarattere"/>
    <w:uiPriority w:val="99"/>
    <w:semiHidden/>
    <w:rsid w:val="002D609F"/>
    <w:pPr>
      <w:ind w:left="4252"/>
    </w:pPr>
  </w:style>
  <w:style w:type="character" w:customStyle="1" w:styleId="FirmaCarattere">
    <w:name w:val="Firma Carattere"/>
    <w:basedOn w:val="Carpredefinitoparagrafo"/>
    <w:link w:val="Firma"/>
    <w:uiPriority w:val="99"/>
    <w:semiHidden/>
    <w:rsid w:val="002D609F"/>
    <w:rPr>
      <w:rFonts w:eastAsiaTheme="minorEastAsia"/>
      <w:sz w:val="24"/>
      <w:lang w:val="fr-FR"/>
    </w:rPr>
  </w:style>
  <w:style w:type="table" w:styleId="Tabellaeffetti3D1">
    <w:name w:val="Table 3D effects 1"/>
    <w:basedOn w:val="Tabellanormale"/>
    <w:uiPriority w:val="99"/>
    <w:semiHidden/>
    <w:unhideWhenUsed/>
    <w:rsid w:val="002D609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609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609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609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609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609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609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609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609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609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609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609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609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609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609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609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609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D609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D609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D609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D609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D609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2D609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D609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D609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D609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D609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D609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609F"/>
    <w:pPr>
      <w:ind w:left="240" w:hanging="240"/>
    </w:pPr>
  </w:style>
  <w:style w:type="paragraph" w:styleId="Indicedellefigure">
    <w:name w:val="table of figures"/>
    <w:basedOn w:val="Normale"/>
    <w:next w:val="Normale"/>
    <w:uiPriority w:val="99"/>
    <w:semiHidden/>
    <w:rsid w:val="002D609F"/>
  </w:style>
  <w:style w:type="table" w:styleId="Tabellaprofessionale">
    <w:name w:val="Table Professional"/>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609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609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609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609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60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609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609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609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2D609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2D609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609F"/>
    <w:pPr>
      <w:spacing w:after="100"/>
      <w:ind w:left="1680"/>
    </w:pPr>
  </w:style>
  <w:style w:type="paragraph" w:styleId="Sommario9">
    <w:name w:val="toc 9"/>
    <w:basedOn w:val="Normale"/>
    <w:next w:val="Normale"/>
    <w:autoRedefine/>
    <w:uiPriority w:val="99"/>
    <w:semiHidden/>
    <w:rsid w:val="002D609F"/>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2D609F"/>
    <w:pPr>
      <w:pBdr>
        <w:top w:val="single" w:sz="6" w:space="1" w:color="5F5F5F"/>
      </w:pBdr>
      <w:tabs>
        <w:tab w:val="center" w:pos="4536"/>
        <w:tab w:val="right" w:pos="9696"/>
      </w:tabs>
      <w:ind w:left="-680" w:right="-680"/>
    </w:pPr>
    <w:rPr>
      <w:color w:val="5F5F5F"/>
    </w:rPr>
  </w:style>
  <w:style w:type="paragraph" w:customStyle="1" w:styleId="JuHeaderLandscape">
    <w:name w:val="Ju_Header_Landscape"/>
    <w:aliases w:val="_Header_Landscape"/>
    <w:basedOn w:val="JuHeader"/>
    <w:uiPriority w:val="30"/>
    <w:qFormat/>
    <w:rsid w:val="002D609F"/>
    <w:pPr>
      <w:tabs>
        <w:tab w:val="clear" w:pos="3686"/>
        <w:tab w:val="clear" w:pos="7371"/>
        <w:tab w:val="center" w:pos="6146"/>
        <w:tab w:val="right" w:pos="12293"/>
      </w:tabs>
    </w:pPr>
  </w:style>
  <w:style w:type="character" w:customStyle="1" w:styleId="JuParaChar">
    <w:name w:val="Ju_Para Char"/>
    <w:aliases w:val="_Para Char"/>
    <w:link w:val="JuPara"/>
    <w:uiPriority w:val="12"/>
    <w:rsid w:val="00950340"/>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2D609F"/>
    <w:pPr>
      <w:jc w:val="both"/>
    </w:pPr>
    <w:rPr>
      <w:rFonts w:eastAsiaTheme="minorEastAsia"/>
      <w:sz w:val="24"/>
      <w:lang w:val="fr-FR"/>
    </w:rPr>
  </w:style>
  <w:style w:type="paragraph" w:styleId="Titolo1">
    <w:name w:val="heading 1"/>
    <w:basedOn w:val="Normale"/>
    <w:next w:val="Normale"/>
    <w:link w:val="Titolo1Carattere"/>
    <w:uiPriority w:val="99"/>
    <w:semiHidden/>
    <w:rsid w:val="002D609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2D609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2D609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2D609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2D609F"/>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2D609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2D609F"/>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2D609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2D609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D60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09F"/>
    <w:rPr>
      <w:rFonts w:ascii="Tahoma" w:eastAsiaTheme="minorEastAsia" w:hAnsi="Tahoma" w:cs="Tahoma"/>
      <w:sz w:val="16"/>
      <w:szCs w:val="16"/>
      <w:lang w:val="fr-FR"/>
    </w:rPr>
  </w:style>
  <w:style w:type="character" w:styleId="Titolodellibro">
    <w:name w:val="Book Title"/>
    <w:uiPriority w:val="99"/>
    <w:semiHidden/>
    <w:qFormat/>
    <w:rsid w:val="002D609F"/>
    <w:rPr>
      <w:i/>
      <w:iCs/>
      <w:smallCaps/>
      <w:spacing w:val="5"/>
    </w:rPr>
  </w:style>
  <w:style w:type="paragraph" w:customStyle="1" w:styleId="JuHeader">
    <w:name w:val="Ju_Header"/>
    <w:aliases w:val="_Header"/>
    <w:basedOn w:val="Intestazione"/>
    <w:uiPriority w:val="29"/>
    <w:qFormat/>
    <w:rsid w:val="002D609F"/>
    <w:pPr>
      <w:tabs>
        <w:tab w:val="clear" w:pos="4536"/>
        <w:tab w:val="clear" w:pos="9072"/>
        <w:tab w:val="center" w:pos="3686"/>
        <w:tab w:val="right" w:pos="7371"/>
      </w:tabs>
    </w:pPr>
    <w:rPr>
      <w:sz w:val="18"/>
    </w:rPr>
  </w:style>
  <w:style w:type="paragraph" w:customStyle="1" w:styleId="NormalJustified">
    <w:name w:val="Normal_Justified"/>
    <w:basedOn w:val="Normale"/>
    <w:semiHidden/>
    <w:rsid w:val="002D609F"/>
  </w:style>
  <w:style w:type="character" w:styleId="Enfasigrassetto">
    <w:name w:val="Strong"/>
    <w:uiPriority w:val="99"/>
    <w:semiHidden/>
    <w:qFormat/>
    <w:rsid w:val="002D609F"/>
    <w:rPr>
      <w:b/>
      <w:bCs/>
    </w:rPr>
  </w:style>
  <w:style w:type="paragraph" w:styleId="Nessunaspaziatura">
    <w:name w:val="No Spacing"/>
    <w:basedOn w:val="Normale"/>
    <w:link w:val="NessunaspaziaturaCarattere"/>
    <w:semiHidden/>
    <w:qFormat/>
    <w:rsid w:val="002D609F"/>
  </w:style>
  <w:style w:type="character" w:customStyle="1" w:styleId="NessunaspaziaturaCarattere">
    <w:name w:val="Nessuna spaziatura Carattere"/>
    <w:basedOn w:val="Carpredefinitoparagrafo"/>
    <w:link w:val="Nessunaspaziatura"/>
    <w:semiHidden/>
    <w:rsid w:val="002D609F"/>
    <w:rPr>
      <w:rFonts w:eastAsiaTheme="minorEastAsia"/>
      <w:sz w:val="24"/>
      <w:lang w:val="fr-FR"/>
    </w:rPr>
  </w:style>
  <w:style w:type="paragraph" w:customStyle="1" w:styleId="DecList">
    <w:name w:val="Dec_List"/>
    <w:aliases w:val="_List"/>
    <w:basedOn w:val="JuList"/>
    <w:uiPriority w:val="9"/>
    <w:qFormat/>
    <w:rsid w:val="002D609F"/>
    <w:pPr>
      <w:numPr>
        <w:numId w:val="0"/>
      </w:numPr>
      <w:ind w:left="340"/>
    </w:pPr>
  </w:style>
  <w:style w:type="paragraph" w:customStyle="1" w:styleId="JuQuot">
    <w:name w:val="Ju_Quot"/>
    <w:aliases w:val="_Quote"/>
    <w:basedOn w:val="NormalJustified"/>
    <w:uiPriority w:val="21"/>
    <w:qFormat/>
    <w:rsid w:val="002D609F"/>
    <w:pPr>
      <w:spacing w:before="120" w:after="120"/>
      <w:ind w:left="425" w:firstLine="142"/>
    </w:pPr>
    <w:rPr>
      <w:sz w:val="20"/>
    </w:rPr>
  </w:style>
  <w:style w:type="paragraph" w:customStyle="1" w:styleId="JuList">
    <w:name w:val="Ju_List"/>
    <w:aliases w:val="_List_1"/>
    <w:basedOn w:val="NormalJustified"/>
    <w:uiPriority w:val="23"/>
    <w:qFormat/>
    <w:rsid w:val="002D609F"/>
    <w:pPr>
      <w:numPr>
        <w:numId w:val="29"/>
      </w:numPr>
      <w:spacing w:before="280" w:after="60"/>
    </w:pPr>
    <w:rPr>
      <w:rFonts w:eastAsiaTheme="minorHAnsi"/>
    </w:rPr>
  </w:style>
  <w:style w:type="paragraph" w:customStyle="1" w:styleId="JuLista">
    <w:name w:val="Ju_List_a"/>
    <w:aliases w:val="_List_2"/>
    <w:basedOn w:val="NormalJustified"/>
    <w:uiPriority w:val="23"/>
    <w:rsid w:val="002D609F"/>
    <w:pPr>
      <w:numPr>
        <w:ilvl w:val="1"/>
        <w:numId w:val="29"/>
      </w:numPr>
    </w:pPr>
  </w:style>
  <w:style w:type="paragraph" w:customStyle="1" w:styleId="JuListi">
    <w:name w:val="Ju_List_i"/>
    <w:aliases w:val="_List_3"/>
    <w:basedOn w:val="NormalJustified"/>
    <w:uiPriority w:val="23"/>
    <w:rsid w:val="002D609F"/>
    <w:pPr>
      <w:numPr>
        <w:ilvl w:val="2"/>
        <w:numId w:val="29"/>
      </w:numPr>
    </w:pPr>
  </w:style>
  <w:style w:type="paragraph" w:customStyle="1" w:styleId="Title4">
    <w:name w:val="_Title_4"/>
    <w:basedOn w:val="JuPara"/>
    <w:next w:val="JuPara"/>
    <w:uiPriority w:val="35"/>
    <w:qFormat/>
    <w:rsid w:val="002D609F"/>
    <w:pPr>
      <w:keepNext/>
      <w:keepLines/>
      <w:tabs>
        <w:tab w:val="right" w:pos="7938"/>
      </w:tabs>
      <w:ind w:firstLine="0"/>
      <w:jc w:val="center"/>
    </w:pPr>
    <w:rPr>
      <w:rFonts w:eastAsiaTheme="minorHAnsi"/>
      <w:i/>
    </w:rPr>
  </w:style>
  <w:style w:type="paragraph" w:customStyle="1" w:styleId="JuHArticle">
    <w:name w:val="Ju_H_Article"/>
    <w:aliases w:val="_Title_Quote"/>
    <w:basedOn w:val="Normale"/>
    <w:next w:val="JuQuot"/>
    <w:uiPriority w:val="20"/>
    <w:qFormat/>
    <w:rsid w:val="002D609F"/>
    <w:pPr>
      <w:keepNext/>
      <w:spacing w:before="100" w:beforeAutospacing="1" w:after="120"/>
      <w:contextualSpacing/>
      <w:jc w:val="center"/>
    </w:pPr>
    <w:rPr>
      <w:rFonts w:eastAsiaTheme="minorHAnsi"/>
      <w:b/>
      <w:sz w:val="20"/>
    </w:rPr>
  </w:style>
  <w:style w:type="numbering" w:customStyle="1" w:styleId="ECHRA1StyleBulletedSquare">
    <w:name w:val="ECHR_A1_Style_Bulleted_Square"/>
    <w:basedOn w:val="Nessunelenco"/>
    <w:rsid w:val="002D609F"/>
    <w:pPr>
      <w:numPr>
        <w:numId w:val="6"/>
      </w:numPr>
    </w:pPr>
  </w:style>
  <w:style w:type="numbering" w:customStyle="1" w:styleId="ECHRA1StyleList">
    <w:name w:val="ECHR_A1_Style_List"/>
    <w:basedOn w:val="Nessunelenco"/>
    <w:uiPriority w:val="99"/>
    <w:rsid w:val="002D609F"/>
    <w:pPr>
      <w:numPr>
        <w:numId w:val="7"/>
      </w:numPr>
    </w:pPr>
  </w:style>
  <w:style w:type="paragraph" w:customStyle="1" w:styleId="JuHHead">
    <w:name w:val="Ju_H_Head"/>
    <w:aliases w:val="_Head_1,ECHR_Title_1"/>
    <w:basedOn w:val="Normale"/>
    <w:next w:val="JuPara"/>
    <w:uiPriority w:val="18"/>
    <w:qFormat/>
    <w:rsid w:val="002D609F"/>
    <w:pPr>
      <w:keepNext/>
      <w:keepLines/>
      <w:numPr>
        <w:numId w:val="26"/>
      </w:numPr>
      <w:spacing w:before="100" w:beforeAutospacing="1" w:after="240"/>
      <w:outlineLvl w:val="0"/>
    </w:pPr>
    <w:rPr>
      <w:caps/>
      <w:sz w:val="28"/>
    </w:rPr>
  </w:style>
  <w:style w:type="numbering" w:customStyle="1" w:styleId="ECHRA1StyleNumberedList">
    <w:name w:val="ECHR_A1_Style_Numbered_List"/>
    <w:basedOn w:val="Nessunelenco"/>
    <w:rsid w:val="002D609F"/>
    <w:pPr>
      <w:numPr>
        <w:numId w:val="8"/>
      </w:numPr>
    </w:pPr>
  </w:style>
  <w:style w:type="paragraph" w:styleId="Titolo">
    <w:name w:val="Title"/>
    <w:basedOn w:val="Normale"/>
    <w:next w:val="Normale"/>
    <w:link w:val="TitoloCarattere"/>
    <w:uiPriority w:val="99"/>
    <w:semiHidden/>
    <w:qFormat/>
    <w:rsid w:val="002D609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2D609F"/>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2D609F"/>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basedOn w:val="Normale"/>
    <w:next w:val="JuPara"/>
    <w:uiPriority w:val="31"/>
    <w:rsid w:val="002D609F"/>
    <w:pPr>
      <w:ind w:firstLine="284"/>
    </w:pPr>
    <w:rPr>
      <w:b/>
    </w:rPr>
  </w:style>
  <w:style w:type="paragraph" w:customStyle="1" w:styleId="JuCourt">
    <w:name w:val="Ju_Court"/>
    <w:basedOn w:val="Normale"/>
    <w:next w:val="Normale"/>
    <w:uiPriority w:val="31"/>
    <w:qFormat/>
    <w:rsid w:val="002D609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D609F"/>
    <w:pPr>
      <w:tabs>
        <w:tab w:val="center" w:pos="6407"/>
      </w:tabs>
      <w:spacing w:before="720"/>
      <w:jc w:val="right"/>
    </w:pPr>
  </w:style>
  <w:style w:type="paragraph" w:customStyle="1" w:styleId="JuHIRoman">
    <w:name w:val="Ju_H_I_Roman"/>
    <w:aliases w:val="_Head_2"/>
    <w:basedOn w:val="Normale"/>
    <w:next w:val="JuPara"/>
    <w:uiPriority w:val="19"/>
    <w:qFormat/>
    <w:rsid w:val="002D609F"/>
    <w:pPr>
      <w:keepNext/>
      <w:keepLines/>
      <w:numPr>
        <w:ilvl w:val="1"/>
        <w:numId w:val="26"/>
      </w:numPr>
      <w:spacing w:before="100" w:beforeAutospacing="1" w:after="240"/>
      <w:outlineLvl w:val="1"/>
    </w:pPr>
    <w:rPr>
      <w:caps/>
    </w:rPr>
  </w:style>
  <w:style w:type="paragraph" w:customStyle="1" w:styleId="JuHA">
    <w:name w:val="Ju_H_A"/>
    <w:aliases w:val="_Head_3,ECHR_Heading_2"/>
    <w:basedOn w:val="Normale"/>
    <w:next w:val="JuPara"/>
    <w:uiPriority w:val="20"/>
    <w:qFormat/>
    <w:rsid w:val="002D609F"/>
    <w:pPr>
      <w:keepNext/>
      <w:keepLines/>
      <w:numPr>
        <w:ilvl w:val="2"/>
        <w:numId w:val="26"/>
      </w:numPr>
      <w:spacing w:before="100" w:beforeAutospacing="1" w:after="240"/>
      <w:outlineLvl w:val="2"/>
    </w:pPr>
    <w:rPr>
      <w:b/>
    </w:rPr>
  </w:style>
  <w:style w:type="paragraph" w:customStyle="1" w:styleId="JuH1">
    <w:name w:val="Ju_H_1."/>
    <w:aliases w:val="_Head_4,ECHR_Heading_3"/>
    <w:basedOn w:val="Normale"/>
    <w:next w:val="JuPara"/>
    <w:uiPriority w:val="21"/>
    <w:qFormat/>
    <w:rsid w:val="002D609F"/>
    <w:pPr>
      <w:keepNext/>
      <w:keepLines/>
      <w:numPr>
        <w:ilvl w:val="3"/>
        <w:numId w:val="26"/>
      </w:numPr>
      <w:spacing w:before="100" w:beforeAutospacing="1" w:after="120"/>
      <w:outlineLvl w:val="3"/>
    </w:pPr>
    <w:rPr>
      <w:i/>
    </w:rPr>
  </w:style>
  <w:style w:type="paragraph" w:styleId="Intestazione">
    <w:name w:val="header"/>
    <w:basedOn w:val="Normale"/>
    <w:link w:val="IntestazioneCarattere"/>
    <w:uiPriority w:val="57"/>
    <w:semiHidden/>
    <w:rsid w:val="002D609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2D609F"/>
    <w:rPr>
      <w:sz w:val="24"/>
      <w:lang w:val="fr-FR"/>
    </w:rPr>
  </w:style>
  <w:style w:type="character" w:customStyle="1" w:styleId="Titolo1Carattere">
    <w:name w:val="Titolo 1 Carattere"/>
    <w:basedOn w:val="Carpredefinitoparagrafo"/>
    <w:link w:val="Titolo1"/>
    <w:uiPriority w:val="99"/>
    <w:semiHidden/>
    <w:rsid w:val="002D609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e"/>
    <w:next w:val="JuPara"/>
    <w:uiPriority w:val="19"/>
    <w:rsid w:val="002D609F"/>
    <w:pPr>
      <w:keepNext/>
      <w:keepLines/>
      <w:numPr>
        <w:ilvl w:val="4"/>
        <w:numId w:val="26"/>
      </w:numPr>
      <w:spacing w:before="100" w:beforeAutospacing="1" w:after="120"/>
      <w:outlineLvl w:val="4"/>
    </w:pPr>
    <w:rPr>
      <w:b/>
      <w:sz w:val="20"/>
    </w:rPr>
  </w:style>
  <w:style w:type="paragraph" w:customStyle="1" w:styleId="JuHi">
    <w:name w:val="Ju_H_i"/>
    <w:aliases w:val="_Head_6"/>
    <w:basedOn w:val="Normale"/>
    <w:next w:val="JuPara"/>
    <w:uiPriority w:val="19"/>
    <w:rsid w:val="002D609F"/>
    <w:pPr>
      <w:keepNext/>
      <w:keepLines/>
      <w:numPr>
        <w:ilvl w:val="5"/>
        <w:numId w:val="26"/>
      </w:numPr>
      <w:spacing w:before="100" w:beforeAutospacing="1" w:after="120"/>
      <w:outlineLvl w:val="5"/>
    </w:pPr>
    <w:rPr>
      <w:i/>
      <w:sz w:val="20"/>
    </w:rPr>
  </w:style>
  <w:style w:type="character" w:customStyle="1" w:styleId="Titolo2Carattere">
    <w:name w:val="Titolo 2 Carattere"/>
    <w:basedOn w:val="Carpredefinitoparagrafo"/>
    <w:link w:val="Titolo2"/>
    <w:uiPriority w:val="99"/>
    <w:semiHidden/>
    <w:rsid w:val="002D609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e"/>
    <w:next w:val="JuPara"/>
    <w:uiPriority w:val="19"/>
    <w:rsid w:val="002D609F"/>
    <w:pPr>
      <w:keepNext/>
      <w:keepLines/>
      <w:numPr>
        <w:ilvl w:val="6"/>
        <w:numId w:val="26"/>
      </w:numPr>
      <w:spacing w:before="100" w:beforeAutospacing="1" w:after="120"/>
      <w:outlineLvl w:val="6"/>
    </w:pPr>
    <w:rPr>
      <w:sz w:val="20"/>
    </w:rPr>
  </w:style>
  <w:style w:type="paragraph" w:customStyle="1" w:styleId="JuH">
    <w:name w:val="Ju_H_–"/>
    <w:aliases w:val="_Head_8"/>
    <w:basedOn w:val="Normale"/>
    <w:next w:val="JuPara"/>
    <w:uiPriority w:val="19"/>
    <w:rsid w:val="002D609F"/>
    <w:pPr>
      <w:keepNext/>
      <w:keepLines/>
      <w:numPr>
        <w:ilvl w:val="7"/>
        <w:numId w:val="26"/>
      </w:numPr>
      <w:spacing w:before="100" w:beforeAutospacing="1" w:after="120"/>
      <w:outlineLvl w:val="7"/>
    </w:pPr>
    <w:rPr>
      <w:i/>
      <w:sz w:val="20"/>
    </w:rPr>
  </w:style>
  <w:style w:type="character" w:customStyle="1" w:styleId="Titolo3Carattere">
    <w:name w:val="Titolo 3 Carattere"/>
    <w:basedOn w:val="Carpredefinitoparagrafo"/>
    <w:link w:val="Titolo3"/>
    <w:uiPriority w:val="99"/>
    <w:semiHidden/>
    <w:rsid w:val="002D609F"/>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30"/>
    <w:qFormat/>
    <w:rsid w:val="002D609F"/>
    <w:pPr>
      <w:keepNext/>
      <w:keepLines/>
      <w:spacing w:before="240" w:after="240"/>
      <w:ind w:firstLine="284"/>
    </w:pPr>
    <w:rPr>
      <w:rFonts w:eastAsiaTheme="minorHAnsi"/>
    </w:rPr>
  </w:style>
  <w:style w:type="character" w:customStyle="1" w:styleId="JuITMark">
    <w:name w:val="Ju_ITMark"/>
    <w:basedOn w:val="Carpredefinitoparagrafo"/>
    <w:uiPriority w:val="38"/>
    <w:qFormat/>
    <w:rsid w:val="002D609F"/>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9"/>
    <w:semiHidden/>
    <w:rsid w:val="002D609F"/>
    <w:rPr>
      <w:rFonts w:asciiTheme="majorHAnsi" w:eastAsiaTheme="majorEastAsia" w:hAnsiTheme="majorHAnsi" w:cstheme="majorBidi"/>
      <w:b/>
      <w:bCs/>
      <w:i/>
      <w:iCs/>
      <w:color w:val="777777"/>
      <w:sz w:val="24"/>
      <w:lang w:val="fr-FR"/>
    </w:rPr>
  </w:style>
  <w:style w:type="paragraph" w:customStyle="1" w:styleId="JuJudges">
    <w:name w:val="Ju_Judges"/>
    <w:aliases w:val="ECHR_Decision_Body"/>
    <w:basedOn w:val="Normale"/>
    <w:uiPriority w:val="11"/>
    <w:qFormat/>
    <w:rsid w:val="002D609F"/>
    <w:pPr>
      <w:tabs>
        <w:tab w:val="left" w:pos="567"/>
        <w:tab w:val="left" w:pos="1134"/>
      </w:tabs>
    </w:pPr>
  </w:style>
  <w:style w:type="character" w:customStyle="1" w:styleId="Titolo5Carattere">
    <w:name w:val="Titolo 5 Carattere"/>
    <w:basedOn w:val="Carpredefinitoparagrafo"/>
    <w:link w:val="Titolo5"/>
    <w:uiPriority w:val="99"/>
    <w:semiHidden/>
    <w:rsid w:val="002D609F"/>
    <w:rPr>
      <w:rFonts w:asciiTheme="majorHAnsi" w:eastAsiaTheme="majorEastAsia" w:hAnsiTheme="majorHAnsi" w:cstheme="majorBidi"/>
      <w:b/>
      <w:bCs/>
      <w:color w:val="808080"/>
      <w:sz w:val="24"/>
      <w:lang w:val="fr-FR"/>
    </w:rPr>
  </w:style>
  <w:style w:type="character" w:customStyle="1" w:styleId="JUNAMES">
    <w:name w:val="JU_NAMES"/>
    <w:uiPriority w:val="34"/>
    <w:qFormat/>
    <w:rsid w:val="002D609F"/>
    <w:rPr>
      <w:caps w:val="0"/>
      <w:smallCaps/>
    </w:rPr>
  </w:style>
  <w:style w:type="character" w:styleId="Enfasidelicata">
    <w:name w:val="Subtle Emphasis"/>
    <w:uiPriority w:val="99"/>
    <w:semiHidden/>
    <w:qFormat/>
    <w:rsid w:val="002D609F"/>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D609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5"/>
    <w:qFormat/>
    <w:rsid w:val="002D609F"/>
    <w:pPr>
      <w:keepNext/>
      <w:keepLines/>
      <w:spacing w:after="280"/>
      <w:ind w:firstLine="0"/>
      <w:jc w:val="center"/>
    </w:pPr>
    <w:rPr>
      <w:rFonts w:asciiTheme="majorHAnsi" w:hAnsiTheme="majorHAnsi"/>
    </w:rPr>
  </w:style>
  <w:style w:type="character" w:styleId="Enfasicorsivo">
    <w:name w:val="Emphasis"/>
    <w:uiPriority w:val="99"/>
    <w:semiHidden/>
    <w:qFormat/>
    <w:rsid w:val="002D609F"/>
    <w:rPr>
      <w:b/>
      <w:bCs/>
      <w:i/>
      <w:iCs/>
      <w:spacing w:val="10"/>
      <w:bdr w:val="none" w:sz="0" w:space="0" w:color="auto"/>
      <w:shd w:val="clear" w:color="auto" w:fill="auto"/>
    </w:rPr>
  </w:style>
  <w:style w:type="paragraph" w:styleId="Pidipagina">
    <w:name w:val="footer"/>
    <w:basedOn w:val="Normale"/>
    <w:link w:val="PidipaginaCarattere"/>
    <w:uiPriority w:val="57"/>
    <w:semiHidden/>
    <w:rsid w:val="002D609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2D609F"/>
    <w:rPr>
      <w:sz w:val="24"/>
      <w:lang w:val="fr-FR"/>
    </w:rPr>
  </w:style>
  <w:style w:type="character" w:styleId="Rimandonotaapidipagina">
    <w:name w:val="footnote reference"/>
    <w:basedOn w:val="Carpredefinitoparagrafo"/>
    <w:uiPriority w:val="99"/>
    <w:semiHidden/>
    <w:rsid w:val="002D609F"/>
    <w:rPr>
      <w:vertAlign w:val="superscript"/>
    </w:rPr>
  </w:style>
  <w:style w:type="paragraph" w:styleId="Testonotaapidipagina">
    <w:name w:val="footnote text"/>
    <w:basedOn w:val="Normale"/>
    <w:link w:val="TestonotaapidipaginaCarattere"/>
    <w:uiPriority w:val="99"/>
    <w:semiHidden/>
    <w:rsid w:val="002D609F"/>
    <w:rPr>
      <w:sz w:val="20"/>
      <w:szCs w:val="20"/>
    </w:rPr>
  </w:style>
  <w:style w:type="character" w:customStyle="1" w:styleId="TestonotaapidipaginaCarattere">
    <w:name w:val="Testo nota a piè di pagina Carattere"/>
    <w:basedOn w:val="Carpredefinitoparagrafo"/>
    <w:link w:val="Testonotaapidipagina"/>
    <w:uiPriority w:val="99"/>
    <w:semiHidden/>
    <w:rsid w:val="002D609F"/>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2D609F"/>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2D609F"/>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2D609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2D609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2D609F"/>
    <w:rPr>
      <w:color w:val="0072BC" w:themeColor="hyperlink"/>
      <w:u w:val="single"/>
    </w:rPr>
  </w:style>
  <w:style w:type="character" w:styleId="Enfasiintensa">
    <w:name w:val="Intense Emphasis"/>
    <w:uiPriority w:val="99"/>
    <w:semiHidden/>
    <w:qFormat/>
    <w:rsid w:val="002D609F"/>
    <w:rPr>
      <w:b/>
      <w:bCs/>
    </w:rPr>
  </w:style>
  <w:style w:type="paragraph" w:styleId="Citazioneintensa">
    <w:name w:val="Intense Quote"/>
    <w:basedOn w:val="Normale"/>
    <w:next w:val="Normale"/>
    <w:link w:val="CitazioneintensaCarattere"/>
    <w:uiPriority w:val="99"/>
    <w:semiHidden/>
    <w:qFormat/>
    <w:rsid w:val="002D609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2D609F"/>
    <w:rPr>
      <w:rFonts w:eastAsiaTheme="minorEastAsia"/>
      <w:b/>
      <w:bCs/>
      <w:i/>
      <w:iCs/>
      <w:sz w:val="24"/>
      <w:lang w:val="fr-FR" w:bidi="en-US"/>
    </w:rPr>
  </w:style>
  <w:style w:type="character" w:styleId="Riferimentointenso">
    <w:name w:val="Intense Reference"/>
    <w:uiPriority w:val="99"/>
    <w:semiHidden/>
    <w:qFormat/>
    <w:rsid w:val="002D609F"/>
    <w:rPr>
      <w:smallCaps/>
      <w:spacing w:val="5"/>
      <w:u w:val="single"/>
    </w:rPr>
  </w:style>
  <w:style w:type="paragraph" w:styleId="Paragrafoelenco">
    <w:name w:val="List Paragraph"/>
    <w:basedOn w:val="Normale"/>
    <w:uiPriority w:val="99"/>
    <w:semiHidden/>
    <w:qFormat/>
    <w:rsid w:val="002D609F"/>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2D609F"/>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2D609F"/>
    <w:rPr>
      <w:rFonts w:eastAsiaTheme="minorEastAsia"/>
      <w:i/>
      <w:iCs/>
      <w:sz w:val="24"/>
      <w:lang w:val="fr-FR" w:bidi="en-US"/>
    </w:rPr>
  </w:style>
  <w:style w:type="character" w:styleId="Riferimentodelicato">
    <w:name w:val="Subtle Reference"/>
    <w:uiPriority w:val="99"/>
    <w:semiHidden/>
    <w:qFormat/>
    <w:rsid w:val="002D609F"/>
    <w:rPr>
      <w:smallCaps/>
    </w:rPr>
  </w:style>
  <w:style w:type="table" w:styleId="Grigliatabella">
    <w:name w:val="Table Grid"/>
    <w:basedOn w:val="Tabellanormale"/>
    <w:uiPriority w:val="59"/>
    <w:semiHidden/>
    <w:rsid w:val="002D609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2D609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2D609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2D609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2D609F"/>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2D609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2D609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D609F"/>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D609F"/>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2D609F"/>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2D609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2D609F"/>
    <w:pPr>
      <w:spacing w:after="600"/>
    </w:pPr>
    <w:rPr>
      <w:rFonts w:asciiTheme="majorHAnsi" w:eastAsiaTheme="majorEastAsia" w:hAnsiTheme="majorHAnsi" w:cstheme="majorBidi"/>
      <w:i/>
      <w:iCs/>
      <w:spacing w:val="13"/>
      <w:szCs w:val="24"/>
      <w:lang w:bidi="en-US"/>
    </w:rPr>
  </w:style>
  <w:style w:type="paragraph" w:customStyle="1" w:styleId="JuPara">
    <w:name w:val="Ju_Para"/>
    <w:aliases w:val="_Para,ECHR_Para"/>
    <w:basedOn w:val="NormalJustified"/>
    <w:link w:val="JuParaChar"/>
    <w:uiPriority w:val="12"/>
    <w:qFormat/>
    <w:rsid w:val="002D609F"/>
    <w:pPr>
      <w:ind w:firstLine="284"/>
    </w:pPr>
  </w:style>
  <w:style w:type="character" w:customStyle="1" w:styleId="SottotitoloCarattere">
    <w:name w:val="Sottotitolo Carattere"/>
    <w:basedOn w:val="Carpredefinitoparagrafo"/>
    <w:link w:val="Sottotitolo"/>
    <w:uiPriority w:val="99"/>
    <w:semiHidden/>
    <w:rsid w:val="002D609F"/>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2D609F"/>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D609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2D609F"/>
    <w:pPr>
      <w:numPr>
        <w:numId w:val="3"/>
      </w:numPr>
    </w:pPr>
  </w:style>
  <w:style w:type="table" w:customStyle="1" w:styleId="ECHRTableForInternalUse">
    <w:name w:val="ECHR_Table_For_Internal_Use"/>
    <w:basedOn w:val="Tabellanormale"/>
    <w:uiPriority w:val="99"/>
    <w:rsid w:val="002D609F"/>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2D609F"/>
    <w:pPr>
      <w:numPr>
        <w:numId w:val="4"/>
      </w:numPr>
    </w:pPr>
  </w:style>
  <w:style w:type="numbering" w:styleId="ArticoloSezione">
    <w:name w:val="Outline List 3"/>
    <w:basedOn w:val="Nessunelenco"/>
    <w:uiPriority w:val="99"/>
    <w:semiHidden/>
    <w:unhideWhenUsed/>
    <w:rsid w:val="002D609F"/>
    <w:pPr>
      <w:numPr>
        <w:numId w:val="5"/>
      </w:numPr>
    </w:pPr>
  </w:style>
  <w:style w:type="table" w:customStyle="1" w:styleId="ECHRHeaderTable">
    <w:name w:val="ECHR_Header_Table"/>
    <w:basedOn w:val="Tabellanormale"/>
    <w:uiPriority w:val="99"/>
    <w:rsid w:val="002D609F"/>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2D609F"/>
  </w:style>
  <w:style w:type="paragraph" w:styleId="Testodelblocco">
    <w:name w:val="Block Text"/>
    <w:basedOn w:val="Normale"/>
    <w:uiPriority w:val="99"/>
    <w:semiHidden/>
    <w:rsid w:val="002D609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2D609F"/>
    <w:pPr>
      <w:spacing w:after="120"/>
    </w:pPr>
  </w:style>
  <w:style w:type="table" w:customStyle="1" w:styleId="ECHRHeaderTableReduced">
    <w:name w:val="ECHR_Header_Table_Reduced"/>
    <w:basedOn w:val="Tabellanormale"/>
    <w:uiPriority w:val="99"/>
    <w:rsid w:val="002D609F"/>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2D609F"/>
    <w:rPr>
      <w:sz w:val="18"/>
    </w:rPr>
  </w:style>
  <w:style w:type="character" w:styleId="Rimandocommento">
    <w:name w:val="annotation reference"/>
    <w:basedOn w:val="Carpredefinitoparagrafo"/>
    <w:uiPriority w:val="99"/>
    <w:semiHidden/>
    <w:rsid w:val="002D609F"/>
    <w:rPr>
      <w:sz w:val="16"/>
      <w:szCs w:val="16"/>
    </w:rPr>
  </w:style>
  <w:style w:type="paragraph" w:styleId="Testocommento">
    <w:name w:val="annotation text"/>
    <w:basedOn w:val="Normale"/>
    <w:link w:val="TestocommentoCarattere"/>
    <w:semiHidden/>
    <w:rsid w:val="002D609F"/>
    <w:rPr>
      <w:sz w:val="20"/>
      <w:szCs w:val="20"/>
    </w:rPr>
  </w:style>
  <w:style w:type="character" w:customStyle="1" w:styleId="TestocommentoCarattere">
    <w:name w:val="Testo commento Carattere"/>
    <w:basedOn w:val="Carpredefinitoparagrafo"/>
    <w:link w:val="Testocommento"/>
    <w:semiHidden/>
    <w:rsid w:val="002D609F"/>
    <w:rPr>
      <w:rFonts w:eastAsiaTheme="minorEastAsia"/>
      <w:sz w:val="20"/>
      <w:szCs w:val="20"/>
      <w:lang w:val="fr-FR"/>
    </w:rPr>
  </w:style>
  <w:style w:type="paragraph" w:customStyle="1" w:styleId="JuSigned">
    <w:name w:val="Ju_Signed"/>
    <w:aliases w:val="_Signature"/>
    <w:basedOn w:val="Normale"/>
    <w:next w:val="JuPara"/>
    <w:uiPriority w:val="30"/>
    <w:qFormat/>
    <w:rsid w:val="002D609F"/>
    <w:pPr>
      <w:tabs>
        <w:tab w:val="center" w:pos="851"/>
        <w:tab w:val="center" w:pos="6407"/>
      </w:tabs>
      <w:spacing w:before="720"/>
    </w:pPr>
  </w:style>
  <w:style w:type="paragraph" w:customStyle="1" w:styleId="JuTitle">
    <w:name w:val="Ju_Title"/>
    <w:aliases w:val="_Title_2"/>
    <w:basedOn w:val="Normale"/>
    <w:next w:val="JuPara"/>
    <w:uiPriority w:val="35"/>
    <w:qFormat/>
    <w:rsid w:val="002D609F"/>
    <w:pPr>
      <w:keepNext/>
      <w:keepLines/>
      <w:spacing w:before="1320" w:after="280"/>
      <w:contextualSpacing/>
      <w:jc w:val="center"/>
    </w:pPr>
    <w:rPr>
      <w:rFonts w:eastAsiaTheme="minorHAnsi"/>
      <w:b/>
    </w:rPr>
  </w:style>
  <w:style w:type="paragraph" w:customStyle="1" w:styleId="DecHTitle">
    <w:name w:val="Dec_H_Title"/>
    <w:aliases w:val="_Title_1"/>
    <w:basedOn w:val="JuPara"/>
    <w:next w:val="JuPara"/>
    <w:uiPriority w:val="35"/>
    <w:qFormat/>
    <w:rsid w:val="002D609F"/>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2D609F"/>
    <w:pPr>
      <w:numPr>
        <w:numId w:val="37"/>
      </w:numPr>
      <w:contextualSpacing/>
    </w:pPr>
  </w:style>
  <w:style w:type="paragraph" w:styleId="Puntoelenco3">
    <w:name w:val="List Bullet 3"/>
    <w:basedOn w:val="Normale"/>
    <w:uiPriority w:val="99"/>
    <w:semiHidden/>
    <w:rsid w:val="002D609F"/>
    <w:pPr>
      <w:numPr>
        <w:numId w:val="38"/>
      </w:numPr>
      <w:contextualSpacing/>
    </w:pPr>
  </w:style>
  <w:style w:type="character" w:customStyle="1" w:styleId="CorpotestoCarattere">
    <w:name w:val="Corpo testo Carattere"/>
    <w:basedOn w:val="Carpredefinitoparagrafo"/>
    <w:link w:val="Corpotesto"/>
    <w:uiPriority w:val="99"/>
    <w:semiHidden/>
    <w:rsid w:val="002D609F"/>
    <w:rPr>
      <w:rFonts w:eastAsiaTheme="minorEastAsia"/>
      <w:sz w:val="24"/>
      <w:lang w:val="fr-FR"/>
    </w:rPr>
  </w:style>
  <w:style w:type="paragraph" w:styleId="Corpodeltesto2">
    <w:name w:val="Body Text 2"/>
    <w:basedOn w:val="Normale"/>
    <w:link w:val="Corpodeltesto2Carattere"/>
    <w:uiPriority w:val="99"/>
    <w:semiHidden/>
    <w:rsid w:val="002D609F"/>
    <w:pPr>
      <w:spacing w:after="120" w:line="480" w:lineRule="auto"/>
    </w:pPr>
  </w:style>
  <w:style w:type="character" w:customStyle="1" w:styleId="Corpodeltesto2Carattere">
    <w:name w:val="Corpo del testo 2 Carattere"/>
    <w:basedOn w:val="Carpredefinitoparagrafo"/>
    <w:link w:val="Corpodeltesto2"/>
    <w:uiPriority w:val="99"/>
    <w:semiHidden/>
    <w:rsid w:val="002D609F"/>
    <w:rPr>
      <w:rFonts w:eastAsiaTheme="minorEastAsia"/>
      <w:sz w:val="24"/>
      <w:lang w:val="fr-FR"/>
    </w:rPr>
  </w:style>
  <w:style w:type="paragraph" w:styleId="Corpodeltesto3">
    <w:name w:val="Body Text 3"/>
    <w:basedOn w:val="Normale"/>
    <w:link w:val="Corpodeltesto3Carattere"/>
    <w:uiPriority w:val="99"/>
    <w:semiHidden/>
    <w:rsid w:val="002D609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609F"/>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2D609F"/>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609F"/>
    <w:rPr>
      <w:rFonts w:eastAsiaTheme="minorEastAsia"/>
      <w:sz w:val="24"/>
      <w:lang w:val="fr-FR"/>
    </w:rPr>
  </w:style>
  <w:style w:type="paragraph" w:styleId="Rientrocorpodeltesto">
    <w:name w:val="Body Text Indent"/>
    <w:basedOn w:val="Normale"/>
    <w:link w:val="RientrocorpodeltestoCarattere"/>
    <w:uiPriority w:val="99"/>
    <w:semiHidden/>
    <w:rsid w:val="002D60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609F"/>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2D609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609F"/>
    <w:rPr>
      <w:rFonts w:eastAsiaTheme="minorEastAsia"/>
      <w:sz w:val="24"/>
      <w:lang w:val="fr-FR"/>
    </w:rPr>
  </w:style>
  <w:style w:type="paragraph" w:styleId="Rientrocorpodeltesto2">
    <w:name w:val="Body Text Indent 2"/>
    <w:basedOn w:val="Normale"/>
    <w:link w:val="Rientrocorpodeltesto2Carattere"/>
    <w:uiPriority w:val="99"/>
    <w:semiHidden/>
    <w:rsid w:val="002D609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609F"/>
    <w:rPr>
      <w:rFonts w:eastAsiaTheme="minorEastAsia"/>
      <w:sz w:val="24"/>
      <w:lang w:val="fr-FR"/>
    </w:rPr>
  </w:style>
  <w:style w:type="paragraph" w:styleId="Rientrocorpodeltesto3">
    <w:name w:val="Body Text Indent 3"/>
    <w:basedOn w:val="Normale"/>
    <w:link w:val="Rientrocorpodeltesto3Carattere"/>
    <w:uiPriority w:val="99"/>
    <w:semiHidden/>
    <w:rsid w:val="002D609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609F"/>
    <w:rPr>
      <w:rFonts w:eastAsiaTheme="minorEastAsia"/>
      <w:sz w:val="16"/>
      <w:szCs w:val="16"/>
      <w:lang w:val="fr-FR"/>
    </w:rPr>
  </w:style>
  <w:style w:type="paragraph" w:styleId="Didascalia">
    <w:name w:val="caption"/>
    <w:basedOn w:val="Normale"/>
    <w:next w:val="Normale"/>
    <w:uiPriority w:val="99"/>
    <w:semiHidden/>
    <w:qFormat/>
    <w:rsid w:val="002D609F"/>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609F"/>
    <w:pPr>
      <w:ind w:left="4252"/>
    </w:pPr>
  </w:style>
  <w:style w:type="character" w:customStyle="1" w:styleId="FormuladichiusuraCarattere">
    <w:name w:val="Formula di chiusura Carattere"/>
    <w:basedOn w:val="Carpredefinitoparagrafo"/>
    <w:link w:val="Formuladichiusura"/>
    <w:uiPriority w:val="99"/>
    <w:semiHidden/>
    <w:rsid w:val="002D609F"/>
    <w:rPr>
      <w:rFonts w:eastAsiaTheme="minorEastAsia"/>
      <w:sz w:val="24"/>
      <w:lang w:val="fr-FR"/>
    </w:rPr>
  </w:style>
  <w:style w:type="table" w:styleId="Grigliaacolori">
    <w:name w:val="Colorful Grid"/>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609F"/>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609F"/>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609F"/>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609F"/>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609F"/>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609F"/>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609F"/>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609F"/>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609F"/>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609F"/>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609F"/>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2D609F"/>
    <w:rPr>
      <w:b/>
      <w:bCs/>
    </w:rPr>
  </w:style>
  <w:style w:type="character" w:customStyle="1" w:styleId="SoggettocommentoCarattere">
    <w:name w:val="Soggetto commento Carattere"/>
    <w:basedOn w:val="TestocommentoCarattere"/>
    <w:link w:val="Soggettocommento"/>
    <w:uiPriority w:val="99"/>
    <w:semiHidden/>
    <w:rsid w:val="002D609F"/>
    <w:rPr>
      <w:rFonts w:eastAsiaTheme="minorEastAsia"/>
      <w:b/>
      <w:bCs/>
      <w:sz w:val="20"/>
      <w:szCs w:val="20"/>
      <w:lang w:val="fr-FR"/>
    </w:rPr>
  </w:style>
  <w:style w:type="table" w:styleId="Elencoscuro">
    <w:name w:val="Dark List"/>
    <w:basedOn w:val="Tabellanormale"/>
    <w:uiPriority w:val="70"/>
    <w:semiHidden/>
    <w:rsid w:val="002D609F"/>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609F"/>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609F"/>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609F"/>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609F"/>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609F"/>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609F"/>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609F"/>
  </w:style>
  <w:style w:type="character" w:customStyle="1" w:styleId="DataCarattere">
    <w:name w:val="Data Carattere"/>
    <w:basedOn w:val="Carpredefinitoparagrafo"/>
    <w:link w:val="Data"/>
    <w:uiPriority w:val="99"/>
    <w:semiHidden/>
    <w:rsid w:val="002D609F"/>
    <w:rPr>
      <w:rFonts w:eastAsiaTheme="minorEastAsia"/>
      <w:sz w:val="24"/>
      <w:lang w:val="fr-FR"/>
    </w:rPr>
  </w:style>
  <w:style w:type="paragraph" w:styleId="Mappadocumento">
    <w:name w:val="Document Map"/>
    <w:basedOn w:val="Normale"/>
    <w:link w:val="MappadocumentoCarattere"/>
    <w:uiPriority w:val="99"/>
    <w:semiHidden/>
    <w:rsid w:val="002D609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609F"/>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2D609F"/>
  </w:style>
  <w:style w:type="character" w:customStyle="1" w:styleId="FirmadipostaelettronicaCarattere">
    <w:name w:val="Firma di posta elettronica Carattere"/>
    <w:basedOn w:val="Carpredefinitoparagrafo"/>
    <w:link w:val="Firmadipostaelettronica"/>
    <w:uiPriority w:val="99"/>
    <w:semiHidden/>
    <w:rsid w:val="002D609F"/>
    <w:rPr>
      <w:rFonts w:eastAsiaTheme="minorEastAsia"/>
      <w:sz w:val="24"/>
      <w:lang w:val="fr-FR"/>
    </w:rPr>
  </w:style>
  <w:style w:type="character" w:styleId="Rimandonotadichiusura">
    <w:name w:val="endnote reference"/>
    <w:basedOn w:val="Carpredefinitoparagrafo"/>
    <w:uiPriority w:val="99"/>
    <w:semiHidden/>
    <w:rsid w:val="002D609F"/>
    <w:rPr>
      <w:vertAlign w:val="superscript"/>
    </w:rPr>
  </w:style>
  <w:style w:type="paragraph" w:styleId="Testonotadichiusura">
    <w:name w:val="endnote text"/>
    <w:basedOn w:val="Normale"/>
    <w:link w:val="TestonotadichiusuraCarattere"/>
    <w:uiPriority w:val="99"/>
    <w:semiHidden/>
    <w:rsid w:val="002D609F"/>
    <w:rPr>
      <w:sz w:val="20"/>
      <w:szCs w:val="20"/>
    </w:rPr>
  </w:style>
  <w:style w:type="character" w:customStyle="1" w:styleId="TestonotadichiusuraCarattere">
    <w:name w:val="Testo nota di chiusura Carattere"/>
    <w:basedOn w:val="Carpredefinitoparagrafo"/>
    <w:link w:val="Testonotadichiusura"/>
    <w:uiPriority w:val="99"/>
    <w:semiHidden/>
    <w:rsid w:val="002D609F"/>
    <w:rPr>
      <w:rFonts w:eastAsiaTheme="minorEastAsia"/>
      <w:sz w:val="20"/>
      <w:szCs w:val="20"/>
      <w:lang w:val="fr-FR"/>
    </w:rPr>
  </w:style>
  <w:style w:type="paragraph" w:styleId="Indirizzodestinatario">
    <w:name w:val="envelope address"/>
    <w:basedOn w:val="Normale"/>
    <w:uiPriority w:val="99"/>
    <w:semiHidden/>
    <w:rsid w:val="002D609F"/>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609F"/>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609F"/>
    <w:rPr>
      <w:color w:val="7030A0" w:themeColor="followedHyperlink"/>
      <w:u w:val="single"/>
    </w:rPr>
  </w:style>
  <w:style w:type="character" w:styleId="AcronimoHTML">
    <w:name w:val="HTML Acronym"/>
    <w:basedOn w:val="Carpredefinitoparagrafo"/>
    <w:uiPriority w:val="99"/>
    <w:semiHidden/>
    <w:rsid w:val="002D609F"/>
  </w:style>
  <w:style w:type="paragraph" w:styleId="IndirizzoHTML">
    <w:name w:val="HTML Address"/>
    <w:basedOn w:val="Normale"/>
    <w:link w:val="IndirizzoHTMLCarattere"/>
    <w:uiPriority w:val="99"/>
    <w:semiHidden/>
    <w:rsid w:val="002D609F"/>
    <w:rPr>
      <w:i/>
      <w:iCs/>
    </w:rPr>
  </w:style>
  <w:style w:type="character" w:customStyle="1" w:styleId="IndirizzoHTMLCarattere">
    <w:name w:val="Indirizzo HTML Carattere"/>
    <w:basedOn w:val="Carpredefinitoparagrafo"/>
    <w:link w:val="IndirizzoHTML"/>
    <w:uiPriority w:val="99"/>
    <w:semiHidden/>
    <w:rsid w:val="002D609F"/>
    <w:rPr>
      <w:rFonts w:eastAsiaTheme="minorEastAsia"/>
      <w:i/>
      <w:iCs/>
      <w:sz w:val="24"/>
      <w:lang w:val="fr-FR"/>
    </w:rPr>
  </w:style>
  <w:style w:type="character" w:styleId="CitazioneHTML">
    <w:name w:val="HTML Cite"/>
    <w:basedOn w:val="Carpredefinitoparagrafo"/>
    <w:uiPriority w:val="99"/>
    <w:semiHidden/>
    <w:rsid w:val="002D609F"/>
    <w:rPr>
      <w:i/>
      <w:iCs/>
    </w:rPr>
  </w:style>
  <w:style w:type="character" w:styleId="CodiceHTML">
    <w:name w:val="HTML Code"/>
    <w:basedOn w:val="Carpredefinitoparagrafo"/>
    <w:uiPriority w:val="99"/>
    <w:semiHidden/>
    <w:rsid w:val="002D609F"/>
    <w:rPr>
      <w:rFonts w:ascii="Consolas" w:hAnsi="Consolas" w:cs="Consolas"/>
      <w:sz w:val="20"/>
      <w:szCs w:val="20"/>
    </w:rPr>
  </w:style>
  <w:style w:type="character" w:styleId="DefinizioneHTML">
    <w:name w:val="HTML Definition"/>
    <w:basedOn w:val="Carpredefinitoparagrafo"/>
    <w:uiPriority w:val="99"/>
    <w:semiHidden/>
    <w:rsid w:val="002D609F"/>
    <w:rPr>
      <w:i/>
      <w:iCs/>
    </w:rPr>
  </w:style>
  <w:style w:type="character" w:styleId="TastieraHTML">
    <w:name w:val="HTML Keyboard"/>
    <w:basedOn w:val="Carpredefinitoparagrafo"/>
    <w:uiPriority w:val="99"/>
    <w:semiHidden/>
    <w:rsid w:val="002D609F"/>
    <w:rPr>
      <w:rFonts w:ascii="Consolas" w:hAnsi="Consolas" w:cs="Consolas"/>
      <w:sz w:val="20"/>
      <w:szCs w:val="20"/>
    </w:rPr>
  </w:style>
  <w:style w:type="paragraph" w:styleId="PreformattatoHTML">
    <w:name w:val="HTML Preformatted"/>
    <w:basedOn w:val="Normale"/>
    <w:link w:val="PreformattatoHTMLCarattere"/>
    <w:uiPriority w:val="99"/>
    <w:semiHidden/>
    <w:rsid w:val="002D609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609F"/>
    <w:rPr>
      <w:rFonts w:ascii="Consolas" w:eastAsiaTheme="minorEastAsia" w:hAnsi="Consolas" w:cs="Consolas"/>
      <w:sz w:val="20"/>
      <w:szCs w:val="20"/>
      <w:lang w:val="fr-FR"/>
    </w:rPr>
  </w:style>
  <w:style w:type="character" w:styleId="EsempioHTML">
    <w:name w:val="HTML Sample"/>
    <w:basedOn w:val="Carpredefinitoparagrafo"/>
    <w:uiPriority w:val="99"/>
    <w:semiHidden/>
    <w:rsid w:val="002D609F"/>
    <w:rPr>
      <w:rFonts w:ascii="Consolas" w:hAnsi="Consolas" w:cs="Consolas"/>
      <w:sz w:val="24"/>
      <w:szCs w:val="24"/>
    </w:rPr>
  </w:style>
  <w:style w:type="character" w:styleId="MacchinadascrivereHTML">
    <w:name w:val="HTML Typewriter"/>
    <w:basedOn w:val="Carpredefinitoparagrafo"/>
    <w:uiPriority w:val="99"/>
    <w:semiHidden/>
    <w:rsid w:val="002D609F"/>
    <w:rPr>
      <w:rFonts w:ascii="Consolas" w:hAnsi="Consolas" w:cs="Consolas"/>
      <w:sz w:val="20"/>
      <w:szCs w:val="20"/>
    </w:rPr>
  </w:style>
  <w:style w:type="character" w:styleId="VariabileHTML">
    <w:name w:val="HTML Variable"/>
    <w:basedOn w:val="Carpredefinitoparagrafo"/>
    <w:uiPriority w:val="99"/>
    <w:semiHidden/>
    <w:rsid w:val="002D609F"/>
    <w:rPr>
      <w:i/>
      <w:iCs/>
    </w:rPr>
  </w:style>
  <w:style w:type="paragraph" w:styleId="Indice1">
    <w:name w:val="index 1"/>
    <w:basedOn w:val="Normale"/>
    <w:next w:val="Normale"/>
    <w:autoRedefine/>
    <w:uiPriority w:val="99"/>
    <w:semiHidden/>
    <w:rsid w:val="002D609F"/>
    <w:pPr>
      <w:ind w:left="240" w:hanging="240"/>
    </w:pPr>
  </w:style>
  <w:style w:type="paragraph" w:styleId="Indice2">
    <w:name w:val="index 2"/>
    <w:basedOn w:val="Normale"/>
    <w:next w:val="Normale"/>
    <w:autoRedefine/>
    <w:uiPriority w:val="99"/>
    <w:semiHidden/>
    <w:rsid w:val="002D609F"/>
    <w:pPr>
      <w:ind w:left="480" w:hanging="240"/>
    </w:pPr>
  </w:style>
  <w:style w:type="paragraph" w:styleId="Indice3">
    <w:name w:val="index 3"/>
    <w:basedOn w:val="Normale"/>
    <w:next w:val="Normale"/>
    <w:autoRedefine/>
    <w:uiPriority w:val="99"/>
    <w:semiHidden/>
    <w:rsid w:val="002D609F"/>
    <w:pPr>
      <w:ind w:left="720" w:hanging="240"/>
    </w:pPr>
  </w:style>
  <w:style w:type="paragraph" w:styleId="Indice4">
    <w:name w:val="index 4"/>
    <w:basedOn w:val="Normale"/>
    <w:next w:val="Normale"/>
    <w:autoRedefine/>
    <w:uiPriority w:val="99"/>
    <w:semiHidden/>
    <w:rsid w:val="002D609F"/>
    <w:pPr>
      <w:ind w:left="960" w:hanging="240"/>
    </w:pPr>
  </w:style>
  <w:style w:type="paragraph" w:styleId="Indice5">
    <w:name w:val="index 5"/>
    <w:basedOn w:val="Normale"/>
    <w:next w:val="Normale"/>
    <w:autoRedefine/>
    <w:uiPriority w:val="99"/>
    <w:semiHidden/>
    <w:rsid w:val="002D609F"/>
    <w:pPr>
      <w:ind w:left="1200" w:hanging="240"/>
    </w:pPr>
  </w:style>
  <w:style w:type="paragraph" w:styleId="Indice6">
    <w:name w:val="index 6"/>
    <w:basedOn w:val="Normale"/>
    <w:next w:val="Normale"/>
    <w:autoRedefine/>
    <w:uiPriority w:val="99"/>
    <w:semiHidden/>
    <w:rsid w:val="002D609F"/>
    <w:pPr>
      <w:ind w:left="1440" w:hanging="240"/>
    </w:pPr>
  </w:style>
  <w:style w:type="paragraph" w:styleId="Indice7">
    <w:name w:val="index 7"/>
    <w:basedOn w:val="Normale"/>
    <w:next w:val="Normale"/>
    <w:autoRedefine/>
    <w:uiPriority w:val="99"/>
    <w:semiHidden/>
    <w:rsid w:val="002D609F"/>
    <w:pPr>
      <w:ind w:left="1680" w:hanging="240"/>
    </w:pPr>
  </w:style>
  <w:style w:type="paragraph" w:styleId="Indice8">
    <w:name w:val="index 8"/>
    <w:basedOn w:val="Normale"/>
    <w:next w:val="Normale"/>
    <w:autoRedefine/>
    <w:uiPriority w:val="99"/>
    <w:semiHidden/>
    <w:rsid w:val="002D609F"/>
    <w:pPr>
      <w:ind w:left="1920" w:hanging="240"/>
    </w:pPr>
  </w:style>
  <w:style w:type="paragraph" w:styleId="Indice9">
    <w:name w:val="index 9"/>
    <w:basedOn w:val="Normale"/>
    <w:next w:val="Normale"/>
    <w:autoRedefine/>
    <w:uiPriority w:val="99"/>
    <w:semiHidden/>
    <w:rsid w:val="002D609F"/>
    <w:pPr>
      <w:ind w:left="2160" w:hanging="240"/>
    </w:pPr>
  </w:style>
  <w:style w:type="paragraph" w:styleId="Titoloindice">
    <w:name w:val="index heading"/>
    <w:basedOn w:val="Normale"/>
    <w:next w:val="Indice1"/>
    <w:uiPriority w:val="99"/>
    <w:semiHidden/>
    <w:rsid w:val="002D609F"/>
    <w:rPr>
      <w:rFonts w:asciiTheme="majorHAnsi" w:eastAsiaTheme="majorEastAsia" w:hAnsiTheme="majorHAnsi" w:cstheme="majorBidi"/>
      <w:b/>
      <w:bCs/>
    </w:rPr>
  </w:style>
  <w:style w:type="table" w:styleId="Grigliachiara">
    <w:name w:val="Light Grid"/>
    <w:basedOn w:val="Tabellanormale"/>
    <w:uiPriority w:val="62"/>
    <w:semiHidden/>
    <w:rsid w:val="002D60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609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609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609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609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609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609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60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609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609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609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609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609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609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60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609F"/>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609F"/>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609F"/>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609F"/>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609F"/>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609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609F"/>
  </w:style>
  <w:style w:type="paragraph" w:styleId="Elenco">
    <w:name w:val="List"/>
    <w:basedOn w:val="Normale"/>
    <w:uiPriority w:val="99"/>
    <w:semiHidden/>
    <w:rsid w:val="002D609F"/>
    <w:pPr>
      <w:ind w:left="283" w:hanging="283"/>
      <w:contextualSpacing/>
    </w:pPr>
  </w:style>
  <w:style w:type="paragraph" w:styleId="Elenco2">
    <w:name w:val="List 2"/>
    <w:basedOn w:val="Normale"/>
    <w:uiPriority w:val="99"/>
    <w:semiHidden/>
    <w:rsid w:val="002D609F"/>
    <w:pPr>
      <w:ind w:left="566" w:hanging="283"/>
      <w:contextualSpacing/>
    </w:pPr>
  </w:style>
  <w:style w:type="paragraph" w:styleId="Elenco3">
    <w:name w:val="List 3"/>
    <w:basedOn w:val="Normale"/>
    <w:uiPriority w:val="99"/>
    <w:semiHidden/>
    <w:rsid w:val="002D609F"/>
    <w:pPr>
      <w:ind w:left="849" w:hanging="283"/>
      <w:contextualSpacing/>
    </w:pPr>
  </w:style>
  <w:style w:type="paragraph" w:styleId="Elenco4">
    <w:name w:val="List 4"/>
    <w:basedOn w:val="Normale"/>
    <w:uiPriority w:val="99"/>
    <w:semiHidden/>
    <w:rsid w:val="002D609F"/>
    <w:pPr>
      <w:ind w:left="1132" w:hanging="283"/>
      <w:contextualSpacing/>
    </w:pPr>
  </w:style>
  <w:style w:type="paragraph" w:styleId="Elenco5">
    <w:name w:val="List 5"/>
    <w:basedOn w:val="Normale"/>
    <w:uiPriority w:val="99"/>
    <w:semiHidden/>
    <w:rsid w:val="002D609F"/>
    <w:pPr>
      <w:ind w:left="1415" w:hanging="283"/>
      <w:contextualSpacing/>
    </w:pPr>
  </w:style>
  <w:style w:type="paragraph" w:styleId="Puntoelenco">
    <w:name w:val="List Bullet"/>
    <w:basedOn w:val="Normale"/>
    <w:uiPriority w:val="99"/>
    <w:semiHidden/>
    <w:rsid w:val="002D609F"/>
    <w:pPr>
      <w:numPr>
        <w:numId w:val="36"/>
      </w:numPr>
    </w:pPr>
  </w:style>
  <w:style w:type="paragraph" w:styleId="Puntoelenco4">
    <w:name w:val="List Bullet 4"/>
    <w:basedOn w:val="Normale"/>
    <w:uiPriority w:val="99"/>
    <w:semiHidden/>
    <w:rsid w:val="002D609F"/>
    <w:pPr>
      <w:numPr>
        <w:numId w:val="39"/>
      </w:numPr>
      <w:contextualSpacing/>
    </w:pPr>
  </w:style>
  <w:style w:type="paragraph" w:styleId="Puntoelenco5">
    <w:name w:val="List Bullet 5"/>
    <w:basedOn w:val="Normale"/>
    <w:uiPriority w:val="99"/>
    <w:semiHidden/>
    <w:rsid w:val="002D609F"/>
    <w:pPr>
      <w:numPr>
        <w:numId w:val="40"/>
      </w:numPr>
      <w:contextualSpacing/>
    </w:pPr>
  </w:style>
  <w:style w:type="paragraph" w:styleId="Elencocontinua">
    <w:name w:val="List Continue"/>
    <w:basedOn w:val="Normale"/>
    <w:uiPriority w:val="99"/>
    <w:semiHidden/>
    <w:rsid w:val="002D609F"/>
    <w:pPr>
      <w:spacing w:after="120"/>
      <w:ind w:left="283"/>
      <w:contextualSpacing/>
    </w:pPr>
  </w:style>
  <w:style w:type="paragraph" w:styleId="Elencocontinua2">
    <w:name w:val="List Continue 2"/>
    <w:basedOn w:val="Normale"/>
    <w:uiPriority w:val="99"/>
    <w:semiHidden/>
    <w:rsid w:val="002D609F"/>
    <w:pPr>
      <w:spacing w:after="120"/>
      <w:ind w:left="566"/>
      <w:contextualSpacing/>
    </w:pPr>
  </w:style>
  <w:style w:type="paragraph" w:styleId="Elencocontinua3">
    <w:name w:val="List Continue 3"/>
    <w:basedOn w:val="Normale"/>
    <w:uiPriority w:val="99"/>
    <w:semiHidden/>
    <w:rsid w:val="002D609F"/>
    <w:pPr>
      <w:spacing w:after="120"/>
      <w:ind w:left="849"/>
      <w:contextualSpacing/>
    </w:pPr>
  </w:style>
  <w:style w:type="paragraph" w:styleId="Elencocontinua4">
    <w:name w:val="List Continue 4"/>
    <w:basedOn w:val="Normale"/>
    <w:uiPriority w:val="99"/>
    <w:semiHidden/>
    <w:rsid w:val="002D609F"/>
    <w:pPr>
      <w:spacing w:after="120"/>
      <w:ind w:left="1132"/>
      <w:contextualSpacing/>
    </w:pPr>
  </w:style>
  <w:style w:type="paragraph" w:styleId="Elencocontinua5">
    <w:name w:val="List Continue 5"/>
    <w:basedOn w:val="Normale"/>
    <w:uiPriority w:val="99"/>
    <w:semiHidden/>
    <w:rsid w:val="002D609F"/>
    <w:pPr>
      <w:spacing w:after="120"/>
      <w:ind w:left="1415"/>
      <w:contextualSpacing/>
    </w:pPr>
  </w:style>
  <w:style w:type="paragraph" w:styleId="Numeroelenco">
    <w:name w:val="List Number"/>
    <w:basedOn w:val="Normale"/>
    <w:uiPriority w:val="99"/>
    <w:semiHidden/>
    <w:rsid w:val="002D609F"/>
    <w:pPr>
      <w:numPr>
        <w:numId w:val="41"/>
      </w:numPr>
      <w:contextualSpacing/>
    </w:pPr>
  </w:style>
  <w:style w:type="paragraph" w:styleId="Numeroelenco2">
    <w:name w:val="List Number 2"/>
    <w:basedOn w:val="Normale"/>
    <w:uiPriority w:val="99"/>
    <w:semiHidden/>
    <w:rsid w:val="002D609F"/>
    <w:pPr>
      <w:numPr>
        <w:numId w:val="42"/>
      </w:numPr>
      <w:contextualSpacing/>
    </w:pPr>
  </w:style>
  <w:style w:type="paragraph" w:styleId="Numeroelenco3">
    <w:name w:val="List Number 3"/>
    <w:basedOn w:val="Normale"/>
    <w:uiPriority w:val="99"/>
    <w:semiHidden/>
    <w:rsid w:val="002D609F"/>
    <w:pPr>
      <w:numPr>
        <w:numId w:val="43"/>
      </w:numPr>
      <w:contextualSpacing/>
    </w:pPr>
  </w:style>
  <w:style w:type="paragraph" w:styleId="Numeroelenco4">
    <w:name w:val="List Number 4"/>
    <w:basedOn w:val="Normale"/>
    <w:uiPriority w:val="99"/>
    <w:semiHidden/>
    <w:rsid w:val="002D609F"/>
    <w:pPr>
      <w:numPr>
        <w:numId w:val="44"/>
      </w:numPr>
      <w:contextualSpacing/>
    </w:pPr>
  </w:style>
  <w:style w:type="paragraph" w:styleId="Numeroelenco5">
    <w:name w:val="List Number 5"/>
    <w:basedOn w:val="Normale"/>
    <w:uiPriority w:val="99"/>
    <w:semiHidden/>
    <w:rsid w:val="002D609F"/>
    <w:pPr>
      <w:numPr>
        <w:numId w:val="45"/>
      </w:numPr>
      <w:contextualSpacing/>
    </w:pPr>
  </w:style>
  <w:style w:type="paragraph" w:styleId="Testomacro">
    <w:name w:val="macro"/>
    <w:link w:val="TestomacroCarattere"/>
    <w:uiPriority w:val="99"/>
    <w:semiHidden/>
    <w:rsid w:val="002D609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609F"/>
    <w:rPr>
      <w:rFonts w:ascii="Consolas" w:eastAsiaTheme="minorEastAsia" w:hAnsi="Consolas" w:cs="Consolas"/>
      <w:sz w:val="20"/>
      <w:szCs w:val="20"/>
    </w:rPr>
  </w:style>
  <w:style w:type="table" w:styleId="Grigliamedia1">
    <w:name w:val="Medium Grid 1"/>
    <w:basedOn w:val="Tabellanormale"/>
    <w:uiPriority w:val="67"/>
    <w:semiHidden/>
    <w:rsid w:val="002D60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609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609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609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609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609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609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609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609F"/>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609F"/>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609F"/>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609F"/>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609F"/>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609F"/>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60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609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609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609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609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609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609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60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609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2D609F"/>
    <w:rPr>
      <w:rFonts w:ascii="Times New Roman" w:hAnsi="Times New Roman" w:cs="Times New Roman"/>
      <w:szCs w:val="24"/>
    </w:rPr>
  </w:style>
  <w:style w:type="paragraph" w:styleId="Rientronormale">
    <w:name w:val="Normal Indent"/>
    <w:basedOn w:val="Normale"/>
    <w:uiPriority w:val="99"/>
    <w:semiHidden/>
    <w:rsid w:val="002D609F"/>
    <w:pPr>
      <w:ind w:left="720"/>
    </w:pPr>
  </w:style>
  <w:style w:type="paragraph" w:styleId="Intestazionenota">
    <w:name w:val="Note Heading"/>
    <w:basedOn w:val="Normale"/>
    <w:next w:val="Normale"/>
    <w:link w:val="IntestazionenotaCarattere"/>
    <w:uiPriority w:val="99"/>
    <w:semiHidden/>
    <w:rsid w:val="002D609F"/>
  </w:style>
  <w:style w:type="character" w:customStyle="1" w:styleId="IntestazionenotaCarattere">
    <w:name w:val="Intestazione nota Carattere"/>
    <w:basedOn w:val="Carpredefinitoparagrafo"/>
    <w:link w:val="Intestazionenota"/>
    <w:uiPriority w:val="99"/>
    <w:semiHidden/>
    <w:rsid w:val="002D609F"/>
    <w:rPr>
      <w:rFonts w:eastAsiaTheme="minorEastAsia"/>
      <w:sz w:val="24"/>
      <w:lang w:val="fr-FR"/>
    </w:rPr>
  </w:style>
  <w:style w:type="character" w:styleId="Testosegnaposto">
    <w:name w:val="Placeholder Text"/>
    <w:basedOn w:val="Carpredefinitoparagrafo"/>
    <w:uiPriority w:val="99"/>
    <w:semiHidden/>
    <w:rsid w:val="002D609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609F"/>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609F"/>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2D609F"/>
  </w:style>
  <w:style w:type="character" w:customStyle="1" w:styleId="FormuladiaperturaCarattere">
    <w:name w:val="Formula di apertura Carattere"/>
    <w:basedOn w:val="Carpredefinitoparagrafo"/>
    <w:link w:val="Formuladiapertura"/>
    <w:uiPriority w:val="99"/>
    <w:semiHidden/>
    <w:rsid w:val="002D609F"/>
    <w:rPr>
      <w:rFonts w:eastAsiaTheme="minorEastAsia"/>
      <w:sz w:val="24"/>
      <w:lang w:val="fr-FR"/>
    </w:rPr>
  </w:style>
  <w:style w:type="paragraph" w:styleId="Firma">
    <w:name w:val="Signature"/>
    <w:basedOn w:val="Normale"/>
    <w:link w:val="FirmaCarattere"/>
    <w:uiPriority w:val="99"/>
    <w:semiHidden/>
    <w:rsid w:val="002D609F"/>
    <w:pPr>
      <w:ind w:left="4252"/>
    </w:pPr>
  </w:style>
  <w:style w:type="character" w:customStyle="1" w:styleId="FirmaCarattere">
    <w:name w:val="Firma Carattere"/>
    <w:basedOn w:val="Carpredefinitoparagrafo"/>
    <w:link w:val="Firma"/>
    <w:uiPriority w:val="99"/>
    <w:semiHidden/>
    <w:rsid w:val="002D609F"/>
    <w:rPr>
      <w:rFonts w:eastAsiaTheme="minorEastAsia"/>
      <w:sz w:val="24"/>
      <w:lang w:val="fr-FR"/>
    </w:rPr>
  </w:style>
  <w:style w:type="table" w:styleId="Tabellaeffetti3D1">
    <w:name w:val="Table 3D effects 1"/>
    <w:basedOn w:val="Tabellanormale"/>
    <w:uiPriority w:val="99"/>
    <w:semiHidden/>
    <w:unhideWhenUsed/>
    <w:rsid w:val="002D609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609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609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609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609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609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609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609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609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609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609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609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609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609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609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609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609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D609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D609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D609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D609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D609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2D609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D609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D609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D609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D609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D609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609F"/>
    <w:pPr>
      <w:ind w:left="240" w:hanging="240"/>
    </w:pPr>
  </w:style>
  <w:style w:type="paragraph" w:styleId="Indicedellefigure">
    <w:name w:val="table of figures"/>
    <w:basedOn w:val="Normale"/>
    <w:next w:val="Normale"/>
    <w:uiPriority w:val="99"/>
    <w:semiHidden/>
    <w:rsid w:val="002D609F"/>
  </w:style>
  <w:style w:type="table" w:styleId="Tabellaprofessionale">
    <w:name w:val="Table Professional"/>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609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609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609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609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60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609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609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609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2D609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2D609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609F"/>
    <w:pPr>
      <w:spacing w:after="100"/>
      <w:ind w:left="1680"/>
    </w:pPr>
  </w:style>
  <w:style w:type="paragraph" w:styleId="Sommario9">
    <w:name w:val="toc 9"/>
    <w:basedOn w:val="Normale"/>
    <w:next w:val="Normale"/>
    <w:autoRedefine/>
    <w:uiPriority w:val="99"/>
    <w:semiHidden/>
    <w:rsid w:val="002D609F"/>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2D609F"/>
    <w:pPr>
      <w:pBdr>
        <w:top w:val="single" w:sz="6" w:space="1" w:color="5F5F5F"/>
      </w:pBdr>
      <w:tabs>
        <w:tab w:val="center" w:pos="4536"/>
        <w:tab w:val="right" w:pos="9696"/>
      </w:tabs>
      <w:ind w:left="-680" w:right="-680"/>
    </w:pPr>
    <w:rPr>
      <w:color w:val="5F5F5F"/>
    </w:rPr>
  </w:style>
  <w:style w:type="paragraph" w:customStyle="1" w:styleId="JuHeaderLandscape">
    <w:name w:val="Ju_Header_Landscape"/>
    <w:aliases w:val="_Header_Landscape"/>
    <w:basedOn w:val="JuHeader"/>
    <w:uiPriority w:val="30"/>
    <w:qFormat/>
    <w:rsid w:val="002D609F"/>
    <w:pPr>
      <w:tabs>
        <w:tab w:val="clear" w:pos="3686"/>
        <w:tab w:val="clear" w:pos="7371"/>
        <w:tab w:val="center" w:pos="6146"/>
        <w:tab w:val="right" w:pos="12293"/>
      </w:tabs>
    </w:pPr>
  </w:style>
  <w:style w:type="character" w:customStyle="1" w:styleId="JuParaChar">
    <w:name w:val="Ju_Para Char"/>
    <w:aliases w:val="_Para Char"/>
    <w:link w:val="JuPara"/>
    <w:uiPriority w:val="12"/>
    <w:rsid w:val="00950340"/>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hudoc.echr.coe.int/sites/eng/Pages/search.aspx" TargetMode="External"/><Relationship Id="rId17" Type="http://schemas.openxmlformats.org/officeDocument/2006/relationships/hyperlink" Target="http://hudoc.echr.coe.int/sites/eng/Pages/search.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doc.echr.coe.int/sites/eng/Pages/search.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F4E9-39FD-44C7-96AC-B2E258988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58A6A-AEAA-4C50-9C83-6DDEE10FA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0D3C20-E848-437E-A051-58831323351A}">
  <ds:schemaRefs>
    <ds:schemaRef ds:uri="http://schemas.microsoft.com/sharepoint/v3/contenttype/forms"/>
  </ds:schemaRefs>
</ds:datastoreItem>
</file>

<file path=customXml/itemProps4.xml><?xml version="1.0" encoding="utf-8"?>
<ds:datastoreItem xmlns:ds="http://schemas.openxmlformats.org/officeDocument/2006/customXml" ds:itemID="{A112E8E3-C5E2-47CB-9AF7-73B43589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2531</Words>
  <Characters>14427</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2019-10-23T12:08:00Z</dcterms:created>
  <dcterms:modified xsi:type="dcterms:W3CDTF">2019-10-23T12:08:00Z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42401/13</vt:lpwstr>
  </property>
  <property fmtid="{D5CDD505-2E9C-101B-9397-08002B2CF9AE}" pid="4" name="CASEID">
    <vt:lpwstr>893035</vt:lpwstr>
  </property>
  <property fmtid="{D5CDD505-2E9C-101B-9397-08002B2CF9AE}" pid="5" name="ContentTypeId">
    <vt:lpwstr>0x010100558EB02BDB9E204AB350EDD385B68E10</vt:lpwstr>
  </property>
</Properties>
</file>