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4E3785" w:rsidRDefault="008F2985" w:rsidP="004E3785">
      <w:pPr>
        <w:jc w:val="center"/>
        <w:rPr>
          <w:lang w:val="fr-FR"/>
        </w:rPr>
      </w:pPr>
      <w:bookmarkStart w:id="0" w:name="_GoBack"/>
      <w:bookmarkEnd w:id="0"/>
    </w:p>
    <w:p w:rsidR="0094178F" w:rsidRPr="004E3785" w:rsidRDefault="008F2985" w:rsidP="004E3785">
      <w:pPr>
        <w:jc w:val="center"/>
        <w:rPr>
          <w:sz w:val="4"/>
          <w:szCs w:val="4"/>
          <w:lang w:val="fr-FR"/>
        </w:rPr>
      </w:pPr>
    </w:p>
    <w:p w:rsidR="006544C4" w:rsidRPr="004E3785" w:rsidRDefault="00F91D20" w:rsidP="004E3785">
      <w:pPr>
        <w:pStyle w:val="DecHTitle"/>
        <w:rPr>
          <w:lang w:val="fr-FR"/>
        </w:rPr>
      </w:pPr>
      <w:r w:rsidRPr="004E3785">
        <w:rPr>
          <w:szCs w:val="24"/>
          <w:lang w:val="fr-FR"/>
        </w:rPr>
        <w:t>PREMIÈRE SECTION</w:t>
      </w:r>
    </w:p>
    <w:p w:rsidR="006544C4" w:rsidRPr="004E3785" w:rsidRDefault="00631873" w:rsidP="004E3785">
      <w:pPr>
        <w:pStyle w:val="DecHTitle"/>
        <w:rPr>
          <w:caps/>
          <w:sz w:val="32"/>
          <w:lang w:val="fr-FR"/>
        </w:rPr>
      </w:pPr>
      <w:r w:rsidRPr="004E3785">
        <w:rPr>
          <w:lang w:val="fr-FR"/>
        </w:rPr>
        <w:t>DÉCISION</w:t>
      </w:r>
    </w:p>
    <w:p w:rsidR="006544C4" w:rsidRPr="004E3785" w:rsidRDefault="00F91D20" w:rsidP="004E3785">
      <w:pPr>
        <w:pStyle w:val="ECHRTitleCentre2"/>
        <w:rPr>
          <w:lang w:val="fr-FR"/>
        </w:rPr>
      </w:pPr>
      <w:r w:rsidRPr="004E3785">
        <w:rPr>
          <w:lang w:val="fr-FR"/>
        </w:rPr>
        <w:t>Requête n</w:t>
      </w:r>
      <w:r w:rsidRPr="004E3785">
        <w:rPr>
          <w:vertAlign w:val="superscript"/>
          <w:lang w:val="fr-FR"/>
        </w:rPr>
        <w:t>o</w:t>
      </w:r>
      <w:r w:rsidR="00631873" w:rsidRPr="004E3785">
        <w:rPr>
          <w:lang w:val="fr-FR"/>
        </w:rPr>
        <w:t xml:space="preserve"> </w:t>
      </w:r>
      <w:r w:rsidRPr="004E3785">
        <w:rPr>
          <w:lang w:val="fr-FR"/>
        </w:rPr>
        <w:t>16320/14</w:t>
      </w:r>
      <w:r w:rsidR="00631873" w:rsidRPr="004E3785">
        <w:rPr>
          <w:lang w:val="fr-FR"/>
        </w:rPr>
        <w:br/>
      </w:r>
      <w:r w:rsidRPr="004E3785">
        <w:rPr>
          <w:lang w:val="fr-FR"/>
        </w:rPr>
        <w:t xml:space="preserve">Massimiliano VALIA </w:t>
      </w:r>
      <w:r w:rsidR="00631873" w:rsidRPr="004E3785">
        <w:rPr>
          <w:lang w:val="fr-FR"/>
        </w:rPr>
        <w:t xml:space="preserve">contre </w:t>
      </w:r>
      <w:r w:rsidRPr="004E3785">
        <w:rPr>
          <w:lang w:val="fr-FR"/>
        </w:rPr>
        <w:t>l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Italie</w:t>
      </w:r>
      <w:r w:rsidRPr="004E3785">
        <w:rPr>
          <w:lang w:val="fr-FR"/>
        </w:rPr>
        <w:br/>
        <w:t xml:space="preserve">et </w:t>
      </w:r>
      <w:r w:rsidR="00182EDB" w:rsidRPr="004E3785">
        <w:rPr>
          <w:lang w:val="fr-FR"/>
        </w:rPr>
        <w:t>7</w:t>
      </w:r>
      <w:r w:rsidRPr="004E3785">
        <w:rPr>
          <w:lang w:val="fr-FR"/>
        </w:rPr>
        <w:t xml:space="preserve"> autres </w:t>
      </w:r>
      <w:r w:rsidR="00390469" w:rsidRPr="004E3785">
        <w:rPr>
          <w:lang w:val="fr-FR"/>
        </w:rPr>
        <w:t xml:space="preserve">requêtes </w:t>
      </w:r>
      <w:r w:rsidRPr="004E3785">
        <w:rPr>
          <w:lang w:val="fr-FR"/>
        </w:rPr>
        <w:br/>
        <w:t>(voir liste en annexe)</w:t>
      </w:r>
    </w:p>
    <w:p w:rsidR="006544C4" w:rsidRPr="004E3785" w:rsidRDefault="008F2985" w:rsidP="004E3785">
      <w:pPr>
        <w:pStyle w:val="ECHRPara"/>
        <w:rPr>
          <w:sz w:val="2"/>
          <w:szCs w:val="2"/>
          <w:lang w:val="fr-FR" w:eastAsia="en-GB"/>
        </w:rPr>
      </w:pPr>
    </w:p>
    <w:p w:rsidR="00F91D20" w:rsidRPr="004E3785" w:rsidRDefault="00F91D20" w:rsidP="004E3785">
      <w:pPr>
        <w:pStyle w:val="ECHRPara"/>
        <w:rPr>
          <w:lang w:val="fr-FR"/>
        </w:rPr>
      </w:pPr>
      <w:r w:rsidRPr="004E3785">
        <w:rPr>
          <w:lang w:val="fr-FR"/>
        </w:rPr>
        <w:t>La Cour européenne des droits de l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 xml:space="preserve">homme (première section), siégeant le </w:t>
      </w:r>
      <w:r w:rsidR="00631873" w:rsidRPr="004E3785">
        <w:rPr>
          <w:lang w:val="fr-FR"/>
        </w:rPr>
        <w:t>18 juin 2019</w:t>
      </w:r>
      <w:r w:rsidRPr="004E3785">
        <w:rPr>
          <w:lang w:val="fr-FR"/>
        </w:rPr>
        <w:t xml:space="preserve"> en un comité composé de :</w:t>
      </w:r>
    </w:p>
    <w:p w:rsidR="00F91D20" w:rsidRPr="004E3785" w:rsidRDefault="00631873" w:rsidP="004E3785">
      <w:pPr>
        <w:pStyle w:val="ECHRDecisionBody"/>
        <w:rPr>
          <w:lang w:val="fr-FR"/>
        </w:rPr>
      </w:pPr>
      <w:r w:rsidRPr="004E3785">
        <w:rPr>
          <w:lang w:val="fr-FR"/>
        </w:rPr>
        <w:tab/>
        <w:t>Aleš Pejchal,</w:t>
      </w:r>
      <w:r w:rsidRPr="004E3785">
        <w:rPr>
          <w:i/>
          <w:lang w:val="fr-FR"/>
        </w:rPr>
        <w:t xml:space="preserve"> président,</w:t>
      </w:r>
      <w:r w:rsidRPr="004E3785">
        <w:rPr>
          <w:i/>
          <w:lang w:val="fr-FR"/>
        </w:rPr>
        <w:br/>
      </w:r>
      <w:r w:rsidRPr="004E3785">
        <w:rPr>
          <w:lang w:val="fr-FR"/>
        </w:rPr>
        <w:tab/>
        <w:t>Tim Eicke,</w:t>
      </w:r>
      <w:r w:rsidRPr="004E3785">
        <w:rPr>
          <w:i/>
          <w:lang w:val="fr-FR"/>
        </w:rPr>
        <w:br/>
      </w:r>
      <w:r w:rsidRPr="004E3785">
        <w:rPr>
          <w:lang w:val="fr-FR"/>
        </w:rPr>
        <w:tab/>
        <w:t>Raffaele Sabato,</w:t>
      </w:r>
      <w:r w:rsidRPr="004E3785">
        <w:rPr>
          <w:i/>
          <w:lang w:val="fr-FR"/>
        </w:rPr>
        <w:t xml:space="preserve"> juges,</w:t>
      </w:r>
      <w:r w:rsidRPr="004E3785">
        <w:rPr>
          <w:i/>
          <w:lang w:val="fr-FR"/>
        </w:rPr>
        <w:br/>
      </w:r>
      <w:r w:rsidR="00F91D20" w:rsidRPr="004E3785">
        <w:rPr>
          <w:lang w:val="fr-FR"/>
        </w:rPr>
        <w:t xml:space="preserve">et de Renata Degener, </w:t>
      </w:r>
      <w:r w:rsidR="00F91D20" w:rsidRPr="004E3785">
        <w:rPr>
          <w:i/>
          <w:lang w:val="fr-FR"/>
        </w:rPr>
        <w:t>greffière adjointe</w:t>
      </w:r>
      <w:r w:rsidR="00F91D20" w:rsidRPr="004E3785">
        <w:rPr>
          <w:i/>
          <w:iCs/>
          <w:lang w:val="fr-FR"/>
        </w:rPr>
        <w:t xml:space="preserve"> d</w:t>
      </w:r>
      <w:r w:rsidR="00F91D20" w:rsidRPr="004E3785">
        <w:rPr>
          <w:i/>
          <w:lang w:val="fr-FR"/>
        </w:rPr>
        <w:t>e section</w:t>
      </w:r>
      <w:r w:rsidR="00F91D20" w:rsidRPr="004E3785">
        <w:rPr>
          <w:lang w:val="fr-FR"/>
        </w:rPr>
        <w:t>,</w:t>
      </w:r>
    </w:p>
    <w:p w:rsidR="00F91D20" w:rsidRPr="004E3785" w:rsidRDefault="00F91D20" w:rsidP="004E3785">
      <w:pPr>
        <w:pStyle w:val="ECHRPara"/>
        <w:rPr>
          <w:lang w:val="fr-FR"/>
        </w:rPr>
      </w:pPr>
      <w:r w:rsidRPr="004E3785">
        <w:rPr>
          <w:lang w:val="fr-FR"/>
        </w:rPr>
        <w:t>Vu les requêtes susmentionnées introduites aux dates indiquées dans le tableau joint en annexe,</w:t>
      </w:r>
    </w:p>
    <w:p w:rsidR="00F91D20" w:rsidRPr="004E3785" w:rsidRDefault="00F91D20" w:rsidP="004E3785">
      <w:pPr>
        <w:pStyle w:val="ECHRPara"/>
        <w:rPr>
          <w:lang w:val="fr-FR"/>
        </w:rPr>
      </w:pPr>
      <w:r w:rsidRPr="004E3785">
        <w:rPr>
          <w:lang w:val="fr-FR"/>
        </w:rPr>
        <w:t>Vu les observations soumises par le gouvernement défendeur et celles présentées en réponse par les requérants,</w:t>
      </w:r>
    </w:p>
    <w:p w:rsidR="00F91D20" w:rsidRPr="004E3785" w:rsidRDefault="00F91D20" w:rsidP="004E3785">
      <w:pPr>
        <w:pStyle w:val="ECHRPara"/>
        <w:rPr>
          <w:lang w:val="fr-FR"/>
        </w:rPr>
      </w:pPr>
      <w:r w:rsidRPr="004E3785">
        <w:rPr>
          <w:lang w:val="fr-FR"/>
        </w:rPr>
        <w:t>Après en avoir délibéré, rend la décision suivante :</w:t>
      </w:r>
    </w:p>
    <w:p w:rsidR="00F91D20" w:rsidRPr="004E3785" w:rsidRDefault="00F91D20" w:rsidP="004E3785">
      <w:pPr>
        <w:pStyle w:val="ECHRTitle1"/>
        <w:rPr>
          <w:lang w:val="fr-FR"/>
        </w:rPr>
      </w:pPr>
      <w:r w:rsidRPr="004E3785">
        <w:rPr>
          <w:lang w:val="fr-FR"/>
        </w:rPr>
        <w:t>EN FAIT</w:t>
      </w:r>
    </w:p>
    <w:p w:rsidR="00F91D20" w:rsidRPr="004E3785" w:rsidRDefault="00F91D20" w:rsidP="004E3785">
      <w:pPr>
        <w:pStyle w:val="ECHRPara"/>
        <w:rPr>
          <w:lang w:val="fr-FR"/>
        </w:rPr>
      </w:pPr>
      <w:r w:rsidRPr="004E3785">
        <w:rPr>
          <w:lang w:val="fr-FR"/>
        </w:rPr>
        <w:t>1.  La liste des parties requérantes figure en annexe. Elles ont été représentées par M</w:t>
      </w:r>
      <w:r w:rsidRPr="004E3785">
        <w:rPr>
          <w:vertAlign w:val="superscript"/>
          <w:lang w:val="fr-FR"/>
        </w:rPr>
        <w:t>e</w:t>
      </w:r>
      <w:r w:rsidRPr="004E3785">
        <w:rPr>
          <w:lang w:val="fr-FR"/>
        </w:rPr>
        <w:t xml:space="preserve"> G.C. Parente, avocat à Rome.</w:t>
      </w:r>
    </w:p>
    <w:p w:rsidR="00F91D20" w:rsidRPr="004E3785" w:rsidRDefault="00F91D20" w:rsidP="004E3785">
      <w:pPr>
        <w:pStyle w:val="ECHRPara"/>
        <w:rPr>
          <w:lang w:val="fr-FR"/>
        </w:rPr>
      </w:pPr>
      <w:r w:rsidRPr="004E3785">
        <w:rPr>
          <w:lang w:val="fr-FR"/>
        </w:rPr>
        <w:t>2.  Le gouvernement italien (« le Gouvernement ») a été représenté par son ancien agent, M</w:t>
      </w:r>
      <w:r w:rsidRPr="004E3785">
        <w:rPr>
          <w:vertAlign w:val="superscript"/>
          <w:lang w:val="fr-FR"/>
        </w:rPr>
        <w:t>me</w:t>
      </w:r>
      <w:r w:rsidRPr="004E3785">
        <w:rPr>
          <w:lang w:val="fr-FR"/>
        </w:rPr>
        <w:t xml:space="preserve"> E. Spatafora, et par son ancien coagent, M</w:t>
      </w:r>
      <w:r w:rsidRPr="004E3785">
        <w:rPr>
          <w:vertAlign w:val="superscript"/>
          <w:lang w:val="fr-FR"/>
        </w:rPr>
        <w:t>me </w:t>
      </w:r>
      <w:r w:rsidRPr="004E3785">
        <w:rPr>
          <w:lang w:val="fr-FR"/>
        </w:rPr>
        <w:t>P. Accardo.</w:t>
      </w:r>
    </w:p>
    <w:p w:rsidR="00F91D20" w:rsidRPr="004E3785" w:rsidRDefault="00F91D20" w:rsidP="004E3785">
      <w:pPr>
        <w:pStyle w:val="ECHRHeading2"/>
        <w:rPr>
          <w:lang w:val="fr-FR"/>
        </w:rPr>
      </w:pPr>
      <w:r w:rsidRPr="004E3785">
        <w:rPr>
          <w:lang w:val="fr-FR"/>
        </w:rPr>
        <w:t>A.  Les circonstances de l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espèce</w:t>
      </w:r>
    </w:p>
    <w:p w:rsidR="00F91D20" w:rsidRPr="004E3785" w:rsidRDefault="00F91D20" w:rsidP="004E3785">
      <w:pPr>
        <w:pStyle w:val="ECHRPara"/>
        <w:rPr>
          <w:lang w:val="fr-FR"/>
        </w:rPr>
      </w:pPr>
      <w:r w:rsidRPr="004E3785">
        <w:rPr>
          <w:lang w:val="fr-FR"/>
        </w:rPr>
        <w:t>3.  Les faits de la cause, tels qu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ils ont été exposés par les parties, peuvent se résumer comme suit.</w:t>
      </w:r>
    </w:p>
    <w:p w:rsidR="00F91D20" w:rsidRPr="004E3785" w:rsidRDefault="00F91D20" w:rsidP="004E3785">
      <w:pPr>
        <w:pStyle w:val="ECHRPara"/>
        <w:rPr>
          <w:lang w:val="fr-FR"/>
        </w:rPr>
      </w:pPr>
      <w:r w:rsidRPr="004E3785">
        <w:rPr>
          <w:lang w:val="fr-FR"/>
        </w:rPr>
        <w:t xml:space="preserve">4.  Les requérants introduisirent, à des dates différentes (voir la liste en annexe), des recours administratifs devant le tribunal administratif régional </w:t>
      </w:r>
      <w:r w:rsidRPr="004E3785">
        <w:rPr>
          <w:lang w:val="fr-FR"/>
        </w:rPr>
        <w:lastRenderedPageBreak/>
        <w:t>(« le TAR ») du Latium pour se plaindre de décisions administratives les concernant, relatives à l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accès à la fonction publique. Au cours de la procédure, ils introduisirent de demandes de fixation de l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audience (</w:t>
      </w:r>
      <w:r w:rsidRPr="004E3785">
        <w:rPr>
          <w:i/>
          <w:lang w:val="fr-FR"/>
        </w:rPr>
        <w:t>istanza di fissazione udienza</w:t>
      </w:r>
      <w:r w:rsidRPr="004E3785">
        <w:rPr>
          <w:lang w:val="fr-FR"/>
        </w:rPr>
        <w:t>).</w:t>
      </w:r>
    </w:p>
    <w:p w:rsidR="00F91D20" w:rsidRPr="004E3785" w:rsidRDefault="00F91D20" w:rsidP="004E3785">
      <w:pPr>
        <w:pStyle w:val="ECHRPara"/>
        <w:rPr>
          <w:lang w:val="fr-FR"/>
        </w:rPr>
      </w:pPr>
      <w:r w:rsidRPr="004E3785">
        <w:rPr>
          <w:lang w:val="fr-FR"/>
        </w:rPr>
        <w:t>5.  Les procédures ont eu des durées allant de douze à quinze ans. Le TAR livra ses décisions entre le 15 et le 25 janvier 2013 (voir la liste en annexe).</w:t>
      </w:r>
    </w:p>
    <w:p w:rsidR="00F91D20" w:rsidRPr="004E3785" w:rsidRDefault="00F91D20" w:rsidP="004E3785">
      <w:pPr>
        <w:pStyle w:val="ECHRHeading2"/>
        <w:rPr>
          <w:lang w:val="fr-FR"/>
        </w:rPr>
      </w:pPr>
      <w:r w:rsidRPr="004E3785">
        <w:rPr>
          <w:lang w:val="fr-FR"/>
        </w:rPr>
        <w:t>B.  Le droit interne pertinent</w:t>
      </w:r>
    </w:p>
    <w:p w:rsidR="00F91D20" w:rsidRPr="004E3785" w:rsidRDefault="00F91D20" w:rsidP="004E3785">
      <w:pPr>
        <w:pStyle w:val="ECHRPara"/>
        <w:rPr>
          <w:lang w:val="fr-FR"/>
        </w:rPr>
      </w:pPr>
      <w:bookmarkStart w:id="1" w:name="CPA"/>
      <w:r w:rsidRPr="004E3785">
        <w:rPr>
          <w:lang w:val="fr-FR"/>
        </w:rPr>
        <w:t>6</w:t>
      </w:r>
      <w:bookmarkEnd w:id="1"/>
      <w:r w:rsidRPr="004E3785">
        <w:rPr>
          <w:lang w:val="fr-FR"/>
        </w:rPr>
        <w:t>.  L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article 44 de la loi n</w:t>
      </w:r>
      <w:r w:rsidRPr="004E3785">
        <w:rPr>
          <w:vertAlign w:val="superscript"/>
          <w:lang w:val="fr-FR"/>
        </w:rPr>
        <w:t>o</w:t>
      </w:r>
      <w:r w:rsidRPr="004E3785">
        <w:rPr>
          <w:lang w:val="fr-FR"/>
        </w:rPr>
        <w:t xml:space="preserve"> 69 du 18 juin 2009 délégua le gouvernement à adopter le nouveau code du procès administratif dans le but d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adapter sa discipline à la jurisprudence de la Cour constitutionnelle et de la coordonner aux normes du code de procédure civile. Par décret législatif n</w:t>
      </w:r>
      <w:r w:rsidRPr="004E3785">
        <w:rPr>
          <w:vertAlign w:val="superscript"/>
          <w:lang w:val="fr-FR"/>
        </w:rPr>
        <w:t>o</w:t>
      </w:r>
      <w:r w:rsidRPr="004E3785">
        <w:rPr>
          <w:lang w:val="fr-FR"/>
        </w:rPr>
        <w:t xml:space="preserve"> 104 du 2</w:t>
      </w:r>
      <w:r w:rsidR="002F6AED" w:rsidRPr="004E3785">
        <w:rPr>
          <w:lang w:val="fr-FR"/>
        </w:rPr>
        <w:t> </w:t>
      </w:r>
      <w:r w:rsidRPr="004E3785">
        <w:rPr>
          <w:lang w:val="fr-FR"/>
        </w:rPr>
        <w:t>juillet 2010, le code du procès administratif fut adopté. L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article 92 modifia le délai pour faire appel devant le Conseil d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État, précédemment fixe à un an, en établissant qu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en l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absence de notification du jugement du TAR, l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appel devait être déposé dans les six mois suivant la publication de celui-ci. Quant à la discipline transitoire, l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article 2 du titre II de l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annexe III précisa que « pour les délais en cours à la date d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entrée en vigueur du code, les règles préexistantes continueront à s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appliquer ».</w:t>
      </w:r>
    </w:p>
    <w:p w:rsidR="00F91D20" w:rsidRPr="004E3785" w:rsidRDefault="00F91D20" w:rsidP="004E3785">
      <w:pPr>
        <w:pStyle w:val="ECHRTitle1"/>
        <w:rPr>
          <w:lang w:val="fr-FR"/>
        </w:rPr>
      </w:pPr>
      <w:r w:rsidRPr="004E3785">
        <w:rPr>
          <w:lang w:val="fr-FR"/>
        </w:rPr>
        <w:t>GRIEFS</w:t>
      </w:r>
    </w:p>
    <w:p w:rsidR="00F91D20" w:rsidRPr="004E3785" w:rsidRDefault="00F91D20" w:rsidP="004E3785">
      <w:pPr>
        <w:pStyle w:val="ECHRPara"/>
        <w:rPr>
          <w:lang w:val="fr-FR"/>
        </w:rPr>
      </w:pPr>
      <w:r w:rsidRPr="004E3785">
        <w:rPr>
          <w:lang w:val="fr-FR"/>
        </w:rPr>
        <w:t>7.  Invoquant l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article 13 de la Convention, les requérants se plaignent de l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ineffectivité du remède « Pinto » combiné avec les dispositions relatives à la demande de fixation en urgence de la date de l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audience (</w:t>
      </w:r>
      <w:r w:rsidRPr="004E3785">
        <w:rPr>
          <w:i/>
          <w:lang w:val="fr-FR"/>
        </w:rPr>
        <w:t>istanza di prelievo</w:t>
      </w:r>
      <w:r w:rsidRPr="004E3785">
        <w:rPr>
          <w:lang w:val="fr-FR"/>
        </w:rPr>
        <w:t>).</w:t>
      </w:r>
    </w:p>
    <w:p w:rsidR="00F91D20" w:rsidRPr="004E3785" w:rsidRDefault="00F91D20" w:rsidP="004E3785">
      <w:pPr>
        <w:pStyle w:val="ECHRPara"/>
        <w:rPr>
          <w:lang w:val="fr-FR"/>
        </w:rPr>
      </w:pPr>
      <w:r w:rsidRPr="004E3785">
        <w:rPr>
          <w:lang w:val="fr-FR"/>
        </w:rPr>
        <w:t>8.  Invoquant l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article 6 § 1 de la Convention, les requérants se plaignent de la durée excessive des procédures juridictionnelles administratives auxquelles ils ont été parties.</w:t>
      </w:r>
    </w:p>
    <w:p w:rsidR="00F91D20" w:rsidRPr="004E3785" w:rsidRDefault="00F91D20" w:rsidP="004E3785">
      <w:pPr>
        <w:pStyle w:val="ECHRTitle1"/>
        <w:rPr>
          <w:lang w:val="fr-FR"/>
        </w:rPr>
      </w:pPr>
      <w:r w:rsidRPr="004E3785">
        <w:rPr>
          <w:lang w:val="fr-FR"/>
        </w:rPr>
        <w:t>EN DROIT</w:t>
      </w:r>
    </w:p>
    <w:p w:rsidR="00F91D20" w:rsidRPr="004E3785" w:rsidRDefault="00F91D20" w:rsidP="004E3785">
      <w:pPr>
        <w:pStyle w:val="ECHRPara"/>
        <w:rPr>
          <w:lang w:val="fr-FR"/>
        </w:rPr>
      </w:pPr>
      <w:r w:rsidRPr="004E3785">
        <w:rPr>
          <w:lang w:val="fr-FR"/>
        </w:rPr>
        <w:t>9.  Compte tenu de la similitude des requêtes, la Cour estime approprié de les examiner conjointement en une seule décision.</w:t>
      </w:r>
    </w:p>
    <w:p w:rsidR="00F91D20" w:rsidRPr="004E3785" w:rsidRDefault="00F91D20" w:rsidP="004E3785">
      <w:pPr>
        <w:pStyle w:val="ECHRPara"/>
        <w:rPr>
          <w:lang w:val="fr-FR"/>
        </w:rPr>
      </w:pPr>
      <w:r w:rsidRPr="004E3785">
        <w:rPr>
          <w:lang w:val="fr-FR"/>
        </w:rPr>
        <w:t>10.  Dans ses observations, le Gouvernement soulève une exception de tardiveté des requêtes. Il affirme que le délai de six mois prévu à l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article 35 § 1 de la Convention devrait être calculé à compter de la date de la décision interne définitive, obtenue en appliquant le délai de six mois prévu par les dispositions du code du procès administratif (« le CPA »).</w:t>
      </w:r>
    </w:p>
    <w:p w:rsidR="00F91D20" w:rsidRPr="004E3785" w:rsidRDefault="00F91D20" w:rsidP="004E3785">
      <w:pPr>
        <w:pStyle w:val="ECHRPara"/>
        <w:rPr>
          <w:lang w:val="fr-FR"/>
        </w:rPr>
      </w:pPr>
      <w:r w:rsidRPr="004E3785">
        <w:rPr>
          <w:lang w:val="fr-FR"/>
        </w:rPr>
        <w:lastRenderedPageBreak/>
        <w:t>11.  Les requérants n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ont pas argumenté sur ce point dans leurs observations. Ils ont toutefois présenté à la Cour des attestations du greffe du Conseil d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État indiquant qu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à la date du 2 août 2013, pour un premier groupe d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affaires, et du 1</w:t>
      </w:r>
      <w:r w:rsidRPr="004E3785">
        <w:rPr>
          <w:vertAlign w:val="superscript"/>
          <w:lang w:val="fr-FR"/>
        </w:rPr>
        <w:t>er</w:t>
      </w:r>
      <w:r w:rsidRPr="004E3785">
        <w:rPr>
          <w:lang w:val="fr-FR"/>
        </w:rPr>
        <w:t xml:space="preserve"> octobre 2013 pour les restants, aucun appel n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avait été proposé contre les jugements du TAR.</w:t>
      </w:r>
    </w:p>
    <w:p w:rsidR="00F91D20" w:rsidRPr="004E3785" w:rsidRDefault="00F91D20" w:rsidP="004E3785">
      <w:pPr>
        <w:pStyle w:val="ECHRPara"/>
        <w:rPr>
          <w:lang w:val="fr-FR"/>
        </w:rPr>
      </w:pPr>
      <w:r w:rsidRPr="004E3785">
        <w:rPr>
          <w:lang w:val="fr-FR"/>
        </w:rPr>
        <w:t>12.  La Cour observe que le CPA, adopté par le gouvernement avec le décret législatif n</w:t>
      </w:r>
      <w:r w:rsidRPr="004E3785">
        <w:rPr>
          <w:vertAlign w:val="superscript"/>
          <w:lang w:val="fr-FR"/>
        </w:rPr>
        <w:t>o</w:t>
      </w:r>
      <w:r w:rsidRPr="004E3785">
        <w:rPr>
          <w:lang w:val="fr-FR"/>
        </w:rPr>
        <w:t xml:space="preserve"> 104 du 2 juillet 2010 (loi de délégation n</w:t>
      </w:r>
      <w:r w:rsidRPr="004E3785">
        <w:rPr>
          <w:vertAlign w:val="superscript"/>
          <w:lang w:val="fr-FR"/>
        </w:rPr>
        <w:t>o</w:t>
      </w:r>
      <w:r w:rsidRPr="004E3785">
        <w:rPr>
          <w:lang w:val="fr-FR"/>
        </w:rPr>
        <w:t xml:space="preserve"> 69 de 2009, paragraphe 6 ci-dessus), a porté le délai d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appel au Conseil d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État d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un an à six mois suivant la publication du jugement du TAR. Dans ledit décret, la norme transitoire disposa que pour les « délais en cours » à la date d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entrée en vigueur du CPA continuaient à s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appliquer les dispositions antérieures (paragraphe 6 ci-dessus).</w:t>
      </w:r>
    </w:p>
    <w:p w:rsidR="00F91D20" w:rsidRPr="004E3785" w:rsidRDefault="00F91D20" w:rsidP="004E3785">
      <w:pPr>
        <w:pStyle w:val="ECHRPara"/>
        <w:rPr>
          <w:lang w:val="fr-FR"/>
        </w:rPr>
      </w:pPr>
      <w:r w:rsidRPr="004E3785">
        <w:rPr>
          <w:lang w:val="fr-FR"/>
        </w:rPr>
        <w:t>13.  La Cour remarque qu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en l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espèce les jugements du TAR ont été publiés entre le 15 et le 25 janvier 2013, après l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entrée en vigueur du CPA. Par ailleurs, les requérants n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ont pas indiqué les raisons ni présenté des décisions judiciaires pertinentes indiquant qu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aux procédures les concernant s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appliquerait la discipline antérieure prévoyant un délai d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appel d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un an, plus la période de suspension fériale de quarante-cinq jours, pour saisir le Conseil d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État. À cet égard, la Cour observe également qu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en absence d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autres éléments fournis par les requérants, les attestations du greffe du Conseil d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État ne permettent d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autre interprétation que celle littéralement orientée selon laquelle aucun appel n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avait été introduit de la part des requérants en août et en octobre 2013. Il ne saurait être inféré de ces attestations que le délai d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appel était toujours en cours à ces dates.</w:t>
      </w:r>
    </w:p>
    <w:p w:rsidR="00F91D20" w:rsidRPr="004E3785" w:rsidRDefault="00F91D20" w:rsidP="004E3785">
      <w:pPr>
        <w:pStyle w:val="ECHRPara"/>
        <w:rPr>
          <w:lang w:val="fr-FR"/>
        </w:rPr>
      </w:pPr>
      <w:r w:rsidRPr="004E3785">
        <w:rPr>
          <w:lang w:val="fr-FR"/>
        </w:rPr>
        <w:t>14.  Dès lors, la Cour considère que la date à laquelle les jugements du TAR sont devenus définitifs, au sens de l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article 35 § 1 de la Convention, doit être calculée à partir de l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écoulement du délai de six mois pour l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introduction de l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appel devant le Conseil d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État, au sens de l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article 92 du CPA. De ce fait, il résulte que les jugements du TAR sont devenus définitifs entre le 16 et le 26 juillet 2013.</w:t>
      </w:r>
    </w:p>
    <w:p w:rsidR="00F91D20" w:rsidRPr="004E3785" w:rsidRDefault="00F91D20" w:rsidP="004E3785">
      <w:pPr>
        <w:pStyle w:val="ECHRPara"/>
        <w:rPr>
          <w:lang w:val="fr-FR"/>
        </w:rPr>
      </w:pPr>
      <w:r w:rsidRPr="004E3785">
        <w:rPr>
          <w:lang w:val="fr-FR"/>
        </w:rPr>
        <w:t>15.  Il s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ensuit que les présentes requêtes, introduites entre le 12 et le 24</w:t>
      </w:r>
      <w:r w:rsidR="002F6AED" w:rsidRPr="004E3785">
        <w:rPr>
          <w:lang w:val="fr-FR"/>
        </w:rPr>
        <w:t> </w:t>
      </w:r>
      <w:r w:rsidRPr="004E3785">
        <w:rPr>
          <w:lang w:val="fr-FR"/>
        </w:rPr>
        <w:t>février 2014 (voir la liste en annexe) sont tardives et doivent être rejetées en application de l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article 35 §§ 1 et 4 de la Convention.</w:t>
      </w:r>
    </w:p>
    <w:p w:rsidR="00F91D20" w:rsidRPr="004E3785" w:rsidRDefault="00F91D20" w:rsidP="004E3785">
      <w:pPr>
        <w:pStyle w:val="JuParaLast"/>
        <w:rPr>
          <w:lang w:val="fr-FR"/>
        </w:rPr>
      </w:pPr>
      <w:r w:rsidRPr="004E3785">
        <w:rPr>
          <w:lang w:val="fr-FR"/>
        </w:rPr>
        <w:lastRenderedPageBreak/>
        <w:t>Par ces motifs, la Cour, à l</w:t>
      </w:r>
      <w:r w:rsidR="004E3785" w:rsidRPr="004E3785">
        <w:rPr>
          <w:lang w:val="fr-FR"/>
        </w:rPr>
        <w:t>’</w:t>
      </w:r>
      <w:r w:rsidRPr="004E3785">
        <w:rPr>
          <w:lang w:val="fr-FR"/>
        </w:rPr>
        <w:t>unanimité,</w:t>
      </w:r>
    </w:p>
    <w:p w:rsidR="00F91D20" w:rsidRPr="004E3785" w:rsidRDefault="00F91D20" w:rsidP="004E3785">
      <w:pPr>
        <w:pStyle w:val="DecList"/>
        <w:keepNext/>
        <w:keepLines/>
        <w:rPr>
          <w:lang w:val="fr-FR"/>
        </w:rPr>
      </w:pPr>
      <w:r w:rsidRPr="004E3785">
        <w:rPr>
          <w:i/>
          <w:lang w:val="fr-FR"/>
        </w:rPr>
        <w:t>Décide</w:t>
      </w:r>
      <w:r w:rsidRPr="004E3785">
        <w:rPr>
          <w:lang w:val="fr-FR"/>
        </w:rPr>
        <w:t xml:space="preserve"> de joindre les requêtes ;</w:t>
      </w:r>
    </w:p>
    <w:p w:rsidR="00F91D20" w:rsidRPr="004E3785" w:rsidRDefault="00F91D20" w:rsidP="004E3785">
      <w:pPr>
        <w:pStyle w:val="DecList"/>
        <w:keepNext/>
        <w:keepLines/>
        <w:rPr>
          <w:lang w:val="fr-FR"/>
        </w:rPr>
      </w:pPr>
      <w:r w:rsidRPr="004E3785">
        <w:rPr>
          <w:i/>
          <w:lang w:val="fr-FR"/>
        </w:rPr>
        <w:t>Déclare</w:t>
      </w:r>
      <w:r w:rsidRPr="004E3785">
        <w:rPr>
          <w:lang w:val="fr-FR"/>
        </w:rPr>
        <w:t xml:space="preserve"> les requêtes irrecevables.</w:t>
      </w:r>
    </w:p>
    <w:p w:rsidR="00050A32" w:rsidRPr="004E3785" w:rsidRDefault="00631873" w:rsidP="004E3785">
      <w:pPr>
        <w:pStyle w:val="JuParaLast"/>
        <w:rPr>
          <w:lang w:val="fr-FR"/>
        </w:rPr>
      </w:pPr>
      <w:r w:rsidRPr="004E3785">
        <w:rPr>
          <w:szCs w:val="24"/>
          <w:lang w:val="fr-FR"/>
        </w:rPr>
        <w:t xml:space="preserve">Fait en français puis communiqué par écrit le </w:t>
      </w:r>
      <w:r w:rsidR="00F91D20" w:rsidRPr="004E3785">
        <w:rPr>
          <w:szCs w:val="24"/>
          <w:lang w:val="fr-FR"/>
        </w:rPr>
        <w:t>11 juillet 2019</w:t>
      </w:r>
      <w:r w:rsidRPr="004E3785">
        <w:rPr>
          <w:lang w:val="fr-FR"/>
        </w:rPr>
        <w:t>.</w:t>
      </w:r>
    </w:p>
    <w:p w:rsidR="0091478F" w:rsidRPr="004E3785" w:rsidRDefault="00631873" w:rsidP="004E3785">
      <w:pPr>
        <w:pStyle w:val="JuSigned"/>
        <w:keepNext/>
        <w:keepLines/>
        <w:rPr>
          <w:lang w:val="fr-FR"/>
        </w:rPr>
      </w:pPr>
      <w:r w:rsidRPr="004E3785">
        <w:rPr>
          <w:lang w:val="fr-FR"/>
        </w:rPr>
        <w:tab/>
      </w:r>
      <w:r w:rsidR="00B84B4C" w:rsidRPr="004E3785">
        <w:rPr>
          <w:lang w:val="fr-FR"/>
        </w:rPr>
        <w:t>Renata Degener</w:t>
      </w:r>
      <w:r w:rsidRPr="004E3785">
        <w:rPr>
          <w:lang w:val="fr-FR"/>
        </w:rPr>
        <w:tab/>
      </w:r>
      <w:r w:rsidR="00F91D20" w:rsidRPr="004E3785">
        <w:rPr>
          <w:lang w:val="fr-FR"/>
        </w:rPr>
        <w:t>Aleš Pejchal</w:t>
      </w:r>
      <w:r w:rsidRPr="004E3785">
        <w:rPr>
          <w:lang w:val="fr-FR"/>
        </w:rPr>
        <w:br/>
      </w:r>
      <w:r w:rsidRPr="004E3785">
        <w:rPr>
          <w:iCs/>
          <w:lang w:val="fr-FR"/>
        </w:rPr>
        <w:tab/>
      </w:r>
      <w:r w:rsidR="00B84B4C" w:rsidRPr="004E3785">
        <w:rPr>
          <w:lang w:val="fr-FR"/>
        </w:rPr>
        <w:t>Greffière adjointe</w:t>
      </w:r>
      <w:r w:rsidRPr="004E3785">
        <w:rPr>
          <w:lang w:val="fr-FR"/>
        </w:rPr>
        <w:tab/>
      </w:r>
      <w:r w:rsidR="00F91D20" w:rsidRPr="004E3785">
        <w:rPr>
          <w:lang w:val="fr-FR"/>
        </w:rPr>
        <w:t>Président</w:t>
      </w:r>
    </w:p>
    <w:p w:rsidR="00F91D20" w:rsidRPr="004E3785" w:rsidRDefault="00F91D20" w:rsidP="004E3785">
      <w:pPr>
        <w:keepNext/>
        <w:keepLines/>
        <w:rPr>
          <w:lang w:val="fr-FR"/>
        </w:rPr>
      </w:pPr>
      <w:r w:rsidRPr="004E3785">
        <w:rPr>
          <w:lang w:val="fr-FR"/>
        </w:rPr>
        <w:br w:type="page"/>
      </w:r>
    </w:p>
    <w:p w:rsidR="00F91D20" w:rsidRPr="004E3785" w:rsidRDefault="00F91D20" w:rsidP="004E3785">
      <w:pPr>
        <w:pStyle w:val="JuTitle"/>
        <w:rPr>
          <w:lang w:val="fr-FR"/>
        </w:rPr>
      </w:pPr>
      <w:r w:rsidRPr="004E3785">
        <w:rPr>
          <w:lang w:val="fr-FR"/>
        </w:rPr>
        <w:lastRenderedPageBreak/>
        <w:t>ANNEXE</w:t>
      </w:r>
    </w:p>
    <w:p w:rsidR="00F91D20" w:rsidRPr="004E3785" w:rsidRDefault="00F91D20" w:rsidP="004E3785">
      <w:pPr>
        <w:rPr>
          <w:szCs w:val="24"/>
          <w:lang w:val="fr-FR"/>
        </w:rPr>
      </w:pPr>
    </w:p>
    <w:tbl>
      <w:tblPr>
        <w:tblStyle w:val="ECHRListTable"/>
        <w:tblW w:w="0" w:type="auto"/>
        <w:tblLook w:val="05E0" w:firstRow="1" w:lastRow="1" w:firstColumn="1" w:lastColumn="1" w:noHBand="0" w:noVBand="1"/>
      </w:tblPr>
      <w:tblGrid>
        <w:gridCol w:w="422"/>
        <w:gridCol w:w="1212"/>
        <w:gridCol w:w="1933"/>
        <w:gridCol w:w="4007"/>
      </w:tblGrid>
      <w:tr w:rsidR="00F91D20" w:rsidRPr="004E3785" w:rsidTr="003A3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tcW w:w="0" w:type="auto"/>
          </w:tcPr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N</w:t>
            </w:r>
            <w:r w:rsidRPr="004E3785">
              <w:rPr>
                <w:sz w:val="16"/>
                <w:vertAlign w:val="superscript"/>
                <w:lang w:val="fr-FR"/>
              </w:rPr>
              <w:t>o</w:t>
            </w:r>
            <w:r w:rsidRPr="004E3785">
              <w:rPr>
                <w:sz w:val="16"/>
                <w:lang w:val="fr-FR"/>
              </w:rPr>
              <w:t>.</w:t>
            </w:r>
          </w:p>
        </w:tc>
        <w:tc>
          <w:tcPr>
            <w:tcW w:w="0" w:type="auto"/>
          </w:tcPr>
          <w:p w:rsidR="00F91D20" w:rsidRPr="004E3785" w:rsidRDefault="00F91D20" w:rsidP="004E3785">
            <w:pPr>
              <w:jc w:val="center"/>
              <w:rPr>
                <w:b w:val="0"/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Numéro de la requête et sa date d</w:t>
            </w:r>
            <w:r w:rsidR="004E3785" w:rsidRPr="004E3785">
              <w:rPr>
                <w:sz w:val="16"/>
                <w:lang w:val="fr-FR"/>
              </w:rPr>
              <w:t>’</w:t>
            </w:r>
            <w:r w:rsidRPr="004E3785">
              <w:rPr>
                <w:sz w:val="16"/>
                <w:lang w:val="fr-FR"/>
              </w:rPr>
              <w:t>introduction</w:t>
            </w:r>
          </w:p>
        </w:tc>
        <w:tc>
          <w:tcPr>
            <w:tcW w:w="2242" w:type="dxa"/>
          </w:tcPr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Nom du requérant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Date de naissance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Lieu de résidence</w:t>
            </w:r>
          </w:p>
        </w:tc>
        <w:tc>
          <w:tcPr>
            <w:tcW w:w="5145" w:type="dxa"/>
          </w:tcPr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Décision interne définitive</w:t>
            </w:r>
          </w:p>
        </w:tc>
      </w:tr>
      <w:tr w:rsidR="00F91D20" w:rsidRPr="004E3785" w:rsidTr="003A3FE4">
        <w:trPr>
          <w:trHeight w:val="781"/>
        </w:trPr>
        <w:tc>
          <w:tcPr>
            <w:tcW w:w="0" w:type="auto"/>
          </w:tcPr>
          <w:p w:rsidR="00F91D20" w:rsidRPr="004E3785" w:rsidRDefault="00F91D20" w:rsidP="004E3785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sz w:val="16"/>
                <w:lang w:val="fr-FR"/>
              </w:rPr>
            </w:pPr>
          </w:p>
        </w:tc>
        <w:tc>
          <w:tcPr>
            <w:tcW w:w="0" w:type="auto"/>
          </w:tcPr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16320/14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12/02/2014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242" w:type="dxa"/>
          </w:tcPr>
          <w:p w:rsidR="00F91D20" w:rsidRPr="004E3785" w:rsidRDefault="00F91D20" w:rsidP="004E3785">
            <w:pPr>
              <w:jc w:val="center"/>
              <w:rPr>
                <w:b/>
                <w:sz w:val="16"/>
                <w:lang w:val="fr-FR"/>
              </w:rPr>
            </w:pPr>
            <w:r w:rsidRPr="004E3785">
              <w:rPr>
                <w:b/>
                <w:sz w:val="16"/>
                <w:lang w:val="fr-FR"/>
              </w:rPr>
              <w:t>Massimiliano VALIA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21/07/1975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Boves</w:t>
            </w:r>
          </w:p>
        </w:tc>
        <w:tc>
          <w:tcPr>
            <w:tcW w:w="5145" w:type="dxa"/>
          </w:tcPr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TAR de Latium, RG n</w:t>
            </w:r>
            <w:r w:rsidRPr="004E3785">
              <w:rPr>
                <w:sz w:val="16"/>
                <w:vertAlign w:val="superscript"/>
                <w:lang w:val="fr-FR"/>
              </w:rPr>
              <w:t>o</w:t>
            </w:r>
            <w:r w:rsidRPr="004E3785">
              <w:rPr>
                <w:sz w:val="16"/>
                <w:lang w:val="fr-FR"/>
              </w:rPr>
              <w:t xml:space="preserve"> 1658/1999 (introduction le 8</w:t>
            </w:r>
            <w:r w:rsidR="002F6AED" w:rsidRPr="004E3785">
              <w:rPr>
                <w:sz w:val="16"/>
                <w:lang w:val="fr-FR"/>
              </w:rPr>
              <w:t> </w:t>
            </w:r>
            <w:r w:rsidRPr="004E3785">
              <w:rPr>
                <w:sz w:val="16"/>
                <w:lang w:val="fr-FR"/>
              </w:rPr>
              <w:t>janvier 1999), jugement du 16 janvier 2013</w:t>
            </w:r>
          </w:p>
        </w:tc>
      </w:tr>
      <w:tr w:rsidR="00F91D20" w:rsidRPr="004E3785" w:rsidTr="003A3FE4">
        <w:trPr>
          <w:trHeight w:val="781"/>
        </w:trPr>
        <w:tc>
          <w:tcPr>
            <w:tcW w:w="0" w:type="auto"/>
          </w:tcPr>
          <w:p w:rsidR="00F91D20" w:rsidRPr="004E3785" w:rsidRDefault="00F91D20" w:rsidP="004E3785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sz w:val="16"/>
                <w:lang w:val="fr-FR"/>
              </w:rPr>
            </w:pPr>
          </w:p>
        </w:tc>
        <w:tc>
          <w:tcPr>
            <w:tcW w:w="0" w:type="auto"/>
          </w:tcPr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16326/14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12/02/2014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242" w:type="dxa"/>
          </w:tcPr>
          <w:p w:rsidR="00F91D20" w:rsidRPr="004E3785" w:rsidRDefault="00F91D20" w:rsidP="004E3785">
            <w:pPr>
              <w:jc w:val="center"/>
              <w:rPr>
                <w:b/>
                <w:sz w:val="16"/>
                <w:lang w:val="fr-FR"/>
              </w:rPr>
            </w:pPr>
            <w:r w:rsidRPr="004E3785">
              <w:rPr>
                <w:b/>
                <w:sz w:val="16"/>
                <w:lang w:val="fr-FR"/>
              </w:rPr>
              <w:t>Pasquale NAVIGLIO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15/05/1981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Casoria</w:t>
            </w:r>
          </w:p>
        </w:tc>
        <w:tc>
          <w:tcPr>
            <w:tcW w:w="5145" w:type="dxa"/>
          </w:tcPr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TAR de Latium, RG n</w:t>
            </w:r>
            <w:r w:rsidRPr="004E3785">
              <w:rPr>
                <w:sz w:val="16"/>
                <w:vertAlign w:val="superscript"/>
                <w:lang w:val="fr-FR"/>
              </w:rPr>
              <w:t>o</w:t>
            </w:r>
            <w:r w:rsidRPr="004E3785">
              <w:rPr>
                <w:sz w:val="16"/>
                <w:lang w:val="fr-FR"/>
              </w:rPr>
              <w:t xml:space="preserve"> 566/2001 (introduction le 11</w:t>
            </w:r>
            <w:r w:rsidR="002F6AED" w:rsidRPr="004E3785">
              <w:rPr>
                <w:sz w:val="16"/>
                <w:lang w:val="fr-FR"/>
              </w:rPr>
              <w:t> </w:t>
            </w:r>
            <w:r w:rsidRPr="004E3785">
              <w:rPr>
                <w:sz w:val="16"/>
                <w:lang w:val="fr-FR"/>
              </w:rPr>
              <w:t>janvier 2001), jugement du 16 janvier 2013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</w:p>
        </w:tc>
      </w:tr>
      <w:tr w:rsidR="00F91D20" w:rsidRPr="004E3785" w:rsidTr="003A3FE4">
        <w:trPr>
          <w:trHeight w:val="781"/>
        </w:trPr>
        <w:tc>
          <w:tcPr>
            <w:tcW w:w="0" w:type="auto"/>
          </w:tcPr>
          <w:p w:rsidR="00F91D20" w:rsidRPr="004E3785" w:rsidRDefault="00F91D20" w:rsidP="004E3785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sz w:val="16"/>
                <w:lang w:val="fr-FR"/>
              </w:rPr>
            </w:pPr>
          </w:p>
        </w:tc>
        <w:tc>
          <w:tcPr>
            <w:tcW w:w="0" w:type="auto"/>
          </w:tcPr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16351/14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12/02/2014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242" w:type="dxa"/>
          </w:tcPr>
          <w:p w:rsidR="00F91D20" w:rsidRPr="004E3785" w:rsidRDefault="00F91D20" w:rsidP="004E3785">
            <w:pPr>
              <w:jc w:val="center"/>
              <w:rPr>
                <w:b/>
                <w:sz w:val="16"/>
                <w:lang w:val="it-IT"/>
              </w:rPr>
            </w:pPr>
            <w:r w:rsidRPr="004E3785">
              <w:rPr>
                <w:b/>
                <w:sz w:val="16"/>
                <w:lang w:val="it-IT"/>
              </w:rPr>
              <w:t>Igor ZOCH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it-IT"/>
              </w:rPr>
            </w:pPr>
            <w:r w:rsidRPr="004E3785">
              <w:rPr>
                <w:sz w:val="16"/>
                <w:lang w:val="it-IT"/>
              </w:rPr>
              <w:t>10/02/1974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it-IT"/>
              </w:rPr>
            </w:pPr>
            <w:r w:rsidRPr="004E3785">
              <w:rPr>
                <w:sz w:val="16"/>
                <w:lang w:val="it-IT"/>
              </w:rPr>
              <w:t>San Lorenzo Isontino</w:t>
            </w:r>
          </w:p>
        </w:tc>
        <w:tc>
          <w:tcPr>
            <w:tcW w:w="5145" w:type="dxa"/>
          </w:tcPr>
          <w:p w:rsidR="00F91D20" w:rsidRPr="004E3785" w:rsidRDefault="00F91D20" w:rsidP="004E3785">
            <w:pPr>
              <w:jc w:val="center"/>
              <w:rPr>
                <w:sz w:val="16"/>
                <w:lang w:val="it-IT"/>
              </w:rPr>
            </w:pP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TAR de Latium, RG n</w:t>
            </w:r>
            <w:r w:rsidRPr="004E3785">
              <w:rPr>
                <w:sz w:val="16"/>
                <w:vertAlign w:val="superscript"/>
                <w:lang w:val="fr-FR"/>
              </w:rPr>
              <w:t>o</w:t>
            </w:r>
            <w:r w:rsidRPr="004E3785">
              <w:rPr>
                <w:sz w:val="16"/>
                <w:lang w:val="fr-FR"/>
              </w:rPr>
              <w:t xml:space="preserve"> 15405/1998 (introduction le 6</w:t>
            </w:r>
            <w:r w:rsidR="002F6AED" w:rsidRPr="004E3785">
              <w:rPr>
                <w:sz w:val="16"/>
                <w:lang w:val="fr-FR"/>
              </w:rPr>
              <w:t> </w:t>
            </w:r>
            <w:r w:rsidRPr="004E3785">
              <w:rPr>
                <w:sz w:val="16"/>
                <w:lang w:val="fr-FR"/>
              </w:rPr>
              <w:t>novembre 1998), jugement du 15 janvier 2013</w:t>
            </w:r>
          </w:p>
        </w:tc>
      </w:tr>
      <w:tr w:rsidR="00F91D20" w:rsidRPr="004E3785" w:rsidTr="003A3FE4">
        <w:trPr>
          <w:trHeight w:val="782"/>
        </w:trPr>
        <w:tc>
          <w:tcPr>
            <w:tcW w:w="0" w:type="auto"/>
          </w:tcPr>
          <w:p w:rsidR="00F91D20" w:rsidRPr="004E3785" w:rsidRDefault="00F91D20" w:rsidP="004E3785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sz w:val="16"/>
                <w:lang w:val="fr-FR"/>
              </w:rPr>
            </w:pPr>
          </w:p>
        </w:tc>
        <w:tc>
          <w:tcPr>
            <w:tcW w:w="0" w:type="auto"/>
          </w:tcPr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18501/14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15/02/2014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242" w:type="dxa"/>
          </w:tcPr>
          <w:p w:rsidR="00F91D20" w:rsidRPr="004E3785" w:rsidRDefault="00F91D20" w:rsidP="004E3785">
            <w:pPr>
              <w:jc w:val="center"/>
              <w:rPr>
                <w:b/>
                <w:sz w:val="16"/>
                <w:lang w:val="it-IT"/>
              </w:rPr>
            </w:pPr>
            <w:r w:rsidRPr="004E3785">
              <w:rPr>
                <w:b/>
                <w:sz w:val="16"/>
                <w:lang w:val="it-IT"/>
              </w:rPr>
              <w:t>Giuseppe PAGNOTTI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it-IT"/>
              </w:rPr>
            </w:pPr>
            <w:r w:rsidRPr="004E3785">
              <w:rPr>
                <w:sz w:val="16"/>
                <w:lang w:val="it-IT"/>
              </w:rPr>
              <w:t>01/06/1968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it-IT"/>
              </w:rPr>
            </w:pPr>
            <w:r w:rsidRPr="004E3785">
              <w:rPr>
                <w:sz w:val="16"/>
                <w:lang w:val="it-IT"/>
              </w:rPr>
              <w:t>Ascoli Piceno</w:t>
            </w:r>
          </w:p>
        </w:tc>
        <w:tc>
          <w:tcPr>
            <w:tcW w:w="5145" w:type="dxa"/>
          </w:tcPr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TAR de Latium, RG n</w:t>
            </w:r>
            <w:r w:rsidRPr="004E3785">
              <w:rPr>
                <w:sz w:val="16"/>
                <w:vertAlign w:val="superscript"/>
                <w:lang w:val="fr-FR"/>
              </w:rPr>
              <w:t>o</w:t>
            </w:r>
            <w:r w:rsidRPr="004E3785">
              <w:rPr>
                <w:sz w:val="16"/>
                <w:lang w:val="fr-FR"/>
              </w:rPr>
              <w:t xml:space="preserve"> 1367/2000 (introduction le 10</w:t>
            </w:r>
            <w:r w:rsidR="002F6AED" w:rsidRPr="004E3785">
              <w:rPr>
                <w:sz w:val="16"/>
                <w:lang w:val="fr-FR"/>
              </w:rPr>
              <w:t> </w:t>
            </w:r>
            <w:r w:rsidRPr="004E3785">
              <w:rPr>
                <w:sz w:val="16"/>
                <w:lang w:val="fr-FR"/>
              </w:rPr>
              <w:t>janvier 2000), jugement du 15 janvier 2013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</w:p>
        </w:tc>
      </w:tr>
      <w:tr w:rsidR="00F91D20" w:rsidRPr="004E3785" w:rsidTr="003A3FE4">
        <w:trPr>
          <w:trHeight w:val="781"/>
        </w:trPr>
        <w:tc>
          <w:tcPr>
            <w:tcW w:w="0" w:type="auto"/>
          </w:tcPr>
          <w:p w:rsidR="00F91D20" w:rsidRPr="004E3785" w:rsidRDefault="00F91D20" w:rsidP="004E3785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sz w:val="16"/>
                <w:lang w:val="fr-FR"/>
              </w:rPr>
            </w:pPr>
          </w:p>
        </w:tc>
        <w:tc>
          <w:tcPr>
            <w:tcW w:w="0" w:type="auto"/>
          </w:tcPr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18510/14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15/02/2014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242" w:type="dxa"/>
          </w:tcPr>
          <w:p w:rsidR="00F91D20" w:rsidRPr="004E3785" w:rsidRDefault="00F91D20" w:rsidP="004E3785">
            <w:pPr>
              <w:jc w:val="center"/>
              <w:rPr>
                <w:b/>
                <w:sz w:val="16"/>
                <w:lang w:val="fr-FR"/>
              </w:rPr>
            </w:pPr>
            <w:r w:rsidRPr="004E3785">
              <w:rPr>
                <w:b/>
                <w:sz w:val="16"/>
                <w:lang w:val="fr-FR"/>
              </w:rPr>
              <w:t>Antonio SANTILLI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08/10/1978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Fornelli</w:t>
            </w:r>
          </w:p>
        </w:tc>
        <w:tc>
          <w:tcPr>
            <w:tcW w:w="5145" w:type="dxa"/>
          </w:tcPr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TAR de Latium, RG n</w:t>
            </w:r>
            <w:r w:rsidRPr="004E3785">
              <w:rPr>
                <w:sz w:val="16"/>
                <w:vertAlign w:val="superscript"/>
                <w:lang w:val="fr-FR"/>
              </w:rPr>
              <w:t>o</w:t>
            </w:r>
            <w:r w:rsidRPr="004E3785">
              <w:rPr>
                <w:sz w:val="16"/>
                <w:lang w:val="fr-FR"/>
              </w:rPr>
              <w:t xml:space="preserve"> 17541/1999 (introduction le 5</w:t>
            </w:r>
            <w:r w:rsidR="002F6AED" w:rsidRPr="004E3785">
              <w:rPr>
                <w:sz w:val="16"/>
                <w:lang w:val="fr-FR"/>
              </w:rPr>
              <w:t> </w:t>
            </w:r>
            <w:r w:rsidRPr="004E3785">
              <w:rPr>
                <w:sz w:val="16"/>
                <w:lang w:val="fr-FR"/>
              </w:rPr>
              <w:t>novembre 1999), jugement du 16 janvier 2013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</w:p>
        </w:tc>
      </w:tr>
      <w:tr w:rsidR="00F91D20" w:rsidRPr="004E3785" w:rsidTr="003A3FE4">
        <w:trPr>
          <w:trHeight w:val="781"/>
        </w:trPr>
        <w:tc>
          <w:tcPr>
            <w:tcW w:w="0" w:type="auto"/>
          </w:tcPr>
          <w:p w:rsidR="00F91D20" w:rsidRPr="004E3785" w:rsidRDefault="00F91D20" w:rsidP="004E3785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sz w:val="16"/>
                <w:lang w:val="fr-FR"/>
              </w:rPr>
            </w:pPr>
          </w:p>
        </w:tc>
        <w:tc>
          <w:tcPr>
            <w:tcW w:w="0" w:type="auto"/>
          </w:tcPr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19495/14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24/02/2014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242" w:type="dxa"/>
          </w:tcPr>
          <w:p w:rsidR="00F91D20" w:rsidRPr="004E3785" w:rsidRDefault="00F91D20" w:rsidP="004E3785">
            <w:pPr>
              <w:jc w:val="center"/>
              <w:rPr>
                <w:b/>
                <w:sz w:val="16"/>
                <w:lang w:val="fr-FR"/>
              </w:rPr>
            </w:pPr>
            <w:r w:rsidRPr="004E3785">
              <w:rPr>
                <w:b/>
                <w:sz w:val="16"/>
                <w:lang w:val="fr-FR"/>
              </w:rPr>
              <w:t>Giuseppe ODDO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09/11/1968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Asti</w:t>
            </w:r>
          </w:p>
        </w:tc>
        <w:tc>
          <w:tcPr>
            <w:tcW w:w="5145" w:type="dxa"/>
          </w:tcPr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TAR de Latium, RG n</w:t>
            </w:r>
            <w:r w:rsidRPr="004E3785">
              <w:rPr>
                <w:sz w:val="16"/>
                <w:vertAlign w:val="superscript"/>
                <w:lang w:val="fr-FR"/>
              </w:rPr>
              <w:t>o</w:t>
            </w:r>
            <w:r w:rsidRPr="004E3785">
              <w:rPr>
                <w:sz w:val="16"/>
                <w:lang w:val="fr-FR"/>
              </w:rPr>
              <w:t xml:space="preserve"> 4627/2000 (introduction le 24</w:t>
            </w:r>
            <w:r w:rsidR="002F6AED" w:rsidRPr="004E3785">
              <w:rPr>
                <w:sz w:val="16"/>
                <w:lang w:val="fr-FR"/>
              </w:rPr>
              <w:t> </w:t>
            </w:r>
            <w:r w:rsidRPr="004E3785">
              <w:rPr>
                <w:sz w:val="16"/>
                <w:lang w:val="fr-FR"/>
              </w:rPr>
              <w:t>mars 2000), jugement du 15 janvier 2013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</w:p>
        </w:tc>
      </w:tr>
      <w:tr w:rsidR="00F91D20" w:rsidRPr="004E3785" w:rsidTr="003A3FE4">
        <w:trPr>
          <w:trHeight w:val="781"/>
        </w:trPr>
        <w:tc>
          <w:tcPr>
            <w:tcW w:w="0" w:type="auto"/>
          </w:tcPr>
          <w:p w:rsidR="00F91D20" w:rsidRPr="004E3785" w:rsidRDefault="00F91D20" w:rsidP="004E3785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sz w:val="16"/>
                <w:lang w:val="fr-FR"/>
              </w:rPr>
            </w:pPr>
          </w:p>
        </w:tc>
        <w:tc>
          <w:tcPr>
            <w:tcW w:w="0" w:type="auto"/>
          </w:tcPr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19498/14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22/02/2014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242" w:type="dxa"/>
          </w:tcPr>
          <w:p w:rsidR="00F91D20" w:rsidRPr="004E3785" w:rsidRDefault="00F91D20" w:rsidP="004E3785">
            <w:pPr>
              <w:jc w:val="center"/>
              <w:rPr>
                <w:b/>
                <w:sz w:val="16"/>
                <w:lang w:val="fr-FR"/>
              </w:rPr>
            </w:pPr>
            <w:r w:rsidRPr="004E3785">
              <w:rPr>
                <w:b/>
                <w:sz w:val="16"/>
                <w:lang w:val="fr-FR"/>
              </w:rPr>
              <w:t>Aurelio SATRIANI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29/07/1973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Massa</w:t>
            </w:r>
          </w:p>
        </w:tc>
        <w:tc>
          <w:tcPr>
            <w:tcW w:w="5145" w:type="dxa"/>
          </w:tcPr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TAR de Latium, RG n</w:t>
            </w:r>
            <w:r w:rsidRPr="004E3785">
              <w:rPr>
                <w:sz w:val="16"/>
                <w:vertAlign w:val="superscript"/>
                <w:lang w:val="fr-FR"/>
              </w:rPr>
              <w:t>o</w:t>
            </w:r>
            <w:r w:rsidRPr="004E3785">
              <w:rPr>
                <w:sz w:val="16"/>
                <w:lang w:val="fr-FR"/>
              </w:rPr>
              <w:t xml:space="preserve"> 2231/1998 (introduction le 3</w:t>
            </w:r>
            <w:r w:rsidR="002F6AED" w:rsidRPr="004E3785">
              <w:rPr>
                <w:sz w:val="16"/>
                <w:lang w:val="fr-FR"/>
              </w:rPr>
              <w:t> </w:t>
            </w:r>
            <w:r w:rsidRPr="004E3785">
              <w:rPr>
                <w:sz w:val="16"/>
                <w:lang w:val="fr-FR"/>
              </w:rPr>
              <w:t>février 1998), jugement du 25 janvier 2013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</w:p>
        </w:tc>
      </w:tr>
      <w:tr w:rsidR="00F91D20" w:rsidRPr="004E3785" w:rsidTr="003A3FE4">
        <w:trPr>
          <w:trHeight w:val="782"/>
        </w:trPr>
        <w:tc>
          <w:tcPr>
            <w:tcW w:w="0" w:type="auto"/>
          </w:tcPr>
          <w:p w:rsidR="00F91D20" w:rsidRPr="004E3785" w:rsidRDefault="00F91D20" w:rsidP="004E3785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sz w:val="16"/>
                <w:lang w:val="fr-FR"/>
              </w:rPr>
            </w:pPr>
          </w:p>
        </w:tc>
        <w:tc>
          <w:tcPr>
            <w:tcW w:w="0" w:type="auto"/>
          </w:tcPr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19500/14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22/02/2014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242" w:type="dxa"/>
          </w:tcPr>
          <w:p w:rsidR="00F91D20" w:rsidRPr="004E3785" w:rsidRDefault="00F91D20" w:rsidP="004E3785">
            <w:pPr>
              <w:jc w:val="center"/>
              <w:rPr>
                <w:b/>
                <w:sz w:val="16"/>
                <w:lang w:val="fr-FR"/>
              </w:rPr>
            </w:pPr>
            <w:r w:rsidRPr="004E3785">
              <w:rPr>
                <w:b/>
                <w:sz w:val="16"/>
                <w:lang w:val="fr-FR"/>
              </w:rPr>
              <w:t>Antonio PIERRI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19/03/1973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Brescello</w:t>
            </w:r>
          </w:p>
        </w:tc>
        <w:tc>
          <w:tcPr>
            <w:tcW w:w="5145" w:type="dxa"/>
          </w:tcPr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  <w:r w:rsidRPr="004E3785">
              <w:rPr>
                <w:sz w:val="16"/>
                <w:lang w:val="fr-FR"/>
              </w:rPr>
              <w:t>TAR de Latium, RG n</w:t>
            </w:r>
            <w:r w:rsidRPr="004E3785">
              <w:rPr>
                <w:sz w:val="16"/>
                <w:vertAlign w:val="superscript"/>
                <w:lang w:val="fr-FR"/>
              </w:rPr>
              <w:t>o</w:t>
            </w:r>
            <w:r w:rsidRPr="004E3785">
              <w:rPr>
                <w:sz w:val="16"/>
                <w:lang w:val="fr-FR"/>
              </w:rPr>
              <w:t>2062/1999 (introduction le 16</w:t>
            </w:r>
            <w:r w:rsidR="002F6AED" w:rsidRPr="004E3785">
              <w:rPr>
                <w:sz w:val="16"/>
                <w:lang w:val="fr-FR"/>
              </w:rPr>
              <w:t> </w:t>
            </w:r>
            <w:r w:rsidRPr="004E3785">
              <w:rPr>
                <w:sz w:val="16"/>
                <w:lang w:val="fr-FR"/>
              </w:rPr>
              <w:t>février 1999), jugement du 15 janvier 2013</w:t>
            </w:r>
          </w:p>
          <w:p w:rsidR="00F91D20" w:rsidRPr="004E3785" w:rsidRDefault="00F91D20" w:rsidP="004E3785">
            <w:pPr>
              <w:jc w:val="center"/>
              <w:rPr>
                <w:sz w:val="16"/>
                <w:lang w:val="fr-FR"/>
              </w:rPr>
            </w:pPr>
          </w:p>
        </w:tc>
      </w:tr>
    </w:tbl>
    <w:p w:rsidR="00F91D20" w:rsidRPr="004E3785" w:rsidRDefault="00F91D20" w:rsidP="004E3785">
      <w:pPr>
        <w:rPr>
          <w:lang w:val="fr-FR"/>
        </w:rPr>
      </w:pPr>
    </w:p>
    <w:p w:rsidR="00234E8A" w:rsidRPr="004E3785" w:rsidRDefault="008F2985" w:rsidP="004E3785">
      <w:pPr>
        <w:rPr>
          <w:lang w:val="fr-FR"/>
        </w:rPr>
      </w:pPr>
    </w:p>
    <w:sectPr w:rsidR="00234E8A" w:rsidRPr="004E3785" w:rsidSect="00AF7102">
      <w:headerReference w:type="even" r:id="rId12"/>
      <w:headerReference w:type="default" r:id="rId13"/>
      <w:headerReference w:type="first" r:id="rId14"/>
      <w:footerReference w:type="first" r:id="rId15"/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85" w:rsidRDefault="008F2985">
      <w:r>
        <w:separator/>
      </w:r>
    </w:p>
  </w:endnote>
  <w:endnote w:type="continuationSeparator" w:id="0">
    <w:p w:rsidR="008F2985" w:rsidRDefault="008F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20" w:rsidRPr="00150BFA" w:rsidRDefault="00F91D20" w:rsidP="0020718E">
    <w:pPr>
      <w:jc w:val="center"/>
    </w:pPr>
    <w:r>
      <w:rPr>
        <w:noProof/>
        <w:lang w:val="it-IT" w:eastAsia="it-IT"/>
      </w:rPr>
      <w:drawing>
        <wp:inline distT="0" distB="0" distL="0" distR="0" wp14:anchorId="407AE689" wp14:editId="45EAF142">
          <wp:extent cx="771525" cy="619125"/>
          <wp:effectExtent l="0" t="0" r="9525" b="9525"/>
          <wp:docPr id="18" name="Picture 18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8F2985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85" w:rsidRDefault="008F2985">
      <w:r>
        <w:separator/>
      </w:r>
    </w:p>
  </w:footnote>
  <w:footnote w:type="continuationSeparator" w:id="0">
    <w:p w:rsidR="008F2985" w:rsidRDefault="008F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182EDB" w:rsidRDefault="00182EDB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182EDB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7C64D9">
      <w:rPr>
        <w:rStyle w:val="Numeropagina"/>
        <w:noProof/>
        <w:lang w:val="fr-FR"/>
      </w:rPr>
      <w:t>4</w:t>
    </w:r>
    <w:r>
      <w:rPr>
        <w:rStyle w:val="Numeropagina"/>
        <w:lang w:val="en-GB"/>
      </w:rPr>
      <w:fldChar w:fldCharType="end"/>
    </w:r>
    <w:r w:rsidR="00631873" w:rsidRPr="00182EDB">
      <w:rPr>
        <w:lang w:val="fr-FR"/>
      </w:rPr>
      <w:tab/>
      <w:t xml:space="preserve">DÉCISION </w:t>
    </w:r>
    <w:r w:rsidRPr="00182EDB">
      <w:rPr>
        <w:lang w:val="fr-FR"/>
      </w:rPr>
      <w:t>VALIA c. ITALIE</w:t>
    </w:r>
    <w:r w:rsidRPr="00182EDB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182EDB" w:rsidRDefault="00631873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182EDB">
      <w:rPr>
        <w:lang w:val="fr-FR"/>
      </w:rPr>
      <w:t xml:space="preserve">DÉCISION </w:t>
    </w:r>
    <w:r w:rsidR="00182EDB" w:rsidRPr="00182EDB">
      <w:rPr>
        <w:lang w:val="fr-FR"/>
      </w:rPr>
      <w:t>VALIA c. ITALIE</w:t>
    </w:r>
    <w:r w:rsidR="00182EDB" w:rsidRPr="00182EDB">
      <w:rPr>
        <w:noProof/>
        <w:lang w:val="fr-FR"/>
      </w:rPr>
      <w:t xml:space="preserve"> ET AUTRES REQUÊTES</w:t>
    </w:r>
    <w:r w:rsidRPr="00182EDB">
      <w:rPr>
        <w:lang w:val="fr-FR"/>
      </w:rPr>
      <w:tab/>
    </w:r>
    <w:r w:rsidR="00182EDB">
      <w:rPr>
        <w:rStyle w:val="Numeropagina"/>
        <w:lang w:val="en-GB"/>
      </w:rPr>
      <w:fldChar w:fldCharType="begin"/>
    </w:r>
    <w:r w:rsidR="00182EDB" w:rsidRPr="00182EDB">
      <w:rPr>
        <w:rStyle w:val="Numeropagina"/>
        <w:lang w:val="fr-FR"/>
      </w:rPr>
      <w:instrText xml:space="preserve"> PAGE </w:instrText>
    </w:r>
    <w:r w:rsidR="00182EDB">
      <w:rPr>
        <w:rStyle w:val="Numeropagina"/>
        <w:lang w:val="en-GB"/>
      </w:rPr>
      <w:fldChar w:fldCharType="separate"/>
    </w:r>
    <w:r w:rsidR="007C64D9">
      <w:rPr>
        <w:rStyle w:val="Numeropagina"/>
        <w:noProof/>
        <w:lang w:val="fr-FR"/>
      </w:rPr>
      <w:t>5</w:t>
    </w:r>
    <w:r w:rsidR="00182EDB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20" w:rsidRPr="00A45145" w:rsidRDefault="00F91D20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7FCE0B3" wp14:editId="1B45169C">
          <wp:extent cx="2962275" cy="1219200"/>
          <wp:effectExtent l="0" t="0" r="9525" b="0"/>
          <wp:docPr id="14" name="Picture 1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8F2985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8134220"/>
    <w:multiLevelType w:val="hybridMultilevel"/>
    <w:tmpl w:val="22A2F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3"/>
    <w:docVar w:name="EMM" w:val="0"/>
    <w:docVar w:name="NBEMMDOC" w:val="0"/>
  </w:docVars>
  <w:rsids>
    <w:rsidRoot w:val="00F91D20"/>
    <w:rsid w:val="00182EDB"/>
    <w:rsid w:val="002F6AED"/>
    <w:rsid w:val="00390469"/>
    <w:rsid w:val="00413549"/>
    <w:rsid w:val="004E3785"/>
    <w:rsid w:val="00631873"/>
    <w:rsid w:val="006639B3"/>
    <w:rsid w:val="007C64D9"/>
    <w:rsid w:val="00893C12"/>
    <w:rsid w:val="008F2985"/>
    <w:rsid w:val="00B84B4C"/>
    <w:rsid w:val="00F91D20"/>
    <w:rsid w:val="00F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iPriority="0" w:unhideWhenUsed="0"/>
    <w:lsdException w:name="List 4" w:unhideWhenUsed="0"/>
    <w:lsdException w:name="List 5" w:unhideWhenUsed="0"/>
    <w:lsdException w:name="List Number 5" w:uiPriority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customStyle="1" w:styleId="NoteHeading1">
    <w:name w:val="Note Heading1"/>
    <w:basedOn w:val="Normale"/>
    <w:next w:val="Normale"/>
    <w:link w:val="NoteHeadingChar"/>
    <w:uiPriority w:val="99"/>
    <w:semiHidden/>
    <w:rsid w:val="006544C4"/>
  </w:style>
  <w:style w:type="character" w:customStyle="1" w:styleId="NoteHeadingChar">
    <w:name w:val="Note Heading Char"/>
    <w:basedOn w:val="Carpredefinitoparagrafo"/>
    <w:link w:val="NoteHeading1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F91D20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iPriority="0" w:unhideWhenUsed="0"/>
    <w:lsdException w:name="List 4" w:unhideWhenUsed="0"/>
    <w:lsdException w:name="List 5" w:unhideWhenUsed="0"/>
    <w:lsdException w:name="List Number 5" w:uiPriority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customStyle="1" w:styleId="NoteHeading1">
    <w:name w:val="Note Heading1"/>
    <w:basedOn w:val="Normale"/>
    <w:next w:val="Normale"/>
    <w:link w:val="NoteHeadingChar"/>
    <w:uiPriority w:val="99"/>
    <w:semiHidden/>
    <w:rsid w:val="006544C4"/>
  </w:style>
  <w:style w:type="character" w:customStyle="1" w:styleId="NoteHeadingChar">
    <w:name w:val="Note Heading Char"/>
    <w:basedOn w:val="Carpredefinitoparagrafo"/>
    <w:link w:val="NoteHeading1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F91D20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A4B9-499B-42C4-91FF-DA62672B2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AA283-872B-403A-9212-2BEF38CB1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538F4B-76AD-42A8-BD82-49ECD3D24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1C2774-E5E4-4D3E-94D0-153E9F37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2019-10-23T12:04:00Z</dcterms:created>
  <dcterms:modified xsi:type="dcterms:W3CDTF">2019-10-23T12:04:00Z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16320/14</vt:lpwstr>
  </property>
  <property fmtid="{D5CDD505-2E9C-101B-9397-08002B2CF9AE}" pid="4" name="CASEID">
    <vt:lpwstr>978055</vt:lpwstr>
  </property>
  <property fmtid="{D5CDD505-2E9C-101B-9397-08002B2CF9AE}" pid="5" name="ContentTypeId">
    <vt:lpwstr>0x010100558EB02BDB9E204AB350EDD385B68E10</vt:lpwstr>
  </property>
</Properties>
</file>