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753C92" w:rsidRDefault="00D847B9" w:rsidP="00753C92">
      <w:pPr>
        <w:jc w:val="center"/>
      </w:pPr>
      <w:bookmarkStart w:id="0" w:name="_GoBack"/>
      <w:bookmarkEnd w:id="0"/>
    </w:p>
    <w:p w:rsidR="0094178F" w:rsidRPr="00753C92" w:rsidRDefault="00D847B9" w:rsidP="00753C92">
      <w:pPr>
        <w:jc w:val="center"/>
        <w:rPr>
          <w:sz w:val="4"/>
          <w:szCs w:val="4"/>
        </w:rPr>
      </w:pPr>
    </w:p>
    <w:p w:rsidR="006544C4" w:rsidRPr="00753C92" w:rsidRDefault="00F85BB2" w:rsidP="00753C92">
      <w:pPr>
        <w:pStyle w:val="DecHTitle"/>
        <w:rPr>
          <w:lang w:val="fr-FR"/>
        </w:rPr>
      </w:pPr>
      <w:r w:rsidRPr="00753C92">
        <w:rPr>
          <w:szCs w:val="24"/>
          <w:lang w:val="fr-FR"/>
        </w:rPr>
        <w:t>PREMIÈRE SECTION</w:t>
      </w:r>
    </w:p>
    <w:p w:rsidR="006544C4" w:rsidRPr="00753C92" w:rsidRDefault="00344976" w:rsidP="00753C92">
      <w:pPr>
        <w:pStyle w:val="DecHTitle"/>
        <w:rPr>
          <w:caps/>
          <w:sz w:val="32"/>
          <w:lang w:val="fr-FR"/>
        </w:rPr>
      </w:pPr>
      <w:r w:rsidRPr="00753C92">
        <w:rPr>
          <w:lang w:val="fr-FR"/>
        </w:rPr>
        <w:t>DÉCISION</w:t>
      </w:r>
    </w:p>
    <w:p w:rsidR="006544C4" w:rsidRPr="00753C92" w:rsidRDefault="00F85BB2" w:rsidP="00753C92">
      <w:pPr>
        <w:pStyle w:val="ECHRTitleCentre2"/>
        <w:rPr>
          <w:lang w:val="fr-FR"/>
        </w:rPr>
      </w:pPr>
      <w:r w:rsidRPr="00753C92">
        <w:rPr>
          <w:lang w:val="fr-FR"/>
        </w:rPr>
        <w:t>Requête n</w:t>
      </w:r>
      <w:r w:rsidRPr="00753C92">
        <w:rPr>
          <w:vertAlign w:val="superscript"/>
          <w:lang w:val="fr-FR"/>
        </w:rPr>
        <w:t>o</w:t>
      </w:r>
      <w:r w:rsidR="00344976" w:rsidRPr="00753C92">
        <w:rPr>
          <w:lang w:val="fr-FR"/>
        </w:rPr>
        <w:t xml:space="preserve"> </w:t>
      </w:r>
      <w:r w:rsidRPr="00753C92">
        <w:rPr>
          <w:lang w:val="fr-FR"/>
        </w:rPr>
        <w:t>11137/13</w:t>
      </w:r>
      <w:r w:rsidR="00344976" w:rsidRPr="00753C92">
        <w:rPr>
          <w:lang w:val="fr-FR"/>
        </w:rPr>
        <w:br/>
      </w:r>
      <w:r w:rsidRPr="00753C92">
        <w:rPr>
          <w:lang w:val="fr-FR"/>
        </w:rPr>
        <w:t>Federico BERLIOZ</w:t>
      </w:r>
      <w:r w:rsidRPr="00753C92">
        <w:rPr>
          <w:lang w:val="fr-FR"/>
        </w:rPr>
        <w:br/>
      </w:r>
      <w:r w:rsidR="00344976" w:rsidRPr="00753C92">
        <w:rPr>
          <w:lang w:val="fr-FR"/>
        </w:rPr>
        <w:t xml:space="preserve">contre </w:t>
      </w:r>
      <w:r w:rsidRPr="00753C92">
        <w:rPr>
          <w:lang w:val="fr-FR"/>
        </w:rPr>
        <w:t>l</w:t>
      </w:r>
      <w:r w:rsidR="00753C92" w:rsidRPr="00753C92">
        <w:rPr>
          <w:lang w:val="fr-FR"/>
        </w:rPr>
        <w:t>’</w:t>
      </w:r>
      <w:r w:rsidRPr="00753C92">
        <w:rPr>
          <w:lang w:val="fr-FR"/>
        </w:rPr>
        <w:t>Italie</w:t>
      </w:r>
    </w:p>
    <w:p w:rsidR="006544C4" w:rsidRPr="00753C92" w:rsidRDefault="00D847B9" w:rsidP="00753C92">
      <w:pPr>
        <w:pStyle w:val="ECHRPara"/>
        <w:rPr>
          <w:sz w:val="2"/>
          <w:szCs w:val="2"/>
          <w:lang w:val="fr-FR" w:eastAsia="en-GB"/>
        </w:rPr>
      </w:pPr>
    </w:p>
    <w:p w:rsidR="00F85BB2" w:rsidRPr="00753C92" w:rsidRDefault="00F85BB2" w:rsidP="00753C92">
      <w:pPr>
        <w:pStyle w:val="ECHRPara"/>
        <w:rPr>
          <w:lang w:val="fr-FR"/>
        </w:rPr>
      </w:pPr>
      <w:r w:rsidRPr="00753C92">
        <w:rPr>
          <w:lang w:val="fr-FR"/>
        </w:rPr>
        <w:t>La Cour européenne des droits de l</w:t>
      </w:r>
      <w:r w:rsidR="00753C92" w:rsidRPr="00753C92">
        <w:rPr>
          <w:lang w:val="fr-FR"/>
        </w:rPr>
        <w:t>’</w:t>
      </w:r>
      <w:r w:rsidRPr="00753C92">
        <w:rPr>
          <w:lang w:val="fr-FR"/>
        </w:rPr>
        <w:t>homme (</w:t>
      </w:r>
      <w:r w:rsidR="005231B3" w:rsidRPr="00753C92">
        <w:rPr>
          <w:lang w:val="fr-FR"/>
        </w:rPr>
        <w:t>première</w:t>
      </w:r>
      <w:r w:rsidRPr="00753C92">
        <w:rPr>
          <w:lang w:val="fr-FR"/>
        </w:rPr>
        <w:t xml:space="preserve"> section), siégeant le </w:t>
      </w:r>
      <w:r w:rsidR="005231B3" w:rsidRPr="00753C92">
        <w:rPr>
          <w:lang w:val="fr-FR"/>
        </w:rPr>
        <w:t>24 mars 2020</w:t>
      </w:r>
      <w:r w:rsidRPr="00753C92">
        <w:rPr>
          <w:lang w:val="fr-FR"/>
        </w:rPr>
        <w:t xml:space="preserve"> en un</w:t>
      </w:r>
      <w:r w:rsidR="00BB3991" w:rsidRPr="00753C92">
        <w:rPr>
          <w:lang w:val="fr-FR"/>
        </w:rPr>
        <w:t xml:space="preserve"> comité</w:t>
      </w:r>
      <w:r w:rsidRPr="00753C92">
        <w:rPr>
          <w:lang w:val="fr-FR"/>
        </w:rPr>
        <w:t xml:space="preserve"> composé de :</w:t>
      </w:r>
    </w:p>
    <w:p w:rsidR="00F85BB2" w:rsidRPr="00753C92" w:rsidRDefault="005231B3" w:rsidP="00753C92">
      <w:pPr>
        <w:pStyle w:val="ECHRDecisionBody"/>
        <w:rPr>
          <w:lang w:val="fr-FR"/>
        </w:rPr>
      </w:pPr>
      <w:r w:rsidRPr="00753C92">
        <w:rPr>
          <w:lang w:val="fr-FR"/>
        </w:rPr>
        <w:tab/>
      </w:r>
      <w:proofErr w:type="spellStart"/>
      <w:r w:rsidRPr="00753C92">
        <w:rPr>
          <w:lang w:val="fr-FR"/>
        </w:rPr>
        <w:t>Aleš</w:t>
      </w:r>
      <w:proofErr w:type="spellEnd"/>
      <w:r w:rsidRPr="00753C92">
        <w:rPr>
          <w:lang w:val="fr-FR"/>
        </w:rPr>
        <w:t xml:space="preserve"> </w:t>
      </w:r>
      <w:proofErr w:type="spellStart"/>
      <w:r w:rsidRPr="00753C92">
        <w:rPr>
          <w:lang w:val="fr-FR"/>
        </w:rPr>
        <w:t>Pejchal</w:t>
      </w:r>
      <w:proofErr w:type="spellEnd"/>
      <w:r w:rsidRPr="00753C92">
        <w:rPr>
          <w:lang w:val="fr-FR"/>
        </w:rPr>
        <w:t>,</w:t>
      </w:r>
      <w:r w:rsidRPr="00753C92">
        <w:rPr>
          <w:i/>
          <w:lang w:val="fr-FR"/>
        </w:rPr>
        <w:t xml:space="preserve"> président,</w:t>
      </w:r>
      <w:r w:rsidRPr="00753C92">
        <w:rPr>
          <w:i/>
          <w:lang w:val="fr-FR"/>
        </w:rPr>
        <w:br/>
      </w:r>
      <w:r w:rsidRPr="00753C92">
        <w:rPr>
          <w:lang w:val="fr-FR"/>
        </w:rPr>
        <w:tab/>
        <w:t xml:space="preserve">Tim </w:t>
      </w:r>
      <w:proofErr w:type="spellStart"/>
      <w:r w:rsidRPr="00753C92">
        <w:rPr>
          <w:lang w:val="fr-FR"/>
        </w:rPr>
        <w:t>Eicke</w:t>
      </w:r>
      <w:proofErr w:type="spellEnd"/>
      <w:r w:rsidRPr="00753C92">
        <w:rPr>
          <w:lang w:val="fr-FR"/>
        </w:rPr>
        <w:t>,</w:t>
      </w:r>
      <w:r w:rsidRPr="00753C92">
        <w:rPr>
          <w:i/>
          <w:lang w:val="fr-FR"/>
        </w:rPr>
        <w:br/>
      </w:r>
      <w:r w:rsidRPr="00753C92">
        <w:rPr>
          <w:lang w:val="fr-FR"/>
        </w:rPr>
        <w:tab/>
      </w:r>
      <w:proofErr w:type="spellStart"/>
      <w:r w:rsidRPr="00753C92">
        <w:rPr>
          <w:lang w:val="fr-FR"/>
        </w:rPr>
        <w:t>Raffaele</w:t>
      </w:r>
      <w:proofErr w:type="spellEnd"/>
      <w:r w:rsidRPr="00753C92">
        <w:rPr>
          <w:lang w:val="fr-FR"/>
        </w:rPr>
        <w:t xml:space="preserve"> Sabato,</w:t>
      </w:r>
      <w:r w:rsidRPr="00753C92">
        <w:rPr>
          <w:i/>
          <w:lang w:val="fr-FR"/>
        </w:rPr>
        <w:t xml:space="preserve"> juges,</w:t>
      </w:r>
      <w:r w:rsidRPr="00753C92">
        <w:rPr>
          <w:i/>
          <w:lang w:val="fr-FR"/>
        </w:rPr>
        <w:br/>
      </w:r>
      <w:r w:rsidR="00F85BB2" w:rsidRPr="00753C92">
        <w:rPr>
          <w:lang w:val="fr-FR"/>
        </w:rPr>
        <w:t>et de R</w:t>
      </w:r>
      <w:r w:rsidR="007032BF" w:rsidRPr="00753C92">
        <w:rPr>
          <w:lang w:val="fr-FR"/>
        </w:rPr>
        <w:t>enata</w:t>
      </w:r>
      <w:r w:rsidR="00F85BB2" w:rsidRPr="00753C92">
        <w:rPr>
          <w:lang w:val="fr-FR"/>
        </w:rPr>
        <w:t xml:space="preserve"> </w:t>
      </w:r>
      <w:proofErr w:type="spellStart"/>
      <w:r w:rsidR="00F85BB2" w:rsidRPr="00753C92">
        <w:rPr>
          <w:lang w:val="fr-FR"/>
        </w:rPr>
        <w:t>Degener</w:t>
      </w:r>
      <w:proofErr w:type="spellEnd"/>
      <w:r w:rsidR="00F85BB2" w:rsidRPr="00753C92">
        <w:rPr>
          <w:lang w:val="fr-FR"/>
        </w:rPr>
        <w:t xml:space="preserve">, </w:t>
      </w:r>
      <w:r w:rsidR="00BB3991" w:rsidRPr="00753C92">
        <w:rPr>
          <w:i/>
          <w:lang w:val="fr-FR"/>
        </w:rPr>
        <w:t>greffière adj</w:t>
      </w:r>
      <w:r w:rsidR="00F85BB2" w:rsidRPr="00753C92">
        <w:rPr>
          <w:i/>
          <w:lang w:val="fr-FR"/>
        </w:rPr>
        <w:t>ointe</w:t>
      </w:r>
      <w:r w:rsidR="007032BF" w:rsidRPr="00753C92">
        <w:rPr>
          <w:i/>
          <w:lang w:val="fr-FR"/>
        </w:rPr>
        <w:t xml:space="preserve"> de section</w:t>
      </w:r>
      <w:r w:rsidR="00F85BB2" w:rsidRPr="00753C92">
        <w:rPr>
          <w:i/>
          <w:lang w:val="fr-FR"/>
        </w:rPr>
        <w:t>,</w:t>
      </w:r>
    </w:p>
    <w:p w:rsidR="00F85BB2" w:rsidRPr="00753C92" w:rsidRDefault="00F85BB2" w:rsidP="00753C92">
      <w:pPr>
        <w:pStyle w:val="ECHRPara"/>
        <w:rPr>
          <w:lang w:val="fr-FR"/>
        </w:rPr>
      </w:pPr>
      <w:r w:rsidRPr="00753C92">
        <w:rPr>
          <w:lang w:val="fr-FR"/>
        </w:rPr>
        <w:t>Vu la requête susmentionnée introduite le 31 janvier 2013,</w:t>
      </w:r>
    </w:p>
    <w:p w:rsidR="00F85BB2" w:rsidRPr="00753C92" w:rsidRDefault="00F85BB2" w:rsidP="00753C92">
      <w:pPr>
        <w:pStyle w:val="ECHRPara"/>
        <w:rPr>
          <w:lang w:val="fr-FR"/>
        </w:rPr>
      </w:pPr>
      <w:r w:rsidRPr="00753C92">
        <w:rPr>
          <w:lang w:val="fr-FR"/>
        </w:rPr>
        <w:t>Vu la décision de traiter en priorité la requête en vertu de l</w:t>
      </w:r>
      <w:r w:rsidR="00753C92" w:rsidRPr="00753C92">
        <w:rPr>
          <w:lang w:val="fr-FR"/>
        </w:rPr>
        <w:t>’</w:t>
      </w:r>
      <w:r w:rsidRPr="00753C92">
        <w:rPr>
          <w:lang w:val="fr-FR"/>
        </w:rPr>
        <w:t>article 41 du règlement de la Cour,</w:t>
      </w:r>
    </w:p>
    <w:p w:rsidR="00F85BB2" w:rsidRPr="00753C92" w:rsidRDefault="00F85BB2" w:rsidP="00753C92">
      <w:pPr>
        <w:pStyle w:val="ECHRPara"/>
        <w:rPr>
          <w:lang w:val="fr-FR"/>
        </w:rPr>
      </w:pPr>
      <w:r w:rsidRPr="00753C92">
        <w:rPr>
          <w:lang w:val="fr-FR"/>
        </w:rPr>
        <w:t>Vu les observations soumises par le gouvernement défendeur et celles présentées en réponse par le requérant,</w:t>
      </w:r>
    </w:p>
    <w:p w:rsidR="00F85BB2" w:rsidRPr="00753C92" w:rsidRDefault="00F85BB2" w:rsidP="00753C92">
      <w:pPr>
        <w:pStyle w:val="ECHRPara"/>
        <w:rPr>
          <w:bCs/>
          <w:lang w:val="fr-FR"/>
        </w:rPr>
      </w:pPr>
      <w:r w:rsidRPr="00753C92">
        <w:rPr>
          <w:lang w:val="fr-FR"/>
        </w:rPr>
        <w:t>Après en avoir délibéré, rend la décision suivante :</w:t>
      </w:r>
    </w:p>
    <w:p w:rsidR="00F85BB2" w:rsidRPr="00753C92" w:rsidRDefault="00F85BB2" w:rsidP="00753C92">
      <w:pPr>
        <w:pStyle w:val="ECHRTitle1"/>
        <w:rPr>
          <w:lang w:val="fr-FR"/>
        </w:rPr>
      </w:pPr>
      <w:bookmarkStart w:id="1" w:name="ITMarkFactsComplaintsStart"/>
      <w:bookmarkEnd w:id="1"/>
      <w:r w:rsidRPr="00753C92">
        <w:rPr>
          <w:lang w:val="fr-FR"/>
        </w:rPr>
        <w:t>EN FAIT</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1</w:t>
      </w:r>
      <w:r w:rsidRPr="00753C92">
        <w:fldChar w:fldCharType="end"/>
      </w:r>
      <w:r w:rsidRPr="00753C92">
        <w:rPr>
          <w:lang w:val="fr-FR"/>
        </w:rPr>
        <w:t xml:space="preserve">.  Le requérant, M. Federico Berlioz, est un ressortissant italien né en 1963. Il est actuellement détenu </w:t>
      </w:r>
      <w:r w:rsidRPr="00753C92">
        <w:rPr>
          <w:bCs/>
          <w:lang w:val="fr-FR"/>
        </w:rPr>
        <w:t>à la prison de Pise-Don Bosco</w:t>
      </w:r>
      <w:r w:rsidRPr="00753C92">
        <w:rPr>
          <w:lang w:val="fr-FR"/>
        </w:rPr>
        <w:t>. Devant la Cour, il a été représenté d</w:t>
      </w:r>
      <w:r w:rsidR="00753C92" w:rsidRPr="00753C92">
        <w:rPr>
          <w:lang w:val="fr-FR"/>
        </w:rPr>
        <w:t>’</w:t>
      </w:r>
      <w:r w:rsidRPr="00753C92">
        <w:rPr>
          <w:lang w:val="fr-FR"/>
        </w:rPr>
        <w:t>abord par M</w:t>
      </w:r>
      <w:r w:rsidRPr="00753C92">
        <w:rPr>
          <w:vertAlign w:val="superscript"/>
          <w:lang w:val="fr-FR"/>
        </w:rPr>
        <w:t>e</w:t>
      </w:r>
      <w:r w:rsidRPr="00753C92">
        <w:rPr>
          <w:lang w:val="fr-FR"/>
        </w:rPr>
        <w:t xml:space="preserve"> T. </w:t>
      </w:r>
      <w:proofErr w:type="spellStart"/>
      <w:r w:rsidRPr="00753C92">
        <w:rPr>
          <w:lang w:val="fr-FR"/>
        </w:rPr>
        <w:t>Ilice</w:t>
      </w:r>
      <w:proofErr w:type="spellEnd"/>
      <w:r w:rsidRPr="00753C92">
        <w:rPr>
          <w:lang w:val="fr-FR"/>
        </w:rPr>
        <w:t>, avocate exerçant à Rome, puis par M</w:t>
      </w:r>
      <w:r w:rsidRPr="00753C92">
        <w:rPr>
          <w:vertAlign w:val="superscript"/>
          <w:lang w:val="fr-FR"/>
        </w:rPr>
        <w:t>e</w:t>
      </w:r>
      <w:r w:rsidRPr="00753C92">
        <w:rPr>
          <w:lang w:val="fr-FR"/>
        </w:rPr>
        <w:t xml:space="preserve"> G. D</w:t>
      </w:r>
      <w:r w:rsidR="00753C92" w:rsidRPr="00753C92">
        <w:rPr>
          <w:lang w:val="fr-FR"/>
        </w:rPr>
        <w:t>’</w:t>
      </w:r>
      <w:proofErr w:type="spellStart"/>
      <w:r w:rsidRPr="00753C92">
        <w:rPr>
          <w:lang w:val="fr-FR"/>
        </w:rPr>
        <w:t>Arienzo</w:t>
      </w:r>
      <w:proofErr w:type="spellEnd"/>
      <w:r w:rsidRPr="00753C92">
        <w:rPr>
          <w:lang w:val="fr-FR"/>
        </w:rPr>
        <w:t>, avocat exerçant à Salerne. Le gouvernement italien (« le Gouvernement ») a été représenté par son ancien agent M</w:t>
      </w:r>
      <w:r w:rsidRPr="00753C92">
        <w:rPr>
          <w:vertAlign w:val="superscript"/>
          <w:lang w:val="fr-FR"/>
        </w:rPr>
        <w:t>me</w:t>
      </w:r>
      <w:r w:rsidRPr="00753C92">
        <w:rPr>
          <w:lang w:val="fr-FR"/>
        </w:rPr>
        <w:t> E. </w:t>
      </w:r>
      <w:proofErr w:type="spellStart"/>
      <w:r w:rsidRPr="00753C92">
        <w:rPr>
          <w:lang w:val="fr-FR"/>
        </w:rPr>
        <w:t>Spatafora</w:t>
      </w:r>
      <w:proofErr w:type="spellEnd"/>
      <w:r w:rsidRPr="00753C92">
        <w:rPr>
          <w:lang w:val="fr-FR"/>
        </w:rPr>
        <w:t xml:space="preserve">, et son </w:t>
      </w:r>
      <w:proofErr w:type="spellStart"/>
      <w:r w:rsidRPr="00753C92">
        <w:rPr>
          <w:lang w:val="fr-FR"/>
        </w:rPr>
        <w:t>coagent</w:t>
      </w:r>
      <w:proofErr w:type="spellEnd"/>
      <w:r w:rsidRPr="00753C92">
        <w:rPr>
          <w:lang w:val="fr-FR"/>
        </w:rPr>
        <w:t>, M</w:t>
      </w:r>
      <w:r w:rsidRPr="00753C92">
        <w:rPr>
          <w:vertAlign w:val="superscript"/>
          <w:lang w:val="fr-FR"/>
        </w:rPr>
        <w:t>me</w:t>
      </w:r>
      <w:r w:rsidRPr="00753C92">
        <w:rPr>
          <w:lang w:val="fr-FR"/>
        </w:rPr>
        <w:t xml:space="preserve"> M. </w:t>
      </w:r>
      <w:proofErr w:type="spellStart"/>
      <w:r w:rsidRPr="00753C92">
        <w:rPr>
          <w:lang w:val="fr-FR"/>
        </w:rPr>
        <w:t>Aversano</w:t>
      </w:r>
      <w:proofErr w:type="spellEnd"/>
      <w:r w:rsidRPr="00753C92">
        <w:rPr>
          <w:lang w:val="fr-FR"/>
        </w:rPr>
        <w:t>.</w:t>
      </w:r>
    </w:p>
    <w:p w:rsidR="00F85BB2" w:rsidRPr="00753C92" w:rsidRDefault="00F85BB2" w:rsidP="00753C92">
      <w:pPr>
        <w:pStyle w:val="ECHRHeading2"/>
        <w:rPr>
          <w:lang w:val="fr-FR"/>
        </w:rPr>
      </w:pPr>
      <w:r w:rsidRPr="00753C92">
        <w:rPr>
          <w:lang w:val="fr-FR"/>
        </w:rPr>
        <w:lastRenderedPageBreak/>
        <w:t>A.  Les circonstances de l</w:t>
      </w:r>
      <w:r w:rsidR="00753C92" w:rsidRPr="00753C92">
        <w:rPr>
          <w:lang w:val="fr-FR"/>
        </w:rPr>
        <w:t>’</w:t>
      </w:r>
      <w:r w:rsidRPr="00753C92">
        <w:rPr>
          <w:lang w:val="fr-FR"/>
        </w:rPr>
        <w:t>espèce</w:t>
      </w:r>
    </w:p>
    <w:p w:rsidR="00F85BB2" w:rsidRPr="00753C92" w:rsidRDefault="00F85BB2" w:rsidP="00753C92">
      <w:pPr>
        <w:pStyle w:val="ECHRHeading3"/>
        <w:rPr>
          <w:lang w:val="fr-FR"/>
        </w:rPr>
      </w:pPr>
      <w:r w:rsidRPr="00753C92">
        <w:rPr>
          <w:lang w:val="fr-FR"/>
        </w:rPr>
        <w:t>1.  La détention du requérant</w:t>
      </w:r>
    </w:p>
    <w:p w:rsidR="00F85BB2" w:rsidRPr="00753C92" w:rsidRDefault="00F85BB2" w:rsidP="00753C92">
      <w:pPr>
        <w:pStyle w:val="ECHRPara"/>
        <w:rPr>
          <w:lang w:val="fr-FR"/>
        </w:rPr>
      </w:pPr>
      <w:r w:rsidRPr="00753C92">
        <w:rPr>
          <w:bCs/>
        </w:rPr>
        <w:fldChar w:fldCharType="begin"/>
      </w:r>
      <w:r w:rsidRPr="00753C92">
        <w:rPr>
          <w:bCs/>
          <w:lang w:val="fr-FR"/>
        </w:rPr>
        <w:instrText xml:space="preserve"> SEQ level0 \*arabic </w:instrText>
      </w:r>
      <w:r w:rsidRPr="00753C92">
        <w:rPr>
          <w:bCs/>
        </w:rPr>
        <w:fldChar w:fldCharType="separate"/>
      </w:r>
      <w:r w:rsidR="00753C92" w:rsidRPr="00753C92">
        <w:rPr>
          <w:bCs/>
          <w:noProof/>
          <w:lang w:val="fr-FR"/>
        </w:rPr>
        <w:t>2</w:t>
      </w:r>
      <w:r w:rsidRPr="00753C92">
        <w:rPr>
          <w:bCs/>
        </w:rPr>
        <w:fldChar w:fldCharType="end"/>
      </w:r>
      <w:r w:rsidRPr="00753C92">
        <w:rPr>
          <w:bCs/>
          <w:lang w:val="fr-FR"/>
        </w:rPr>
        <w:t>.  Le requérant est détenu à la prison de Pise-Don Bosco, où il purge une peine de réclusion criminelle à perpétuité depuis 1998 pour, entre autres, meurtre, séquestration et vol aggravé.</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3</w:t>
      </w:r>
      <w:r w:rsidRPr="00753C92">
        <w:fldChar w:fldCharType="end"/>
      </w:r>
      <w:r w:rsidRPr="00753C92">
        <w:rPr>
          <w:lang w:val="fr-FR"/>
        </w:rPr>
        <w:t>.  En juillet 2007, le tribunal de l</w:t>
      </w:r>
      <w:r w:rsidR="00753C92" w:rsidRPr="00753C92">
        <w:rPr>
          <w:lang w:val="fr-FR"/>
        </w:rPr>
        <w:t>’</w:t>
      </w:r>
      <w:r w:rsidRPr="00753C92">
        <w:rPr>
          <w:lang w:val="fr-FR"/>
        </w:rPr>
        <w:t>application des peines de Florence fit droit à une demande de suspension de la détention qui avait été formée par le requérant pour raisons de santé. Par la suite, la mesure de suspension fut prorogée plusieurs fois et elle prit fin le 19 février 2011, date à laquelle l</w:t>
      </w:r>
      <w:r w:rsidR="00753C92" w:rsidRPr="00753C92">
        <w:rPr>
          <w:lang w:val="fr-FR"/>
        </w:rPr>
        <w:t>’</w:t>
      </w:r>
      <w:r w:rsidRPr="00753C92">
        <w:rPr>
          <w:lang w:val="fr-FR"/>
        </w:rPr>
        <w:t>intéressé fut réincarcéré.</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4</w:t>
      </w:r>
      <w:r w:rsidRPr="00753C92">
        <w:fldChar w:fldCharType="end"/>
      </w:r>
      <w:r w:rsidRPr="00753C92">
        <w:rPr>
          <w:lang w:val="fr-FR"/>
        </w:rPr>
        <w:t xml:space="preserve">.  Du 19 février 2011 au 7 décembre 2011, il fut détenu dans le service médical de la prison de </w:t>
      </w:r>
      <w:r w:rsidRPr="00753C92">
        <w:rPr>
          <w:bCs/>
          <w:lang w:val="fr-FR"/>
        </w:rPr>
        <w:t>Pise-Don Bosco</w:t>
      </w:r>
      <w:r w:rsidRPr="00753C92">
        <w:rPr>
          <w:lang w:val="fr-FR"/>
        </w:rPr>
        <w:t>. Le 7 décembre 2011, il fut transféré à la prison de Milan-</w:t>
      </w:r>
      <w:proofErr w:type="spellStart"/>
      <w:r w:rsidRPr="00753C92">
        <w:rPr>
          <w:lang w:val="fr-FR"/>
        </w:rPr>
        <w:t>Opera</w:t>
      </w:r>
      <w:proofErr w:type="spellEnd"/>
      <w:r w:rsidRPr="00753C92">
        <w:rPr>
          <w:lang w:val="fr-FR"/>
        </w:rPr>
        <w:t>. Il y resta jusqu</w:t>
      </w:r>
      <w:r w:rsidR="00753C92" w:rsidRPr="00753C92">
        <w:rPr>
          <w:lang w:val="fr-FR"/>
        </w:rPr>
        <w:t>’</w:t>
      </w:r>
      <w:r w:rsidRPr="00753C92">
        <w:rPr>
          <w:lang w:val="fr-FR"/>
        </w:rPr>
        <w:t>au 23 juin 2012, date à laquelle il fut une nouvelle fois transféré à la prison de Pise-Don Bosco, où il est actuellement détenu.</w:t>
      </w:r>
    </w:p>
    <w:p w:rsidR="00F85BB2" w:rsidRPr="00753C92" w:rsidRDefault="00F85BB2" w:rsidP="00753C92">
      <w:pPr>
        <w:pStyle w:val="ECHRHeading3"/>
        <w:rPr>
          <w:lang w:val="fr-FR"/>
        </w:rPr>
      </w:pPr>
      <w:r w:rsidRPr="00753C92">
        <w:rPr>
          <w:lang w:val="fr-FR"/>
        </w:rPr>
        <w:t>2.  L</w:t>
      </w:r>
      <w:r w:rsidR="00753C92" w:rsidRPr="00753C92">
        <w:rPr>
          <w:lang w:val="fr-FR"/>
        </w:rPr>
        <w:t>’</w:t>
      </w:r>
      <w:r w:rsidRPr="00753C92">
        <w:rPr>
          <w:lang w:val="fr-FR"/>
        </w:rPr>
        <w:t>état de santé du requérant</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5</w:t>
      </w:r>
      <w:r w:rsidRPr="00753C92">
        <w:fldChar w:fldCharType="end"/>
      </w:r>
      <w:r w:rsidRPr="00753C92">
        <w:rPr>
          <w:lang w:val="fr-FR"/>
        </w:rPr>
        <w:t xml:space="preserve">.  Il ressort des divers comptes rendus et rapports versés au dossier que le requérant souffre de nombreux problèmes de santé, notamment </w:t>
      </w:r>
      <w:r w:rsidRPr="00753C92">
        <w:rPr>
          <w:bCs/>
          <w:lang w:val="fr-FR"/>
        </w:rPr>
        <w:t>de la maladie cœliaque,</w:t>
      </w:r>
      <w:r w:rsidRPr="00753C92">
        <w:rPr>
          <w:lang w:val="fr-FR"/>
        </w:rPr>
        <w:t xml:space="preserve"> d</w:t>
      </w:r>
      <w:r w:rsidR="00753C92" w:rsidRPr="00753C92">
        <w:rPr>
          <w:lang w:val="fr-FR"/>
        </w:rPr>
        <w:t>’</w:t>
      </w:r>
      <w:r w:rsidRPr="00753C92">
        <w:rPr>
          <w:lang w:val="fr-FR"/>
        </w:rPr>
        <w:t>hypertension artérielle sévère, d</w:t>
      </w:r>
      <w:r w:rsidR="00753C92" w:rsidRPr="00753C92">
        <w:rPr>
          <w:lang w:val="fr-FR"/>
        </w:rPr>
        <w:t>’</w:t>
      </w:r>
      <w:r w:rsidRPr="00753C92">
        <w:rPr>
          <w:bCs/>
          <w:lang w:val="fr-FR"/>
        </w:rPr>
        <w:t>insuffisance rénale chronique</w:t>
      </w:r>
      <w:r w:rsidRPr="00753C92">
        <w:rPr>
          <w:lang w:val="fr-FR"/>
        </w:rPr>
        <w:t xml:space="preserve">, de troubles du rythme cardiaque, </w:t>
      </w:r>
      <w:r w:rsidRPr="00753C92">
        <w:rPr>
          <w:bCs/>
          <w:lang w:val="fr-FR"/>
        </w:rPr>
        <w:t>d</w:t>
      </w:r>
      <w:r w:rsidR="00753C92" w:rsidRPr="00753C92">
        <w:rPr>
          <w:bCs/>
          <w:lang w:val="fr-FR"/>
        </w:rPr>
        <w:t>’</w:t>
      </w:r>
      <w:r w:rsidRPr="00753C92">
        <w:rPr>
          <w:bCs/>
          <w:lang w:val="fr-FR"/>
        </w:rPr>
        <w:t>une forme aiguë de céphalée essentielle, d</w:t>
      </w:r>
      <w:r w:rsidR="00753C92" w:rsidRPr="00753C92">
        <w:rPr>
          <w:bCs/>
          <w:lang w:val="fr-FR"/>
        </w:rPr>
        <w:t>’</w:t>
      </w:r>
      <w:r w:rsidRPr="00753C92">
        <w:rPr>
          <w:bCs/>
          <w:lang w:val="fr-FR"/>
        </w:rPr>
        <w:t>une angine de poitrine, de troubles anxieux, de trouble bipolaire et d</w:t>
      </w:r>
      <w:r w:rsidR="00753C92" w:rsidRPr="00753C92">
        <w:rPr>
          <w:bCs/>
          <w:lang w:val="fr-FR"/>
        </w:rPr>
        <w:t>’</w:t>
      </w:r>
      <w:r w:rsidRPr="00753C92">
        <w:rPr>
          <w:bCs/>
          <w:lang w:val="fr-FR"/>
        </w:rPr>
        <w:t>attaques de panique. En outre, en raison de</w:t>
      </w:r>
      <w:r w:rsidRPr="00753C92">
        <w:rPr>
          <w:lang w:val="fr-FR"/>
        </w:rPr>
        <w:t xml:space="preserve"> blessures provoquées par des tirs d</w:t>
      </w:r>
      <w:r w:rsidR="00753C92" w:rsidRPr="00753C92">
        <w:rPr>
          <w:lang w:val="fr-FR"/>
        </w:rPr>
        <w:t>’</w:t>
      </w:r>
      <w:r w:rsidRPr="00753C92">
        <w:rPr>
          <w:lang w:val="fr-FR"/>
        </w:rPr>
        <w:t>armes à feu, son bras et sa main gauches sont atteints de limitations fonctionnelle et sensorielle sévères ayant nécessité plusieurs interventions chirurgicales au fil des ans.</w:t>
      </w:r>
    </w:p>
    <w:p w:rsidR="00F85BB2" w:rsidRPr="00753C92" w:rsidRDefault="00F85BB2" w:rsidP="00753C92">
      <w:pPr>
        <w:pStyle w:val="ECHRHeading3"/>
        <w:rPr>
          <w:rStyle w:val="JuITMark"/>
          <w:rFonts w:asciiTheme="minorHAnsi" w:eastAsiaTheme="minorEastAsia" w:hAnsiTheme="minorHAnsi" w:cstheme="minorBidi"/>
          <w:bCs w:val="0"/>
          <w:i w:val="0"/>
          <w:shd w:val="clear" w:color="auto" w:fill="auto"/>
          <w:lang w:val="fr-FR"/>
        </w:rPr>
      </w:pPr>
      <w:r w:rsidRPr="00753C92">
        <w:rPr>
          <w:lang w:val="fr-FR"/>
        </w:rPr>
        <w:t>3.  Les soins de kinésithérapie dispensés au requérant</w:t>
      </w:r>
      <w:r w:rsidRPr="00753C92">
        <w:rPr>
          <w:rFonts w:asciiTheme="minorHAnsi" w:eastAsiaTheme="minorEastAsia" w:hAnsiTheme="minorHAnsi" w:cstheme="minorBidi"/>
          <w:i w:val="0"/>
          <w:lang w:val="fr-FR"/>
        </w:rPr>
        <w:t xml:space="preserve"> </w:t>
      </w:r>
      <w:r w:rsidRPr="00753C92">
        <w:rPr>
          <w:lang w:val="fr-FR"/>
        </w:rPr>
        <w:t>à la prison de Pise-Don Bosco</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6</w:t>
      </w:r>
      <w:r w:rsidRPr="00753C92">
        <w:fldChar w:fldCharType="end"/>
      </w:r>
      <w:r w:rsidRPr="00753C92">
        <w:rPr>
          <w:lang w:val="fr-FR"/>
        </w:rPr>
        <w:t>.  En ce qui concerne plus précisément l</w:t>
      </w:r>
      <w:r w:rsidR="00753C92" w:rsidRPr="00753C92">
        <w:rPr>
          <w:lang w:val="fr-FR"/>
        </w:rPr>
        <w:t>’</w:t>
      </w:r>
      <w:r w:rsidRPr="00753C92">
        <w:rPr>
          <w:lang w:val="fr-FR"/>
        </w:rPr>
        <w:t>état du bras et de la main gauches du requérant, les médecins de la prison préconisèrent à plusieurs reprises, au plus tard à partir de 2011, des traitements réguliers de kinésithérapie ainsi que l</w:t>
      </w:r>
      <w:r w:rsidR="00753C92" w:rsidRPr="00753C92">
        <w:rPr>
          <w:lang w:val="fr-FR"/>
        </w:rPr>
        <w:t>’</w:t>
      </w:r>
      <w:r w:rsidRPr="00753C92">
        <w:rPr>
          <w:lang w:val="fr-FR"/>
        </w:rPr>
        <w:t>utilisation d</w:t>
      </w:r>
      <w:r w:rsidR="00753C92" w:rsidRPr="00753C92">
        <w:rPr>
          <w:lang w:val="fr-FR"/>
        </w:rPr>
        <w:t>’</w:t>
      </w:r>
      <w:r w:rsidRPr="00753C92">
        <w:rPr>
          <w:lang w:val="fr-FR"/>
        </w:rPr>
        <w:t>un appareil orthopédique afin de permettre à l</w:t>
      </w:r>
      <w:r w:rsidR="00753C92" w:rsidRPr="00753C92">
        <w:rPr>
          <w:lang w:val="fr-FR"/>
        </w:rPr>
        <w:t>’</w:t>
      </w:r>
      <w:r w:rsidRPr="00753C92">
        <w:rPr>
          <w:lang w:val="fr-FR"/>
        </w:rPr>
        <w:t>intéressé de récupérer et de conserver un certain degré de fonctionnalité et de motricité et de lui éviter ainsi une paralysie totale du bras.</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7</w:t>
      </w:r>
      <w:r w:rsidRPr="00753C92">
        <w:fldChar w:fldCharType="end"/>
      </w:r>
      <w:r w:rsidRPr="00753C92">
        <w:rPr>
          <w:lang w:val="fr-FR"/>
        </w:rPr>
        <w:t>.  Un compte rendu du service de kinésithérapie et de rééducation du service médical de la prison de Pise-Don Bosco, daté du 18 février 2014, mit en évidence une détérioration de l</w:t>
      </w:r>
      <w:r w:rsidR="00753C92" w:rsidRPr="00753C92">
        <w:rPr>
          <w:lang w:val="fr-FR"/>
        </w:rPr>
        <w:t>’</w:t>
      </w:r>
      <w:r w:rsidRPr="00753C92">
        <w:rPr>
          <w:lang w:val="fr-FR"/>
        </w:rPr>
        <w:t>état du bras gauche du requérant et insista sur la nécessité de poursuivre la rééducation dans un centre spécialisé afin que les chances de récupération de l</w:t>
      </w:r>
      <w:r w:rsidR="00753C92" w:rsidRPr="00753C92">
        <w:rPr>
          <w:lang w:val="fr-FR"/>
        </w:rPr>
        <w:t>’</w:t>
      </w:r>
      <w:r w:rsidRPr="00753C92">
        <w:rPr>
          <w:lang w:val="fr-FR"/>
        </w:rPr>
        <w:t>intéressé ne fussent pas compromises.</w:t>
      </w:r>
    </w:p>
    <w:p w:rsidR="00F85BB2" w:rsidRPr="00753C92" w:rsidRDefault="00F85BB2" w:rsidP="00753C92">
      <w:pPr>
        <w:pStyle w:val="ECHRPara"/>
        <w:rPr>
          <w:lang w:val="fr-FR"/>
        </w:rPr>
      </w:pPr>
      <w:r w:rsidRPr="00753C92">
        <w:lastRenderedPageBreak/>
        <w:fldChar w:fldCharType="begin"/>
      </w:r>
      <w:r w:rsidRPr="00753C92">
        <w:rPr>
          <w:lang w:val="fr-FR"/>
        </w:rPr>
        <w:instrText xml:space="preserve"> SEQ level0 \*arabic </w:instrText>
      </w:r>
      <w:r w:rsidRPr="00753C92">
        <w:fldChar w:fldCharType="separate"/>
      </w:r>
      <w:r w:rsidR="00753C92" w:rsidRPr="00753C92">
        <w:rPr>
          <w:noProof/>
          <w:lang w:val="fr-FR"/>
        </w:rPr>
        <w:t>8</w:t>
      </w:r>
      <w:r w:rsidRPr="00753C92">
        <w:fldChar w:fldCharType="end"/>
      </w:r>
      <w:r w:rsidRPr="00753C92">
        <w:rPr>
          <w:lang w:val="fr-FR"/>
        </w:rPr>
        <w:t xml:space="preserve">.  Dans son compte rendu du 14 avril 2014, le directeur sanitaire du service médical de la prison de </w:t>
      </w:r>
      <w:r w:rsidRPr="00753C92">
        <w:rPr>
          <w:bCs/>
          <w:lang w:val="fr-FR"/>
        </w:rPr>
        <w:t>Pise-Don Bosco</w:t>
      </w:r>
      <w:r w:rsidRPr="00753C92" w:rsidDel="00A3777C">
        <w:rPr>
          <w:lang w:val="fr-FR"/>
        </w:rPr>
        <w:t xml:space="preserve"> </w:t>
      </w:r>
      <w:r w:rsidRPr="00753C92">
        <w:rPr>
          <w:bCs/>
          <w:lang w:val="fr-FR"/>
        </w:rPr>
        <w:t>indiqua qu</w:t>
      </w:r>
      <w:r w:rsidR="00753C92" w:rsidRPr="00753C92">
        <w:rPr>
          <w:bCs/>
          <w:lang w:val="fr-FR"/>
        </w:rPr>
        <w:t>’</w:t>
      </w:r>
      <w:r w:rsidRPr="00753C92">
        <w:rPr>
          <w:bCs/>
          <w:lang w:val="fr-FR"/>
        </w:rPr>
        <w:t>un spécialiste en neurochirurgie et une spécialiste en chirurgie de la main de l</w:t>
      </w:r>
      <w:r w:rsidR="00753C92" w:rsidRPr="00753C92">
        <w:rPr>
          <w:bCs/>
          <w:lang w:val="fr-FR"/>
        </w:rPr>
        <w:t>’</w:t>
      </w:r>
      <w:r w:rsidRPr="00753C92">
        <w:rPr>
          <w:bCs/>
          <w:lang w:val="fr-FR"/>
        </w:rPr>
        <w:t xml:space="preserve">hôpital de Pise avaient recommandé la réalisation </w:t>
      </w:r>
      <w:r w:rsidRPr="00753C92">
        <w:rPr>
          <w:lang w:val="fr-FR"/>
        </w:rPr>
        <w:t>d</w:t>
      </w:r>
      <w:r w:rsidR="00753C92" w:rsidRPr="00753C92">
        <w:rPr>
          <w:lang w:val="fr-FR"/>
        </w:rPr>
        <w:t>’</w:t>
      </w:r>
      <w:r w:rsidRPr="00753C92">
        <w:rPr>
          <w:lang w:val="fr-FR"/>
        </w:rPr>
        <w:t>une nouvelle intervention chirurgicale au niveau de la main. Il exposait également que les traitements de kinésithérapie dispensés au sein de l</w:t>
      </w:r>
      <w:r w:rsidR="00753C92" w:rsidRPr="00753C92">
        <w:rPr>
          <w:lang w:val="fr-FR"/>
        </w:rPr>
        <w:t>’</w:t>
      </w:r>
      <w:r w:rsidRPr="00753C92">
        <w:rPr>
          <w:lang w:val="fr-FR"/>
        </w:rPr>
        <w:t>établissement pénitentiaire étaient limités en raison du manque de personnel sanitaire et de ressources et qu</w:t>
      </w:r>
      <w:r w:rsidR="00753C92" w:rsidRPr="00753C92">
        <w:rPr>
          <w:lang w:val="fr-FR"/>
        </w:rPr>
        <w:t>’</w:t>
      </w:r>
      <w:r w:rsidRPr="00753C92">
        <w:rPr>
          <w:lang w:val="fr-FR"/>
        </w:rPr>
        <w:t>il était souhaitable de poursuivre la rééducation de l</w:t>
      </w:r>
      <w:r w:rsidR="00753C92" w:rsidRPr="00753C92">
        <w:rPr>
          <w:lang w:val="fr-FR"/>
        </w:rPr>
        <w:t>’</w:t>
      </w:r>
      <w:r w:rsidRPr="00753C92">
        <w:rPr>
          <w:lang w:val="fr-FR"/>
        </w:rPr>
        <w:t>intéressé</w:t>
      </w:r>
      <w:r w:rsidR="002C1C5C" w:rsidRPr="00753C92">
        <w:rPr>
          <w:lang w:val="fr-FR"/>
        </w:rPr>
        <w:t xml:space="preserve"> </w:t>
      </w:r>
      <w:r w:rsidRPr="00753C92">
        <w:rPr>
          <w:lang w:val="fr-FR"/>
        </w:rPr>
        <w:t>dans un centre externe spécialisé ou de le transférer dans une prison dotée d</w:t>
      </w:r>
      <w:r w:rsidR="00753C92" w:rsidRPr="00753C92">
        <w:rPr>
          <w:lang w:val="fr-FR"/>
        </w:rPr>
        <w:t>’</w:t>
      </w:r>
      <w:r w:rsidRPr="00753C92">
        <w:rPr>
          <w:lang w:val="fr-FR"/>
        </w:rPr>
        <w:t>un service médical mieux équipé.</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9</w:t>
      </w:r>
      <w:r w:rsidRPr="00753C92">
        <w:fldChar w:fldCharType="end"/>
      </w:r>
      <w:r w:rsidRPr="00753C92">
        <w:rPr>
          <w:lang w:val="fr-FR"/>
        </w:rPr>
        <w:t>.  Il ressort du dossier médical et des autres documents que : le requérant a fait l</w:t>
      </w:r>
      <w:r w:rsidR="00753C92" w:rsidRPr="00753C92">
        <w:rPr>
          <w:lang w:val="fr-FR"/>
        </w:rPr>
        <w:t>’</w:t>
      </w:r>
      <w:r w:rsidRPr="00753C92">
        <w:rPr>
          <w:lang w:val="fr-FR"/>
        </w:rPr>
        <w:t>objet d</w:t>
      </w:r>
      <w:r w:rsidR="00753C92" w:rsidRPr="00753C92">
        <w:rPr>
          <w:lang w:val="fr-FR"/>
        </w:rPr>
        <w:t>’</w:t>
      </w:r>
      <w:r w:rsidRPr="00753C92">
        <w:rPr>
          <w:lang w:val="fr-FR"/>
        </w:rPr>
        <w:t>un suivi médical constant et qu</w:t>
      </w:r>
      <w:r w:rsidR="00753C92" w:rsidRPr="00753C92">
        <w:rPr>
          <w:lang w:val="fr-FR"/>
        </w:rPr>
        <w:t>’</w:t>
      </w:r>
      <w:r w:rsidRPr="00753C92">
        <w:rPr>
          <w:lang w:val="fr-FR"/>
        </w:rPr>
        <w:t>il a bénéficié de plusieurs séances de kinésithérapie pratiquées par les médecins de la prison ; une intervention chirurgicale à la main était prévue pour septembre 2011, mais l</w:t>
      </w:r>
      <w:r w:rsidR="00753C92" w:rsidRPr="00753C92">
        <w:rPr>
          <w:lang w:val="fr-FR"/>
        </w:rPr>
        <w:t>’</w:t>
      </w:r>
      <w:r w:rsidRPr="00753C92">
        <w:rPr>
          <w:lang w:val="fr-FR"/>
        </w:rPr>
        <w:t>intéressé a refusé de s</w:t>
      </w:r>
      <w:r w:rsidR="00753C92" w:rsidRPr="00753C92">
        <w:rPr>
          <w:lang w:val="fr-FR"/>
        </w:rPr>
        <w:t>’</w:t>
      </w:r>
      <w:r w:rsidRPr="00753C92">
        <w:rPr>
          <w:lang w:val="fr-FR"/>
        </w:rPr>
        <w:t>y soumettre ; un appareil orthopédique lui a été fourni le 16 juillet 2015.</w:t>
      </w:r>
    </w:p>
    <w:p w:rsidR="00F85BB2" w:rsidRPr="00753C92" w:rsidRDefault="00F85BB2" w:rsidP="00753C92">
      <w:pPr>
        <w:pStyle w:val="ECHRHeading3"/>
        <w:rPr>
          <w:lang w:val="fr-FR"/>
        </w:rPr>
      </w:pPr>
      <w:r w:rsidRPr="00753C92">
        <w:rPr>
          <w:lang w:val="fr-FR"/>
        </w:rPr>
        <w:t>4.  L</w:t>
      </w:r>
      <w:r w:rsidR="00753C92" w:rsidRPr="00753C92">
        <w:rPr>
          <w:lang w:val="fr-FR"/>
        </w:rPr>
        <w:t>’</w:t>
      </w:r>
      <w:r w:rsidRPr="00753C92">
        <w:rPr>
          <w:lang w:val="fr-FR"/>
        </w:rPr>
        <w:t>alimentation du requérant</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10</w:t>
      </w:r>
      <w:r w:rsidRPr="00753C92">
        <w:fldChar w:fldCharType="end"/>
      </w:r>
      <w:r w:rsidRPr="00753C92">
        <w:rPr>
          <w:lang w:val="fr-FR"/>
        </w:rPr>
        <w:t>.  En ce qui concerne plus précisément la maladie cœliaque dont il souffre, le requérant indique qu</w:t>
      </w:r>
      <w:r w:rsidR="00753C92" w:rsidRPr="00753C92">
        <w:rPr>
          <w:lang w:val="fr-FR"/>
        </w:rPr>
        <w:t>’</w:t>
      </w:r>
      <w:r w:rsidRPr="00753C92">
        <w:rPr>
          <w:lang w:val="fr-FR"/>
        </w:rPr>
        <w:t>il doit suivre scrupuleusement un régime alimentaire excluant toute source de gluten.</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11</w:t>
      </w:r>
      <w:r w:rsidRPr="00753C92">
        <w:fldChar w:fldCharType="end"/>
      </w:r>
      <w:r w:rsidRPr="00753C92">
        <w:rPr>
          <w:lang w:val="fr-FR"/>
        </w:rPr>
        <w:t xml:space="preserve">.  Il ressort du dossier que la direction de la prison de </w:t>
      </w:r>
      <w:r w:rsidRPr="00753C92">
        <w:rPr>
          <w:bCs/>
          <w:lang w:val="fr-FR"/>
        </w:rPr>
        <w:t>Pise-Don Bosco</w:t>
      </w:r>
      <w:r w:rsidRPr="00753C92">
        <w:rPr>
          <w:lang w:val="fr-FR"/>
        </w:rPr>
        <w:t xml:space="preserve"> a acquis en 2011 des casseroles qu</w:t>
      </w:r>
      <w:r w:rsidR="00753C92" w:rsidRPr="00753C92">
        <w:rPr>
          <w:lang w:val="fr-FR"/>
        </w:rPr>
        <w:t>’</w:t>
      </w:r>
      <w:r w:rsidRPr="00753C92">
        <w:rPr>
          <w:lang w:val="fr-FR"/>
        </w:rPr>
        <w:t>elle a spécialement réservées à la préparation des repas du requérant et que, jusqu</w:t>
      </w:r>
      <w:r w:rsidR="00753C92" w:rsidRPr="00753C92">
        <w:rPr>
          <w:lang w:val="fr-FR"/>
        </w:rPr>
        <w:t>’</w:t>
      </w:r>
      <w:r w:rsidRPr="00753C92">
        <w:rPr>
          <w:lang w:val="fr-FR"/>
        </w:rPr>
        <w:t>à la date de son transfèrement de la prison de Milan-</w:t>
      </w:r>
      <w:proofErr w:type="spellStart"/>
      <w:r w:rsidRPr="00753C92">
        <w:rPr>
          <w:lang w:val="fr-FR"/>
        </w:rPr>
        <w:t>Opera</w:t>
      </w:r>
      <w:proofErr w:type="spellEnd"/>
      <w:r w:rsidRPr="00753C92">
        <w:rPr>
          <w:lang w:val="fr-FR"/>
        </w:rPr>
        <w:t xml:space="preserve"> à celle de Pise-Don Bosco, l</w:t>
      </w:r>
      <w:r w:rsidR="00753C92" w:rsidRPr="00753C92">
        <w:rPr>
          <w:lang w:val="fr-FR"/>
        </w:rPr>
        <w:t>’</w:t>
      </w:r>
      <w:r w:rsidRPr="00753C92">
        <w:rPr>
          <w:lang w:val="fr-FR"/>
        </w:rPr>
        <w:t>intéressé a bénéficié d</w:t>
      </w:r>
      <w:r w:rsidR="00753C92" w:rsidRPr="00753C92">
        <w:rPr>
          <w:lang w:val="fr-FR"/>
        </w:rPr>
        <w:t>’</w:t>
      </w:r>
      <w:r w:rsidRPr="00753C92">
        <w:rPr>
          <w:lang w:val="fr-FR"/>
        </w:rPr>
        <w:t>une alimentation adaptée.</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12</w:t>
      </w:r>
      <w:r w:rsidRPr="00753C92">
        <w:fldChar w:fldCharType="end"/>
      </w:r>
      <w:r w:rsidRPr="00753C92">
        <w:rPr>
          <w:lang w:val="fr-FR"/>
        </w:rPr>
        <w:t>.  Après le retour du requérant à la prison de Pise, en l</w:t>
      </w:r>
      <w:r w:rsidR="00753C92" w:rsidRPr="00753C92">
        <w:rPr>
          <w:lang w:val="fr-FR"/>
        </w:rPr>
        <w:t>’</w:t>
      </w:r>
      <w:r w:rsidRPr="00753C92">
        <w:rPr>
          <w:lang w:val="fr-FR"/>
        </w:rPr>
        <w:t>absence de toute demande spécifique concernant un régime alimentaire particulier et faute de présentation d</w:t>
      </w:r>
      <w:r w:rsidR="00753C92" w:rsidRPr="00753C92">
        <w:rPr>
          <w:lang w:val="fr-FR"/>
        </w:rPr>
        <w:t>’</w:t>
      </w:r>
      <w:r w:rsidRPr="00753C92">
        <w:rPr>
          <w:lang w:val="fr-FR"/>
        </w:rPr>
        <w:t>un certificat médical spécial au département de l</w:t>
      </w:r>
      <w:r w:rsidR="00753C92" w:rsidRPr="00753C92">
        <w:rPr>
          <w:lang w:val="fr-FR"/>
        </w:rPr>
        <w:t>’</w:t>
      </w:r>
      <w:r w:rsidRPr="00753C92">
        <w:rPr>
          <w:lang w:val="fr-FR"/>
        </w:rPr>
        <w:t>administration sanitaire locale, une alimentation compatible avec la maladie cœliaque lui fut dispensée, pendant un certain temps, par des personnes habilitées (infirmiers) par l</w:t>
      </w:r>
      <w:r w:rsidR="00753C92" w:rsidRPr="00753C92">
        <w:rPr>
          <w:lang w:val="fr-FR"/>
        </w:rPr>
        <w:t>’</w:t>
      </w:r>
      <w:r w:rsidRPr="00753C92">
        <w:rPr>
          <w:lang w:val="fr-FR"/>
        </w:rPr>
        <w:t>administration pénitentiaire.</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13</w:t>
      </w:r>
      <w:r w:rsidRPr="00753C92">
        <w:fldChar w:fldCharType="end"/>
      </w:r>
      <w:r w:rsidRPr="00753C92">
        <w:rPr>
          <w:lang w:val="fr-FR"/>
        </w:rPr>
        <w:t>.  Après 2012, l</w:t>
      </w:r>
      <w:r w:rsidR="00753C92" w:rsidRPr="00753C92">
        <w:rPr>
          <w:lang w:val="fr-FR"/>
        </w:rPr>
        <w:t>’</w:t>
      </w:r>
      <w:r w:rsidRPr="00753C92">
        <w:rPr>
          <w:lang w:val="fr-FR"/>
        </w:rPr>
        <w:t>autorisation concernant la fourniture d</w:t>
      </w:r>
      <w:r w:rsidR="00753C92" w:rsidRPr="00753C92">
        <w:rPr>
          <w:lang w:val="fr-FR"/>
        </w:rPr>
        <w:t>’</w:t>
      </w:r>
      <w:r w:rsidRPr="00753C92">
        <w:rPr>
          <w:lang w:val="fr-FR"/>
        </w:rPr>
        <w:t>aliments adaptés fut refusée, car le requérant était toujours enregistré à la prison de Milan et ne pouvait en bénéficier à Pise.</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14</w:t>
      </w:r>
      <w:r w:rsidRPr="00753C92">
        <w:fldChar w:fldCharType="end"/>
      </w:r>
      <w:r w:rsidRPr="00753C92">
        <w:rPr>
          <w:lang w:val="fr-FR"/>
        </w:rPr>
        <w:t>.  Entre-temps, l</w:t>
      </w:r>
      <w:r w:rsidR="00753C92" w:rsidRPr="00753C92">
        <w:rPr>
          <w:lang w:val="fr-FR"/>
        </w:rPr>
        <w:t>’</w:t>
      </w:r>
      <w:r w:rsidRPr="00753C92">
        <w:rPr>
          <w:lang w:val="fr-FR"/>
        </w:rPr>
        <w:t>intéressé avait reçu une alimentation adéquate, préparée avec les ustensiles de cuisine spécifiques et la vaisselle achetés en 2011 par l</w:t>
      </w:r>
      <w:r w:rsidR="00753C92" w:rsidRPr="00753C92">
        <w:rPr>
          <w:lang w:val="fr-FR"/>
        </w:rPr>
        <w:t>’</w:t>
      </w:r>
      <w:r w:rsidRPr="00753C92">
        <w:rPr>
          <w:lang w:val="fr-FR"/>
        </w:rPr>
        <w:t>administration pénitentiaire spécialement pour lui, et distribuée par les personnes habilitées par l</w:t>
      </w:r>
      <w:r w:rsidR="00753C92" w:rsidRPr="00753C92">
        <w:rPr>
          <w:lang w:val="fr-FR"/>
        </w:rPr>
        <w:t>’</w:t>
      </w:r>
      <w:r w:rsidRPr="00753C92">
        <w:rPr>
          <w:lang w:val="fr-FR"/>
        </w:rPr>
        <w:t>administration ; en 2012, on l</w:t>
      </w:r>
      <w:r w:rsidR="00753C92" w:rsidRPr="00753C92">
        <w:rPr>
          <w:lang w:val="fr-FR"/>
        </w:rPr>
        <w:t>’</w:t>
      </w:r>
      <w:r w:rsidRPr="00753C92">
        <w:rPr>
          <w:lang w:val="fr-FR"/>
        </w:rPr>
        <w:t>avait placé dans une cellule individuelle afin d</w:t>
      </w:r>
      <w:r w:rsidR="00753C92" w:rsidRPr="00753C92">
        <w:rPr>
          <w:lang w:val="fr-FR"/>
        </w:rPr>
        <w:t>’</w:t>
      </w:r>
      <w:r w:rsidRPr="00753C92">
        <w:rPr>
          <w:lang w:val="fr-FR"/>
        </w:rPr>
        <w:t>éviter la contamination de ses aliments.</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15</w:t>
      </w:r>
      <w:r w:rsidRPr="00753C92">
        <w:fldChar w:fldCharType="end"/>
      </w:r>
      <w:r w:rsidRPr="00753C92">
        <w:rPr>
          <w:lang w:val="fr-FR"/>
        </w:rPr>
        <w:t>.  Il ressort également du dossier que le requérant refusait souvent les aliments qui lui étaient fournis par la pharmacie de la prison.</w:t>
      </w:r>
    </w:p>
    <w:p w:rsidR="00F85BB2" w:rsidRPr="00753C92" w:rsidRDefault="00F85BB2" w:rsidP="00753C92">
      <w:pPr>
        <w:pStyle w:val="ECHRHeading3"/>
        <w:rPr>
          <w:lang w:val="fr-FR"/>
        </w:rPr>
      </w:pPr>
      <w:r w:rsidRPr="00753C92">
        <w:rPr>
          <w:lang w:val="fr-FR"/>
        </w:rPr>
        <w:lastRenderedPageBreak/>
        <w:t>5.  Les demandes introduites par le requérant devant les juridictions internes quant à ses conditions de détention</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16</w:t>
      </w:r>
      <w:r w:rsidRPr="00753C92">
        <w:fldChar w:fldCharType="end"/>
      </w:r>
      <w:r w:rsidRPr="00753C92">
        <w:rPr>
          <w:lang w:val="fr-FR"/>
        </w:rPr>
        <w:t>.  Depuis le début de sa détention, le requérant a saisi plusieurs fois les juridictions de l</w:t>
      </w:r>
      <w:r w:rsidR="00753C92" w:rsidRPr="00753C92">
        <w:rPr>
          <w:lang w:val="fr-FR"/>
        </w:rPr>
        <w:t>’</w:t>
      </w:r>
      <w:r w:rsidRPr="00753C92">
        <w:rPr>
          <w:lang w:val="fr-FR"/>
        </w:rPr>
        <w:t>application des peines d</w:t>
      </w:r>
      <w:r w:rsidR="00753C92" w:rsidRPr="00753C92">
        <w:rPr>
          <w:lang w:val="fr-FR"/>
        </w:rPr>
        <w:t>’</w:t>
      </w:r>
      <w:r w:rsidRPr="00753C92">
        <w:rPr>
          <w:lang w:val="fr-FR"/>
        </w:rPr>
        <w:t>une demande de suspension de sa détention pour raisons de santé.</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17</w:t>
      </w:r>
      <w:r w:rsidRPr="00753C92">
        <w:fldChar w:fldCharType="end"/>
      </w:r>
      <w:r w:rsidRPr="00753C92">
        <w:rPr>
          <w:lang w:val="fr-FR"/>
        </w:rPr>
        <w:t>.  Le 13 février 2013, le tribunal de Milan rejeta la demande de l</w:t>
      </w:r>
      <w:r w:rsidR="00753C92" w:rsidRPr="00753C92">
        <w:rPr>
          <w:lang w:val="fr-FR"/>
        </w:rPr>
        <w:t>’</w:t>
      </w:r>
      <w:r w:rsidRPr="00753C92">
        <w:rPr>
          <w:lang w:val="fr-FR"/>
        </w:rPr>
        <w:t>intéressé visant à l</w:t>
      </w:r>
      <w:r w:rsidR="00753C92" w:rsidRPr="00753C92">
        <w:rPr>
          <w:lang w:val="fr-FR"/>
        </w:rPr>
        <w:t>’</w:t>
      </w:r>
      <w:r w:rsidRPr="00753C92">
        <w:rPr>
          <w:lang w:val="fr-FR"/>
        </w:rPr>
        <w:t>obtention de la détention à domicile au motif qu</w:t>
      </w:r>
      <w:r w:rsidR="00753C92" w:rsidRPr="00753C92">
        <w:rPr>
          <w:lang w:val="fr-FR"/>
        </w:rPr>
        <w:t>’</w:t>
      </w:r>
      <w:r w:rsidRPr="00753C92">
        <w:rPr>
          <w:lang w:val="fr-FR"/>
        </w:rPr>
        <w:t>il n</w:t>
      </w:r>
      <w:r w:rsidR="00753C92" w:rsidRPr="00753C92">
        <w:rPr>
          <w:lang w:val="fr-FR"/>
        </w:rPr>
        <w:t>’</w:t>
      </w:r>
      <w:r w:rsidRPr="00753C92">
        <w:rPr>
          <w:lang w:val="fr-FR"/>
        </w:rPr>
        <w:t>y avait pas d</w:t>
      </w:r>
      <w:r w:rsidR="00753C92" w:rsidRPr="00753C92">
        <w:rPr>
          <w:lang w:val="fr-FR"/>
        </w:rPr>
        <w:t>’</w:t>
      </w:r>
      <w:r w:rsidRPr="00753C92">
        <w:rPr>
          <w:lang w:val="fr-FR"/>
        </w:rPr>
        <w:t>incompatibilité de l</w:t>
      </w:r>
      <w:r w:rsidR="00753C92" w:rsidRPr="00753C92">
        <w:rPr>
          <w:lang w:val="fr-FR"/>
        </w:rPr>
        <w:t>’</w:t>
      </w:r>
      <w:r w:rsidRPr="00753C92">
        <w:rPr>
          <w:lang w:val="fr-FR"/>
        </w:rPr>
        <w:t>état de santé du requérant avec la détention carcérale.</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18</w:t>
      </w:r>
      <w:r w:rsidRPr="00753C92">
        <w:fldChar w:fldCharType="end"/>
      </w:r>
      <w:r w:rsidRPr="00753C92">
        <w:rPr>
          <w:lang w:val="fr-FR"/>
        </w:rPr>
        <w:t>.  Par une décision du 14 mai 2013, le tribunal de Milan se basa sur un rapport médical du 24 avril 2013, sur des examens neurologiques subis par l</w:t>
      </w:r>
      <w:r w:rsidR="00753C92" w:rsidRPr="00753C92">
        <w:rPr>
          <w:lang w:val="fr-FR"/>
        </w:rPr>
        <w:t>’</w:t>
      </w:r>
      <w:r w:rsidRPr="00753C92">
        <w:rPr>
          <w:lang w:val="fr-FR"/>
        </w:rPr>
        <w:t>intéressé et sur des examens cardiologiques des 5 janvier et 9 mars 2013 pour évaluer l</w:t>
      </w:r>
      <w:r w:rsidR="00753C92" w:rsidRPr="00753C92">
        <w:rPr>
          <w:lang w:val="fr-FR"/>
        </w:rPr>
        <w:t>’</w:t>
      </w:r>
      <w:r w:rsidRPr="00753C92">
        <w:rPr>
          <w:lang w:val="fr-FR"/>
        </w:rPr>
        <w:t>état de santé du requérant, notamment l</w:t>
      </w:r>
      <w:r w:rsidR="00753C92" w:rsidRPr="00753C92">
        <w:rPr>
          <w:lang w:val="fr-FR"/>
        </w:rPr>
        <w:t>’</w:t>
      </w:r>
      <w:r w:rsidRPr="00753C92">
        <w:rPr>
          <w:lang w:val="fr-FR"/>
        </w:rPr>
        <w:t>état de son bras gauche, son hypertension et sa maladie cœliaque, et rejeta la nouvelle demande de détention à domicile que celui-ci avait présentée.</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19</w:t>
      </w:r>
      <w:r w:rsidRPr="00753C92">
        <w:fldChar w:fldCharType="end"/>
      </w:r>
      <w:r w:rsidRPr="00753C92">
        <w:rPr>
          <w:lang w:val="fr-FR"/>
        </w:rPr>
        <w:t>.  Le 10 janvier 2014, le juge de l</w:t>
      </w:r>
      <w:r w:rsidR="00753C92" w:rsidRPr="00753C92">
        <w:rPr>
          <w:lang w:val="fr-FR"/>
        </w:rPr>
        <w:t>’</w:t>
      </w:r>
      <w:r w:rsidRPr="00753C92">
        <w:rPr>
          <w:lang w:val="fr-FR"/>
        </w:rPr>
        <w:t>application des peines de Pise se prononça sur deux demandes formées par le requérant, l</w:t>
      </w:r>
      <w:r w:rsidR="00753C92" w:rsidRPr="00753C92">
        <w:rPr>
          <w:lang w:val="fr-FR"/>
        </w:rPr>
        <w:t>’</w:t>
      </w:r>
      <w:r w:rsidRPr="00753C92">
        <w:rPr>
          <w:lang w:val="fr-FR"/>
        </w:rPr>
        <w:t>une relative à une détention à domicile et l</w:t>
      </w:r>
      <w:r w:rsidR="00753C92" w:rsidRPr="00753C92">
        <w:rPr>
          <w:lang w:val="fr-FR"/>
        </w:rPr>
        <w:t>’</w:t>
      </w:r>
      <w:r w:rsidRPr="00753C92">
        <w:rPr>
          <w:lang w:val="fr-FR"/>
        </w:rPr>
        <w:t>autre à une hospitalisation dans un établissement extérieur à la prison où il pourrait bénéficier de soins adéquats pour son bras gauche. Tout en rejetant ces demandes, le juge observa que le principal problème de santé de l</w:t>
      </w:r>
      <w:r w:rsidR="00753C92" w:rsidRPr="00753C92">
        <w:rPr>
          <w:lang w:val="fr-FR"/>
        </w:rPr>
        <w:t>’</w:t>
      </w:r>
      <w:r w:rsidRPr="00753C92">
        <w:rPr>
          <w:lang w:val="fr-FR"/>
        </w:rPr>
        <w:t>intéressé, à savoir l</w:t>
      </w:r>
      <w:r w:rsidR="00753C92" w:rsidRPr="00753C92">
        <w:rPr>
          <w:lang w:val="fr-FR"/>
        </w:rPr>
        <w:t>’</w:t>
      </w:r>
      <w:r w:rsidRPr="00753C92">
        <w:rPr>
          <w:lang w:val="fr-FR"/>
        </w:rPr>
        <w:t>état de son bras gauche, pouvait être traité plus efficacement par des séances de kinésithérapie dans un centre médical externe à la prison. Il ajouta qu</w:t>
      </w:r>
      <w:r w:rsidR="00753C92" w:rsidRPr="00753C92">
        <w:rPr>
          <w:lang w:val="fr-FR"/>
        </w:rPr>
        <w:t>’</w:t>
      </w:r>
      <w:r w:rsidRPr="00753C92">
        <w:rPr>
          <w:lang w:val="fr-FR"/>
        </w:rPr>
        <w:t>il était souhaitable de transférer le requérant dans un établissement pénitentiaire où il serait plus aisé d</w:t>
      </w:r>
      <w:r w:rsidR="00753C92" w:rsidRPr="00753C92">
        <w:rPr>
          <w:lang w:val="fr-FR"/>
        </w:rPr>
        <w:t>’</w:t>
      </w:r>
      <w:r w:rsidRPr="00753C92">
        <w:rPr>
          <w:lang w:val="fr-FR"/>
        </w:rPr>
        <w:t>organiser ces séances. Il enjoignit donc à l</w:t>
      </w:r>
      <w:r w:rsidR="00753C92" w:rsidRPr="00753C92">
        <w:rPr>
          <w:lang w:val="fr-FR"/>
        </w:rPr>
        <w:t>’</w:t>
      </w:r>
      <w:r w:rsidRPr="00753C92">
        <w:rPr>
          <w:bCs/>
          <w:lang w:val="fr-FR"/>
        </w:rPr>
        <w:t>administration pénitentiaire</w:t>
      </w:r>
      <w:r w:rsidRPr="00753C92">
        <w:rPr>
          <w:lang w:val="fr-FR"/>
        </w:rPr>
        <w:t xml:space="preserve"> d</w:t>
      </w:r>
      <w:r w:rsidR="00753C92" w:rsidRPr="00753C92">
        <w:rPr>
          <w:lang w:val="fr-FR"/>
        </w:rPr>
        <w:t>’</w:t>
      </w:r>
      <w:r w:rsidRPr="00753C92">
        <w:rPr>
          <w:lang w:val="fr-FR"/>
        </w:rPr>
        <w:t>adopter les mesures préconisées et transmit le dossier au tribunal de l</w:t>
      </w:r>
      <w:r w:rsidR="00753C92" w:rsidRPr="00753C92">
        <w:rPr>
          <w:lang w:val="fr-FR"/>
        </w:rPr>
        <w:t>’</w:t>
      </w:r>
      <w:r w:rsidRPr="00753C92">
        <w:rPr>
          <w:lang w:val="fr-FR"/>
        </w:rPr>
        <w:t>application des peines de Florence pour adoption d</w:t>
      </w:r>
      <w:r w:rsidR="00753C92" w:rsidRPr="00753C92">
        <w:rPr>
          <w:lang w:val="fr-FR"/>
        </w:rPr>
        <w:t>’</w:t>
      </w:r>
      <w:r w:rsidRPr="00753C92">
        <w:rPr>
          <w:lang w:val="fr-FR"/>
        </w:rPr>
        <w:t>une décision définitive sur les demandes de l</w:t>
      </w:r>
      <w:r w:rsidR="00753C92" w:rsidRPr="00753C92">
        <w:rPr>
          <w:lang w:val="fr-FR"/>
        </w:rPr>
        <w:t>’</w:t>
      </w:r>
      <w:r w:rsidRPr="00753C92">
        <w:rPr>
          <w:lang w:val="fr-FR"/>
        </w:rPr>
        <w:t>intéressé.</w:t>
      </w:r>
    </w:p>
    <w:bookmarkStart w:id="2" w:name="p20"/>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20</w:t>
      </w:r>
      <w:r w:rsidRPr="00753C92">
        <w:fldChar w:fldCharType="end"/>
      </w:r>
      <w:bookmarkEnd w:id="2"/>
      <w:r w:rsidRPr="00753C92">
        <w:rPr>
          <w:lang w:val="fr-FR"/>
        </w:rPr>
        <w:t>.  Par une décision du 13 mars 2014, s</w:t>
      </w:r>
      <w:r w:rsidR="00753C92" w:rsidRPr="00753C92">
        <w:rPr>
          <w:lang w:val="fr-FR"/>
        </w:rPr>
        <w:t>’</w:t>
      </w:r>
      <w:r w:rsidRPr="00753C92">
        <w:rPr>
          <w:lang w:val="fr-FR"/>
        </w:rPr>
        <w:t>appuyant sur les conclusions émises par un expert nommé à une date non précisée, le tribunal de l</w:t>
      </w:r>
      <w:r w:rsidR="00753C92" w:rsidRPr="00753C92">
        <w:rPr>
          <w:lang w:val="fr-FR"/>
        </w:rPr>
        <w:t>’</w:t>
      </w:r>
      <w:r w:rsidRPr="00753C92">
        <w:rPr>
          <w:lang w:val="fr-FR"/>
        </w:rPr>
        <w:t>application des peines de Florence prit acte du fait que des mesures telles que des séances de kinésithérapie, l</w:t>
      </w:r>
      <w:r w:rsidR="00753C92" w:rsidRPr="00753C92">
        <w:rPr>
          <w:lang w:val="fr-FR"/>
        </w:rPr>
        <w:t>’</w:t>
      </w:r>
      <w:r w:rsidRPr="00753C92">
        <w:rPr>
          <w:lang w:val="fr-FR"/>
        </w:rPr>
        <w:t>utilisation d</w:t>
      </w:r>
      <w:r w:rsidR="00753C92" w:rsidRPr="00753C92">
        <w:rPr>
          <w:lang w:val="fr-FR"/>
        </w:rPr>
        <w:t>’</w:t>
      </w:r>
      <w:r w:rsidRPr="00753C92">
        <w:rPr>
          <w:lang w:val="fr-FR"/>
        </w:rPr>
        <w:t>un appareil orthopédique et, éventuellement, une nouvelle intervention chirurgicale étaient susceptibles d</w:t>
      </w:r>
      <w:r w:rsidR="00753C92" w:rsidRPr="00753C92">
        <w:rPr>
          <w:lang w:val="fr-FR"/>
        </w:rPr>
        <w:t>’</w:t>
      </w:r>
      <w:r w:rsidRPr="00753C92">
        <w:rPr>
          <w:lang w:val="fr-FR"/>
        </w:rPr>
        <w:t>améliorer la fonctionnalité du bras et de la main gauches du requérant. Il prit également acte de ce que l</w:t>
      </w:r>
      <w:r w:rsidR="00753C92" w:rsidRPr="00753C92">
        <w:rPr>
          <w:lang w:val="fr-FR"/>
        </w:rPr>
        <w:t>’</w:t>
      </w:r>
      <w:r w:rsidRPr="00753C92">
        <w:rPr>
          <w:lang w:val="fr-FR"/>
        </w:rPr>
        <w:t>administration de traitements de kinésithérapie en prison</w:t>
      </w:r>
      <w:r w:rsidRPr="00753C92" w:rsidDel="00781578">
        <w:rPr>
          <w:lang w:val="fr-FR"/>
        </w:rPr>
        <w:t xml:space="preserve"> </w:t>
      </w:r>
      <w:r w:rsidRPr="00753C92">
        <w:rPr>
          <w:lang w:val="fr-FR"/>
        </w:rPr>
        <w:t>était inadéquate en raison du manque de personnel sanitaire qualifié et d</w:t>
      </w:r>
      <w:r w:rsidR="00753C92" w:rsidRPr="00753C92">
        <w:rPr>
          <w:lang w:val="fr-FR"/>
        </w:rPr>
        <w:t>’</w:t>
      </w:r>
      <w:r w:rsidRPr="00753C92">
        <w:rPr>
          <w:lang w:val="fr-FR"/>
        </w:rPr>
        <w:t>équipement. En tout état de cause, il estima que l</w:t>
      </w:r>
      <w:r w:rsidR="00753C92" w:rsidRPr="00753C92">
        <w:rPr>
          <w:lang w:val="fr-FR"/>
        </w:rPr>
        <w:t>’</w:t>
      </w:r>
      <w:r w:rsidRPr="00753C92">
        <w:rPr>
          <w:lang w:val="fr-FR"/>
        </w:rPr>
        <w:t xml:space="preserve">état de santé du requérant ne justifiait pas une suspension de sa peine et que la protection de sa santé pouvait être assurée par les soins que le service médical de la prison de </w:t>
      </w:r>
      <w:r w:rsidRPr="00753C92">
        <w:rPr>
          <w:bCs/>
          <w:lang w:val="fr-FR"/>
        </w:rPr>
        <w:t>Pise-Don Bosco</w:t>
      </w:r>
      <w:r w:rsidRPr="00753C92">
        <w:rPr>
          <w:lang w:val="fr-FR"/>
        </w:rPr>
        <w:t xml:space="preserve"> – ou, le cas échéant, un autre centre, extérieur à la prison –</w:t>
      </w:r>
      <w:r w:rsidR="0092227F" w:rsidRPr="00753C92">
        <w:rPr>
          <w:lang w:val="fr-FR"/>
        </w:rPr>
        <w:t> </w:t>
      </w:r>
      <w:r w:rsidRPr="00753C92">
        <w:rPr>
          <w:lang w:val="fr-FR"/>
        </w:rPr>
        <w:t>pourrait lui fournir ainsi que par d</w:t>
      </w:r>
      <w:r w:rsidR="00753C92" w:rsidRPr="00753C92">
        <w:rPr>
          <w:lang w:val="fr-FR"/>
        </w:rPr>
        <w:t>’</w:t>
      </w:r>
      <w:r w:rsidRPr="00753C92">
        <w:rPr>
          <w:lang w:val="fr-FR"/>
        </w:rPr>
        <w:t>éventuelles interventions chirurgicales.</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21</w:t>
      </w:r>
      <w:r w:rsidRPr="00753C92">
        <w:fldChar w:fldCharType="end"/>
      </w:r>
      <w:r w:rsidRPr="00753C92">
        <w:rPr>
          <w:lang w:val="fr-FR"/>
        </w:rPr>
        <w:t>.  Le requérant ne se pourvut pas en cassation contre cette décision.</w:t>
      </w:r>
    </w:p>
    <w:p w:rsidR="00F85BB2" w:rsidRPr="00753C92" w:rsidRDefault="00F85BB2" w:rsidP="00753C92">
      <w:pPr>
        <w:pStyle w:val="ECHRPara"/>
        <w:rPr>
          <w:lang w:val="fr-FR"/>
        </w:rPr>
      </w:pPr>
      <w:r w:rsidRPr="00753C92">
        <w:lastRenderedPageBreak/>
        <w:fldChar w:fldCharType="begin"/>
      </w:r>
      <w:r w:rsidRPr="00753C92">
        <w:rPr>
          <w:lang w:val="fr-FR"/>
        </w:rPr>
        <w:instrText xml:space="preserve"> SEQ level0 \*arabic </w:instrText>
      </w:r>
      <w:r w:rsidRPr="00753C92">
        <w:fldChar w:fldCharType="separate"/>
      </w:r>
      <w:r w:rsidR="00753C92" w:rsidRPr="00753C92">
        <w:rPr>
          <w:noProof/>
          <w:lang w:val="fr-FR"/>
        </w:rPr>
        <w:t>22</w:t>
      </w:r>
      <w:r w:rsidRPr="00753C92">
        <w:fldChar w:fldCharType="end"/>
      </w:r>
      <w:r w:rsidRPr="00753C92">
        <w:rPr>
          <w:lang w:val="fr-FR"/>
        </w:rPr>
        <w:t>.  En mai 2014, il déposa une demande d</w:t>
      </w:r>
      <w:r w:rsidR="00753C92" w:rsidRPr="00753C92">
        <w:rPr>
          <w:lang w:val="fr-FR"/>
        </w:rPr>
        <w:t>’</w:t>
      </w:r>
      <w:r w:rsidRPr="00753C92">
        <w:rPr>
          <w:lang w:val="fr-FR"/>
        </w:rPr>
        <w:t>hospitalisation d</w:t>
      </w:r>
      <w:r w:rsidR="00753C92" w:rsidRPr="00753C92">
        <w:rPr>
          <w:lang w:val="fr-FR"/>
        </w:rPr>
        <w:t>’</w:t>
      </w:r>
      <w:r w:rsidRPr="00753C92">
        <w:rPr>
          <w:lang w:val="fr-FR"/>
        </w:rPr>
        <w:t>urgence dans un centre médical spécialisé extérieur à la prison pour suivre un traitement de kinésithérapie et de rééducation.</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23</w:t>
      </w:r>
      <w:r w:rsidRPr="00753C92">
        <w:fldChar w:fldCharType="end"/>
      </w:r>
      <w:r w:rsidRPr="00753C92">
        <w:rPr>
          <w:lang w:val="fr-FR"/>
        </w:rPr>
        <w:t>.  Par une décision du 6 août 2014, s</w:t>
      </w:r>
      <w:r w:rsidR="00753C92" w:rsidRPr="00753C92">
        <w:rPr>
          <w:lang w:val="fr-FR"/>
        </w:rPr>
        <w:t>’</w:t>
      </w:r>
      <w:r w:rsidRPr="00753C92">
        <w:rPr>
          <w:lang w:val="fr-FR"/>
        </w:rPr>
        <w:t>appuyant sur les conclusions émises par un expert qui avait examiné l</w:t>
      </w:r>
      <w:r w:rsidR="00753C92" w:rsidRPr="00753C92">
        <w:rPr>
          <w:lang w:val="fr-FR"/>
        </w:rPr>
        <w:t>’</w:t>
      </w:r>
      <w:r w:rsidRPr="00753C92">
        <w:rPr>
          <w:lang w:val="fr-FR"/>
        </w:rPr>
        <w:t>intéressé le 27 juin 2014, le juge de l</w:t>
      </w:r>
      <w:r w:rsidR="00753C92" w:rsidRPr="00753C92">
        <w:rPr>
          <w:lang w:val="fr-FR"/>
        </w:rPr>
        <w:t>’</w:t>
      </w:r>
      <w:r w:rsidRPr="00753C92">
        <w:rPr>
          <w:lang w:val="fr-FR"/>
        </w:rPr>
        <w:t>application des peines de Pise estima qu</w:t>
      </w:r>
      <w:r w:rsidR="00753C92" w:rsidRPr="00753C92">
        <w:rPr>
          <w:lang w:val="fr-FR"/>
        </w:rPr>
        <w:t>’</w:t>
      </w:r>
      <w:r w:rsidRPr="00753C92">
        <w:rPr>
          <w:lang w:val="fr-FR"/>
        </w:rPr>
        <w:t>aucun élément ne justifiait une hospitalisation d</w:t>
      </w:r>
      <w:r w:rsidR="00753C92" w:rsidRPr="00753C92">
        <w:rPr>
          <w:lang w:val="fr-FR"/>
        </w:rPr>
        <w:t>’</w:t>
      </w:r>
      <w:r w:rsidRPr="00753C92">
        <w:rPr>
          <w:lang w:val="fr-FR"/>
        </w:rPr>
        <w:t>urgence et rejeta donc la demande. Cette décision fut confirmée par le tribunal de Florence le 2 octobre 2014.</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24</w:t>
      </w:r>
      <w:r w:rsidRPr="00753C92">
        <w:fldChar w:fldCharType="end"/>
      </w:r>
      <w:r w:rsidRPr="00753C92">
        <w:rPr>
          <w:lang w:val="fr-FR"/>
        </w:rPr>
        <w:t>.  Par une décision du 20 mars 2015, le juge de l</w:t>
      </w:r>
      <w:r w:rsidR="00753C92" w:rsidRPr="00753C92">
        <w:rPr>
          <w:lang w:val="fr-FR"/>
        </w:rPr>
        <w:t>’</w:t>
      </w:r>
      <w:r w:rsidRPr="00753C92">
        <w:rPr>
          <w:lang w:val="fr-FR"/>
        </w:rPr>
        <w:t>application des peines de Pise, qui avait été saisi une nouvelle fois par le requérant, jugea que l</w:t>
      </w:r>
      <w:r w:rsidR="00753C92" w:rsidRPr="00753C92">
        <w:rPr>
          <w:lang w:val="fr-FR"/>
        </w:rPr>
        <w:t>’</w:t>
      </w:r>
      <w:r w:rsidRPr="00753C92">
        <w:rPr>
          <w:lang w:val="fr-FR"/>
        </w:rPr>
        <w:t>état du bras gauche de celui-ci ne pouvait pas être qualifié de particulièrement grave et d</w:t>
      </w:r>
      <w:r w:rsidR="00753C92" w:rsidRPr="00753C92">
        <w:rPr>
          <w:lang w:val="fr-FR"/>
        </w:rPr>
        <w:t>’</w:t>
      </w:r>
      <w:r w:rsidRPr="00753C92">
        <w:rPr>
          <w:lang w:val="fr-FR"/>
        </w:rPr>
        <w:t>incompatible avec la détention et rejeta la demande de suspension de peine. Il suggéra à l</w:t>
      </w:r>
      <w:r w:rsidR="00753C92" w:rsidRPr="00753C92">
        <w:rPr>
          <w:lang w:val="fr-FR"/>
        </w:rPr>
        <w:t>’</w:t>
      </w:r>
      <w:r w:rsidRPr="00753C92">
        <w:rPr>
          <w:lang w:val="fr-FR"/>
        </w:rPr>
        <w:t>administration d</w:t>
      </w:r>
      <w:r w:rsidR="00753C92" w:rsidRPr="00753C92">
        <w:rPr>
          <w:lang w:val="fr-FR"/>
        </w:rPr>
        <w:t>’</w:t>
      </w:r>
      <w:r w:rsidRPr="00753C92">
        <w:rPr>
          <w:lang w:val="fr-FR"/>
        </w:rPr>
        <w:t>évaluer la possibilité de dispenser à l</w:t>
      </w:r>
      <w:r w:rsidR="00753C92" w:rsidRPr="00753C92">
        <w:rPr>
          <w:lang w:val="fr-FR"/>
        </w:rPr>
        <w:t>’</w:t>
      </w:r>
      <w:r w:rsidRPr="00753C92">
        <w:rPr>
          <w:lang w:val="fr-FR"/>
        </w:rPr>
        <w:t>intéressé des soins de kinésithérapie et de rééducation fonctionnelle.</w:t>
      </w:r>
    </w:p>
    <w:p w:rsidR="00F85BB2" w:rsidRPr="00753C92" w:rsidRDefault="00F85BB2" w:rsidP="00753C92">
      <w:pPr>
        <w:pStyle w:val="ECHRHeading3"/>
        <w:rPr>
          <w:lang w:val="fr-FR"/>
        </w:rPr>
      </w:pPr>
      <w:r w:rsidRPr="00753C92">
        <w:rPr>
          <w:lang w:val="fr-FR"/>
        </w:rPr>
        <w:t>6.  La mesure de placement à l</w:t>
      </w:r>
      <w:r w:rsidR="00753C92" w:rsidRPr="00753C92">
        <w:rPr>
          <w:lang w:val="fr-FR"/>
        </w:rPr>
        <w:t>’</w:t>
      </w:r>
      <w:r w:rsidRPr="00753C92">
        <w:rPr>
          <w:lang w:val="fr-FR"/>
        </w:rPr>
        <w:t>isolement imposée au requérant</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25</w:t>
      </w:r>
      <w:r w:rsidRPr="00753C92">
        <w:fldChar w:fldCharType="end"/>
      </w:r>
      <w:r w:rsidRPr="00753C92">
        <w:rPr>
          <w:lang w:val="fr-FR"/>
        </w:rPr>
        <w:t>.  Le 27 mai 2013, à la suite de la condamnation du requérant à une peine de dix ans de réclusion, prononcée par la cour d</w:t>
      </w:r>
      <w:r w:rsidR="00753C92" w:rsidRPr="00753C92">
        <w:rPr>
          <w:lang w:val="fr-FR"/>
        </w:rPr>
        <w:t>’</w:t>
      </w:r>
      <w:r w:rsidRPr="00753C92">
        <w:rPr>
          <w:lang w:val="fr-FR"/>
        </w:rPr>
        <w:t>appel de Rome le 8 mai 2012 pour extorsion aggravée et port d</w:t>
      </w:r>
      <w:r w:rsidR="00753C92" w:rsidRPr="00753C92">
        <w:rPr>
          <w:lang w:val="fr-FR"/>
        </w:rPr>
        <w:t>’</w:t>
      </w:r>
      <w:r w:rsidRPr="00753C92">
        <w:rPr>
          <w:lang w:val="fr-FR"/>
        </w:rPr>
        <w:t>arme illégal, la condamnation à perpétuité de l</w:t>
      </w:r>
      <w:r w:rsidR="00753C92" w:rsidRPr="00753C92">
        <w:rPr>
          <w:lang w:val="fr-FR"/>
        </w:rPr>
        <w:t>’</w:t>
      </w:r>
      <w:r w:rsidRPr="00753C92">
        <w:rPr>
          <w:lang w:val="fr-FR"/>
        </w:rPr>
        <w:t>intéressé fut assortie d</w:t>
      </w:r>
      <w:r w:rsidR="00753C92" w:rsidRPr="00753C92">
        <w:rPr>
          <w:lang w:val="fr-FR"/>
        </w:rPr>
        <w:t>’</w:t>
      </w:r>
      <w:r w:rsidRPr="00753C92">
        <w:rPr>
          <w:lang w:val="fr-FR"/>
        </w:rPr>
        <w:t>une peine accessoire de six mois d</w:t>
      </w:r>
      <w:r w:rsidR="00753C92" w:rsidRPr="00753C92">
        <w:rPr>
          <w:lang w:val="fr-FR"/>
        </w:rPr>
        <w:t>’</w:t>
      </w:r>
      <w:r w:rsidRPr="00753C92">
        <w:rPr>
          <w:lang w:val="fr-FR"/>
        </w:rPr>
        <w:t>isolement diurne sur le fondement de l</w:t>
      </w:r>
      <w:r w:rsidR="00753C92" w:rsidRPr="00753C92">
        <w:rPr>
          <w:lang w:val="fr-FR"/>
        </w:rPr>
        <w:t>’</w:t>
      </w:r>
      <w:r w:rsidRPr="00753C92">
        <w:rPr>
          <w:lang w:val="fr-FR"/>
        </w:rPr>
        <w:t>article 72 du code pénal.</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26</w:t>
      </w:r>
      <w:r w:rsidRPr="00753C92">
        <w:fldChar w:fldCharType="end"/>
      </w:r>
      <w:r w:rsidRPr="00753C92">
        <w:rPr>
          <w:lang w:val="fr-FR"/>
        </w:rPr>
        <w:t>.  Le 13 juillet 2013, le service médical de la prison déconseilla l</w:t>
      </w:r>
      <w:r w:rsidR="00753C92" w:rsidRPr="00753C92">
        <w:rPr>
          <w:lang w:val="fr-FR"/>
        </w:rPr>
        <w:t>’</w:t>
      </w:r>
      <w:r w:rsidRPr="00753C92">
        <w:rPr>
          <w:lang w:val="fr-FR"/>
        </w:rPr>
        <w:t>application de cette peine en raison de l</w:t>
      </w:r>
      <w:r w:rsidR="00753C92" w:rsidRPr="00753C92">
        <w:rPr>
          <w:lang w:val="fr-FR"/>
        </w:rPr>
        <w:t>’</w:t>
      </w:r>
      <w:r w:rsidRPr="00753C92">
        <w:rPr>
          <w:lang w:val="fr-FR"/>
        </w:rPr>
        <w:t>état de santé du requérant.</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27</w:t>
      </w:r>
      <w:r w:rsidRPr="00753C92">
        <w:fldChar w:fldCharType="end"/>
      </w:r>
      <w:r w:rsidRPr="00753C92">
        <w:rPr>
          <w:lang w:val="fr-FR"/>
        </w:rPr>
        <w:t>.  Ce dernier fut placé à l</w:t>
      </w:r>
      <w:r w:rsidR="00753C92" w:rsidRPr="00753C92">
        <w:rPr>
          <w:lang w:val="fr-FR"/>
        </w:rPr>
        <w:t>’</w:t>
      </w:r>
      <w:r w:rsidRPr="00753C92">
        <w:rPr>
          <w:lang w:val="fr-FR"/>
        </w:rPr>
        <w:t>isolement le 26 juillet 2013. Le 5 août 2013, il souleva un « incident d</w:t>
      </w:r>
      <w:r w:rsidR="00753C92" w:rsidRPr="00753C92">
        <w:rPr>
          <w:lang w:val="fr-FR"/>
        </w:rPr>
        <w:t>’</w:t>
      </w:r>
      <w:r w:rsidRPr="00753C92">
        <w:rPr>
          <w:lang w:val="fr-FR"/>
        </w:rPr>
        <w:t>exécution » (</w:t>
      </w:r>
      <w:r w:rsidRPr="00753C92">
        <w:rPr>
          <w:i/>
          <w:lang w:val="fr-FR"/>
        </w:rPr>
        <w:t>incidente d</w:t>
      </w:r>
      <w:r w:rsidR="00753C92" w:rsidRPr="00753C92">
        <w:rPr>
          <w:i/>
          <w:lang w:val="fr-FR"/>
        </w:rPr>
        <w:t>’</w:t>
      </w:r>
      <w:proofErr w:type="spellStart"/>
      <w:r w:rsidRPr="00753C92">
        <w:rPr>
          <w:i/>
          <w:lang w:val="fr-FR"/>
        </w:rPr>
        <w:t>esecuzione</w:t>
      </w:r>
      <w:proofErr w:type="spellEnd"/>
      <w:r w:rsidRPr="00753C92">
        <w:rPr>
          <w:lang w:val="fr-FR"/>
        </w:rPr>
        <w:t>) et demanda la révocation de la mesure.</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28</w:t>
      </w:r>
      <w:r w:rsidRPr="00753C92">
        <w:fldChar w:fldCharType="end"/>
      </w:r>
      <w:r w:rsidRPr="00753C92">
        <w:rPr>
          <w:lang w:val="fr-FR"/>
        </w:rPr>
        <w:t>.  Le 24 août 2013, à la suite d</w:t>
      </w:r>
      <w:r w:rsidR="00753C92" w:rsidRPr="00753C92">
        <w:rPr>
          <w:lang w:val="fr-FR"/>
        </w:rPr>
        <w:t>’</w:t>
      </w:r>
      <w:r w:rsidRPr="00753C92">
        <w:rPr>
          <w:lang w:val="fr-FR"/>
        </w:rPr>
        <w:t>une aggravation de l</w:t>
      </w:r>
      <w:r w:rsidR="00753C92" w:rsidRPr="00753C92">
        <w:rPr>
          <w:lang w:val="fr-FR"/>
        </w:rPr>
        <w:t>’</w:t>
      </w:r>
      <w:r w:rsidRPr="00753C92">
        <w:rPr>
          <w:lang w:val="fr-FR"/>
        </w:rPr>
        <w:t>état de santé du requérant (sa tension artérielle était très élevée et il s</w:t>
      </w:r>
      <w:r w:rsidR="00753C92" w:rsidRPr="00753C92">
        <w:rPr>
          <w:lang w:val="fr-FR"/>
        </w:rPr>
        <w:t>’</w:t>
      </w:r>
      <w:r w:rsidRPr="00753C92">
        <w:rPr>
          <w:lang w:val="fr-FR"/>
        </w:rPr>
        <w:t xml:space="preserve">était blessé à la main gauche après une chute accidentelle), la direction de la prison de </w:t>
      </w:r>
      <w:r w:rsidRPr="00753C92">
        <w:rPr>
          <w:bCs/>
          <w:lang w:val="fr-FR"/>
        </w:rPr>
        <w:t>Pise-Don Bosco</w:t>
      </w:r>
      <w:r w:rsidRPr="00753C92">
        <w:rPr>
          <w:lang w:val="fr-FR"/>
        </w:rPr>
        <w:t xml:space="preserve"> décida de son retour au régime de détention normale.</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29</w:t>
      </w:r>
      <w:r w:rsidRPr="00753C92">
        <w:fldChar w:fldCharType="end"/>
      </w:r>
      <w:r w:rsidRPr="00753C92">
        <w:rPr>
          <w:lang w:val="fr-FR"/>
        </w:rPr>
        <w:t>.  Par une ordonnance du 27 novembre 2013, la cour d</w:t>
      </w:r>
      <w:r w:rsidR="00753C92" w:rsidRPr="00753C92">
        <w:rPr>
          <w:lang w:val="fr-FR"/>
        </w:rPr>
        <w:t>’</w:t>
      </w:r>
      <w:r w:rsidRPr="00753C92">
        <w:rPr>
          <w:lang w:val="fr-FR"/>
        </w:rPr>
        <w:t>appel de Rome suspendit l</w:t>
      </w:r>
      <w:r w:rsidR="00753C92" w:rsidRPr="00753C92">
        <w:rPr>
          <w:lang w:val="fr-FR"/>
        </w:rPr>
        <w:t>’</w:t>
      </w:r>
      <w:r w:rsidRPr="00753C92">
        <w:rPr>
          <w:lang w:val="fr-FR"/>
        </w:rPr>
        <w:t>exécution de la peine accessoire.</w:t>
      </w:r>
    </w:p>
    <w:p w:rsidR="00F85BB2" w:rsidRPr="00753C92" w:rsidRDefault="00F85BB2" w:rsidP="00753C92">
      <w:pPr>
        <w:pStyle w:val="ECHRHeading2"/>
        <w:rPr>
          <w:lang w:val="fr-FR"/>
        </w:rPr>
      </w:pPr>
      <w:r w:rsidRPr="00753C92">
        <w:rPr>
          <w:lang w:val="fr-FR"/>
        </w:rPr>
        <w:t>B.  Le droit interne pertinent</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30</w:t>
      </w:r>
      <w:r w:rsidRPr="00753C92">
        <w:fldChar w:fldCharType="end"/>
      </w:r>
      <w:r w:rsidRPr="00753C92">
        <w:rPr>
          <w:lang w:val="fr-FR"/>
        </w:rPr>
        <w:t>.  L</w:t>
      </w:r>
      <w:r w:rsidR="00753C92" w:rsidRPr="00753C92">
        <w:rPr>
          <w:lang w:val="fr-FR"/>
        </w:rPr>
        <w:t>’</w:t>
      </w:r>
      <w:r w:rsidRPr="00753C92">
        <w:rPr>
          <w:lang w:val="fr-FR"/>
        </w:rPr>
        <w:t>article 11 de la loi n</w:t>
      </w:r>
      <w:r w:rsidRPr="00753C92">
        <w:rPr>
          <w:vertAlign w:val="superscript"/>
          <w:lang w:val="fr-FR"/>
        </w:rPr>
        <w:t>o</w:t>
      </w:r>
      <w:r w:rsidRPr="00753C92">
        <w:rPr>
          <w:lang w:val="fr-FR"/>
        </w:rPr>
        <w:t xml:space="preserve"> 354 du 26 juillet 1975 (« la loi sur l</w:t>
      </w:r>
      <w:r w:rsidR="00753C92" w:rsidRPr="00753C92">
        <w:rPr>
          <w:lang w:val="fr-FR"/>
        </w:rPr>
        <w:t>’</w:t>
      </w:r>
      <w:r w:rsidRPr="00753C92">
        <w:rPr>
          <w:lang w:val="fr-FR"/>
        </w:rPr>
        <w:t>administration pénitentiaire ») indique que tout établissement pénitentiaire doit disposer d</w:t>
      </w:r>
      <w:r w:rsidR="00753C92" w:rsidRPr="00753C92">
        <w:rPr>
          <w:lang w:val="fr-FR"/>
        </w:rPr>
        <w:t>’</w:t>
      </w:r>
      <w:r w:rsidRPr="00753C92">
        <w:rPr>
          <w:lang w:val="fr-FR"/>
        </w:rPr>
        <w:t>un service médical et pharmaceutique pour les soins aux détenus. Il prévoit aussi que, si des soins ou des examens spécialisés sont nécessaires et ne peuvent être effectués par le service médical de l</w:t>
      </w:r>
      <w:r w:rsidR="00753C92" w:rsidRPr="00753C92">
        <w:rPr>
          <w:lang w:val="fr-FR"/>
        </w:rPr>
        <w:t>’</w:t>
      </w:r>
      <w:r w:rsidRPr="00753C92">
        <w:rPr>
          <w:lang w:val="fr-FR"/>
        </w:rPr>
        <w:t>établissement, les détenus sont conduits, sur décision de l</w:t>
      </w:r>
      <w:r w:rsidR="00753C92" w:rsidRPr="00753C92">
        <w:rPr>
          <w:lang w:val="fr-FR"/>
        </w:rPr>
        <w:t>’</w:t>
      </w:r>
      <w:r w:rsidRPr="00753C92">
        <w:rPr>
          <w:lang w:val="fr-FR"/>
        </w:rPr>
        <w:t>autorité judiciaire, dans des hôpitaux civils ou des structures sanitaires externes. Enfin, il dispose que les médecins de l</w:t>
      </w:r>
      <w:r w:rsidR="00753C92" w:rsidRPr="00753C92">
        <w:rPr>
          <w:lang w:val="fr-FR"/>
        </w:rPr>
        <w:t>’</w:t>
      </w:r>
      <w:r w:rsidRPr="00753C92">
        <w:rPr>
          <w:lang w:val="fr-FR"/>
        </w:rPr>
        <w:t xml:space="preserve">établissement pénitentiaire doivent rendre visite chaque jour à tous les détenus qui sont malades ou qui le </w:t>
      </w:r>
      <w:r w:rsidRPr="00753C92">
        <w:rPr>
          <w:lang w:val="fr-FR"/>
        </w:rPr>
        <w:lastRenderedPageBreak/>
        <w:t>demandent et qu</w:t>
      </w:r>
      <w:r w:rsidR="00753C92" w:rsidRPr="00753C92">
        <w:rPr>
          <w:lang w:val="fr-FR"/>
        </w:rPr>
        <w:t>’</w:t>
      </w:r>
      <w:r w:rsidRPr="00753C92">
        <w:rPr>
          <w:lang w:val="fr-FR"/>
        </w:rPr>
        <w:t>ils doivent aussitôt signaler la présence de maladies nécessitant des examens spéciaux et des soins spécialisés.</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31</w:t>
      </w:r>
      <w:r w:rsidRPr="00753C92">
        <w:fldChar w:fldCharType="end"/>
      </w:r>
      <w:r w:rsidRPr="00753C92">
        <w:rPr>
          <w:lang w:val="fr-FR"/>
        </w:rPr>
        <w:t>.  L</w:t>
      </w:r>
      <w:r w:rsidR="00753C92" w:rsidRPr="00753C92">
        <w:rPr>
          <w:lang w:val="fr-FR"/>
        </w:rPr>
        <w:t>’</w:t>
      </w:r>
      <w:r w:rsidRPr="00753C92">
        <w:rPr>
          <w:lang w:val="fr-FR"/>
        </w:rPr>
        <w:t>article 275 du code de procédure pénale (CPP) énonce que toute mesure provisoire doit être individualisée, adaptée à la nature et à la gravité des motifs qui la justifient, et proportionnée à la gravité de l</w:t>
      </w:r>
      <w:r w:rsidR="00753C92" w:rsidRPr="00753C92">
        <w:rPr>
          <w:lang w:val="fr-FR"/>
        </w:rPr>
        <w:t>’</w:t>
      </w:r>
      <w:r w:rsidRPr="00753C92">
        <w:rPr>
          <w:lang w:val="fr-FR"/>
        </w:rPr>
        <w:t>infraction et de la peine encourue. La détention provisoire en prison ne peut être ordonnée que si aucune autre mesure provisoire n</w:t>
      </w:r>
      <w:r w:rsidR="00753C92" w:rsidRPr="00753C92">
        <w:rPr>
          <w:lang w:val="fr-FR"/>
        </w:rPr>
        <w:t>’</w:t>
      </w:r>
      <w:r w:rsidRPr="00753C92">
        <w:rPr>
          <w:lang w:val="fr-FR"/>
        </w:rPr>
        <w:t>apparaît adéquate. En outre, elle ne peut être ordonnée ou maintenue si l</w:t>
      </w:r>
      <w:r w:rsidR="00753C92" w:rsidRPr="00753C92">
        <w:rPr>
          <w:lang w:val="fr-FR"/>
        </w:rPr>
        <w:t>’</w:t>
      </w:r>
      <w:r w:rsidRPr="00753C92">
        <w:rPr>
          <w:lang w:val="fr-FR"/>
        </w:rPr>
        <w:t>intéressé souffre d</w:t>
      </w:r>
      <w:r w:rsidR="00753C92" w:rsidRPr="00753C92">
        <w:rPr>
          <w:lang w:val="fr-FR"/>
        </w:rPr>
        <w:t>’</w:t>
      </w:r>
      <w:r w:rsidRPr="00753C92">
        <w:rPr>
          <w:lang w:val="fr-FR"/>
        </w:rPr>
        <w:t>une pathologie particulièrement grave qui rendrait la détention incompatible avec son état</w:t>
      </w:r>
      <w:r w:rsidRPr="00753C92">
        <w:rPr>
          <w:rFonts w:eastAsiaTheme="majorEastAsia"/>
          <w:lang w:val="fr-FR"/>
        </w:rPr>
        <w:t xml:space="preserve"> de santé</w:t>
      </w:r>
      <w:r w:rsidRPr="00753C92">
        <w:rPr>
          <w:lang w:val="fr-FR"/>
        </w:rPr>
        <w:t xml:space="preserve"> et qui, en tout cas, serait de nature à empêcher l</w:t>
      </w:r>
      <w:r w:rsidR="00753C92" w:rsidRPr="00753C92">
        <w:rPr>
          <w:lang w:val="fr-FR"/>
        </w:rPr>
        <w:t>’</w:t>
      </w:r>
      <w:r w:rsidRPr="00753C92">
        <w:rPr>
          <w:lang w:val="fr-FR"/>
        </w:rPr>
        <w:t>administration de soins adéquats.</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32</w:t>
      </w:r>
      <w:r w:rsidRPr="00753C92">
        <w:fldChar w:fldCharType="end"/>
      </w:r>
      <w:r w:rsidRPr="00753C92">
        <w:rPr>
          <w:lang w:val="fr-FR"/>
        </w:rPr>
        <w:t>.  La suspension de l</w:t>
      </w:r>
      <w:r w:rsidR="00753C92" w:rsidRPr="00753C92">
        <w:rPr>
          <w:lang w:val="fr-FR"/>
        </w:rPr>
        <w:t>’</w:t>
      </w:r>
      <w:r w:rsidRPr="00753C92">
        <w:rPr>
          <w:lang w:val="fr-FR"/>
        </w:rPr>
        <w:t>exécution de la peine est prévue par l</w:t>
      </w:r>
      <w:r w:rsidR="00753C92" w:rsidRPr="00753C92">
        <w:rPr>
          <w:lang w:val="fr-FR"/>
        </w:rPr>
        <w:t>’</w:t>
      </w:r>
      <w:r w:rsidRPr="00753C92">
        <w:rPr>
          <w:lang w:val="fr-FR"/>
        </w:rPr>
        <w:t>a</w:t>
      </w:r>
      <w:r w:rsidR="00753C92" w:rsidRPr="00753C92">
        <w:rPr>
          <w:lang w:val="fr-FR"/>
        </w:rPr>
        <w:t>rticle 147 § </w:t>
      </w:r>
      <w:r w:rsidRPr="00753C92">
        <w:rPr>
          <w:lang w:val="fr-FR"/>
        </w:rPr>
        <w:t>1 alinéa 2 du code pénal, qui se lit comme suit en ses parties pertinentes en l</w:t>
      </w:r>
      <w:r w:rsidR="00753C92" w:rsidRPr="00753C92">
        <w:rPr>
          <w:lang w:val="fr-FR"/>
        </w:rPr>
        <w:t>’</w:t>
      </w:r>
      <w:r w:rsidRPr="00753C92">
        <w:rPr>
          <w:lang w:val="fr-FR"/>
        </w:rPr>
        <w:t>espèce :</w:t>
      </w:r>
    </w:p>
    <w:p w:rsidR="00F85BB2" w:rsidRPr="00753C92" w:rsidRDefault="00F85BB2" w:rsidP="00753C92">
      <w:pPr>
        <w:pStyle w:val="ECHRParaQuote"/>
        <w:rPr>
          <w:lang w:val="fr-FR"/>
        </w:rPr>
      </w:pPr>
      <w:r w:rsidRPr="00753C92">
        <w:rPr>
          <w:rFonts w:eastAsiaTheme="majorEastAsia"/>
          <w:lang w:val="fr-FR"/>
        </w:rPr>
        <w:t>« L</w:t>
      </w:r>
      <w:r w:rsidR="00753C92" w:rsidRPr="00753C92">
        <w:rPr>
          <w:rFonts w:eastAsiaTheme="majorEastAsia"/>
          <w:lang w:val="fr-FR"/>
        </w:rPr>
        <w:t>’</w:t>
      </w:r>
      <w:r w:rsidRPr="00753C92">
        <w:rPr>
          <w:rFonts w:eastAsiaTheme="majorEastAsia"/>
          <w:lang w:val="fr-FR"/>
        </w:rPr>
        <w:t>exécution d</w:t>
      </w:r>
      <w:r w:rsidR="00753C92" w:rsidRPr="00753C92">
        <w:rPr>
          <w:rFonts w:eastAsiaTheme="majorEastAsia"/>
          <w:lang w:val="fr-FR"/>
        </w:rPr>
        <w:t>’</w:t>
      </w:r>
      <w:r w:rsidRPr="00753C92">
        <w:rPr>
          <w:rFonts w:eastAsiaTheme="majorEastAsia"/>
          <w:lang w:val="fr-FR"/>
        </w:rPr>
        <w:t>une peine peut être suspendue : (...)</w:t>
      </w:r>
    </w:p>
    <w:p w:rsidR="00F85BB2" w:rsidRPr="00753C92" w:rsidRDefault="00F85BB2" w:rsidP="00753C92">
      <w:pPr>
        <w:pStyle w:val="ECHRParaQuote"/>
        <w:rPr>
          <w:lang w:val="fr-FR"/>
        </w:rPr>
      </w:pPr>
      <w:r w:rsidRPr="00753C92">
        <w:rPr>
          <w:rFonts w:eastAsiaTheme="majorEastAsia"/>
          <w:lang w:val="fr-FR"/>
        </w:rPr>
        <w:t>2)  si une peine privative de liberté doit être exécutée à l</w:t>
      </w:r>
      <w:r w:rsidR="00753C92" w:rsidRPr="00753C92">
        <w:rPr>
          <w:rFonts w:eastAsiaTheme="majorEastAsia"/>
          <w:lang w:val="fr-FR"/>
        </w:rPr>
        <w:t>’</w:t>
      </w:r>
      <w:r w:rsidRPr="00753C92">
        <w:rPr>
          <w:rFonts w:eastAsiaTheme="majorEastAsia"/>
          <w:lang w:val="fr-FR"/>
        </w:rPr>
        <w:t>égard d</w:t>
      </w:r>
      <w:r w:rsidR="00753C92" w:rsidRPr="00753C92">
        <w:rPr>
          <w:rFonts w:eastAsiaTheme="majorEastAsia"/>
          <w:lang w:val="fr-FR"/>
        </w:rPr>
        <w:t>’</w:t>
      </w:r>
      <w:r w:rsidRPr="00753C92">
        <w:rPr>
          <w:rFonts w:eastAsiaTheme="majorEastAsia"/>
          <w:lang w:val="fr-FR"/>
        </w:rPr>
        <w:t>une personne se trouvant en situation d</w:t>
      </w:r>
      <w:r w:rsidR="00753C92" w:rsidRPr="00753C92">
        <w:rPr>
          <w:rFonts w:eastAsiaTheme="majorEastAsia"/>
          <w:lang w:val="fr-FR"/>
        </w:rPr>
        <w:t>’</w:t>
      </w:r>
      <w:r w:rsidRPr="00753C92">
        <w:rPr>
          <w:rFonts w:eastAsiaTheme="majorEastAsia"/>
          <w:lang w:val="fr-FR"/>
        </w:rPr>
        <w:t>infirmité physique grave (...) »</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33</w:t>
      </w:r>
      <w:r w:rsidRPr="00753C92">
        <w:fldChar w:fldCharType="end"/>
      </w:r>
      <w:r w:rsidRPr="00753C92">
        <w:rPr>
          <w:lang w:val="fr-FR"/>
        </w:rPr>
        <w:t>.  Aux termes de l</w:t>
      </w:r>
      <w:r w:rsidR="00753C92" w:rsidRPr="00753C92">
        <w:rPr>
          <w:lang w:val="fr-FR"/>
        </w:rPr>
        <w:t>’</w:t>
      </w:r>
      <w:r w:rsidRPr="00753C92">
        <w:rPr>
          <w:lang w:val="fr-FR"/>
        </w:rPr>
        <w:t>article 678 du CPP, la décision de suspendre l</w:t>
      </w:r>
      <w:r w:rsidR="00753C92" w:rsidRPr="00753C92">
        <w:rPr>
          <w:lang w:val="fr-FR"/>
        </w:rPr>
        <w:t>’</w:t>
      </w:r>
      <w:r w:rsidRPr="00753C92">
        <w:rPr>
          <w:lang w:val="fr-FR"/>
        </w:rPr>
        <w:t>exécution de la peine peut être adoptée, même d</w:t>
      </w:r>
      <w:r w:rsidR="00753C92" w:rsidRPr="00753C92">
        <w:rPr>
          <w:lang w:val="fr-FR"/>
        </w:rPr>
        <w:t>’</w:t>
      </w:r>
      <w:r w:rsidRPr="00753C92">
        <w:rPr>
          <w:lang w:val="fr-FR"/>
        </w:rPr>
        <w:t>office, par le tribunal de l</w:t>
      </w:r>
      <w:r w:rsidR="00753C92" w:rsidRPr="00753C92">
        <w:rPr>
          <w:lang w:val="fr-FR"/>
        </w:rPr>
        <w:t>’</w:t>
      </w:r>
      <w:r w:rsidRPr="00753C92">
        <w:rPr>
          <w:lang w:val="fr-FR"/>
        </w:rPr>
        <w:t>application des peines.</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34</w:t>
      </w:r>
      <w:r w:rsidRPr="00753C92">
        <w:fldChar w:fldCharType="end"/>
      </w:r>
      <w:r w:rsidRPr="00753C92">
        <w:rPr>
          <w:lang w:val="fr-FR"/>
        </w:rPr>
        <w:t>.  L</w:t>
      </w:r>
      <w:r w:rsidR="00753C92" w:rsidRPr="00753C92">
        <w:rPr>
          <w:lang w:val="fr-FR"/>
        </w:rPr>
        <w:t>’</w:t>
      </w:r>
      <w:r w:rsidRPr="00753C92">
        <w:rPr>
          <w:lang w:val="fr-FR"/>
        </w:rPr>
        <w:t xml:space="preserve">article 35 </w:t>
      </w:r>
      <w:r w:rsidRPr="00753C92">
        <w:rPr>
          <w:i/>
          <w:lang w:val="fr-FR"/>
        </w:rPr>
        <w:t>bis</w:t>
      </w:r>
      <w:r w:rsidRPr="00753C92">
        <w:rPr>
          <w:lang w:val="fr-FR"/>
        </w:rPr>
        <w:t xml:space="preserve"> de la loi sur l</w:t>
      </w:r>
      <w:r w:rsidR="00753C92" w:rsidRPr="00753C92">
        <w:rPr>
          <w:lang w:val="fr-FR"/>
        </w:rPr>
        <w:t>’</w:t>
      </w:r>
      <w:r w:rsidRPr="00753C92">
        <w:rPr>
          <w:lang w:val="fr-FR"/>
        </w:rPr>
        <w:t>administration pénitentiaire prévoit la possibilité pour les personnes détenues de présenter devant le juge de l</w:t>
      </w:r>
      <w:r w:rsidR="00753C92" w:rsidRPr="00753C92">
        <w:rPr>
          <w:lang w:val="fr-FR"/>
        </w:rPr>
        <w:t>’</w:t>
      </w:r>
      <w:r w:rsidRPr="00753C92">
        <w:rPr>
          <w:lang w:val="fr-FR"/>
        </w:rPr>
        <w:t>application des peines une réclamation judiciaire pour se plaindre du « non-respect par l</w:t>
      </w:r>
      <w:r w:rsidR="00753C92" w:rsidRPr="00753C92">
        <w:rPr>
          <w:lang w:val="fr-FR"/>
        </w:rPr>
        <w:t>’</w:t>
      </w:r>
      <w:r w:rsidRPr="00753C92">
        <w:rPr>
          <w:lang w:val="fr-FR"/>
        </w:rPr>
        <w:t>administration pénitentiaire des dispositions contenues dans la présente loi entraînant une atteinte grave à l</w:t>
      </w:r>
      <w:r w:rsidR="00753C92" w:rsidRPr="00753C92">
        <w:rPr>
          <w:lang w:val="fr-FR"/>
        </w:rPr>
        <w:t>’</w:t>
      </w:r>
      <w:r w:rsidRPr="00753C92">
        <w:rPr>
          <w:lang w:val="fr-FR"/>
        </w:rPr>
        <w:t>exercice des droits de la personne détenue ».</w:t>
      </w:r>
    </w:p>
    <w:p w:rsidR="00F85BB2" w:rsidRPr="00753C92" w:rsidRDefault="00F85BB2" w:rsidP="00753C92">
      <w:pPr>
        <w:pStyle w:val="ECHRPara"/>
        <w:rPr>
          <w:lang w:val="fr-FR"/>
        </w:rPr>
      </w:pPr>
      <w:r w:rsidRPr="00753C92">
        <w:rPr>
          <w:lang w:val="fr-FR"/>
        </w:rPr>
        <w:t>La réclamation peut être présentée par le détenu personnellement ou par l</w:t>
      </w:r>
      <w:r w:rsidR="00753C92" w:rsidRPr="00753C92">
        <w:rPr>
          <w:lang w:val="fr-FR"/>
        </w:rPr>
        <w:t>’</w:t>
      </w:r>
      <w:r w:rsidRPr="00753C92">
        <w:rPr>
          <w:lang w:val="fr-FR"/>
        </w:rPr>
        <w:t>intermédiaire d</w:t>
      </w:r>
      <w:r w:rsidR="00753C92" w:rsidRPr="00753C92">
        <w:rPr>
          <w:lang w:val="fr-FR"/>
        </w:rPr>
        <w:t>’</w:t>
      </w:r>
      <w:r w:rsidRPr="00753C92">
        <w:rPr>
          <w:lang w:val="fr-FR"/>
        </w:rPr>
        <w:t>un avocat. L</w:t>
      </w:r>
      <w:r w:rsidR="00753C92" w:rsidRPr="00753C92">
        <w:rPr>
          <w:lang w:val="fr-FR"/>
        </w:rPr>
        <w:t>’</w:t>
      </w:r>
      <w:r w:rsidRPr="00753C92">
        <w:rPr>
          <w:lang w:val="fr-FR"/>
        </w:rPr>
        <w:t>administration pénitentiaire est invitée à comparaître à l</w:t>
      </w:r>
      <w:r w:rsidR="00753C92" w:rsidRPr="00753C92">
        <w:rPr>
          <w:lang w:val="fr-FR"/>
        </w:rPr>
        <w:t>’</w:t>
      </w:r>
      <w:r w:rsidRPr="00753C92">
        <w:rPr>
          <w:lang w:val="fr-FR"/>
        </w:rPr>
        <w:t>audience. Lorsque le juge accueille la réclamation, il ordonne à l</w:t>
      </w:r>
      <w:r w:rsidR="00753C92" w:rsidRPr="00753C92">
        <w:rPr>
          <w:lang w:val="fr-FR"/>
        </w:rPr>
        <w:t>’</w:t>
      </w:r>
      <w:r w:rsidRPr="00753C92">
        <w:rPr>
          <w:lang w:val="fr-FR"/>
        </w:rPr>
        <w:t>administration de redresser la situation dans un certain délai. La décision du juge de l</w:t>
      </w:r>
      <w:r w:rsidR="00753C92" w:rsidRPr="00753C92">
        <w:rPr>
          <w:lang w:val="fr-FR"/>
        </w:rPr>
        <w:t>’</w:t>
      </w:r>
      <w:r w:rsidRPr="00753C92">
        <w:rPr>
          <w:lang w:val="fr-FR"/>
        </w:rPr>
        <w:t>application des peines est susceptible d</w:t>
      </w:r>
      <w:r w:rsidR="00753C92" w:rsidRPr="00753C92">
        <w:rPr>
          <w:lang w:val="fr-FR"/>
        </w:rPr>
        <w:t>’</w:t>
      </w:r>
      <w:r w:rsidRPr="00753C92">
        <w:rPr>
          <w:lang w:val="fr-FR"/>
        </w:rPr>
        <w:t>appel devant le tribunal de l</w:t>
      </w:r>
      <w:r w:rsidR="00753C92" w:rsidRPr="00753C92">
        <w:rPr>
          <w:lang w:val="fr-FR"/>
        </w:rPr>
        <w:t>’</w:t>
      </w:r>
      <w:r w:rsidRPr="00753C92">
        <w:rPr>
          <w:lang w:val="fr-FR"/>
        </w:rPr>
        <w:t>application des peines et d</w:t>
      </w:r>
      <w:r w:rsidR="00753C92" w:rsidRPr="00753C92">
        <w:rPr>
          <w:lang w:val="fr-FR"/>
        </w:rPr>
        <w:t>’</w:t>
      </w:r>
      <w:r w:rsidRPr="00753C92">
        <w:rPr>
          <w:lang w:val="fr-FR"/>
        </w:rPr>
        <w:t>un pourvoi en cassation.</w:t>
      </w:r>
    </w:p>
    <w:p w:rsidR="00F85BB2" w:rsidRPr="00753C92" w:rsidRDefault="00F85BB2" w:rsidP="00753C92">
      <w:pPr>
        <w:pStyle w:val="ECHRPara"/>
        <w:rPr>
          <w:lang w:val="fr-FR"/>
        </w:rPr>
      </w:pPr>
      <w:r w:rsidRPr="00753C92">
        <w:rPr>
          <w:lang w:val="fr-FR"/>
        </w:rPr>
        <w:t>Si l</w:t>
      </w:r>
      <w:r w:rsidR="00753C92" w:rsidRPr="00753C92">
        <w:rPr>
          <w:lang w:val="fr-FR"/>
        </w:rPr>
        <w:t>’</w:t>
      </w:r>
      <w:r w:rsidRPr="00753C92">
        <w:rPr>
          <w:lang w:val="fr-FR"/>
        </w:rPr>
        <w:t>administration ne s</w:t>
      </w:r>
      <w:r w:rsidR="00753C92" w:rsidRPr="00753C92">
        <w:rPr>
          <w:lang w:val="fr-FR"/>
        </w:rPr>
        <w:t>’</w:t>
      </w:r>
      <w:r w:rsidRPr="00753C92">
        <w:rPr>
          <w:lang w:val="fr-FR"/>
        </w:rPr>
        <w:t>exécute pas dans le délai imparti par le juge, l</w:t>
      </w:r>
      <w:r w:rsidR="00753C92" w:rsidRPr="00753C92">
        <w:rPr>
          <w:lang w:val="fr-FR"/>
        </w:rPr>
        <w:t>’</w:t>
      </w:r>
      <w:r w:rsidRPr="00753C92">
        <w:rPr>
          <w:lang w:val="fr-FR"/>
        </w:rPr>
        <w:t>intéressé ou son représentant peut demander que le juge ordonne l</w:t>
      </w:r>
      <w:r w:rsidR="00753C92" w:rsidRPr="00753C92">
        <w:rPr>
          <w:lang w:val="fr-FR"/>
        </w:rPr>
        <w:t>’</w:t>
      </w:r>
      <w:r w:rsidRPr="00753C92">
        <w:rPr>
          <w:lang w:val="fr-FR"/>
        </w:rPr>
        <w:t>exécution forcée (</w:t>
      </w:r>
      <w:proofErr w:type="spellStart"/>
      <w:r w:rsidRPr="00753C92">
        <w:rPr>
          <w:i/>
          <w:lang w:val="fr-FR"/>
        </w:rPr>
        <w:t>ottemperanza</w:t>
      </w:r>
      <w:proofErr w:type="spellEnd"/>
      <w:r w:rsidRPr="00753C92">
        <w:rPr>
          <w:lang w:val="fr-FR"/>
        </w:rPr>
        <w:t xml:space="preserve">) de la décision. Le juge peut, le cas échéant, nommer un commissaire </w:t>
      </w:r>
      <w:r w:rsidRPr="00753C92">
        <w:rPr>
          <w:i/>
          <w:lang w:val="fr-FR"/>
        </w:rPr>
        <w:t>ad acta</w:t>
      </w:r>
      <w:r w:rsidRPr="00753C92">
        <w:rPr>
          <w:lang w:val="fr-FR"/>
        </w:rPr>
        <w:t xml:space="preserve"> afin qu</w:t>
      </w:r>
      <w:r w:rsidR="00753C92" w:rsidRPr="00753C92">
        <w:rPr>
          <w:lang w:val="fr-FR"/>
        </w:rPr>
        <w:t>’</w:t>
      </w:r>
      <w:r w:rsidRPr="00753C92">
        <w:rPr>
          <w:lang w:val="fr-FR"/>
        </w:rPr>
        <w:t>il fasse exécuter sa décision.</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35</w:t>
      </w:r>
      <w:r w:rsidRPr="00753C92">
        <w:fldChar w:fldCharType="end"/>
      </w:r>
      <w:r w:rsidRPr="00753C92">
        <w:rPr>
          <w:lang w:val="fr-FR"/>
        </w:rPr>
        <w:t>.  L</w:t>
      </w:r>
      <w:r w:rsidR="00753C92" w:rsidRPr="00753C92">
        <w:rPr>
          <w:lang w:val="fr-FR"/>
        </w:rPr>
        <w:t>’</w:t>
      </w:r>
      <w:r w:rsidRPr="00753C92">
        <w:rPr>
          <w:lang w:val="fr-FR"/>
        </w:rPr>
        <w:t>isolement diurne est prévu par l</w:t>
      </w:r>
      <w:r w:rsidR="00753C92" w:rsidRPr="00753C92">
        <w:rPr>
          <w:lang w:val="fr-FR"/>
        </w:rPr>
        <w:t>’</w:t>
      </w:r>
      <w:r w:rsidRPr="00753C92">
        <w:rPr>
          <w:lang w:val="fr-FR"/>
        </w:rPr>
        <w:t>article 72 du code pénal, qui dispose qu</w:t>
      </w:r>
      <w:r w:rsidR="00753C92" w:rsidRPr="00753C92">
        <w:rPr>
          <w:lang w:val="fr-FR"/>
        </w:rPr>
        <w:t>’</w:t>
      </w:r>
      <w:r w:rsidRPr="00753C92">
        <w:rPr>
          <w:lang w:val="fr-FR"/>
        </w:rPr>
        <w:t>en cas de pluralité d</w:t>
      </w:r>
      <w:r w:rsidR="00753C92" w:rsidRPr="00753C92">
        <w:rPr>
          <w:lang w:val="fr-FR"/>
        </w:rPr>
        <w:t>’</w:t>
      </w:r>
      <w:r w:rsidRPr="00753C92">
        <w:rPr>
          <w:lang w:val="fr-FR"/>
        </w:rPr>
        <w:t>infractions entraînant, au titre de la première infraction la réclusion à vie et, au titre des autres infractions des peines d</w:t>
      </w:r>
      <w:r w:rsidR="00753C92" w:rsidRPr="00753C92">
        <w:rPr>
          <w:lang w:val="fr-FR"/>
        </w:rPr>
        <w:t>’</w:t>
      </w:r>
      <w:r w:rsidRPr="00753C92">
        <w:rPr>
          <w:lang w:val="fr-FR"/>
        </w:rPr>
        <w:t>emprisonnement d</w:t>
      </w:r>
      <w:r w:rsidR="00753C92" w:rsidRPr="00753C92">
        <w:rPr>
          <w:lang w:val="fr-FR"/>
        </w:rPr>
        <w:t>’</w:t>
      </w:r>
      <w:r w:rsidRPr="00753C92">
        <w:rPr>
          <w:lang w:val="fr-FR"/>
        </w:rPr>
        <w:t>une durée globale d</w:t>
      </w:r>
      <w:r w:rsidR="00753C92" w:rsidRPr="00753C92">
        <w:rPr>
          <w:lang w:val="fr-FR"/>
        </w:rPr>
        <w:t>’</w:t>
      </w:r>
      <w:r w:rsidRPr="00753C92">
        <w:rPr>
          <w:lang w:val="fr-FR"/>
        </w:rPr>
        <w:t>au moins cinq ans, la peine à purger qui en résulte se compose de la réclusion à vie combinée à une période d</w:t>
      </w:r>
      <w:r w:rsidR="00753C92" w:rsidRPr="00753C92">
        <w:rPr>
          <w:lang w:val="fr-FR"/>
        </w:rPr>
        <w:t>’</w:t>
      </w:r>
      <w:r w:rsidRPr="00753C92">
        <w:rPr>
          <w:lang w:val="fr-FR"/>
        </w:rPr>
        <w:t>isolement pouvant aller, selon les cas, jusqu</w:t>
      </w:r>
      <w:r w:rsidR="00753C92" w:rsidRPr="00753C92">
        <w:rPr>
          <w:lang w:val="fr-FR"/>
        </w:rPr>
        <w:t>’</w:t>
      </w:r>
      <w:r w:rsidRPr="00753C92">
        <w:rPr>
          <w:lang w:val="fr-FR"/>
        </w:rPr>
        <w:t xml:space="preserve">à trois ans. Le </w:t>
      </w:r>
      <w:r w:rsidRPr="00753C92">
        <w:rPr>
          <w:lang w:val="fr-FR"/>
        </w:rPr>
        <w:lastRenderedPageBreak/>
        <w:t>condamné à la réclusion à perpétuité et à l</w:t>
      </w:r>
      <w:r w:rsidR="00753C92" w:rsidRPr="00753C92">
        <w:rPr>
          <w:lang w:val="fr-FR"/>
        </w:rPr>
        <w:t>’</w:t>
      </w:r>
      <w:r w:rsidRPr="00753C92">
        <w:rPr>
          <w:lang w:val="fr-FR"/>
        </w:rPr>
        <w:t>isolement participe au travail dans la prison.</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36</w:t>
      </w:r>
      <w:r w:rsidRPr="00753C92">
        <w:fldChar w:fldCharType="end"/>
      </w:r>
      <w:r w:rsidRPr="00753C92">
        <w:rPr>
          <w:lang w:val="fr-FR"/>
        </w:rPr>
        <w:t>.  Par l</w:t>
      </w:r>
      <w:r w:rsidR="00753C92" w:rsidRPr="00753C92">
        <w:rPr>
          <w:lang w:val="fr-FR"/>
        </w:rPr>
        <w:t>’</w:t>
      </w:r>
      <w:r w:rsidRPr="00753C92">
        <w:rPr>
          <w:lang w:val="fr-FR"/>
        </w:rPr>
        <w:t>arrêt n</w:t>
      </w:r>
      <w:r w:rsidRPr="00753C92">
        <w:rPr>
          <w:vertAlign w:val="superscript"/>
          <w:lang w:val="fr-FR"/>
        </w:rPr>
        <w:t>o</w:t>
      </w:r>
      <w:r w:rsidRPr="00753C92">
        <w:rPr>
          <w:lang w:val="fr-FR"/>
        </w:rPr>
        <w:t xml:space="preserve"> 115 de 1964, la Cour constitutionnelle italienne a déclaré manifestement mal fondée la question de constitutionnalité qui avait été soulevée au sujet de l</w:t>
      </w:r>
      <w:r w:rsidR="00753C92" w:rsidRPr="00753C92">
        <w:rPr>
          <w:lang w:val="fr-FR"/>
        </w:rPr>
        <w:t>’</w:t>
      </w:r>
      <w:r w:rsidRPr="00753C92">
        <w:rPr>
          <w:lang w:val="fr-FR"/>
        </w:rPr>
        <w:t>article 72 du code pénal qui prévoit l</w:t>
      </w:r>
      <w:r w:rsidR="00753C92" w:rsidRPr="00753C92">
        <w:rPr>
          <w:lang w:val="fr-FR"/>
        </w:rPr>
        <w:t>’</w:t>
      </w:r>
      <w:r w:rsidRPr="00753C92">
        <w:rPr>
          <w:lang w:val="fr-FR"/>
        </w:rPr>
        <w:t>isolement diurne, et a jugé que cette peine n</w:t>
      </w:r>
      <w:r w:rsidR="00753C92" w:rsidRPr="00753C92">
        <w:rPr>
          <w:lang w:val="fr-FR"/>
        </w:rPr>
        <w:t>’</w:t>
      </w:r>
      <w:r w:rsidRPr="00753C92">
        <w:rPr>
          <w:lang w:val="fr-FR"/>
        </w:rPr>
        <w:t>était pas contraire à la dignité humaine.</w:t>
      </w:r>
    </w:p>
    <w:p w:rsidR="00F85BB2" w:rsidRPr="00753C92" w:rsidRDefault="00F85BB2" w:rsidP="00753C92">
      <w:pPr>
        <w:pStyle w:val="ECHRTitle1"/>
        <w:rPr>
          <w:lang w:val="fr-FR"/>
        </w:rPr>
      </w:pPr>
      <w:r w:rsidRPr="00753C92">
        <w:rPr>
          <w:lang w:val="fr-FR"/>
        </w:rPr>
        <w:t>GRIEFS</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37</w:t>
      </w:r>
      <w:r w:rsidRPr="00753C92">
        <w:fldChar w:fldCharType="end"/>
      </w:r>
      <w:r w:rsidRPr="00753C92">
        <w:rPr>
          <w:lang w:val="fr-FR"/>
        </w:rPr>
        <w:t>.  Le requérant soutient que les conditions de détention auxquelles il est soumis, notamment l</w:t>
      </w:r>
      <w:r w:rsidR="00753C92" w:rsidRPr="00753C92">
        <w:rPr>
          <w:lang w:val="fr-FR"/>
        </w:rPr>
        <w:t>’</w:t>
      </w:r>
      <w:r w:rsidRPr="00753C92">
        <w:rPr>
          <w:lang w:val="fr-FR"/>
        </w:rPr>
        <w:t>absence de soins médicaux appropriés et d</w:t>
      </w:r>
      <w:r w:rsidR="00753C92" w:rsidRPr="00753C92">
        <w:rPr>
          <w:lang w:val="fr-FR"/>
        </w:rPr>
        <w:t>’</w:t>
      </w:r>
      <w:r w:rsidRPr="00753C92">
        <w:rPr>
          <w:lang w:val="fr-FR"/>
        </w:rPr>
        <w:t>une alimentation adaptée à la maladie cœliaque ainsi que son placement à l</w:t>
      </w:r>
      <w:r w:rsidR="00753C92" w:rsidRPr="00753C92">
        <w:rPr>
          <w:lang w:val="fr-FR"/>
        </w:rPr>
        <w:t>’</w:t>
      </w:r>
      <w:r w:rsidRPr="00753C92">
        <w:rPr>
          <w:lang w:val="fr-FR"/>
        </w:rPr>
        <w:t>isolement pendant environ un mois à la suite de l</w:t>
      </w:r>
      <w:r w:rsidR="00753C92" w:rsidRPr="00753C92">
        <w:rPr>
          <w:lang w:val="fr-FR"/>
        </w:rPr>
        <w:t>’</w:t>
      </w:r>
      <w:r w:rsidRPr="00753C92">
        <w:rPr>
          <w:lang w:val="fr-FR"/>
        </w:rPr>
        <w:t>arrêt de la cour d</w:t>
      </w:r>
      <w:r w:rsidR="00753C92" w:rsidRPr="00753C92">
        <w:rPr>
          <w:lang w:val="fr-FR"/>
        </w:rPr>
        <w:t>’</w:t>
      </w:r>
      <w:r w:rsidRPr="00753C92">
        <w:rPr>
          <w:lang w:val="fr-FR"/>
        </w:rPr>
        <w:t>appel de Rome, s</w:t>
      </w:r>
      <w:r w:rsidR="00753C92" w:rsidRPr="00753C92">
        <w:rPr>
          <w:lang w:val="fr-FR"/>
        </w:rPr>
        <w:t>’</w:t>
      </w:r>
      <w:r w:rsidRPr="00753C92">
        <w:rPr>
          <w:lang w:val="fr-FR"/>
        </w:rPr>
        <w:t>analysent en un traitement inhumain et dégradant. Il se plaint d</w:t>
      </w:r>
      <w:r w:rsidR="00753C92" w:rsidRPr="00753C92">
        <w:rPr>
          <w:lang w:val="fr-FR"/>
        </w:rPr>
        <w:t>’</w:t>
      </w:r>
      <w:r w:rsidRPr="00753C92">
        <w:rPr>
          <w:lang w:val="fr-FR"/>
        </w:rPr>
        <w:t>une violation de l</w:t>
      </w:r>
      <w:r w:rsidR="00753C92" w:rsidRPr="00753C92">
        <w:rPr>
          <w:lang w:val="fr-FR"/>
        </w:rPr>
        <w:t>’</w:t>
      </w:r>
      <w:r w:rsidRPr="00753C92">
        <w:rPr>
          <w:lang w:val="fr-FR"/>
        </w:rPr>
        <w:t>article 3 de la Convention qui est ainsi libellé :</w:t>
      </w:r>
    </w:p>
    <w:p w:rsidR="00F85BB2" w:rsidRPr="00753C92" w:rsidRDefault="00F85BB2" w:rsidP="00753C92">
      <w:pPr>
        <w:pStyle w:val="ECHRParaQuote"/>
        <w:rPr>
          <w:lang w:val="fr-FR"/>
        </w:rPr>
      </w:pPr>
      <w:r w:rsidRPr="00753C92">
        <w:rPr>
          <w:lang w:val="fr-FR"/>
        </w:rPr>
        <w:t>« Nul ne peut être soumis à la torture ni à des peines ou traitements inhumains ou dégradants. »</w:t>
      </w:r>
    </w:p>
    <w:p w:rsidR="00F85BB2" w:rsidRPr="00753C92" w:rsidRDefault="00F85BB2" w:rsidP="00753C92">
      <w:pPr>
        <w:pStyle w:val="ECHRTitle1"/>
        <w:rPr>
          <w:lang w:val="fr-FR"/>
        </w:rPr>
      </w:pPr>
      <w:r w:rsidRPr="00753C92">
        <w:rPr>
          <w:lang w:val="fr-FR"/>
        </w:rPr>
        <w:t>EN DROIT</w:t>
      </w:r>
    </w:p>
    <w:p w:rsidR="00F85BB2" w:rsidRPr="00753C92" w:rsidRDefault="00F85BB2" w:rsidP="00753C92">
      <w:pPr>
        <w:pStyle w:val="ECHRHeading2"/>
        <w:tabs>
          <w:tab w:val="clear" w:pos="584"/>
          <w:tab w:val="left" w:pos="567"/>
        </w:tabs>
        <w:ind w:left="567" w:hanging="425"/>
        <w:rPr>
          <w:lang w:val="fr-FR"/>
        </w:rPr>
      </w:pPr>
      <w:r w:rsidRPr="00753C92">
        <w:rPr>
          <w:lang w:val="fr-FR"/>
        </w:rPr>
        <w:t>A.  Sur l</w:t>
      </w:r>
      <w:r w:rsidR="00753C92" w:rsidRPr="00753C92">
        <w:rPr>
          <w:lang w:val="fr-FR"/>
        </w:rPr>
        <w:t>’</w:t>
      </w:r>
      <w:r w:rsidRPr="00753C92">
        <w:rPr>
          <w:lang w:val="fr-FR"/>
        </w:rPr>
        <w:t>absence de soins médicaux appropriés après les décisions des juridictions de l</w:t>
      </w:r>
      <w:r w:rsidR="00753C92" w:rsidRPr="00753C92">
        <w:rPr>
          <w:lang w:val="fr-FR"/>
        </w:rPr>
        <w:t>’</w:t>
      </w:r>
      <w:r w:rsidRPr="00753C92">
        <w:rPr>
          <w:lang w:val="fr-FR"/>
        </w:rPr>
        <w:t>application des peines des 10 janvier et 13 mars 2014 ainsi que sur l</w:t>
      </w:r>
      <w:r w:rsidR="00753C92" w:rsidRPr="00753C92">
        <w:rPr>
          <w:lang w:val="fr-FR"/>
        </w:rPr>
        <w:t>’</w:t>
      </w:r>
      <w:r w:rsidRPr="00753C92">
        <w:rPr>
          <w:lang w:val="fr-FR"/>
        </w:rPr>
        <w:t>absence de régime alimentaire adapté à la maladie cœliaque</w:t>
      </w:r>
    </w:p>
    <w:p w:rsidR="00F85BB2" w:rsidRPr="00753C92" w:rsidRDefault="00F85BB2" w:rsidP="00753C92">
      <w:pPr>
        <w:pStyle w:val="ECHRHeading3"/>
        <w:rPr>
          <w:rFonts w:eastAsia="Times New Roman"/>
          <w:lang w:val="fr-FR"/>
        </w:rPr>
      </w:pPr>
      <w:r w:rsidRPr="00753C92">
        <w:rPr>
          <w:rFonts w:eastAsia="Times New Roman"/>
          <w:lang w:val="fr-FR"/>
        </w:rPr>
        <w:t>1.  Thèses des parties</w:t>
      </w:r>
    </w:p>
    <w:p w:rsidR="00F85BB2" w:rsidRPr="00753C92" w:rsidRDefault="00F85BB2" w:rsidP="00753C92">
      <w:pPr>
        <w:pStyle w:val="ECHRHeading4"/>
        <w:rPr>
          <w:rFonts w:eastAsia="Times New Roman"/>
          <w:lang w:val="fr-FR"/>
        </w:rPr>
      </w:pPr>
      <w:r w:rsidRPr="00753C92">
        <w:rPr>
          <w:rFonts w:eastAsia="Times New Roman"/>
          <w:lang w:val="fr-FR"/>
        </w:rPr>
        <w:t>a)  Le Gouvernement</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38</w:t>
      </w:r>
      <w:r w:rsidRPr="00753C92">
        <w:fldChar w:fldCharType="end"/>
      </w:r>
      <w:r w:rsidRPr="00753C92">
        <w:rPr>
          <w:lang w:val="fr-FR"/>
        </w:rPr>
        <w:t>.  Le Gouvernement plaide le non-épuisement des voies de recours internes, exposant que le requérant ne s</w:t>
      </w:r>
      <w:r w:rsidR="00753C92" w:rsidRPr="00753C92">
        <w:rPr>
          <w:lang w:val="fr-FR"/>
        </w:rPr>
        <w:t>’</w:t>
      </w:r>
      <w:r w:rsidRPr="00753C92">
        <w:rPr>
          <w:lang w:val="fr-FR"/>
        </w:rPr>
        <w:t>est pas pourvu en cassation contre la décision du 13 mars 2014 par laquelle le tribunal de l</w:t>
      </w:r>
      <w:r w:rsidR="00753C92" w:rsidRPr="00753C92">
        <w:rPr>
          <w:lang w:val="fr-FR"/>
        </w:rPr>
        <w:t>’</w:t>
      </w:r>
      <w:r w:rsidRPr="00753C92">
        <w:rPr>
          <w:lang w:val="fr-FR"/>
        </w:rPr>
        <w:t>application des peines de Florence avait rejeté ses demandes de détention à domicile et/ou de suspension de l</w:t>
      </w:r>
      <w:r w:rsidR="00753C92" w:rsidRPr="00753C92">
        <w:rPr>
          <w:lang w:val="fr-FR"/>
        </w:rPr>
        <w:t>’</w:t>
      </w:r>
      <w:r w:rsidRPr="00753C92">
        <w:rPr>
          <w:lang w:val="fr-FR"/>
        </w:rPr>
        <w:t>exécution de sa peine pour raisons de santé. À ce sujet, il précise que le tribunal a estimé que l</w:t>
      </w:r>
      <w:r w:rsidR="00753C92" w:rsidRPr="00753C92">
        <w:rPr>
          <w:lang w:val="fr-FR"/>
        </w:rPr>
        <w:t>’</w:t>
      </w:r>
      <w:r w:rsidRPr="00753C92">
        <w:rPr>
          <w:lang w:val="fr-FR"/>
        </w:rPr>
        <w:t xml:space="preserve">état de santé du requérant ne justifiait pas une suspension de la peine et que la protection de la santé de celui-ci pouvait être assurée par les soins que le service médical de la prison de </w:t>
      </w:r>
      <w:r w:rsidRPr="00753C92">
        <w:rPr>
          <w:bCs/>
          <w:lang w:val="fr-FR"/>
        </w:rPr>
        <w:t>Pise-Don Bosco</w:t>
      </w:r>
      <w:r w:rsidRPr="00753C92">
        <w:rPr>
          <w:lang w:val="fr-FR"/>
        </w:rPr>
        <w:t xml:space="preserve"> – ou, le cas échéant, un autre centre extérieur à la prison – pourrait lui fournir ainsi que par d</w:t>
      </w:r>
      <w:r w:rsidR="00753C92" w:rsidRPr="00753C92">
        <w:rPr>
          <w:lang w:val="fr-FR"/>
        </w:rPr>
        <w:t>’</w:t>
      </w:r>
      <w:r w:rsidRPr="00753C92">
        <w:rPr>
          <w:lang w:val="fr-FR"/>
        </w:rPr>
        <w:t>éventuelles interventions chirurgicales.</w:t>
      </w:r>
    </w:p>
    <w:p w:rsidR="00F85BB2" w:rsidRPr="00753C92" w:rsidRDefault="00F85BB2" w:rsidP="00753C92">
      <w:pPr>
        <w:pStyle w:val="ECHRPara"/>
        <w:rPr>
          <w:lang w:val="fr-FR"/>
        </w:rPr>
      </w:pPr>
      <w:r w:rsidRPr="00753C92">
        <w:lastRenderedPageBreak/>
        <w:fldChar w:fldCharType="begin"/>
      </w:r>
      <w:r w:rsidRPr="00753C92">
        <w:rPr>
          <w:lang w:val="fr-FR"/>
        </w:rPr>
        <w:instrText xml:space="preserve"> SEQ level0 \*arabic </w:instrText>
      </w:r>
      <w:r w:rsidRPr="00753C92">
        <w:fldChar w:fldCharType="separate"/>
      </w:r>
      <w:r w:rsidR="00753C92" w:rsidRPr="00753C92">
        <w:rPr>
          <w:noProof/>
          <w:lang w:val="fr-FR"/>
        </w:rPr>
        <w:t>39</w:t>
      </w:r>
      <w:r w:rsidRPr="00753C92">
        <w:fldChar w:fldCharType="end"/>
      </w:r>
      <w:r w:rsidRPr="00753C92">
        <w:rPr>
          <w:lang w:val="fr-FR"/>
        </w:rPr>
        <w:t>.  Il argue que selon la jurisprudence constante de la Cour l</w:t>
      </w:r>
      <w:r w:rsidR="00753C92" w:rsidRPr="00753C92">
        <w:rPr>
          <w:lang w:val="fr-FR"/>
        </w:rPr>
        <w:t>’</w:t>
      </w:r>
      <w:r w:rsidRPr="00753C92">
        <w:rPr>
          <w:lang w:val="fr-FR"/>
        </w:rPr>
        <w:t>existence de simples doutes quant aux perspectives de succès d</w:t>
      </w:r>
      <w:r w:rsidR="00753C92" w:rsidRPr="00753C92">
        <w:rPr>
          <w:lang w:val="fr-FR"/>
        </w:rPr>
        <w:t>’</w:t>
      </w:r>
      <w:r w:rsidRPr="00753C92">
        <w:rPr>
          <w:lang w:val="fr-FR"/>
        </w:rPr>
        <w:t>un recours n</w:t>
      </w:r>
      <w:r w:rsidR="00753C92" w:rsidRPr="00753C92">
        <w:rPr>
          <w:lang w:val="fr-FR"/>
        </w:rPr>
        <w:t>’</w:t>
      </w:r>
      <w:r w:rsidRPr="00753C92">
        <w:rPr>
          <w:lang w:val="fr-FR"/>
        </w:rPr>
        <w:t>est pas une raison valable pour ne pas épuiser les voies de recours internes.</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40</w:t>
      </w:r>
      <w:r w:rsidRPr="00753C92">
        <w:fldChar w:fldCharType="end"/>
      </w:r>
      <w:r w:rsidRPr="00753C92">
        <w:rPr>
          <w:lang w:val="fr-FR"/>
        </w:rPr>
        <w:t>.  Il soutient que le requérant aurait également pu introduire un recours sur le fondement de l</w:t>
      </w:r>
      <w:r w:rsidR="00753C92" w:rsidRPr="00753C92">
        <w:rPr>
          <w:lang w:val="fr-FR"/>
        </w:rPr>
        <w:t>’</w:t>
      </w:r>
      <w:r w:rsidRPr="00753C92">
        <w:rPr>
          <w:lang w:val="fr-FR"/>
        </w:rPr>
        <w:t xml:space="preserve">article 35 </w:t>
      </w:r>
      <w:r w:rsidRPr="00753C92">
        <w:rPr>
          <w:i/>
          <w:lang w:val="fr-FR"/>
        </w:rPr>
        <w:t>bis</w:t>
      </w:r>
      <w:r w:rsidRPr="00753C92">
        <w:rPr>
          <w:lang w:val="fr-FR"/>
        </w:rPr>
        <w:t xml:space="preserve"> de la loi sur l</w:t>
      </w:r>
      <w:r w:rsidR="00753C92" w:rsidRPr="00753C92">
        <w:rPr>
          <w:lang w:val="fr-FR"/>
        </w:rPr>
        <w:t>’</w:t>
      </w:r>
      <w:r w:rsidRPr="00753C92">
        <w:rPr>
          <w:lang w:val="fr-FR"/>
        </w:rPr>
        <w:t>administration pénitentiaire pour se plaindre de l</w:t>
      </w:r>
      <w:r w:rsidR="00753C92" w:rsidRPr="00753C92">
        <w:rPr>
          <w:lang w:val="fr-FR"/>
        </w:rPr>
        <w:t>’</w:t>
      </w:r>
      <w:r w:rsidRPr="00753C92">
        <w:rPr>
          <w:lang w:val="fr-FR"/>
        </w:rPr>
        <w:t>inexécution des décisions du tribunal de l</w:t>
      </w:r>
      <w:r w:rsidR="00753C92" w:rsidRPr="00753C92">
        <w:rPr>
          <w:lang w:val="fr-FR"/>
        </w:rPr>
        <w:t>’</w:t>
      </w:r>
      <w:r w:rsidRPr="00753C92">
        <w:rPr>
          <w:lang w:val="fr-FR"/>
        </w:rPr>
        <w:t>application des peines et de l</w:t>
      </w:r>
      <w:r w:rsidR="00753C92" w:rsidRPr="00753C92">
        <w:rPr>
          <w:lang w:val="fr-FR"/>
        </w:rPr>
        <w:t>’</w:t>
      </w:r>
      <w:r w:rsidRPr="00753C92">
        <w:rPr>
          <w:lang w:val="fr-FR"/>
        </w:rPr>
        <w:t>absence de régime alimentaire adapté à la maladie cœliaque.</w:t>
      </w:r>
    </w:p>
    <w:p w:rsidR="00F85BB2" w:rsidRPr="00753C92" w:rsidRDefault="00F85BB2" w:rsidP="00753C92">
      <w:pPr>
        <w:pStyle w:val="ECHRHeading4"/>
        <w:rPr>
          <w:rFonts w:asciiTheme="minorHAnsi" w:eastAsiaTheme="minorEastAsia" w:hAnsiTheme="minorHAnsi" w:cstheme="minorBidi"/>
          <w:b w:val="0"/>
          <w:bCs w:val="0"/>
          <w:iCs w:val="0"/>
          <w:sz w:val="24"/>
          <w:lang w:val="fr-FR"/>
        </w:rPr>
      </w:pPr>
      <w:r w:rsidRPr="00753C92">
        <w:rPr>
          <w:lang w:val="fr-FR"/>
        </w:rPr>
        <w:t>b)  Le requérant</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41</w:t>
      </w:r>
      <w:r w:rsidRPr="00753C92">
        <w:fldChar w:fldCharType="end"/>
      </w:r>
      <w:r w:rsidRPr="00753C92">
        <w:rPr>
          <w:lang w:val="fr-FR"/>
        </w:rPr>
        <w:t>.  Le requérant s</w:t>
      </w:r>
      <w:r w:rsidR="00753C92" w:rsidRPr="00753C92">
        <w:rPr>
          <w:lang w:val="fr-FR"/>
        </w:rPr>
        <w:t>’</w:t>
      </w:r>
      <w:r w:rsidRPr="00753C92">
        <w:rPr>
          <w:lang w:val="fr-FR"/>
        </w:rPr>
        <w:t>oppose à la thèse du Gouvernement et déclare qu</w:t>
      </w:r>
      <w:r w:rsidR="00753C92" w:rsidRPr="00753C92">
        <w:rPr>
          <w:lang w:val="fr-FR"/>
        </w:rPr>
        <w:t>’</w:t>
      </w:r>
      <w:r w:rsidRPr="00753C92">
        <w:rPr>
          <w:lang w:val="fr-FR"/>
        </w:rPr>
        <w:t>un éventuel recours en cassation contre la décision du tribunal de l</w:t>
      </w:r>
      <w:r w:rsidR="00753C92" w:rsidRPr="00753C92">
        <w:rPr>
          <w:lang w:val="fr-FR"/>
        </w:rPr>
        <w:t>’</w:t>
      </w:r>
      <w:r w:rsidRPr="00753C92">
        <w:rPr>
          <w:lang w:val="fr-FR"/>
        </w:rPr>
        <w:t>application des peines n</w:t>
      </w:r>
      <w:r w:rsidR="00753C92" w:rsidRPr="00753C92">
        <w:rPr>
          <w:lang w:val="fr-FR"/>
        </w:rPr>
        <w:t>’</w:t>
      </w:r>
      <w:r w:rsidRPr="00753C92">
        <w:rPr>
          <w:lang w:val="fr-FR"/>
        </w:rPr>
        <w:t>aurait pas remédié à sa situation en ce que, selon lui, d</w:t>
      </w:r>
      <w:r w:rsidR="00753C92" w:rsidRPr="00753C92">
        <w:rPr>
          <w:lang w:val="fr-FR"/>
        </w:rPr>
        <w:t>’</w:t>
      </w:r>
      <w:r w:rsidRPr="00753C92">
        <w:rPr>
          <w:lang w:val="fr-FR"/>
        </w:rPr>
        <w:t>une part, la décision de la Cour de cassation n</w:t>
      </w:r>
      <w:r w:rsidR="00753C92" w:rsidRPr="00753C92">
        <w:rPr>
          <w:lang w:val="fr-FR"/>
        </w:rPr>
        <w:t>’</w:t>
      </w:r>
      <w:r w:rsidRPr="00753C92">
        <w:rPr>
          <w:lang w:val="fr-FR"/>
        </w:rPr>
        <w:t>aurait pas été rendue dans un bref délai et, d</w:t>
      </w:r>
      <w:r w:rsidR="00753C92" w:rsidRPr="00753C92">
        <w:rPr>
          <w:lang w:val="fr-FR"/>
        </w:rPr>
        <w:t>’</w:t>
      </w:r>
      <w:r w:rsidRPr="00753C92">
        <w:rPr>
          <w:lang w:val="fr-FR"/>
        </w:rPr>
        <w:t>autre part, pareille décision n</w:t>
      </w:r>
      <w:r w:rsidR="00753C92" w:rsidRPr="00753C92">
        <w:rPr>
          <w:lang w:val="fr-FR"/>
        </w:rPr>
        <w:t>’</w:t>
      </w:r>
      <w:r w:rsidRPr="00753C92">
        <w:rPr>
          <w:lang w:val="fr-FR"/>
        </w:rPr>
        <w:t>aurait pas pu avoir un impact significatif sur les modalités d</w:t>
      </w:r>
      <w:r w:rsidR="00753C92" w:rsidRPr="00753C92">
        <w:rPr>
          <w:lang w:val="fr-FR"/>
        </w:rPr>
        <w:t>’</w:t>
      </w:r>
      <w:r w:rsidRPr="00753C92">
        <w:rPr>
          <w:lang w:val="fr-FR"/>
        </w:rPr>
        <w:t>exécution de sa peine. Par ailleurs, il indique que le tribunal de l</w:t>
      </w:r>
      <w:r w:rsidR="00753C92" w:rsidRPr="00753C92">
        <w:rPr>
          <w:lang w:val="fr-FR"/>
        </w:rPr>
        <w:t>’</w:t>
      </w:r>
      <w:r w:rsidRPr="00753C92">
        <w:rPr>
          <w:lang w:val="fr-FR"/>
        </w:rPr>
        <w:t>application des peines de Florence avait jugé dans sa décision du 13 mars 2014 que les soins pouvaient également être assurés dans un établissement extérieur à la prison, ce qui ne s</w:t>
      </w:r>
      <w:r w:rsidR="00753C92" w:rsidRPr="00753C92">
        <w:rPr>
          <w:lang w:val="fr-FR"/>
        </w:rPr>
        <w:t>’</w:t>
      </w:r>
      <w:r w:rsidRPr="00753C92">
        <w:rPr>
          <w:lang w:val="fr-FR"/>
        </w:rPr>
        <w:t>est pas concrétisé. Pour les mêmes raisons, il estime que le recours visé à l</w:t>
      </w:r>
      <w:r w:rsidR="00753C92" w:rsidRPr="00753C92">
        <w:rPr>
          <w:lang w:val="fr-FR"/>
        </w:rPr>
        <w:t>’</w:t>
      </w:r>
      <w:r w:rsidRPr="00753C92">
        <w:rPr>
          <w:lang w:val="fr-FR"/>
        </w:rPr>
        <w:t xml:space="preserve">article 35 </w:t>
      </w:r>
      <w:r w:rsidRPr="00753C92">
        <w:rPr>
          <w:i/>
          <w:lang w:val="fr-FR"/>
        </w:rPr>
        <w:t>bis</w:t>
      </w:r>
      <w:r w:rsidRPr="00753C92">
        <w:rPr>
          <w:lang w:val="fr-FR"/>
        </w:rPr>
        <w:t xml:space="preserve"> de la loi sur l</w:t>
      </w:r>
      <w:r w:rsidR="00753C92" w:rsidRPr="00753C92">
        <w:rPr>
          <w:lang w:val="fr-FR"/>
        </w:rPr>
        <w:t>’</w:t>
      </w:r>
      <w:r w:rsidRPr="00753C92">
        <w:rPr>
          <w:lang w:val="fr-FR"/>
        </w:rPr>
        <w:t>administration pénitentiaire n</w:t>
      </w:r>
      <w:r w:rsidR="00753C92" w:rsidRPr="00753C92">
        <w:rPr>
          <w:lang w:val="fr-FR"/>
        </w:rPr>
        <w:t>’</w:t>
      </w:r>
      <w:r w:rsidRPr="00753C92">
        <w:rPr>
          <w:lang w:val="fr-FR"/>
        </w:rPr>
        <w:t>avait pas à être exercé.</w:t>
      </w:r>
    </w:p>
    <w:p w:rsidR="00F85BB2" w:rsidRPr="00753C92" w:rsidRDefault="00F85BB2" w:rsidP="00753C92">
      <w:pPr>
        <w:pStyle w:val="ECHRHeading3"/>
        <w:rPr>
          <w:lang w:val="fr-FR"/>
        </w:rPr>
      </w:pPr>
      <w:r w:rsidRPr="00753C92">
        <w:rPr>
          <w:lang w:val="fr-FR"/>
        </w:rPr>
        <w:t>2.  Appréciation de la Cour</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42</w:t>
      </w:r>
      <w:r w:rsidRPr="00753C92">
        <w:fldChar w:fldCharType="end"/>
      </w:r>
      <w:r w:rsidRPr="00753C92">
        <w:rPr>
          <w:lang w:val="fr-FR"/>
        </w:rPr>
        <w:t>.  La Cour rappelle qu</w:t>
      </w:r>
      <w:r w:rsidR="00753C92" w:rsidRPr="00753C92">
        <w:rPr>
          <w:lang w:val="fr-FR"/>
        </w:rPr>
        <w:t>’</w:t>
      </w:r>
      <w:r w:rsidRPr="00753C92">
        <w:rPr>
          <w:lang w:val="fr-FR"/>
        </w:rPr>
        <w:t>aux termes de l</w:t>
      </w:r>
      <w:r w:rsidR="00753C92" w:rsidRPr="00753C92">
        <w:rPr>
          <w:lang w:val="fr-FR"/>
        </w:rPr>
        <w:t>’</w:t>
      </w:r>
      <w:r w:rsidRPr="00753C92">
        <w:rPr>
          <w:lang w:val="fr-FR"/>
        </w:rPr>
        <w:t>article 35 § 1 de la Convention elle ne peut être saisie qu</w:t>
      </w:r>
      <w:r w:rsidR="00753C92" w:rsidRPr="00753C92">
        <w:rPr>
          <w:lang w:val="fr-FR"/>
        </w:rPr>
        <w:t>’</w:t>
      </w:r>
      <w:r w:rsidRPr="00753C92">
        <w:rPr>
          <w:lang w:val="fr-FR"/>
        </w:rPr>
        <w:t>après l</w:t>
      </w:r>
      <w:r w:rsidR="00753C92" w:rsidRPr="00753C92">
        <w:rPr>
          <w:lang w:val="fr-FR"/>
        </w:rPr>
        <w:t>’</w:t>
      </w:r>
      <w:r w:rsidRPr="00753C92">
        <w:rPr>
          <w:lang w:val="fr-FR"/>
        </w:rPr>
        <w:t>épuisement des voies de recours internes. La finalité de cette règle est de ménager aux États contractants l</w:t>
      </w:r>
      <w:r w:rsidR="00753C92" w:rsidRPr="00753C92">
        <w:rPr>
          <w:lang w:val="fr-FR"/>
        </w:rPr>
        <w:t>’</w:t>
      </w:r>
      <w:r w:rsidRPr="00753C92">
        <w:rPr>
          <w:lang w:val="fr-FR"/>
        </w:rPr>
        <w:t>occasion de prévenir ou de redresser les violations alléguées contre eux avant que la Cour n</w:t>
      </w:r>
      <w:r w:rsidR="00753C92" w:rsidRPr="00753C92">
        <w:rPr>
          <w:lang w:val="fr-FR"/>
        </w:rPr>
        <w:t>’</w:t>
      </w:r>
      <w:r w:rsidRPr="00753C92">
        <w:rPr>
          <w:lang w:val="fr-FR"/>
        </w:rPr>
        <w:t>en soit saisie (voir, parmi d</w:t>
      </w:r>
      <w:r w:rsidR="00753C92" w:rsidRPr="00753C92">
        <w:rPr>
          <w:lang w:val="fr-FR"/>
        </w:rPr>
        <w:t>’</w:t>
      </w:r>
      <w:r w:rsidRPr="00753C92">
        <w:rPr>
          <w:lang w:val="fr-FR"/>
        </w:rPr>
        <w:t xml:space="preserve">autres, </w:t>
      </w:r>
      <w:proofErr w:type="spellStart"/>
      <w:r w:rsidRPr="00753C92">
        <w:rPr>
          <w:i/>
          <w:lang w:val="fr-FR"/>
        </w:rPr>
        <w:t>Mifsud</w:t>
      </w:r>
      <w:proofErr w:type="spellEnd"/>
      <w:r w:rsidRPr="00753C92">
        <w:rPr>
          <w:i/>
          <w:lang w:val="fr-FR"/>
        </w:rPr>
        <w:t xml:space="preserve"> c. France</w:t>
      </w:r>
      <w:r w:rsidRPr="00753C92">
        <w:rPr>
          <w:lang w:val="fr-FR"/>
        </w:rPr>
        <w:t xml:space="preserve"> (déc.) [GC], n</w:t>
      </w:r>
      <w:r w:rsidRPr="00753C92">
        <w:rPr>
          <w:vertAlign w:val="superscript"/>
          <w:lang w:val="fr-FR"/>
        </w:rPr>
        <w:t>o</w:t>
      </w:r>
      <w:r w:rsidRPr="00753C92">
        <w:rPr>
          <w:lang w:val="fr-FR"/>
        </w:rPr>
        <w:t> </w:t>
      </w:r>
      <w:hyperlink r:id="rId12" w:anchor="{&quot;appno&quot;:[&quot;57220/00&quot;]}" w:tgtFrame="_blank" w:history="1">
        <w:r w:rsidRPr="00753C92">
          <w:rPr>
            <w:rStyle w:val="Collegamentoipertestuale"/>
            <w:color w:val="auto"/>
            <w:u w:val="none"/>
            <w:lang w:val="fr-FR"/>
          </w:rPr>
          <w:t>57220/00</w:t>
        </w:r>
      </w:hyperlink>
      <w:r w:rsidRPr="00753C92">
        <w:rPr>
          <w:lang w:val="fr-FR"/>
        </w:rPr>
        <w:t>, § 15, CEDH 2002</w:t>
      </w:r>
      <w:r w:rsidRPr="00753C92">
        <w:rPr>
          <w:lang w:val="fr-FR"/>
        </w:rPr>
        <w:noBreakHyphen/>
        <w:t xml:space="preserve">VIII, et, </w:t>
      </w:r>
      <w:proofErr w:type="spellStart"/>
      <w:r w:rsidRPr="00753C92">
        <w:rPr>
          <w:i/>
          <w:lang w:val="fr-FR"/>
        </w:rPr>
        <w:t>Simons</w:t>
      </w:r>
      <w:proofErr w:type="spellEnd"/>
      <w:r w:rsidRPr="00753C92">
        <w:rPr>
          <w:i/>
          <w:lang w:val="fr-FR"/>
        </w:rPr>
        <w:t xml:space="preserve"> c. Belgique</w:t>
      </w:r>
      <w:r w:rsidRPr="00753C92">
        <w:rPr>
          <w:lang w:val="fr-FR"/>
        </w:rPr>
        <w:t xml:space="preserve"> (déc.), n</w:t>
      </w:r>
      <w:r w:rsidRPr="00753C92">
        <w:rPr>
          <w:vertAlign w:val="superscript"/>
          <w:lang w:val="fr-FR"/>
        </w:rPr>
        <w:t>o </w:t>
      </w:r>
      <w:r w:rsidRPr="00753C92">
        <w:rPr>
          <w:lang w:val="fr-FR"/>
        </w:rPr>
        <w:t>71407/10 § 23, 28 août 2012).</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43</w:t>
      </w:r>
      <w:r w:rsidRPr="00753C92">
        <w:fldChar w:fldCharType="end"/>
      </w:r>
      <w:r w:rsidRPr="00753C92">
        <w:rPr>
          <w:lang w:val="fr-FR"/>
        </w:rPr>
        <w:t>.  L</w:t>
      </w:r>
      <w:r w:rsidR="00753C92" w:rsidRPr="00753C92">
        <w:rPr>
          <w:lang w:val="fr-FR"/>
        </w:rPr>
        <w:t>’</w:t>
      </w:r>
      <w:r w:rsidRPr="00753C92">
        <w:rPr>
          <w:lang w:val="fr-FR"/>
        </w:rPr>
        <w:t>article 35 § 1 de la Convention ne prescrit cependant que l</w:t>
      </w:r>
      <w:r w:rsidR="00753C92" w:rsidRPr="00753C92">
        <w:rPr>
          <w:lang w:val="fr-FR"/>
        </w:rPr>
        <w:t>’</w:t>
      </w:r>
      <w:r w:rsidRPr="00753C92">
        <w:rPr>
          <w:lang w:val="fr-FR"/>
        </w:rPr>
        <w:t>épuisement des recours à la fois relatifs aux violations incriminées, disponibles et adéquats. Un recours est effectif lorsqu</w:t>
      </w:r>
      <w:r w:rsidR="00753C92" w:rsidRPr="00753C92">
        <w:rPr>
          <w:lang w:val="fr-FR"/>
        </w:rPr>
        <w:t>’</w:t>
      </w:r>
      <w:r w:rsidRPr="00753C92">
        <w:rPr>
          <w:lang w:val="fr-FR"/>
        </w:rPr>
        <w:t>il est disponible tant en théorie qu</w:t>
      </w:r>
      <w:r w:rsidR="00753C92" w:rsidRPr="00753C92">
        <w:rPr>
          <w:lang w:val="fr-FR"/>
        </w:rPr>
        <w:t>’</w:t>
      </w:r>
      <w:r w:rsidRPr="00753C92">
        <w:rPr>
          <w:lang w:val="fr-FR"/>
        </w:rPr>
        <w:t>en pratique à l</w:t>
      </w:r>
      <w:r w:rsidR="00753C92" w:rsidRPr="00753C92">
        <w:rPr>
          <w:lang w:val="fr-FR"/>
        </w:rPr>
        <w:t>’</w:t>
      </w:r>
      <w:r w:rsidRPr="00753C92">
        <w:rPr>
          <w:lang w:val="fr-FR"/>
        </w:rPr>
        <w:t>époque des faits, c</w:t>
      </w:r>
      <w:r w:rsidR="00753C92" w:rsidRPr="00753C92">
        <w:rPr>
          <w:lang w:val="fr-FR"/>
        </w:rPr>
        <w:t>’</w:t>
      </w:r>
      <w:r w:rsidRPr="00753C92">
        <w:rPr>
          <w:lang w:val="fr-FR"/>
        </w:rPr>
        <w:t>est-à-dire lorsqu</w:t>
      </w:r>
      <w:r w:rsidR="00753C92" w:rsidRPr="00753C92">
        <w:rPr>
          <w:lang w:val="fr-FR"/>
        </w:rPr>
        <w:t>’</w:t>
      </w:r>
      <w:r w:rsidRPr="00753C92">
        <w:rPr>
          <w:lang w:val="fr-FR"/>
        </w:rPr>
        <w:t>il est accessible et susceptible d</w:t>
      </w:r>
      <w:r w:rsidR="00753C92" w:rsidRPr="00753C92">
        <w:rPr>
          <w:lang w:val="fr-FR"/>
        </w:rPr>
        <w:t>’</w:t>
      </w:r>
      <w:r w:rsidRPr="00753C92">
        <w:rPr>
          <w:lang w:val="fr-FR"/>
        </w:rPr>
        <w:t>offrir au requérant le redressement de ses griefs et qu</w:t>
      </w:r>
      <w:r w:rsidR="00753C92" w:rsidRPr="00753C92">
        <w:rPr>
          <w:lang w:val="fr-FR"/>
        </w:rPr>
        <w:t>’</w:t>
      </w:r>
      <w:r w:rsidRPr="00753C92">
        <w:rPr>
          <w:lang w:val="fr-FR"/>
        </w:rPr>
        <w:t>il présente des perspectives raisonnables de succès. À cet égard, le simple fait de nourrir des doutes quant aux perspectives de succès d</w:t>
      </w:r>
      <w:r w:rsidR="00753C92" w:rsidRPr="00753C92">
        <w:rPr>
          <w:lang w:val="fr-FR"/>
        </w:rPr>
        <w:t>’</w:t>
      </w:r>
      <w:r w:rsidRPr="00753C92">
        <w:rPr>
          <w:lang w:val="fr-FR"/>
        </w:rPr>
        <w:t>un recours donné qui n</w:t>
      </w:r>
      <w:r w:rsidR="00753C92" w:rsidRPr="00753C92">
        <w:rPr>
          <w:lang w:val="fr-FR"/>
        </w:rPr>
        <w:t>’</w:t>
      </w:r>
      <w:r w:rsidRPr="00753C92">
        <w:rPr>
          <w:lang w:val="fr-FR"/>
        </w:rPr>
        <w:t>est pas de toute évidence voué à l</w:t>
      </w:r>
      <w:r w:rsidR="00753C92" w:rsidRPr="00753C92">
        <w:rPr>
          <w:lang w:val="fr-FR"/>
        </w:rPr>
        <w:t>’</w:t>
      </w:r>
      <w:r w:rsidRPr="00753C92">
        <w:rPr>
          <w:lang w:val="fr-FR"/>
        </w:rPr>
        <w:t>échec ne constitue pas une raison valable pour justifier la non-utilisation de recours internes (</w:t>
      </w:r>
      <w:proofErr w:type="spellStart"/>
      <w:r w:rsidRPr="00753C92">
        <w:rPr>
          <w:i/>
          <w:lang w:val="fr-FR"/>
        </w:rPr>
        <w:t>Brusco</w:t>
      </w:r>
      <w:proofErr w:type="spellEnd"/>
      <w:r w:rsidRPr="00753C92">
        <w:rPr>
          <w:i/>
          <w:lang w:val="fr-FR"/>
        </w:rPr>
        <w:t xml:space="preserve"> c. Italie</w:t>
      </w:r>
      <w:r w:rsidRPr="00753C92">
        <w:rPr>
          <w:lang w:val="fr-FR"/>
        </w:rPr>
        <w:t xml:space="preserve"> (déc.), n</w:t>
      </w:r>
      <w:r w:rsidRPr="00753C92">
        <w:rPr>
          <w:vertAlign w:val="superscript"/>
          <w:lang w:val="fr-FR"/>
        </w:rPr>
        <w:t>o</w:t>
      </w:r>
      <w:r w:rsidRPr="00753C92">
        <w:rPr>
          <w:lang w:val="fr-FR"/>
        </w:rPr>
        <w:t xml:space="preserve"> </w:t>
      </w:r>
      <w:hyperlink r:id="rId13" w:anchor="{&quot;appno&quot;:[&quot;69789/01&quot;]}" w:tgtFrame="_blank" w:history="1">
        <w:r w:rsidRPr="00753C92">
          <w:rPr>
            <w:rStyle w:val="Collegamentoipertestuale"/>
            <w:color w:val="auto"/>
            <w:u w:val="none"/>
            <w:lang w:val="fr-FR"/>
          </w:rPr>
          <w:t>69789/01</w:t>
        </w:r>
      </w:hyperlink>
      <w:r w:rsidRPr="00753C92">
        <w:rPr>
          <w:lang w:val="fr-FR"/>
        </w:rPr>
        <w:t>, CEDH 2001</w:t>
      </w:r>
      <w:r w:rsidRPr="00753C92">
        <w:rPr>
          <w:lang w:val="fr-FR"/>
        </w:rPr>
        <w:noBreakHyphen/>
        <w:t xml:space="preserve">IX, </w:t>
      </w:r>
      <w:r w:rsidRPr="00753C92">
        <w:rPr>
          <w:i/>
          <w:lang w:val="fr-FR"/>
        </w:rPr>
        <w:t xml:space="preserve">Sardinas </w:t>
      </w:r>
      <w:proofErr w:type="spellStart"/>
      <w:r w:rsidRPr="00753C92">
        <w:rPr>
          <w:i/>
          <w:lang w:val="fr-FR"/>
        </w:rPr>
        <w:t>Albo</w:t>
      </w:r>
      <w:proofErr w:type="spellEnd"/>
      <w:r w:rsidRPr="00753C92">
        <w:rPr>
          <w:i/>
          <w:lang w:val="fr-FR"/>
        </w:rPr>
        <w:t xml:space="preserve"> c. Italie</w:t>
      </w:r>
      <w:r w:rsidRPr="00753C92">
        <w:rPr>
          <w:lang w:val="fr-FR"/>
        </w:rPr>
        <w:t xml:space="preserve"> (déc.), n</w:t>
      </w:r>
      <w:r w:rsidRPr="00753C92">
        <w:rPr>
          <w:vertAlign w:val="superscript"/>
          <w:lang w:val="fr-FR"/>
        </w:rPr>
        <w:t>o</w:t>
      </w:r>
      <w:r w:rsidRPr="00753C92">
        <w:rPr>
          <w:lang w:val="fr-FR"/>
        </w:rPr>
        <w:t> </w:t>
      </w:r>
      <w:hyperlink r:id="rId14" w:anchor="{&quot;appno&quot;:[&quot;56271/00&quot;]}" w:tgtFrame="_blank" w:history="1">
        <w:r w:rsidRPr="00753C92">
          <w:rPr>
            <w:rStyle w:val="Collegamentoipertestuale"/>
            <w:color w:val="auto"/>
            <w:u w:val="none"/>
            <w:lang w:val="fr-FR"/>
          </w:rPr>
          <w:t>56271/00</w:t>
        </w:r>
      </w:hyperlink>
      <w:r w:rsidRPr="00753C92">
        <w:rPr>
          <w:lang w:val="fr-FR"/>
        </w:rPr>
        <w:t>, CEDH 2004</w:t>
      </w:r>
      <w:r w:rsidRPr="00753C92">
        <w:rPr>
          <w:lang w:val="fr-FR"/>
        </w:rPr>
        <w:noBreakHyphen/>
        <w:t xml:space="preserve">I (extraits), </w:t>
      </w:r>
      <w:proofErr w:type="spellStart"/>
      <w:r w:rsidRPr="00753C92">
        <w:rPr>
          <w:i/>
          <w:lang w:val="fr-FR"/>
        </w:rPr>
        <w:t>Sejdovic</w:t>
      </w:r>
      <w:proofErr w:type="spellEnd"/>
      <w:r w:rsidRPr="00753C92">
        <w:rPr>
          <w:i/>
          <w:lang w:val="fr-FR"/>
        </w:rPr>
        <w:t xml:space="preserve"> c. Italie</w:t>
      </w:r>
      <w:r w:rsidRPr="00753C92">
        <w:rPr>
          <w:lang w:val="fr-FR"/>
        </w:rPr>
        <w:t xml:space="preserve"> [GC], n</w:t>
      </w:r>
      <w:r w:rsidRPr="00753C92">
        <w:rPr>
          <w:vertAlign w:val="superscript"/>
          <w:lang w:val="fr-FR"/>
        </w:rPr>
        <w:t>o</w:t>
      </w:r>
      <w:r w:rsidRPr="00753C92">
        <w:rPr>
          <w:lang w:val="fr-FR"/>
        </w:rPr>
        <w:t xml:space="preserve"> </w:t>
      </w:r>
      <w:hyperlink r:id="rId15" w:anchor="{&quot;appno&quot;:[&quot;56581/00&quot;]}" w:tgtFrame="_blank" w:history="1">
        <w:r w:rsidRPr="00753C92">
          <w:rPr>
            <w:rStyle w:val="Collegamentoipertestuale"/>
            <w:color w:val="auto"/>
            <w:u w:val="none"/>
            <w:lang w:val="fr-FR"/>
          </w:rPr>
          <w:t>56581/00</w:t>
        </w:r>
      </w:hyperlink>
      <w:r w:rsidRPr="00753C92">
        <w:rPr>
          <w:lang w:val="fr-FR"/>
        </w:rPr>
        <w:t>, § 46, CEDH 2006</w:t>
      </w:r>
      <w:r w:rsidRPr="00753C92">
        <w:rPr>
          <w:lang w:val="fr-FR"/>
        </w:rPr>
        <w:noBreakHyphen/>
        <w:t xml:space="preserve">II, et </w:t>
      </w:r>
      <w:r w:rsidRPr="00753C92">
        <w:rPr>
          <w:i/>
          <w:lang w:val="fr-FR"/>
        </w:rPr>
        <w:t xml:space="preserve">Alberto </w:t>
      </w:r>
      <w:proofErr w:type="spellStart"/>
      <w:r w:rsidRPr="00753C92">
        <w:rPr>
          <w:i/>
          <w:lang w:val="fr-FR"/>
        </w:rPr>
        <w:t>Eugénio</w:t>
      </w:r>
      <w:proofErr w:type="spellEnd"/>
      <w:r w:rsidRPr="00753C92">
        <w:rPr>
          <w:i/>
          <w:lang w:val="fr-FR"/>
        </w:rPr>
        <w:t xml:space="preserve"> da </w:t>
      </w:r>
      <w:proofErr w:type="spellStart"/>
      <w:r w:rsidRPr="00753C92">
        <w:rPr>
          <w:i/>
          <w:lang w:val="fr-FR"/>
        </w:rPr>
        <w:t>Conceição</w:t>
      </w:r>
      <w:proofErr w:type="spellEnd"/>
      <w:r w:rsidRPr="00753C92">
        <w:rPr>
          <w:i/>
          <w:lang w:val="fr-FR"/>
        </w:rPr>
        <w:t xml:space="preserve"> c. Portugal</w:t>
      </w:r>
      <w:r w:rsidRPr="00753C92">
        <w:rPr>
          <w:lang w:val="fr-FR"/>
        </w:rPr>
        <w:t xml:space="preserve"> (déc.), n</w:t>
      </w:r>
      <w:r w:rsidRPr="00753C92">
        <w:rPr>
          <w:vertAlign w:val="superscript"/>
          <w:lang w:val="fr-FR"/>
        </w:rPr>
        <w:t>o</w:t>
      </w:r>
      <w:r w:rsidRPr="00753C92">
        <w:rPr>
          <w:lang w:val="fr-FR"/>
        </w:rPr>
        <w:t> </w:t>
      </w:r>
      <w:hyperlink r:id="rId16" w:anchor="{&quot;appno&quot;:[&quot;74044/11&quot;]}" w:tgtFrame="_blank" w:history="1">
        <w:r w:rsidRPr="00753C92">
          <w:rPr>
            <w:rStyle w:val="Collegamentoipertestuale"/>
            <w:color w:val="auto"/>
            <w:u w:val="none"/>
            <w:lang w:val="fr-FR"/>
          </w:rPr>
          <w:t>74044/11</w:t>
        </w:r>
      </w:hyperlink>
      <w:r w:rsidRPr="00753C92">
        <w:rPr>
          <w:lang w:val="fr-FR"/>
        </w:rPr>
        <w:t>, 29 mai 2012).</w:t>
      </w:r>
    </w:p>
    <w:p w:rsidR="00F85BB2" w:rsidRPr="00753C92" w:rsidRDefault="00F85BB2" w:rsidP="00753C92">
      <w:pPr>
        <w:pStyle w:val="ECHRPara"/>
        <w:rPr>
          <w:lang w:val="fr-FR"/>
        </w:rPr>
      </w:pPr>
      <w:r w:rsidRPr="00753C92">
        <w:lastRenderedPageBreak/>
        <w:fldChar w:fldCharType="begin"/>
      </w:r>
      <w:r w:rsidRPr="00753C92">
        <w:rPr>
          <w:lang w:val="fr-FR"/>
        </w:rPr>
        <w:instrText xml:space="preserve"> SEQ level0 \*arabic </w:instrText>
      </w:r>
      <w:r w:rsidRPr="00753C92">
        <w:fldChar w:fldCharType="separate"/>
      </w:r>
      <w:r w:rsidR="00753C92" w:rsidRPr="00753C92">
        <w:rPr>
          <w:noProof/>
          <w:lang w:val="fr-FR"/>
        </w:rPr>
        <w:t>44</w:t>
      </w:r>
      <w:r w:rsidRPr="00753C92">
        <w:fldChar w:fldCharType="end"/>
      </w:r>
      <w:r w:rsidRPr="00753C92">
        <w:rPr>
          <w:lang w:val="fr-FR"/>
        </w:rPr>
        <w:t>.  En l</w:t>
      </w:r>
      <w:r w:rsidR="00753C92" w:rsidRPr="00753C92">
        <w:rPr>
          <w:lang w:val="fr-FR"/>
        </w:rPr>
        <w:t>’</w:t>
      </w:r>
      <w:r w:rsidRPr="00753C92">
        <w:rPr>
          <w:lang w:val="fr-FR"/>
        </w:rPr>
        <w:t>espèce, le requérant estime que les recours évoqués ne sauraient passer pour effectifs. Il estime en effet que le délai d</w:t>
      </w:r>
      <w:r w:rsidR="00753C92" w:rsidRPr="00753C92">
        <w:rPr>
          <w:lang w:val="fr-FR"/>
        </w:rPr>
        <w:t>’</w:t>
      </w:r>
      <w:r w:rsidRPr="00753C92">
        <w:rPr>
          <w:lang w:val="fr-FR"/>
        </w:rPr>
        <w:t>obtention d</w:t>
      </w:r>
      <w:r w:rsidR="00753C92" w:rsidRPr="00753C92">
        <w:rPr>
          <w:lang w:val="fr-FR"/>
        </w:rPr>
        <w:t>’</w:t>
      </w:r>
      <w:r w:rsidRPr="00753C92">
        <w:rPr>
          <w:lang w:val="fr-FR"/>
        </w:rPr>
        <w:t>un arrêt de la Cour de cassation est très long et qu</w:t>
      </w:r>
      <w:r w:rsidR="00753C92" w:rsidRPr="00753C92">
        <w:rPr>
          <w:lang w:val="fr-FR"/>
        </w:rPr>
        <w:t>’</w:t>
      </w:r>
      <w:r w:rsidRPr="00753C92">
        <w:rPr>
          <w:lang w:val="fr-FR"/>
        </w:rPr>
        <w:t>un éventuel arrêt de celle-ci n</w:t>
      </w:r>
      <w:r w:rsidR="00753C92" w:rsidRPr="00753C92">
        <w:rPr>
          <w:lang w:val="fr-FR"/>
        </w:rPr>
        <w:t>’</w:t>
      </w:r>
      <w:r w:rsidRPr="00753C92">
        <w:rPr>
          <w:lang w:val="fr-FR"/>
        </w:rPr>
        <w:t>aurait eu aucun impact sur les modalités d</w:t>
      </w:r>
      <w:r w:rsidR="00753C92" w:rsidRPr="00753C92">
        <w:rPr>
          <w:lang w:val="fr-FR"/>
        </w:rPr>
        <w:t>’</w:t>
      </w:r>
      <w:r w:rsidRPr="00753C92">
        <w:rPr>
          <w:lang w:val="fr-FR"/>
        </w:rPr>
        <w:t>exécution de sa peine. Il réitère les mêmes arguments au sujet du recours prévu par l</w:t>
      </w:r>
      <w:r w:rsidR="00753C92" w:rsidRPr="00753C92">
        <w:rPr>
          <w:lang w:val="fr-FR"/>
        </w:rPr>
        <w:t>’</w:t>
      </w:r>
      <w:r w:rsidRPr="00753C92">
        <w:rPr>
          <w:lang w:val="fr-FR"/>
        </w:rPr>
        <w:t xml:space="preserve">article 35 </w:t>
      </w:r>
      <w:r w:rsidRPr="00753C92">
        <w:rPr>
          <w:i/>
          <w:lang w:val="fr-FR"/>
        </w:rPr>
        <w:t>bis</w:t>
      </w:r>
      <w:r w:rsidRPr="00753C92">
        <w:rPr>
          <w:lang w:val="fr-FR"/>
        </w:rPr>
        <w:t xml:space="preserve"> de la loi sur l</w:t>
      </w:r>
      <w:r w:rsidR="00753C92" w:rsidRPr="00753C92">
        <w:rPr>
          <w:lang w:val="fr-FR"/>
        </w:rPr>
        <w:t>’</w:t>
      </w:r>
      <w:r w:rsidRPr="00753C92">
        <w:rPr>
          <w:lang w:val="fr-FR"/>
        </w:rPr>
        <w:t>administration pénitentiaire.</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45</w:t>
      </w:r>
      <w:r w:rsidRPr="00753C92">
        <w:fldChar w:fldCharType="end"/>
      </w:r>
      <w:r w:rsidRPr="00753C92">
        <w:rPr>
          <w:lang w:val="fr-FR"/>
        </w:rPr>
        <w:t>.  La Cour n</w:t>
      </w:r>
      <w:r w:rsidR="00753C92" w:rsidRPr="00753C92">
        <w:rPr>
          <w:lang w:val="fr-FR"/>
        </w:rPr>
        <w:t>’</w:t>
      </w:r>
      <w:r w:rsidRPr="00753C92">
        <w:rPr>
          <w:lang w:val="fr-FR"/>
        </w:rPr>
        <w:t>est pas convaincue par les arguments du requérant. Elle rappelle que la Cour de cassation est l</w:t>
      </w:r>
      <w:r w:rsidR="00753C92" w:rsidRPr="00753C92">
        <w:rPr>
          <w:lang w:val="fr-FR"/>
        </w:rPr>
        <w:t>’</w:t>
      </w:r>
      <w:r w:rsidRPr="00753C92">
        <w:rPr>
          <w:lang w:val="fr-FR"/>
        </w:rPr>
        <w:t>instance nationale susceptible d</w:t>
      </w:r>
      <w:r w:rsidR="00753C92" w:rsidRPr="00753C92">
        <w:rPr>
          <w:lang w:val="fr-FR"/>
        </w:rPr>
        <w:t>’</w:t>
      </w:r>
      <w:r w:rsidRPr="00753C92">
        <w:rPr>
          <w:lang w:val="fr-FR"/>
        </w:rPr>
        <w:t>interpréter la loi et de renforcer la protection juridictionnelle des personnes détenues se trouvant sous le coup de restrictions aux droits fondamentaux (</w:t>
      </w:r>
      <w:proofErr w:type="spellStart"/>
      <w:r w:rsidRPr="00753C92">
        <w:rPr>
          <w:i/>
          <w:lang w:val="fr-FR"/>
        </w:rPr>
        <w:t>Riina</w:t>
      </w:r>
      <w:proofErr w:type="spellEnd"/>
      <w:r w:rsidRPr="00753C92">
        <w:rPr>
          <w:i/>
          <w:lang w:val="fr-FR"/>
        </w:rPr>
        <w:t xml:space="preserve"> c. Italie</w:t>
      </w:r>
      <w:r w:rsidRPr="00753C92">
        <w:rPr>
          <w:lang w:val="fr-FR"/>
        </w:rPr>
        <w:t xml:space="preserve"> (déc.), n</w:t>
      </w:r>
      <w:r w:rsidRPr="00753C92">
        <w:rPr>
          <w:vertAlign w:val="superscript"/>
          <w:lang w:val="fr-FR"/>
        </w:rPr>
        <w:t>o</w:t>
      </w:r>
      <w:r w:rsidRPr="00753C92">
        <w:rPr>
          <w:lang w:val="fr-FR"/>
        </w:rPr>
        <w:t xml:space="preserve"> 43575/09, § 21, 11 mars 2014).</w:t>
      </w:r>
    </w:p>
    <w:p w:rsidR="00F85BB2" w:rsidRPr="00753C92" w:rsidRDefault="00F85BB2" w:rsidP="00753C92">
      <w:pPr>
        <w:pStyle w:val="ECHRPara"/>
        <w:rPr>
          <w:lang w:val="fr-FR"/>
        </w:rPr>
      </w:pPr>
      <w:r w:rsidRPr="00753C92">
        <w:rPr>
          <w:rFonts w:ascii="Times New Roman" w:eastAsia="Times New Roman" w:hAnsi="Times New Roman" w:cs="Times New Roman"/>
          <w:szCs w:val="24"/>
          <w:lang w:val="fr-FR"/>
        </w:rPr>
        <w:t>Dès lors, elle estime qu</w:t>
      </w:r>
      <w:r w:rsidR="00753C92" w:rsidRPr="00753C92">
        <w:rPr>
          <w:rFonts w:ascii="Times New Roman" w:eastAsia="Times New Roman" w:hAnsi="Times New Roman" w:cs="Times New Roman"/>
          <w:szCs w:val="24"/>
          <w:lang w:val="fr-FR"/>
        </w:rPr>
        <w:t>’</w:t>
      </w:r>
      <w:r w:rsidRPr="00753C92">
        <w:rPr>
          <w:rFonts w:ascii="Times New Roman" w:eastAsia="Times New Roman" w:hAnsi="Times New Roman" w:cs="Times New Roman"/>
          <w:szCs w:val="24"/>
          <w:lang w:val="fr-FR"/>
        </w:rPr>
        <w:t>avant de la saisir le requérant aurait dû introduire un pourvoi en cassation contre la décision du 13 mars 2014 par laquelle le tribunal de l</w:t>
      </w:r>
      <w:r w:rsidR="00753C92" w:rsidRPr="00753C92">
        <w:rPr>
          <w:rFonts w:ascii="Times New Roman" w:eastAsia="Times New Roman" w:hAnsi="Times New Roman" w:cs="Times New Roman"/>
          <w:szCs w:val="24"/>
          <w:lang w:val="fr-FR"/>
        </w:rPr>
        <w:t>’</w:t>
      </w:r>
      <w:r w:rsidRPr="00753C92">
        <w:rPr>
          <w:rFonts w:ascii="Times New Roman" w:eastAsia="Times New Roman" w:hAnsi="Times New Roman" w:cs="Times New Roman"/>
          <w:szCs w:val="24"/>
          <w:lang w:val="fr-FR"/>
        </w:rPr>
        <w:t>application des peines de Florence a rejeté ses demandes de détention à domicile ou de suspension de l</w:t>
      </w:r>
      <w:r w:rsidR="00753C92" w:rsidRPr="00753C92">
        <w:rPr>
          <w:rFonts w:ascii="Times New Roman" w:eastAsia="Times New Roman" w:hAnsi="Times New Roman" w:cs="Times New Roman"/>
          <w:szCs w:val="24"/>
          <w:lang w:val="fr-FR"/>
        </w:rPr>
        <w:t>’</w:t>
      </w:r>
      <w:r w:rsidRPr="00753C92">
        <w:rPr>
          <w:rFonts w:ascii="Times New Roman" w:eastAsia="Times New Roman" w:hAnsi="Times New Roman" w:cs="Times New Roman"/>
          <w:szCs w:val="24"/>
          <w:lang w:val="fr-FR"/>
        </w:rPr>
        <w:t>exécution de sa peine.</w:t>
      </w:r>
      <w:r w:rsidRPr="00753C92">
        <w:rPr>
          <w:lang w:val="fr-FR"/>
        </w:rPr>
        <w:t xml:space="preserve"> Il s</w:t>
      </w:r>
      <w:r w:rsidR="00753C92" w:rsidRPr="00753C92">
        <w:rPr>
          <w:lang w:val="fr-FR"/>
        </w:rPr>
        <w:t>’</w:t>
      </w:r>
      <w:r w:rsidRPr="00753C92">
        <w:rPr>
          <w:lang w:val="fr-FR"/>
        </w:rPr>
        <w:t>ensuit que l</w:t>
      </w:r>
      <w:r w:rsidR="00753C92" w:rsidRPr="00753C92">
        <w:rPr>
          <w:lang w:val="fr-FR"/>
        </w:rPr>
        <w:t>’</w:t>
      </w:r>
      <w:r w:rsidRPr="00753C92">
        <w:rPr>
          <w:lang w:val="fr-FR"/>
        </w:rPr>
        <w:t>intéressé n</w:t>
      </w:r>
      <w:r w:rsidR="00753C92" w:rsidRPr="00753C92">
        <w:rPr>
          <w:lang w:val="fr-FR"/>
        </w:rPr>
        <w:t>’</w:t>
      </w:r>
      <w:r w:rsidRPr="00753C92">
        <w:rPr>
          <w:lang w:val="fr-FR"/>
        </w:rPr>
        <w:t>a pas satisfait à l</w:t>
      </w:r>
      <w:r w:rsidR="00753C92" w:rsidRPr="00753C92">
        <w:rPr>
          <w:lang w:val="fr-FR"/>
        </w:rPr>
        <w:t>’</w:t>
      </w:r>
      <w:r w:rsidRPr="00753C92">
        <w:rPr>
          <w:lang w:val="fr-FR"/>
        </w:rPr>
        <w:t>obligation d</w:t>
      </w:r>
      <w:r w:rsidR="00753C92" w:rsidRPr="00753C92">
        <w:rPr>
          <w:lang w:val="fr-FR"/>
        </w:rPr>
        <w:t>’</w:t>
      </w:r>
      <w:r w:rsidRPr="00753C92">
        <w:rPr>
          <w:lang w:val="fr-FR"/>
        </w:rPr>
        <w:t>épuiser les voies de recours internes.</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46</w:t>
      </w:r>
      <w:r w:rsidRPr="00753C92">
        <w:fldChar w:fldCharType="end"/>
      </w:r>
      <w:r w:rsidRPr="00753C92">
        <w:rPr>
          <w:lang w:val="fr-FR"/>
        </w:rPr>
        <w:t>.  De plus, la Cour note que l</w:t>
      </w:r>
      <w:r w:rsidR="00753C92" w:rsidRPr="00753C92">
        <w:rPr>
          <w:lang w:val="fr-FR"/>
        </w:rPr>
        <w:t>’</w:t>
      </w:r>
      <w:r w:rsidRPr="00753C92">
        <w:rPr>
          <w:lang w:val="fr-FR"/>
        </w:rPr>
        <w:t xml:space="preserve">article 35 </w:t>
      </w:r>
      <w:r w:rsidRPr="00753C92">
        <w:rPr>
          <w:i/>
          <w:lang w:val="fr-FR"/>
        </w:rPr>
        <w:t>bis</w:t>
      </w:r>
      <w:r w:rsidRPr="00753C92">
        <w:rPr>
          <w:lang w:val="fr-FR"/>
        </w:rPr>
        <w:t xml:space="preserve"> de la loi sur l</w:t>
      </w:r>
      <w:r w:rsidR="00753C92" w:rsidRPr="00753C92">
        <w:rPr>
          <w:lang w:val="fr-FR"/>
        </w:rPr>
        <w:t>’</w:t>
      </w:r>
      <w:r w:rsidRPr="00753C92">
        <w:rPr>
          <w:lang w:val="fr-FR"/>
        </w:rPr>
        <w:t>administration pénitentiaire offre des recours préventifs et compensatoires en cas de plainte concernant de mauvaises conditions de détention, y compris des soins de santé insuffisants.</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47</w:t>
      </w:r>
      <w:r w:rsidRPr="00753C92">
        <w:fldChar w:fldCharType="end"/>
      </w:r>
      <w:r w:rsidRPr="00753C92">
        <w:rPr>
          <w:lang w:val="fr-FR"/>
        </w:rPr>
        <w:t>.  À cet égard, elle note que le requérant ne s</w:t>
      </w:r>
      <w:r w:rsidR="00753C92" w:rsidRPr="00753C92">
        <w:rPr>
          <w:lang w:val="fr-FR"/>
        </w:rPr>
        <w:t>’</w:t>
      </w:r>
      <w:r w:rsidRPr="00753C92">
        <w:rPr>
          <w:lang w:val="fr-FR"/>
        </w:rPr>
        <w:t>est adressé au juge de l</w:t>
      </w:r>
      <w:r w:rsidR="00753C92" w:rsidRPr="00753C92">
        <w:rPr>
          <w:lang w:val="fr-FR"/>
        </w:rPr>
        <w:t>’</w:t>
      </w:r>
      <w:r w:rsidRPr="00753C92">
        <w:rPr>
          <w:lang w:val="fr-FR"/>
        </w:rPr>
        <w:t>application des peines, aux fins de l</w:t>
      </w:r>
      <w:r w:rsidR="00753C92" w:rsidRPr="00753C92">
        <w:rPr>
          <w:lang w:val="fr-FR"/>
        </w:rPr>
        <w:t>’</w:t>
      </w:r>
      <w:r w:rsidRPr="00753C92">
        <w:rPr>
          <w:lang w:val="fr-FR"/>
        </w:rPr>
        <w:t xml:space="preserve">article 35 </w:t>
      </w:r>
      <w:r w:rsidRPr="00753C92">
        <w:rPr>
          <w:i/>
          <w:lang w:val="fr-FR"/>
        </w:rPr>
        <w:t>bis</w:t>
      </w:r>
      <w:r w:rsidRPr="00753C92">
        <w:rPr>
          <w:lang w:val="fr-FR"/>
        </w:rPr>
        <w:t>, ni pour se plaindre de l</w:t>
      </w:r>
      <w:r w:rsidR="00753C92" w:rsidRPr="00753C92">
        <w:rPr>
          <w:lang w:val="fr-FR"/>
        </w:rPr>
        <w:t>’</w:t>
      </w:r>
      <w:r w:rsidRPr="00753C92">
        <w:rPr>
          <w:lang w:val="fr-FR"/>
        </w:rPr>
        <w:t>inexécution de la décision rendue le 13 mars 2014 par le tribunal de l</w:t>
      </w:r>
      <w:r w:rsidR="00753C92" w:rsidRPr="00753C92">
        <w:rPr>
          <w:lang w:val="fr-FR"/>
        </w:rPr>
        <w:t>’</w:t>
      </w:r>
      <w:r w:rsidRPr="00753C92">
        <w:rPr>
          <w:lang w:val="fr-FR"/>
        </w:rPr>
        <w:t>application des peines de Florence pour autant qu</w:t>
      </w:r>
      <w:r w:rsidR="00753C92" w:rsidRPr="00753C92">
        <w:rPr>
          <w:lang w:val="fr-FR"/>
        </w:rPr>
        <w:t>’</w:t>
      </w:r>
      <w:r w:rsidRPr="00753C92">
        <w:rPr>
          <w:lang w:val="fr-FR"/>
        </w:rPr>
        <w:t xml:space="preserve">elle avait indiqué que le cas échéant les soins pourraient également être assurés dans un établissement extérieur à la prison (paragraphe </w:t>
      </w:r>
      <w:r w:rsidRPr="00753C92">
        <w:fldChar w:fldCharType="begin"/>
      </w:r>
      <w:r w:rsidRPr="00753C92">
        <w:rPr>
          <w:lang w:val="fr-FR"/>
        </w:rPr>
        <w:instrText xml:space="preserve"> REF p20 \h  \* MERGEFORMAT </w:instrText>
      </w:r>
      <w:r w:rsidRPr="00753C92">
        <w:fldChar w:fldCharType="separate"/>
      </w:r>
      <w:r w:rsidR="00753C92" w:rsidRPr="00753C92">
        <w:rPr>
          <w:lang w:val="fr-FR"/>
        </w:rPr>
        <w:t>20</w:t>
      </w:r>
      <w:r w:rsidRPr="00753C92">
        <w:fldChar w:fldCharType="end"/>
      </w:r>
      <w:r w:rsidRPr="00753C92">
        <w:rPr>
          <w:lang w:val="fr-FR"/>
        </w:rPr>
        <w:t xml:space="preserve"> ci-dessus), ni pour se plaindre de l</w:t>
      </w:r>
      <w:r w:rsidR="00753C92" w:rsidRPr="00753C92">
        <w:rPr>
          <w:lang w:val="fr-FR"/>
        </w:rPr>
        <w:t>’</w:t>
      </w:r>
      <w:r w:rsidRPr="00753C92">
        <w:rPr>
          <w:lang w:val="fr-FR"/>
        </w:rPr>
        <w:t>absence de régime alimentaire adapté à la maladie cœliaque.</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48</w:t>
      </w:r>
      <w:r w:rsidRPr="00753C92">
        <w:fldChar w:fldCharType="end"/>
      </w:r>
      <w:r w:rsidRPr="00753C92">
        <w:rPr>
          <w:lang w:val="fr-FR"/>
        </w:rPr>
        <w:t>.  Le requérant n</w:t>
      </w:r>
      <w:r w:rsidR="00753C92" w:rsidRPr="00753C92">
        <w:rPr>
          <w:lang w:val="fr-FR"/>
        </w:rPr>
        <w:t>’</w:t>
      </w:r>
      <w:r w:rsidRPr="00753C92">
        <w:rPr>
          <w:lang w:val="fr-FR"/>
        </w:rPr>
        <w:t>a donc pas donné aux juridictions nationales l</w:t>
      </w:r>
      <w:r w:rsidR="00753C92" w:rsidRPr="00753C92">
        <w:rPr>
          <w:lang w:val="fr-FR"/>
        </w:rPr>
        <w:t>’</w:t>
      </w:r>
      <w:r w:rsidRPr="00753C92">
        <w:rPr>
          <w:lang w:val="fr-FR"/>
        </w:rPr>
        <w:t>occasion de prévenir ou de redresser dans leur ordre juridique interne les violations de la Convention. Dès lors, il y a lieu d</w:t>
      </w:r>
      <w:r w:rsidR="00753C92" w:rsidRPr="00753C92">
        <w:rPr>
          <w:lang w:val="fr-FR"/>
        </w:rPr>
        <w:t>’</w:t>
      </w:r>
      <w:r w:rsidRPr="00753C92">
        <w:rPr>
          <w:lang w:val="fr-FR"/>
        </w:rPr>
        <w:t>accueillir l</w:t>
      </w:r>
      <w:r w:rsidR="00753C92" w:rsidRPr="00753C92">
        <w:rPr>
          <w:lang w:val="fr-FR"/>
        </w:rPr>
        <w:t>’</w:t>
      </w:r>
      <w:r w:rsidRPr="00753C92">
        <w:rPr>
          <w:lang w:val="fr-FR"/>
        </w:rPr>
        <w:t>exception de non-épuisement des voies de recours internes soulevée par le Gouvernement, car l</w:t>
      </w:r>
      <w:r w:rsidR="00753C92" w:rsidRPr="00753C92">
        <w:rPr>
          <w:lang w:val="fr-FR"/>
        </w:rPr>
        <w:t>’</w:t>
      </w:r>
      <w:r w:rsidRPr="00753C92">
        <w:rPr>
          <w:lang w:val="fr-FR"/>
        </w:rPr>
        <w:t>intéressé s</w:t>
      </w:r>
      <w:r w:rsidR="00753C92" w:rsidRPr="00753C92">
        <w:rPr>
          <w:lang w:val="fr-FR"/>
        </w:rPr>
        <w:t>’</w:t>
      </w:r>
      <w:r w:rsidRPr="00753C92">
        <w:rPr>
          <w:lang w:val="fr-FR"/>
        </w:rPr>
        <w:t>est privé lui-même de la possibilité de protéger ses droits garantis par l</w:t>
      </w:r>
      <w:r w:rsidR="00753C92" w:rsidRPr="00753C92">
        <w:rPr>
          <w:lang w:val="fr-FR"/>
        </w:rPr>
        <w:t>’</w:t>
      </w:r>
      <w:r w:rsidRPr="00753C92">
        <w:rPr>
          <w:lang w:val="fr-FR"/>
        </w:rPr>
        <w:t>article 3 de la Convention.</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49</w:t>
      </w:r>
      <w:r w:rsidRPr="00753C92">
        <w:fldChar w:fldCharType="end"/>
      </w:r>
      <w:r w:rsidRPr="00753C92">
        <w:rPr>
          <w:lang w:val="fr-FR"/>
        </w:rPr>
        <w:t>.  Dans ces circonstances, la Cour considère que les griefs dont il s</w:t>
      </w:r>
      <w:r w:rsidR="00753C92" w:rsidRPr="00753C92">
        <w:rPr>
          <w:lang w:val="fr-FR"/>
        </w:rPr>
        <w:t>’</w:t>
      </w:r>
      <w:r w:rsidRPr="00753C92">
        <w:rPr>
          <w:lang w:val="fr-FR"/>
        </w:rPr>
        <w:t>agit doivent être rejetés pour non-épuisement des voies de recours internes, en application de l</w:t>
      </w:r>
      <w:r w:rsidR="00753C92" w:rsidRPr="00753C92">
        <w:rPr>
          <w:lang w:val="fr-FR"/>
        </w:rPr>
        <w:t>’</w:t>
      </w:r>
      <w:r w:rsidRPr="00753C92">
        <w:rPr>
          <w:lang w:val="fr-FR"/>
        </w:rPr>
        <w:t>article 35 §§ 1 et 4 de la Convention.</w:t>
      </w:r>
    </w:p>
    <w:p w:rsidR="00F85BB2" w:rsidRPr="00753C92" w:rsidRDefault="00F85BB2" w:rsidP="00753C92">
      <w:pPr>
        <w:pStyle w:val="ECHRHeading2"/>
        <w:rPr>
          <w:rFonts w:asciiTheme="minorHAnsi" w:eastAsiaTheme="minorEastAsia" w:hAnsiTheme="minorHAnsi" w:cstheme="minorBidi"/>
          <w:b w:val="0"/>
          <w:bCs w:val="0"/>
          <w:szCs w:val="22"/>
          <w:lang w:val="fr-FR"/>
        </w:rPr>
      </w:pPr>
      <w:r w:rsidRPr="00753C92">
        <w:rPr>
          <w:lang w:val="fr-FR"/>
        </w:rPr>
        <w:lastRenderedPageBreak/>
        <w:t>B.  Sur le placement à l</w:t>
      </w:r>
      <w:r w:rsidR="00753C92" w:rsidRPr="00753C92">
        <w:rPr>
          <w:lang w:val="fr-FR"/>
        </w:rPr>
        <w:t>’</w:t>
      </w:r>
      <w:r w:rsidRPr="00753C92">
        <w:rPr>
          <w:lang w:val="fr-FR"/>
        </w:rPr>
        <w:t>isolement diurne</w:t>
      </w:r>
    </w:p>
    <w:p w:rsidR="00F85BB2" w:rsidRPr="00753C92" w:rsidRDefault="00F85BB2" w:rsidP="00753C92">
      <w:pPr>
        <w:pStyle w:val="ECHRHeading3"/>
        <w:rPr>
          <w:rFonts w:eastAsia="Times New Roman"/>
          <w:lang w:val="fr-FR"/>
        </w:rPr>
      </w:pPr>
      <w:r w:rsidRPr="00753C92">
        <w:rPr>
          <w:rFonts w:eastAsia="Times New Roman"/>
          <w:lang w:val="fr-FR"/>
        </w:rPr>
        <w:t>1.  Thèses des parties</w:t>
      </w:r>
    </w:p>
    <w:p w:rsidR="00F85BB2" w:rsidRPr="00753C92" w:rsidRDefault="00F85BB2" w:rsidP="00753C92">
      <w:pPr>
        <w:pStyle w:val="ECHRHeading4"/>
        <w:rPr>
          <w:rFonts w:eastAsia="Times New Roman"/>
          <w:lang w:val="fr-FR"/>
        </w:rPr>
      </w:pPr>
      <w:r w:rsidRPr="00753C92">
        <w:rPr>
          <w:rFonts w:eastAsia="Times New Roman"/>
          <w:lang w:val="fr-FR"/>
        </w:rPr>
        <w:t>a)  Le Gouvernement</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50</w:t>
      </w:r>
      <w:r w:rsidRPr="00753C92">
        <w:fldChar w:fldCharType="end"/>
      </w:r>
      <w:r w:rsidRPr="00753C92">
        <w:rPr>
          <w:lang w:val="fr-FR"/>
        </w:rPr>
        <w:t>.  Le Gouvernement fait observer que la Cour constitutionnelle a exclu que la mesure d</w:t>
      </w:r>
      <w:r w:rsidR="00753C92" w:rsidRPr="00753C92">
        <w:rPr>
          <w:lang w:val="fr-FR"/>
        </w:rPr>
        <w:t>’</w:t>
      </w:r>
      <w:r w:rsidRPr="00753C92">
        <w:rPr>
          <w:lang w:val="fr-FR"/>
        </w:rPr>
        <w:t>isolement prévue à l</w:t>
      </w:r>
      <w:r w:rsidR="00753C92" w:rsidRPr="00753C92">
        <w:rPr>
          <w:lang w:val="fr-FR"/>
        </w:rPr>
        <w:t>’</w:t>
      </w:r>
      <w:r w:rsidRPr="00753C92">
        <w:rPr>
          <w:lang w:val="fr-FR"/>
        </w:rPr>
        <w:t>article 72 du code pénal puisse être considérée comme contraire à la dignité humaine.</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51</w:t>
      </w:r>
      <w:r w:rsidRPr="00753C92">
        <w:fldChar w:fldCharType="end"/>
      </w:r>
      <w:r w:rsidRPr="00753C92">
        <w:rPr>
          <w:lang w:val="fr-FR"/>
        </w:rPr>
        <w:t>.  Il indique que cette mesure a été imposée au requérant par la cour d</w:t>
      </w:r>
      <w:r w:rsidR="00753C92" w:rsidRPr="00753C92">
        <w:rPr>
          <w:lang w:val="fr-FR"/>
        </w:rPr>
        <w:t>’</w:t>
      </w:r>
      <w:r w:rsidRPr="00753C92">
        <w:rPr>
          <w:lang w:val="fr-FR"/>
        </w:rPr>
        <w:t>appel pour une durée de six mois mais que, à la suite d</w:t>
      </w:r>
      <w:r w:rsidR="00753C92" w:rsidRPr="00753C92">
        <w:rPr>
          <w:lang w:val="fr-FR"/>
        </w:rPr>
        <w:t>’</w:t>
      </w:r>
      <w:r w:rsidRPr="00753C92">
        <w:rPr>
          <w:lang w:val="fr-FR"/>
        </w:rPr>
        <w:t>une aggravation de l</w:t>
      </w:r>
      <w:r w:rsidR="00753C92" w:rsidRPr="00753C92">
        <w:rPr>
          <w:lang w:val="fr-FR"/>
        </w:rPr>
        <w:t>’</w:t>
      </w:r>
      <w:r w:rsidRPr="00753C92">
        <w:rPr>
          <w:lang w:val="fr-FR"/>
        </w:rPr>
        <w:t xml:space="preserve">état de santé de celui-ci, la direction de la prison de </w:t>
      </w:r>
      <w:r w:rsidRPr="00753C92">
        <w:rPr>
          <w:bCs/>
          <w:lang w:val="fr-FR"/>
        </w:rPr>
        <w:t>Pise-Don Bosco</w:t>
      </w:r>
      <w:r w:rsidRPr="00753C92">
        <w:rPr>
          <w:lang w:val="fr-FR"/>
        </w:rPr>
        <w:t xml:space="preserve"> a décidé le 24 août 2013 de son retour au régime de détention normale. Il ajoute que le 27 novembre 2013 la cour d</w:t>
      </w:r>
      <w:r w:rsidR="00753C92" w:rsidRPr="00753C92">
        <w:rPr>
          <w:lang w:val="fr-FR"/>
        </w:rPr>
        <w:t>’</w:t>
      </w:r>
      <w:r w:rsidRPr="00753C92">
        <w:rPr>
          <w:lang w:val="fr-FR"/>
        </w:rPr>
        <w:t>appel de Rome a suspendu l</w:t>
      </w:r>
      <w:r w:rsidR="00753C92" w:rsidRPr="00753C92">
        <w:rPr>
          <w:lang w:val="fr-FR"/>
        </w:rPr>
        <w:t>’</w:t>
      </w:r>
      <w:r w:rsidRPr="00753C92">
        <w:rPr>
          <w:lang w:val="fr-FR"/>
        </w:rPr>
        <w:t>exécution de la peine accessoire.</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52</w:t>
      </w:r>
      <w:r w:rsidRPr="00753C92">
        <w:fldChar w:fldCharType="end"/>
      </w:r>
      <w:r w:rsidRPr="00753C92">
        <w:rPr>
          <w:lang w:val="fr-FR"/>
        </w:rPr>
        <w:t>.  Le Gouvernement expose que le requérant a été soumis à la peine de l</w:t>
      </w:r>
      <w:r w:rsidR="00753C92" w:rsidRPr="00753C92">
        <w:rPr>
          <w:lang w:val="fr-FR"/>
        </w:rPr>
        <w:t>’</w:t>
      </w:r>
      <w:r w:rsidRPr="00753C92">
        <w:rPr>
          <w:lang w:val="fr-FR"/>
        </w:rPr>
        <w:t>isolement diurne pendant une courte période – un mois –, durant laquelle il a été détenu dans une chambre d</w:t>
      </w:r>
      <w:r w:rsidR="00753C92" w:rsidRPr="00753C92">
        <w:rPr>
          <w:lang w:val="fr-FR"/>
        </w:rPr>
        <w:t>’</w:t>
      </w:r>
      <w:r w:rsidRPr="00753C92">
        <w:rPr>
          <w:lang w:val="fr-FR"/>
        </w:rPr>
        <w:t>isolement qui avait été rénovée et qui était tout équipée, et que sa santé a été surveillée de manière continue.</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53</w:t>
      </w:r>
      <w:r w:rsidRPr="00753C92">
        <w:fldChar w:fldCharType="end"/>
      </w:r>
      <w:r w:rsidRPr="00753C92">
        <w:rPr>
          <w:lang w:val="fr-FR"/>
        </w:rPr>
        <w:t>.  Il soutient que la mesure litigieuse n</w:t>
      </w:r>
      <w:r w:rsidR="00753C92" w:rsidRPr="00753C92">
        <w:rPr>
          <w:lang w:val="fr-FR"/>
        </w:rPr>
        <w:t>’</w:t>
      </w:r>
      <w:r w:rsidRPr="00753C92">
        <w:rPr>
          <w:lang w:val="fr-FR"/>
        </w:rPr>
        <w:t>a pas atteint le seuil minimal de gravité requis par l</w:t>
      </w:r>
      <w:r w:rsidR="00753C92" w:rsidRPr="00753C92">
        <w:rPr>
          <w:lang w:val="fr-FR"/>
        </w:rPr>
        <w:t>’</w:t>
      </w:r>
      <w:r w:rsidRPr="00753C92">
        <w:rPr>
          <w:lang w:val="fr-FR"/>
        </w:rPr>
        <w:t>article 3 de la Convention.</w:t>
      </w:r>
    </w:p>
    <w:p w:rsidR="00F85BB2" w:rsidRPr="00753C92" w:rsidRDefault="00F85BB2" w:rsidP="00753C92">
      <w:pPr>
        <w:pStyle w:val="ECHRHeading4"/>
        <w:rPr>
          <w:lang w:val="fr-FR"/>
        </w:rPr>
      </w:pPr>
      <w:r w:rsidRPr="00753C92">
        <w:rPr>
          <w:lang w:val="fr-FR"/>
        </w:rPr>
        <w:t>b)  Le requérant</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54</w:t>
      </w:r>
      <w:r w:rsidRPr="00753C92">
        <w:fldChar w:fldCharType="end"/>
      </w:r>
      <w:r w:rsidRPr="00753C92">
        <w:rPr>
          <w:lang w:val="fr-FR"/>
        </w:rPr>
        <w:t>.  Le requérant conteste la thèse du Gouvernement et affirme que pendant cette période il s</w:t>
      </w:r>
      <w:r w:rsidR="00753C92" w:rsidRPr="00753C92">
        <w:rPr>
          <w:lang w:val="fr-FR"/>
        </w:rPr>
        <w:t>’</w:t>
      </w:r>
      <w:r w:rsidRPr="00753C92">
        <w:rPr>
          <w:lang w:val="fr-FR"/>
        </w:rPr>
        <w:t>est blessé à la suite d</w:t>
      </w:r>
      <w:r w:rsidR="00753C92" w:rsidRPr="00753C92">
        <w:rPr>
          <w:lang w:val="fr-FR"/>
        </w:rPr>
        <w:t>’</w:t>
      </w:r>
      <w:r w:rsidRPr="00753C92">
        <w:rPr>
          <w:lang w:val="fr-FR"/>
        </w:rPr>
        <w:t>une chute et qu</w:t>
      </w:r>
      <w:r w:rsidR="00753C92" w:rsidRPr="00753C92">
        <w:rPr>
          <w:lang w:val="fr-FR"/>
        </w:rPr>
        <w:t>’</w:t>
      </w:r>
      <w:r w:rsidRPr="00753C92">
        <w:rPr>
          <w:lang w:val="fr-FR"/>
        </w:rPr>
        <w:t>il n</w:t>
      </w:r>
      <w:r w:rsidR="00753C92" w:rsidRPr="00753C92">
        <w:rPr>
          <w:lang w:val="fr-FR"/>
        </w:rPr>
        <w:t>’</w:t>
      </w:r>
      <w:r w:rsidRPr="00753C92">
        <w:rPr>
          <w:lang w:val="fr-FR"/>
        </w:rPr>
        <w:t>a pas eu accès à des soins médicaux appropriés.</w:t>
      </w:r>
    </w:p>
    <w:p w:rsidR="00F85BB2" w:rsidRPr="00753C92" w:rsidRDefault="00F85BB2" w:rsidP="00753C92">
      <w:pPr>
        <w:pStyle w:val="ECHRHeading3"/>
        <w:rPr>
          <w:lang w:val="fr-FR"/>
        </w:rPr>
      </w:pPr>
      <w:r w:rsidRPr="00753C92">
        <w:rPr>
          <w:lang w:val="fr-FR"/>
        </w:rPr>
        <w:t>2.  Appréciation de la Cour</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55</w:t>
      </w:r>
      <w:r w:rsidRPr="00753C92">
        <w:fldChar w:fldCharType="end"/>
      </w:r>
      <w:r w:rsidRPr="00753C92">
        <w:rPr>
          <w:lang w:val="fr-FR"/>
        </w:rPr>
        <w:t xml:space="preserve">.  La </w:t>
      </w:r>
      <w:r w:rsidRPr="00753C92">
        <w:rPr>
          <w:rFonts w:eastAsia="Times New Roman"/>
          <w:lang w:val="fr-FR"/>
        </w:rPr>
        <w:t>Cour rappelle qu</w:t>
      </w:r>
      <w:r w:rsidR="00753C92" w:rsidRPr="00753C92">
        <w:rPr>
          <w:rFonts w:eastAsia="Times New Roman"/>
          <w:lang w:val="fr-FR"/>
        </w:rPr>
        <w:t>’</w:t>
      </w:r>
      <w:r w:rsidRPr="00753C92">
        <w:rPr>
          <w:rFonts w:eastAsia="Times New Roman"/>
          <w:lang w:val="fr-FR"/>
        </w:rPr>
        <w:t>elle a déjà examiné la compatibilité avec la Convention des régimes de plus grande sécurité destinés à prévenir les risques d</w:t>
      </w:r>
      <w:r w:rsidR="00753C92" w:rsidRPr="00753C92">
        <w:rPr>
          <w:rFonts w:eastAsia="Times New Roman"/>
          <w:lang w:val="fr-FR"/>
        </w:rPr>
        <w:t>’</w:t>
      </w:r>
      <w:r w:rsidRPr="00753C92">
        <w:rPr>
          <w:rFonts w:eastAsia="Times New Roman"/>
          <w:lang w:val="fr-FR"/>
        </w:rPr>
        <w:t>évasion, d</w:t>
      </w:r>
      <w:r w:rsidR="00753C92" w:rsidRPr="00753C92">
        <w:rPr>
          <w:rFonts w:eastAsia="Times New Roman"/>
          <w:lang w:val="fr-FR"/>
        </w:rPr>
        <w:t>’</w:t>
      </w:r>
      <w:r w:rsidRPr="00753C92">
        <w:rPr>
          <w:rFonts w:eastAsia="Times New Roman"/>
          <w:lang w:val="fr-FR"/>
        </w:rPr>
        <w:t>agression ou la perturbation de la collectivité des détenus, de tels régimes se fondant sur une mise à l</w:t>
      </w:r>
      <w:r w:rsidR="00753C92" w:rsidRPr="00753C92">
        <w:rPr>
          <w:rFonts w:eastAsia="Times New Roman"/>
          <w:lang w:val="fr-FR"/>
        </w:rPr>
        <w:t>’</w:t>
      </w:r>
      <w:r w:rsidRPr="00753C92">
        <w:rPr>
          <w:rFonts w:eastAsia="Times New Roman"/>
          <w:lang w:val="fr-FR"/>
        </w:rPr>
        <w:t>écart de la communauté pénitentiaire accompagnée d</w:t>
      </w:r>
      <w:r w:rsidR="00753C92" w:rsidRPr="00753C92">
        <w:rPr>
          <w:rFonts w:eastAsia="Times New Roman"/>
          <w:lang w:val="fr-FR"/>
        </w:rPr>
        <w:t>’</w:t>
      </w:r>
      <w:r w:rsidRPr="00753C92">
        <w:rPr>
          <w:rFonts w:eastAsia="Times New Roman"/>
          <w:lang w:val="fr-FR"/>
        </w:rPr>
        <w:t xml:space="preserve">un renforcement des contrôles </w:t>
      </w:r>
      <w:r w:rsidRPr="00753C92">
        <w:rPr>
          <w:rFonts w:ascii="Times New Roman" w:eastAsia="Times New Roman" w:hAnsi="Times New Roman" w:cs="Times New Roman"/>
          <w:szCs w:val="24"/>
          <w:lang w:val="fr-FR"/>
        </w:rPr>
        <w:t>(</w:t>
      </w:r>
      <w:r w:rsidRPr="00753C92">
        <w:rPr>
          <w:i/>
          <w:lang w:val="fr-FR"/>
        </w:rPr>
        <w:t>Ramirez Sanchez c. France</w:t>
      </w:r>
      <w:r w:rsidRPr="00753C92">
        <w:rPr>
          <w:lang w:val="fr-FR"/>
        </w:rPr>
        <w:t xml:space="preserve"> [GC], n</w:t>
      </w:r>
      <w:r w:rsidRPr="00753C92">
        <w:rPr>
          <w:vertAlign w:val="superscript"/>
          <w:lang w:val="fr-FR"/>
        </w:rPr>
        <w:t>o</w:t>
      </w:r>
      <w:r w:rsidRPr="00753C92">
        <w:rPr>
          <w:lang w:val="fr-FR"/>
        </w:rPr>
        <w:t xml:space="preserve"> 59450/00, § 138, </w:t>
      </w:r>
      <w:r w:rsidRPr="00753C92">
        <w:rPr>
          <w:szCs w:val="24"/>
          <w:lang w:val="fr-FR"/>
        </w:rPr>
        <w:t>CEDH 2006</w:t>
      </w:r>
      <w:r w:rsidRPr="00753C92">
        <w:rPr>
          <w:szCs w:val="24"/>
          <w:lang w:val="fr-FR"/>
        </w:rPr>
        <w:noBreakHyphen/>
        <w:t>IX</w:t>
      </w:r>
      <w:r w:rsidRPr="00753C92">
        <w:rPr>
          <w:rFonts w:ascii="Times New Roman" w:eastAsia="Times New Roman" w:hAnsi="Times New Roman" w:cs="Times New Roman"/>
          <w:szCs w:val="24"/>
          <w:lang w:val="fr-FR"/>
        </w:rPr>
        <w:t>).</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56</w:t>
      </w:r>
      <w:r w:rsidRPr="00753C92">
        <w:fldChar w:fldCharType="end"/>
      </w:r>
      <w:r w:rsidRPr="00753C92">
        <w:rPr>
          <w:lang w:val="fr-FR"/>
        </w:rPr>
        <w:t>.  Elle a affirmé à maintes reprises qu</w:t>
      </w:r>
      <w:r w:rsidR="00753C92" w:rsidRPr="00753C92">
        <w:rPr>
          <w:lang w:val="fr-FR"/>
        </w:rPr>
        <w:t>’</w:t>
      </w:r>
      <w:r w:rsidRPr="00753C92">
        <w:rPr>
          <w:lang w:val="fr-FR"/>
        </w:rPr>
        <w:t>il « conviendrait (...) de ne recourir à cette mesure, qui représente une sorte « d</w:t>
      </w:r>
      <w:r w:rsidR="00753C92" w:rsidRPr="00753C92">
        <w:rPr>
          <w:lang w:val="fr-FR"/>
        </w:rPr>
        <w:t>’</w:t>
      </w:r>
      <w:r w:rsidRPr="00753C92">
        <w:rPr>
          <w:lang w:val="fr-FR"/>
        </w:rPr>
        <w:t>emprisonnement dans la prison », qu</w:t>
      </w:r>
      <w:r w:rsidR="00753C92" w:rsidRPr="00753C92">
        <w:rPr>
          <w:lang w:val="fr-FR"/>
        </w:rPr>
        <w:t>’</w:t>
      </w:r>
      <w:r w:rsidRPr="00753C92">
        <w:rPr>
          <w:lang w:val="fr-FR"/>
        </w:rPr>
        <w:t>exceptionnellement et avec beaucoup de précautions » (</w:t>
      </w:r>
      <w:proofErr w:type="spellStart"/>
      <w:r w:rsidRPr="00753C92">
        <w:rPr>
          <w:i/>
          <w:lang w:val="fr-FR"/>
        </w:rPr>
        <w:t>Khider</w:t>
      </w:r>
      <w:proofErr w:type="spellEnd"/>
      <w:r w:rsidRPr="00753C92">
        <w:rPr>
          <w:i/>
          <w:lang w:val="fr-FR"/>
        </w:rPr>
        <w:t xml:space="preserve"> c. France</w:t>
      </w:r>
      <w:r w:rsidRPr="00753C92">
        <w:rPr>
          <w:lang w:val="fr-FR"/>
        </w:rPr>
        <w:t>, n</w:t>
      </w:r>
      <w:r w:rsidRPr="00753C92">
        <w:rPr>
          <w:vertAlign w:val="superscript"/>
          <w:lang w:val="fr-FR"/>
        </w:rPr>
        <w:t>o</w:t>
      </w:r>
      <w:r w:rsidRPr="00753C92">
        <w:rPr>
          <w:lang w:val="fr-FR"/>
        </w:rPr>
        <w:t xml:space="preserve"> 39364/05, § 104, 9 juillet 2009). Elle avait précédemment jugé qu</w:t>
      </w:r>
      <w:r w:rsidR="00753C92" w:rsidRPr="00753C92">
        <w:rPr>
          <w:lang w:val="fr-FR"/>
        </w:rPr>
        <w:t>’</w:t>
      </w:r>
      <w:r w:rsidRPr="00753C92">
        <w:rPr>
          <w:lang w:val="fr-FR"/>
        </w:rPr>
        <w:t>une telle mesure ne constituait pas en elle-même une forme de peine ou de traitement inhumain (</w:t>
      </w:r>
      <w:proofErr w:type="spellStart"/>
      <w:r w:rsidRPr="00753C92">
        <w:rPr>
          <w:i/>
          <w:lang w:val="fr-FR"/>
        </w:rPr>
        <w:t>Öcalan</w:t>
      </w:r>
      <w:proofErr w:type="spellEnd"/>
      <w:r w:rsidRPr="00753C92">
        <w:rPr>
          <w:i/>
          <w:lang w:val="fr-FR"/>
        </w:rPr>
        <w:t xml:space="preserve"> c. Turquie</w:t>
      </w:r>
      <w:r w:rsidRPr="00753C92">
        <w:rPr>
          <w:lang w:val="fr-FR"/>
        </w:rPr>
        <w:t xml:space="preserve"> [GC], n</w:t>
      </w:r>
      <w:r w:rsidRPr="00753C92">
        <w:rPr>
          <w:vertAlign w:val="superscript"/>
          <w:lang w:val="fr-FR"/>
        </w:rPr>
        <w:t>o</w:t>
      </w:r>
      <w:r w:rsidRPr="00753C92">
        <w:rPr>
          <w:lang w:val="fr-FR"/>
        </w:rPr>
        <w:t> 46221/99, § 191, CEDH 2005</w:t>
      </w:r>
      <w:r w:rsidRPr="00753C92">
        <w:rPr>
          <w:lang w:val="fr-FR"/>
        </w:rPr>
        <w:noBreakHyphen/>
        <w:t>IV) et que, pour apprécier si elle pouvait tomber sous le coup de l</w:t>
      </w:r>
      <w:r w:rsidR="00753C92" w:rsidRPr="00753C92">
        <w:rPr>
          <w:lang w:val="fr-FR"/>
        </w:rPr>
        <w:t>’</w:t>
      </w:r>
      <w:r w:rsidRPr="00753C92">
        <w:rPr>
          <w:lang w:val="fr-FR"/>
        </w:rPr>
        <w:t>article 3, il y avait lieu d</w:t>
      </w:r>
      <w:r w:rsidR="00753C92" w:rsidRPr="00753C92">
        <w:rPr>
          <w:lang w:val="fr-FR"/>
        </w:rPr>
        <w:t>’</w:t>
      </w:r>
      <w:r w:rsidRPr="00753C92">
        <w:rPr>
          <w:lang w:val="fr-FR"/>
        </w:rPr>
        <w:t>avoir égard aux conditions de l</w:t>
      </w:r>
      <w:r w:rsidR="00753C92" w:rsidRPr="00753C92">
        <w:rPr>
          <w:lang w:val="fr-FR"/>
        </w:rPr>
        <w:t>’</w:t>
      </w:r>
      <w:r w:rsidRPr="00753C92">
        <w:rPr>
          <w:lang w:val="fr-FR"/>
        </w:rPr>
        <w:t>espèce, à la sévérité de la mesure, à sa durée, à l</w:t>
      </w:r>
      <w:r w:rsidR="00753C92" w:rsidRPr="00753C92">
        <w:rPr>
          <w:lang w:val="fr-FR"/>
        </w:rPr>
        <w:t>’</w:t>
      </w:r>
      <w:r w:rsidRPr="00753C92">
        <w:rPr>
          <w:lang w:val="fr-FR"/>
        </w:rPr>
        <w:t>objectif qu</w:t>
      </w:r>
      <w:r w:rsidR="00753C92" w:rsidRPr="00753C92">
        <w:rPr>
          <w:lang w:val="fr-FR"/>
        </w:rPr>
        <w:t>’</w:t>
      </w:r>
      <w:r w:rsidRPr="00753C92">
        <w:rPr>
          <w:lang w:val="fr-FR"/>
        </w:rPr>
        <w:t>elle poursuivait et à ses effets sur la personne concernée (</w:t>
      </w:r>
      <w:r w:rsidRPr="00753C92">
        <w:rPr>
          <w:i/>
          <w:lang w:val="fr-FR"/>
        </w:rPr>
        <w:t xml:space="preserve">Van der </w:t>
      </w:r>
      <w:proofErr w:type="spellStart"/>
      <w:r w:rsidRPr="00753C92">
        <w:rPr>
          <w:i/>
          <w:lang w:val="fr-FR"/>
        </w:rPr>
        <w:t>Ven</w:t>
      </w:r>
      <w:proofErr w:type="spellEnd"/>
      <w:r w:rsidRPr="00753C92">
        <w:rPr>
          <w:i/>
          <w:lang w:val="fr-FR"/>
        </w:rPr>
        <w:t xml:space="preserve"> </w:t>
      </w:r>
      <w:r w:rsidRPr="00753C92">
        <w:rPr>
          <w:i/>
          <w:lang w:val="fr-FR"/>
        </w:rPr>
        <w:lastRenderedPageBreak/>
        <w:t>c. Pays-Bas</w:t>
      </w:r>
      <w:r w:rsidRPr="00753C92">
        <w:rPr>
          <w:lang w:val="fr-FR"/>
        </w:rPr>
        <w:t>, n</w:t>
      </w:r>
      <w:r w:rsidRPr="00753C92">
        <w:rPr>
          <w:vertAlign w:val="superscript"/>
          <w:lang w:val="fr-FR"/>
        </w:rPr>
        <w:t>o</w:t>
      </w:r>
      <w:r w:rsidRPr="00753C92">
        <w:rPr>
          <w:lang w:val="fr-FR"/>
        </w:rPr>
        <w:t xml:space="preserve"> 50901/99, § 51, CEDH 2003</w:t>
      </w:r>
      <w:r w:rsidRPr="00753C92">
        <w:rPr>
          <w:lang w:val="fr-FR"/>
        </w:rPr>
        <w:noBreakHyphen/>
        <w:t xml:space="preserve">II, et </w:t>
      </w:r>
      <w:proofErr w:type="spellStart"/>
      <w:r w:rsidRPr="00753C92">
        <w:rPr>
          <w:i/>
          <w:lang w:val="fr-FR"/>
        </w:rPr>
        <w:t>Piechowicz</w:t>
      </w:r>
      <w:proofErr w:type="spellEnd"/>
      <w:r w:rsidRPr="00753C92">
        <w:rPr>
          <w:i/>
          <w:lang w:val="fr-FR"/>
        </w:rPr>
        <w:t xml:space="preserve"> c. Pologne</w:t>
      </w:r>
      <w:r w:rsidRPr="00753C92">
        <w:rPr>
          <w:lang w:val="fr-FR"/>
        </w:rPr>
        <w:t>, n</w:t>
      </w:r>
      <w:r w:rsidRPr="00753C92">
        <w:rPr>
          <w:vertAlign w:val="superscript"/>
          <w:lang w:val="fr-FR"/>
        </w:rPr>
        <w:t>o</w:t>
      </w:r>
      <w:r w:rsidRPr="00753C92">
        <w:rPr>
          <w:lang w:val="fr-FR"/>
        </w:rPr>
        <w:t> 20071/07, § 163, 17 avril 2012).</w:t>
      </w:r>
    </w:p>
    <w:p w:rsidR="00F85BB2" w:rsidRPr="00753C92" w:rsidRDefault="00F85BB2" w:rsidP="00753C92">
      <w:pPr>
        <w:pStyle w:val="ECHRPara"/>
        <w:rPr>
          <w:rFonts w:ascii="Times New Roman" w:eastAsiaTheme="minorHAnsi" w:hAnsi="Times New Roman" w:cs="Times New Roman"/>
          <w:color w:val="000000"/>
          <w:szCs w:val="24"/>
          <w:lang w:val="fr-FR"/>
        </w:rPr>
      </w:pPr>
      <w:r w:rsidRPr="00753C92">
        <w:rPr>
          <w:rFonts w:ascii="Times New Roman" w:eastAsiaTheme="minorHAnsi" w:hAnsi="Times New Roman" w:cs="Times New Roman"/>
          <w:color w:val="000000"/>
          <w:szCs w:val="24"/>
        </w:rPr>
        <w:fldChar w:fldCharType="begin"/>
      </w:r>
      <w:r w:rsidRPr="00753C92">
        <w:rPr>
          <w:rFonts w:ascii="Times New Roman" w:eastAsiaTheme="minorHAnsi" w:hAnsi="Times New Roman" w:cs="Times New Roman"/>
          <w:color w:val="000000"/>
          <w:szCs w:val="24"/>
          <w:lang w:val="fr-FR"/>
        </w:rPr>
        <w:instrText xml:space="preserve"> SEQ level0 \*arabic </w:instrText>
      </w:r>
      <w:r w:rsidRPr="00753C92">
        <w:rPr>
          <w:rFonts w:ascii="Times New Roman" w:eastAsiaTheme="minorHAnsi" w:hAnsi="Times New Roman" w:cs="Times New Roman"/>
          <w:color w:val="000000"/>
          <w:szCs w:val="24"/>
        </w:rPr>
        <w:fldChar w:fldCharType="separate"/>
      </w:r>
      <w:r w:rsidR="00753C92" w:rsidRPr="00753C92">
        <w:rPr>
          <w:rFonts w:ascii="Times New Roman" w:eastAsiaTheme="minorHAnsi" w:hAnsi="Times New Roman" w:cs="Times New Roman"/>
          <w:noProof/>
          <w:color w:val="000000"/>
          <w:szCs w:val="24"/>
          <w:lang w:val="fr-FR"/>
        </w:rPr>
        <w:t>57</w:t>
      </w:r>
      <w:r w:rsidRPr="00753C92">
        <w:rPr>
          <w:rFonts w:ascii="Times New Roman" w:eastAsiaTheme="minorHAnsi" w:hAnsi="Times New Roman" w:cs="Times New Roman"/>
          <w:color w:val="000000"/>
          <w:szCs w:val="24"/>
        </w:rPr>
        <w:fldChar w:fldCharType="end"/>
      </w:r>
      <w:r w:rsidRPr="00753C92">
        <w:rPr>
          <w:rFonts w:ascii="Times New Roman" w:eastAsiaTheme="minorHAnsi" w:hAnsi="Times New Roman" w:cs="Times New Roman"/>
          <w:color w:val="000000"/>
          <w:szCs w:val="24"/>
          <w:lang w:val="fr-FR"/>
        </w:rPr>
        <w:t>.  Dans le cas d</w:t>
      </w:r>
      <w:r w:rsidR="00753C92" w:rsidRPr="00753C92">
        <w:rPr>
          <w:rFonts w:ascii="Times New Roman" w:eastAsiaTheme="minorHAnsi" w:hAnsi="Times New Roman" w:cs="Times New Roman"/>
          <w:color w:val="000000"/>
          <w:szCs w:val="24"/>
          <w:lang w:val="fr-FR"/>
        </w:rPr>
        <w:t>’</w:t>
      </w:r>
      <w:r w:rsidRPr="00753C92">
        <w:rPr>
          <w:rFonts w:ascii="Times New Roman" w:eastAsiaTheme="minorHAnsi" w:hAnsi="Times New Roman" w:cs="Times New Roman"/>
          <w:color w:val="000000"/>
          <w:szCs w:val="24"/>
          <w:lang w:val="fr-FR"/>
        </w:rPr>
        <w:t>espèce, la Cour note que la mesure d</w:t>
      </w:r>
      <w:r w:rsidR="00753C92" w:rsidRPr="00753C92">
        <w:rPr>
          <w:rFonts w:ascii="Times New Roman" w:eastAsiaTheme="minorHAnsi" w:hAnsi="Times New Roman" w:cs="Times New Roman"/>
          <w:color w:val="000000"/>
          <w:szCs w:val="24"/>
          <w:lang w:val="fr-FR"/>
        </w:rPr>
        <w:t>’</w:t>
      </w:r>
      <w:r w:rsidRPr="00753C92">
        <w:rPr>
          <w:rFonts w:ascii="Times New Roman" w:eastAsiaTheme="minorHAnsi" w:hAnsi="Times New Roman" w:cs="Times New Roman"/>
          <w:color w:val="000000"/>
          <w:szCs w:val="24"/>
          <w:lang w:val="fr-FR"/>
        </w:rPr>
        <w:t>isolement diurne a été infligée en tant que sanction pénale : elle a duré un mois, période pendant laquelle le requérant a eu accès à des soins médicaux. Par ailleurs, l</w:t>
      </w:r>
      <w:r w:rsidR="00753C92" w:rsidRPr="00753C92">
        <w:rPr>
          <w:rFonts w:ascii="Times New Roman" w:eastAsiaTheme="minorHAnsi" w:hAnsi="Times New Roman" w:cs="Times New Roman"/>
          <w:color w:val="000000"/>
          <w:szCs w:val="24"/>
          <w:lang w:val="fr-FR"/>
        </w:rPr>
        <w:t>’</w:t>
      </w:r>
      <w:r w:rsidRPr="00753C92">
        <w:rPr>
          <w:rFonts w:ascii="Times New Roman" w:eastAsiaTheme="minorHAnsi" w:hAnsi="Times New Roman" w:cs="Times New Roman"/>
          <w:color w:val="000000"/>
          <w:szCs w:val="24"/>
          <w:lang w:val="fr-FR"/>
        </w:rPr>
        <w:t>isolement a été suspendu à la suite d</w:t>
      </w:r>
      <w:r w:rsidR="00753C92" w:rsidRPr="00753C92">
        <w:rPr>
          <w:rFonts w:ascii="Times New Roman" w:eastAsiaTheme="minorHAnsi" w:hAnsi="Times New Roman" w:cs="Times New Roman"/>
          <w:color w:val="000000"/>
          <w:szCs w:val="24"/>
          <w:lang w:val="fr-FR"/>
        </w:rPr>
        <w:t>’</w:t>
      </w:r>
      <w:r w:rsidRPr="00753C92">
        <w:rPr>
          <w:rFonts w:ascii="Times New Roman" w:eastAsiaTheme="minorHAnsi" w:hAnsi="Times New Roman" w:cs="Times New Roman"/>
          <w:color w:val="000000"/>
          <w:szCs w:val="24"/>
          <w:lang w:val="fr-FR"/>
        </w:rPr>
        <w:t>un rapport médical qui constatait que la tension artérielle du requérant était trop élevée et que celui-ci s</w:t>
      </w:r>
      <w:r w:rsidR="00753C92" w:rsidRPr="00753C92">
        <w:rPr>
          <w:rFonts w:ascii="Times New Roman" w:eastAsiaTheme="minorHAnsi" w:hAnsi="Times New Roman" w:cs="Times New Roman"/>
          <w:color w:val="000000"/>
          <w:szCs w:val="24"/>
          <w:lang w:val="fr-FR"/>
        </w:rPr>
        <w:t>’</w:t>
      </w:r>
      <w:r w:rsidRPr="00753C92">
        <w:rPr>
          <w:rFonts w:ascii="Times New Roman" w:eastAsiaTheme="minorHAnsi" w:hAnsi="Times New Roman" w:cs="Times New Roman"/>
          <w:color w:val="000000"/>
          <w:szCs w:val="24"/>
          <w:lang w:val="fr-FR"/>
        </w:rPr>
        <w:t>était blessé à la main gauche à la suite d</w:t>
      </w:r>
      <w:r w:rsidR="00753C92" w:rsidRPr="00753C92">
        <w:rPr>
          <w:rFonts w:ascii="Times New Roman" w:eastAsiaTheme="minorHAnsi" w:hAnsi="Times New Roman" w:cs="Times New Roman"/>
          <w:color w:val="000000"/>
          <w:szCs w:val="24"/>
          <w:lang w:val="fr-FR"/>
        </w:rPr>
        <w:t>’</w:t>
      </w:r>
      <w:r w:rsidRPr="00753C92">
        <w:rPr>
          <w:rFonts w:ascii="Times New Roman" w:eastAsiaTheme="minorHAnsi" w:hAnsi="Times New Roman" w:cs="Times New Roman"/>
          <w:color w:val="000000"/>
          <w:szCs w:val="24"/>
          <w:lang w:val="fr-FR"/>
        </w:rPr>
        <w:t>une chute accidentelle.</w:t>
      </w:r>
    </w:p>
    <w:p w:rsidR="00F85BB2" w:rsidRPr="00753C92" w:rsidRDefault="00F85BB2" w:rsidP="00753C92">
      <w:pPr>
        <w:pStyle w:val="ECHRPara"/>
        <w:rPr>
          <w:lang w:val="fr-FR"/>
        </w:rPr>
      </w:pPr>
      <w:r w:rsidRPr="00753C92">
        <w:fldChar w:fldCharType="begin"/>
      </w:r>
      <w:r w:rsidRPr="00753C92">
        <w:rPr>
          <w:lang w:val="fr-FR"/>
        </w:rPr>
        <w:instrText xml:space="preserve"> SEQ level0 \*arabic </w:instrText>
      </w:r>
      <w:r w:rsidRPr="00753C92">
        <w:fldChar w:fldCharType="separate"/>
      </w:r>
      <w:r w:rsidR="00753C92" w:rsidRPr="00753C92">
        <w:rPr>
          <w:noProof/>
          <w:lang w:val="fr-FR"/>
        </w:rPr>
        <w:t>58</w:t>
      </w:r>
      <w:r w:rsidRPr="00753C92">
        <w:fldChar w:fldCharType="end"/>
      </w:r>
      <w:r w:rsidRPr="00753C92">
        <w:rPr>
          <w:lang w:val="fr-FR"/>
        </w:rPr>
        <w:t>.  La Cour relève qu</w:t>
      </w:r>
      <w:r w:rsidR="00753C92" w:rsidRPr="00753C92">
        <w:rPr>
          <w:lang w:val="fr-FR"/>
        </w:rPr>
        <w:t>’</w:t>
      </w:r>
      <w:r w:rsidRPr="00753C92">
        <w:rPr>
          <w:rFonts w:eastAsia="Times New Roman"/>
          <w:lang w:val="fr-FR"/>
        </w:rPr>
        <w:t>un contrôle régulier de l</w:t>
      </w:r>
      <w:r w:rsidR="00753C92" w:rsidRPr="00753C92">
        <w:rPr>
          <w:rFonts w:eastAsia="Times New Roman"/>
          <w:lang w:val="fr-FR"/>
        </w:rPr>
        <w:t>’</w:t>
      </w:r>
      <w:r w:rsidRPr="00753C92">
        <w:rPr>
          <w:rFonts w:eastAsia="Times New Roman"/>
          <w:lang w:val="fr-FR"/>
        </w:rPr>
        <w:t>état de santé physique et psychique du détenu permettant de s</w:t>
      </w:r>
      <w:r w:rsidR="00753C92" w:rsidRPr="00753C92">
        <w:rPr>
          <w:rFonts w:eastAsia="Times New Roman"/>
          <w:lang w:val="fr-FR"/>
        </w:rPr>
        <w:t>’</w:t>
      </w:r>
      <w:r w:rsidRPr="00753C92">
        <w:rPr>
          <w:rFonts w:eastAsia="Times New Roman"/>
          <w:lang w:val="fr-FR"/>
        </w:rPr>
        <w:t>assurer de sa compatibilité avec le maintien à l</w:t>
      </w:r>
      <w:r w:rsidR="00753C92" w:rsidRPr="00753C92">
        <w:rPr>
          <w:rFonts w:eastAsia="Times New Roman"/>
          <w:lang w:val="fr-FR"/>
        </w:rPr>
        <w:t>’</w:t>
      </w:r>
      <w:r w:rsidRPr="00753C92">
        <w:rPr>
          <w:rFonts w:eastAsia="Times New Roman"/>
          <w:lang w:val="fr-FR"/>
        </w:rPr>
        <w:t>isolement a été effectué (</w:t>
      </w:r>
      <w:r w:rsidRPr="00753C92">
        <w:rPr>
          <w:i/>
          <w:lang w:val="fr-FR"/>
        </w:rPr>
        <w:t xml:space="preserve">Ramirez Sanchez, </w:t>
      </w:r>
      <w:r w:rsidRPr="00753C92">
        <w:rPr>
          <w:lang w:val="fr-FR"/>
        </w:rPr>
        <w:t>précité, § 139</w:t>
      </w:r>
      <w:r w:rsidRPr="00753C92">
        <w:rPr>
          <w:rFonts w:eastAsia="Times New Roman"/>
          <w:lang w:val="fr-FR"/>
        </w:rPr>
        <w:t>).</w:t>
      </w:r>
    </w:p>
    <w:p w:rsidR="00F85BB2" w:rsidRPr="00753C92" w:rsidRDefault="00F85BB2" w:rsidP="00753C92">
      <w:pPr>
        <w:pStyle w:val="ECHRPara"/>
        <w:rPr>
          <w:lang w:val="fr-FR"/>
        </w:rPr>
      </w:pPr>
      <w:r w:rsidRPr="00753C92">
        <w:rPr>
          <w:rFonts w:eastAsia="Times New Roman"/>
        </w:rPr>
        <w:fldChar w:fldCharType="begin"/>
      </w:r>
      <w:r w:rsidRPr="00753C92">
        <w:rPr>
          <w:rFonts w:eastAsia="Times New Roman"/>
          <w:lang w:val="fr-FR"/>
        </w:rPr>
        <w:instrText xml:space="preserve"> SEQ level0 \*arabic </w:instrText>
      </w:r>
      <w:r w:rsidRPr="00753C92">
        <w:rPr>
          <w:rFonts w:eastAsia="Times New Roman"/>
        </w:rPr>
        <w:fldChar w:fldCharType="separate"/>
      </w:r>
      <w:r w:rsidR="00753C92" w:rsidRPr="00753C92">
        <w:rPr>
          <w:rFonts w:eastAsia="Times New Roman"/>
          <w:noProof/>
          <w:lang w:val="fr-FR"/>
        </w:rPr>
        <w:t>59</w:t>
      </w:r>
      <w:r w:rsidRPr="00753C92">
        <w:rPr>
          <w:rFonts w:eastAsia="Times New Roman"/>
        </w:rPr>
        <w:fldChar w:fldCharType="end"/>
      </w:r>
      <w:r w:rsidRPr="00753C92">
        <w:rPr>
          <w:rFonts w:eastAsia="Times New Roman"/>
          <w:lang w:val="fr-FR"/>
        </w:rPr>
        <w:t>.  </w:t>
      </w:r>
      <w:r w:rsidRPr="00753C92">
        <w:rPr>
          <w:lang w:val="fr-FR"/>
        </w:rPr>
        <w:t>Elle constate en outre que le requérant n</w:t>
      </w:r>
      <w:r w:rsidR="00753C92" w:rsidRPr="00753C92">
        <w:rPr>
          <w:lang w:val="fr-FR"/>
        </w:rPr>
        <w:t>’</w:t>
      </w:r>
      <w:r w:rsidRPr="00753C92">
        <w:rPr>
          <w:lang w:val="fr-FR"/>
        </w:rPr>
        <w:t>a pas exposé dans ses observations quelles étaient ses conditions de détention lorsqu</w:t>
      </w:r>
      <w:r w:rsidR="00753C92" w:rsidRPr="00753C92">
        <w:rPr>
          <w:lang w:val="fr-FR"/>
        </w:rPr>
        <w:t>’</w:t>
      </w:r>
      <w:r w:rsidRPr="00753C92">
        <w:rPr>
          <w:lang w:val="fr-FR"/>
        </w:rPr>
        <w:t>il se trouvait à l</w:t>
      </w:r>
      <w:r w:rsidR="00753C92" w:rsidRPr="00753C92">
        <w:rPr>
          <w:lang w:val="fr-FR"/>
        </w:rPr>
        <w:t>’</w:t>
      </w:r>
      <w:r w:rsidRPr="00753C92">
        <w:rPr>
          <w:lang w:val="fr-FR"/>
        </w:rPr>
        <w:t>isolement et qu</w:t>
      </w:r>
      <w:r w:rsidR="00753C92" w:rsidRPr="00753C92">
        <w:rPr>
          <w:lang w:val="fr-FR"/>
        </w:rPr>
        <w:t>’</w:t>
      </w:r>
      <w:r w:rsidRPr="00753C92">
        <w:rPr>
          <w:lang w:val="fr-FR"/>
        </w:rPr>
        <w:t>il s</w:t>
      </w:r>
      <w:r w:rsidR="00753C92" w:rsidRPr="00753C92">
        <w:rPr>
          <w:lang w:val="fr-FR"/>
        </w:rPr>
        <w:t>’</w:t>
      </w:r>
      <w:r w:rsidRPr="00753C92">
        <w:rPr>
          <w:lang w:val="fr-FR"/>
        </w:rPr>
        <w:t>est concentré sur l</w:t>
      </w:r>
      <w:r w:rsidR="00753C92" w:rsidRPr="00753C92">
        <w:rPr>
          <w:lang w:val="fr-FR"/>
        </w:rPr>
        <w:t>’</w:t>
      </w:r>
      <w:r w:rsidRPr="00753C92">
        <w:rPr>
          <w:lang w:val="fr-FR"/>
        </w:rPr>
        <w:t>incompatibilité de la mesure d</w:t>
      </w:r>
      <w:r w:rsidR="00753C92" w:rsidRPr="00753C92">
        <w:rPr>
          <w:lang w:val="fr-FR"/>
        </w:rPr>
        <w:t>’</w:t>
      </w:r>
      <w:r w:rsidRPr="00753C92">
        <w:rPr>
          <w:lang w:val="fr-FR"/>
        </w:rPr>
        <w:t>isolement avec son état de santé. Il n</w:t>
      </w:r>
      <w:r w:rsidR="00753C92" w:rsidRPr="00753C92">
        <w:rPr>
          <w:lang w:val="fr-FR"/>
        </w:rPr>
        <w:t>’</w:t>
      </w:r>
      <w:r w:rsidRPr="00753C92">
        <w:rPr>
          <w:lang w:val="fr-FR"/>
        </w:rPr>
        <w:t>a toutefois fourni aucun élément montrant que son assujettissement à la mesure d</w:t>
      </w:r>
      <w:r w:rsidR="00753C92" w:rsidRPr="00753C92">
        <w:rPr>
          <w:lang w:val="fr-FR"/>
        </w:rPr>
        <w:t>’</w:t>
      </w:r>
      <w:r w:rsidRPr="00753C92">
        <w:rPr>
          <w:lang w:val="fr-FR"/>
        </w:rPr>
        <w:t>isolement l</w:t>
      </w:r>
      <w:r w:rsidR="00753C92" w:rsidRPr="00753C92">
        <w:rPr>
          <w:lang w:val="fr-FR"/>
        </w:rPr>
        <w:t>’</w:t>
      </w:r>
      <w:r w:rsidRPr="00753C92">
        <w:rPr>
          <w:lang w:val="fr-FR"/>
        </w:rPr>
        <w:t>aurait privé d</w:t>
      </w:r>
      <w:r w:rsidR="00753C92" w:rsidRPr="00753C92">
        <w:rPr>
          <w:lang w:val="fr-FR"/>
        </w:rPr>
        <w:t>’</w:t>
      </w:r>
      <w:r w:rsidRPr="00753C92">
        <w:rPr>
          <w:lang w:val="fr-FR"/>
        </w:rPr>
        <w:t>un suivi médical adéquat. Au contraire, il ressort du dossier que le requérant a été régulièrement suivi par des spécialistes et qu</w:t>
      </w:r>
      <w:r w:rsidR="00753C92" w:rsidRPr="00753C92">
        <w:rPr>
          <w:lang w:val="fr-FR"/>
        </w:rPr>
        <w:t>’</w:t>
      </w:r>
      <w:r w:rsidRPr="00753C92">
        <w:rPr>
          <w:lang w:val="fr-FR"/>
        </w:rPr>
        <w:t>il a bénéficié de soins appropriés. En outre, la Cour ne dispose pas d</w:t>
      </w:r>
      <w:r w:rsidR="00753C92" w:rsidRPr="00753C92">
        <w:rPr>
          <w:lang w:val="fr-FR"/>
        </w:rPr>
        <w:t>’</w:t>
      </w:r>
      <w:r w:rsidRPr="00753C92">
        <w:rPr>
          <w:lang w:val="fr-FR"/>
        </w:rPr>
        <w:t>informations suffisantes indiquant que le requérant n</w:t>
      </w:r>
      <w:r w:rsidR="00753C92" w:rsidRPr="00753C92">
        <w:rPr>
          <w:lang w:val="fr-FR"/>
        </w:rPr>
        <w:t>’</w:t>
      </w:r>
      <w:r w:rsidRPr="00753C92">
        <w:rPr>
          <w:lang w:val="fr-FR"/>
        </w:rPr>
        <w:t xml:space="preserve">aurait pas été détenu dans des conditions décentes et respectueuses de sa dignité (voir, </w:t>
      </w:r>
      <w:r w:rsidRPr="00753C92">
        <w:rPr>
          <w:i/>
          <w:lang w:val="fr-FR"/>
        </w:rPr>
        <w:t>a contrario</w:t>
      </w:r>
      <w:r w:rsidRPr="00753C92">
        <w:rPr>
          <w:lang w:val="fr-FR"/>
        </w:rPr>
        <w:t xml:space="preserve">, </w:t>
      </w:r>
      <w:proofErr w:type="spellStart"/>
      <w:r w:rsidRPr="00753C92">
        <w:rPr>
          <w:i/>
          <w:lang w:val="fr-FR"/>
        </w:rPr>
        <w:t>Payet</w:t>
      </w:r>
      <w:proofErr w:type="spellEnd"/>
      <w:r w:rsidRPr="00753C92">
        <w:rPr>
          <w:i/>
          <w:lang w:val="fr-FR"/>
        </w:rPr>
        <w:t xml:space="preserve"> c. France</w:t>
      </w:r>
      <w:r w:rsidRPr="00753C92">
        <w:rPr>
          <w:lang w:val="fr-FR"/>
        </w:rPr>
        <w:t>, n</w:t>
      </w:r>
      <w:r w:rsidRPr="00753C92">
        <w:rPr>
          <w:vertAlign w:val="superscript"/>
          <w:lang w:val="fr-FR"/>
        </w:rPr>
        <w:t>o</w:t>
      </w:r>
      <w:r w:rsidR="0092227F" w:rsidRPr="00753C92">
        <w:rPr>
          <w:vertAlign w:val="superscript"/>
          <w:lang w:val="fr-FR"/>
        </w:rPr>
        <w:t xml:space="preserve"> </w:t>
      </w:r>
      <w:r w:rsidRPr="00753C92">
        <w:rPr>
          <w:lang w:val="fr-FR"/>
        </w:rPr>
        <w:t>19606/08</w:t>
      </w:r>
      <w:r w:rsidRPr="00753C92">
        <w:rPr>
          <w:snapToGrid w:val="0"/>
          <w:lang w:val="fr-FR"/>
        </w:rPr>
        <w:t xml:space="preserve">, §§ 81 à 83, 20 </w:t>
      </w:r>
      <w:r w:rsidRPr="00753C92">
        <w:rPr>
          <w:lang w:val="fr-FR"/>
        </w:rPr>
        <w:t>janvier</w:t>
      </w:r>
      <w:r w:rsidRPr="00753C92">
        <w:rPr>
          <w:snapToGrid w:val="0"/>
          <w:lang w:val="fr-FR"/>
        </w:rPr>
        <w:t xml:space="preserve"> 2011</w:t>
      </w:r>
      <w:r w:rsidRPr="00753C92">
        <w:rPr>
          <w:lang w:val="fr-FR"/>
        </w:rPr>
        <w:t>). En l</w:t>
      </w:r>
      <w:r w:rsidR="00753C92" w:rsidRPr="00753C92">
        <w:rPr>
          <w:lang w:val="fr-FR"/>
        </w:rPr>
        <w:t>’</w:t>
      </w:r>
      <w:r w:rsidRPr="00753C92">
        <w:rPr>
          <w:lang w:val="fr-FR"/>
        </w:rPr>
        <w:t>absence de toute observation de la part de l</w:t>
      </w:r>
      <w:r w:rsidR="00753C92" w:rsidRPr="00753C92">
        <w:rPr>
          <w:lang w:val="fr-FR"/>
        </w:rPr>
        <w:t>’</w:t>
      </w:r>
      <w:r w:rsidRPr="00753C92">
        <w:rPr>
          <w:lang w:val="fr-FR"/>
        </w:rPr>
        <w:t>intéressé sur les implications concrètes de cette mesure sur sa vie carcérale, et étant donné que les indications fournies par le Gouvernement n</w:t>
      </w:r>
      <w:r w:rsidR="00753C92" w:rsidRPr="00753C92">
        <w:rPr>
          <w:lang w:val="fr-FR"/>
        </w:rPr>
        <w:t>’</w:t>
      </w:r>
      <w:r w:rsidRPr="00753C92">
        <w:rPr>
          <w:lang w:val="fr-FR"/>
        </w:rPr>
        <w:t>ont pas été contestées, la Cour conclut que le requérant ne saurait être considéré comme ayant été détenu en isolement sensoriel complet ou en isolement social total. L</w:t>
      </w:r>
      <w:r w:rsidR="00753C92" w:rsidRPr="00753C92">
        <w:rPr>
          <w:lang w:val="fr-FR"/>
        </w:rPr>
        <w:t>’</w:t>
      </w:r>
      <w:r w:rsidRPr="00753C92">
        <w:rPr>
          <w:lang w:val="fr-FR"/>
        </w:rPr>
        <w:t>isolement de l</w:t>
      </w:r>
      <w:r w:rsidR="00753C92" w:rsidRPr="00753C92">
        <w:rPr>
          <w:lang w:val="fr-FR"/>
        </w:rPr>
        <w:t>’</w:t>
      </w:r>
      <w:r w:rsidRPr="00753C92">
        <w:rPr>
          <w:lang w:val="fr-FR"/>
        </w:rPr>
        <w:t>intéressé a été partiel, relatif et d</w:t>
      </w:r>
      <w:r w:rsidR="00753C92" w:rsidRPr="00753C92">
        <w:rPr>
          <w:lang w:val="fr-FR"/>
        </w:rPr>
        <w:t>’</w:t>
      </w:r>
      <w:r w:rsidRPr="00753C92">
        <w:rPr>
          <w:lang w:val="fr-FR"/>
        </w:rPr>
        <w:t>une durée relativement courte.</w:t>
      </w:r>
    </w:p>
    <w:p w:rsidR="00F85BB2" w:rsidRPr="00753C92" w:rsidRDefault="00F85BB2" w:rsidP="00753C92">
      <w:pPr>
        <w:pStyle w:val="ECHRPara"/>
        <w:rPr>
          <w:rFonts w:ascii="Times New Roman" w:eastAsia="Times New Roman" w:hAnsi="Times New Roman" w:cs="Times New Roman"/>
          <w:szCs w:val="24"/>
          <w:lang w:val="fr-FR"/>
        </w:rPr>
      </w:pPr>
      <w:r w:rsidRPr="00753C92">
        <w:rPr>
          <w:rFonts w:ascii="Times New Roman" w:eastAsia="Times New Roman" w:hAnsi="Times New Roman" w:cs="Times New Roman"/>
          <w:szCs w:val="24"/>
        </w:rPr>
        <w:fldChar w:fldCharType="begin"/>
      </w:r>
      <w:r w:rsidRPr="00753C92">
        <w:rPr>
          <w:rFonts w:ascii="Times New Roman" w:eastAsia="Times New Roman" w:hAnsi="Times New Roman" w:cs="Times New Roman"/>
          <w:szCs w:val="24"/>
          <w:lang w:val="fr-FR"/>
        </w:rPr>
        <w:instrText xml:space="preserve"> SEQ level0 \*arabic </w:instrText>
      </w:r>
      <w:r w:rsidRPr="00753C92">
        <w:rPr>
          <w:rFonts w:ascii="Times New Roman" w:eastAsia="Times New Roman" w:hAnsi="Times New Roman" w:cs="Times New Roman"/>
          <w:szCs w:val="24"/>
        </w:rPr>
        <w:fldChar w:fldCharType="separate"/>
      </w:r>
      <w:r w:rsidR="00753C92" w:rsidRPr="00753C92">
        <w:rPr>
          <w:rFonts w:ascii="Times New Roman" w:eastAsia="Times New Roman" w:hAnsi="Times New Roman" w:cs="Times New Roman"/>
          <w:noProof/>
          <w:szCs w:val="24"/>
          <w:lang w:val="fr-FR"/>
        </w:rPr>
        <w:t>60</w:t>
      </w:r>
      <w:r w:rsidRPr="00753C92">
        <w:rPr>
          <w:rFonts w:ascii="Times New Roman" w:eastAsia="Times New Roman" w:hAnsi="Times New Roman" w:cs="Times New Roman"/>
          <w:szCs w:val="24"/>
        </w:rPr>
        <w:fldChar w:fldCharType="end"/>
      </w:r>
      <w:r w:rsidRPr="00753C92">
        <w:rPr>
          <w:rFonts w:ascii="Times New Roman" w:eastAsia="Times New Roman" w:hAnsi="Times New Roman" w:cs="Times New Roman"/>
          <w:szCs w:val="24"/>
          <w:lang w:val="fr-FR"/>
        </w:rPr>
        <w:t>.  Au vu de ce qui précède, la Cour estime que l</w:t>
      </w:r>
      <w:r w:rsidR="00753C92" w:rsidRPr="00753C92">
        <w:rPr>
          <w:rFonts w:ascii="Times New Roman" w:eastAsia="Times New Roman" w:hAnsi="Times New Roman" w:cs="Times New Roman"/>
          <w:szCs w:val="24"/>
          <w:lang w:val="fr-FR"/>
        </w:rPr>
        <w:t>’</w:t>
      </w:r>
      <w:r w:rsidRPr="00753C92">
        <w:rPr>
          <w:rFonts w:ascii="Times New Roman" w:eastAsia="Times New Roman" w:hAnsi="Times New Roman" w:cs="Times New Roman"/>
          <w:szCs w:val="24"/>
          <w:lang w:val="fr-FR"/>
        </w:rPr>
        <w:t>isolement auquel le requérant a dû faire face n</w:t>
      </w:r>
      <w:r w:rsidR="00753C92" w:rsidRPr="00753C92">
        <w:rPr>
          <w:rFonts w:ascii="Times New Roman" w:eastAsia="Times New Roman" w:hAnsi="Times New Roman" w:cs="Times New Roman"/>
          <w:szCs w:val="24"/>
          <w:lang w:val="fr-FR"/>
        </w:rPr>
        <w:t>’</w:t>
      </w:r>
      <w:r w:rsidRPr="00753C92">
        <w:rPr>
          <w:rFonts w:ascii="Times New Roman" w:eastAsia="Times New Roman" w:hAnsi="Times New Roman" w:cs="Times New Roman"/>
          <w:szCs w:val="24"/>
          <w:lang w:val="fr-FR"/>
        </w:rPr>
        <w:t>a pas excédé le niveau inévitable de souffrance qui est inhérent à la détention (</w:t>
      </w:r>
      <w:proofErr w:type="spellStart"/>
      <w:r w:rsidRPr="00753C92">
        <w:rPr>
          <w:rFonts w:ascii="Times New Roman" w:eastAsia="Times New Roman" w:hAnsi="Times New Roman" w:cs="Times New Roman"/>
          <w:i/>
          <w:szCs w:val="24"/>
          <w:lang w:val="fr-FR"/>
        </w:rPr>
        <w:t>Genovese</w:t>
      </w:r>
      <w:proofErr w:type="spellEnd"/>
      <w:r w:rsidRPr="00753C92">
        <w:rPr>
          <w:rFonts w:ascii="Times New Roman" w:eastAsia="Times New Roman" w:hAnsi="Times New Roman" w:cs="Times New Roman"/>
          <w:i/>
          <w:szCs w:val="24"/>
          <w:lang w:val="fr-FR"/>
        </w:rPr>
        <w:t xml:space="preserve"> c. Italie</w:t>
      </w:r>
      <w:r w:rsidRPr="00753C92">
        <w:rPr>
          <w:rFonts w:ascii="Times New Roman" w:eastAsia="Times New Roman" w:hAnsi="Times New Roman" w:cs="Times New Roman"/>
          <w:szCs w:val="24"/>
          <w:lang w:val="fr-FR"/>
        </w:rPr>
        <w:t xml:space="preserve"> (déc.), n</w:t>
      </w:r>
      <w:r w:rsidRPr="00753C92">
        <w:rPr>
          <w:rFonts w:ascii="Times New Roman" w:eastAsia="Times New Roman" w:hAnsi="Times New Roman" w:cs="Times New Roman"/>
          <w:szCs w:val="24"/>
          <w:vertAlign w:val="superscript"/>
          <w:lang w:val="fr-FR"/>
        </w:rPr>
        <w:t>o</w:t>
      </w:r>
      <w:r w:rsidRPr="00753C92">
        <w:rPr>
          <w:rFonts w:ascii="Times New Roman" w:eastAsia="Times New Roman" w:hAnsi="Times New Roman" w:cs="Times New Roman"/>
          <w:szCs w:val="24"/>
          <w:lang w:val="fr-FR"/>
        </w:rPr>
        <w:t xml:space="preserve"> 24407/03, 10 novembre 2009). Le seuil minimum de gravité pour qu</w:t>
      </w:r>
      <w:r w:rsidR="00753C92" w:rsidRPr="00753C92">
        <w:rPr>
          <w:rFonts w:ascii="Times New Roman" w:eastAsia="Times New Roman" w:hAnsi="Times New Roman" w:cs="Times New Roman"/>
          <w:szCs w:val="24"/>
          <w:lang w:val="fr-FR"/>
        </w:rPr>
        <w:t>’</w:t>
      </w:r>
      <w:r w:rsidRPr="00753C92">
        <w:rPr>
          <w:rFonts w:ascii="Times New Roman" w:eastAsia="Times New Roman" w:hAnsi="Times New Roman" w:cs="Times New Roman"/>
          <w:szCs w:val="24"/>
          <w:lang w:val="fr-FR"/>
        </w:rPr>
        <w:t>un mauvais traitement ou une peine tombe sous le coup de l</w:t>
      </w:r>
      <w:r w:rsidR="00753C92" w:rsidRPr="00753C92">
        <w:rPr>
          <w:rFonts w:ascii="Times New Roman" w:eastAsia="Times New Roman" w:hAnsi="Times New Roman" w:cs="Times New Roman"/>
          <w:szCs w:val="24"/>
          <w:lang w:val="fr-FR"/>
        </w:rPr>
        <w:t>’</w:t>
      </w:r>
      <w:r w:rsidRPr="00753C92">
        <w:rPr>
          <w:rFonts w:ascii="Times New Roman" w:eastAsia="Times New Roman" w:hAnsi="Times New Roman" w:cs="Times New Roman"/>
          <w:szCs w:val="24"/>
          <w:lang w:val="fr-FR"/>
        </w:rPr>
        <w:t>article 3 de la Convention n</w:t>
      </w:r>
      <w:r w:rsidR="00753C92" w:rsidRPr="00753C92">
        <w:rPr>
          <w:rFonts w:ascii="Times New Roman" w:eastAsia="Times New Roman" w:hAnsi="Times New Roman" w:cs="Times New Roman"/>
          <w:szCs w:val="24"/>
          <w:lang w:val="fr-FR"/>
        </w:rPr>
        <w:t>’</w:t>
      </w:r>
      <w:r w:rsidRPr="00753C92">
        <w:rPr>
          <w:rFonts w:ascii="Times New Roman" w:eastAsia="Times New Roman" w:hAnsi="Times New Roman" w:cs="Times New Roman"/>
          <w:szCs w:val="24"/>
          <w:lang w:val="fr-FR"/>
        </w:rPr>
        <w:t>ayant pas été atteint, cette disposition n</w:t>
      </w:r>
      <w:r w:rsidR="00753C92" w:rsidRPr="00753C92">
        <w:rPr>
          <w:rFonts w:ascii="Times New Roman" w:eastAsia="Times New Roman" w:hAnsi="Times New Roman" w:cs="Times New Roman"/>
          <w:szCs w:val="24"/>
          <w:lang w:val="fr-FR"/>
        </w:rPr>
        <w:t>’</w:t>
      </w:r>
      <w:r w:rsidRPr="00753C92">
        <w:rPr>
          <w:rFonts w:ascii="Times New Roman" w:eastAsia="Times New Roman" w:hAnsi="Times New Roman" w:cs="Times New Roman"/>
          <w:szCs w:val="24"/>
          <w:lang w:val="fr-FR"/>
        </w:rPr>
        <w:t>a pas été méconnue en l</w:t>
      </w:r>
      <w:r w:rsidR="00753C92" w:rsidRPr="00753C92">
        <w:rPr>
          <w:rFonts w:ascii="Times New Roman" w:eastAsia="Times New Roman" w:hAnsi="Times New Roman" w:cs="Times New Roman"/>
          <w:szCs w:val="24"/>
          <w:lang w:val="fr-FR"/>
        </w:rPr>
        <w:t>’</w:t>
      </w:r>
      <w:r w:rsidRPr="00753C92">
        <w:rPr>
          <w:rFonts w:ascii="Times New Roman" w:eastAsia="Times New Roman" w:hAnsi="Times New Roman" w:cs="Times New Roman"/>
          <w:szCs w:val="24"/>
          <w:lang w:val="fr-FR"/>
        </w:rPr>
        <w:t>espèce.</w:t>
      </w:r>
    </w:p>
    <w:p w:rsidR="00F85BB2" w:rsidRPr="00753C92" w:rsidRDefault="00F85BB2" w:rsidP="00753C92">
      <w:pPr>
        <w:pStyle w:val="ECHRPara"/>
        <w:rPr>
          <w:rFonts w:ascii="Times New Roman" w:eastAsia="Times New Roman" w:hAnsi="Times New Roman" w:cs="Times New Roman"/>
          <w:szCs w:val="24"/>
          <w:lang w:val="fr-FR"/>
        </w:rPr>
      </w:pPr>
      <w:r w:rsidRPr="00753C92">
        <w:rPr>
          <w:rFonts w:ascii="Times New Roman" w:eastAsia="Times New Roman" w:hAnsi="Times New Roman" w:cs="Times New Roman"/>
          <w:szCs w:val="24"/>
        </w:rPr>
        <w:fldChar w:fldCharType="begin"/>
      </w:r>
      <w:r w:rsidRPr="00753C92">
        <w:rPr>
          <w:rFonts w:ascii="Times New Roman" w:eastAsia="Times New Roman" w:hAnsi="Times New Roman" w:cs="Times New Roman"/>
          <w:szCs w:val="24"/>
          <w:lang w:val="fr-FR"/>
        </w:rPr>
        <w:instrText xml:space="preserve"> SEQ level0 \*arabic </w:instrText>
      </w:r>
      <w:r w:rsidRPr="00753C92">
        <w:rPr>
          <w:rFonts w:ascii="Times New Roman" w:eastAsia="Times New Roman" w:hAnsi="Times New Roman" w:cs="Times New Roman"/>
          <w:szCs w:val="24"/>
        </w:rPr>
        <w:fldChar w:fldCharType="separate"/>
      </w:r>
      <w:r w:rsidR="00753C92" w:rsidRPr="00753C92">
        <w:rPr>
          <w:rFonts w:ascii="Times New Roman" w:eastAsia="Times New Roman" w:hAnsi="Times New Roman" w:cs="Times New Roman"/>
          <w:noProof/>
          <w:szCs w:val="24"/>
          <w:lang w:val="fr-FR"/>
        </w:rPr>
        <w:t>61</w:t>
      </w:r>
      <w:r w:rsidRPr="00753C92">
        <w:rPr>
          <w:rFonts w:ascii="Times New Roman" w:eastAsia="Times New Roman" w:hAnsi="Times New Roman" w:cs="Times New Roman"/>
          <w:szCs w:val="24"/>
        </w:rPr>
        <w:fldChar w:fldCharType="end"/>
      </w:r>
      <w:r w:rsidRPr="00753C92">
        <w:rPr>
          <w:rFonts w:ascii="Times New Roman" w:eastAsia="Times New Roman" w:hAnsi="Times New Roman" w:cs="Times New Roman"/>
          <w:szCs w:val="24"/>
          <w:lang w:val="fr-FR"/>
        </w:rPr>
        <w:t>.  La Cour en conclut que ce grief est manifestement mal fondé et qu</w:t>
      </w:r>
      <w:r w:rsidR="00753C92" w:rsidRPr="00753C92">
        <w:rPr>
          <w:rFonts w:ascii="Times New Roman" w:eastAsia="Times New Roman" w:hAnsi="Times New Roman" w:cs="Times New Roman"/>
          <w:szCs w:val="24"/>
          <w:lang w:val="fr-FR"/>
        </w:rPr>
        <w:t>’</w:t>
      </w:r>
      <w:r w:rsidRPr="00753C92">
        <w:rPr>
          <w:rFonts w:ascii="Times New Roman" w:eastAsia="Times New Roman" w:hAnsi="Times New Roman" w:cs="Times New Roman"/>
          <w:szCs w:val="24"/>
          <w:lang w:val="fr-FR"/>
        </w:rPr>
        <w:t>il doit être rejeté, en application de l</w:t>
      </w:r>
      <w:r w:rsidR="00753C92" w:rsidRPr="00753C92">
        <w:rPr>
          <w:rFonts w:ascii="Times New Roman" w:eastAsia="Times New Roman" w:hAnsi="Times New Roman" w:cs="Times New Roman"/>
          <w:szCs w:val="24"/>
          <w:lang w:val="fr-FR"/>
        </w:rPr>
        <w:t>’</w:t>
      </w:r>
      <w:r w:rsidRPr="00753C92">
        <w:rPr>
          <w:rFonts w:ascii="Times New Roman" w:eastAsia="Times New Roman" w:hAnsi="Times New Roman" w:cs="Times New Roman"/>
          <w:szCs w:val="24"/>
          <w:lang w:val="fr-FR"/>
        </w:rPr>
        <w:t>article 35 §§ 3 a) et 4 de la Convention.</w:t>
      </w:r>
    </w:p>
    <w:p w:rsidR="00F85BB2" w:rsidRPr="00753C92" w:rsidRDefault="00F85BB2" w:rsidP="00753C92">
      <w:pPr>
        <w:pStyle w:val="JuParaLast"/>
        <w:rPr>
          <w:lang w:val="fr-FR"/>
        </w:rPr>
      </w:pPr>
      <w:r w:rsidRPr="00753C92">
        <w:rPr>
          <w:lang w:val="fr-FR"/>
        </w:rPr>
        <w:lastRenderedPageBreak/>
        <w:t>Par ces motifs, la Cour, à l</w:t>
      </w:r>
      <w:r w:rsidR="00753C92" w:rsidRPr="00753C92">
        <w:rPr>
          <w:lang w:val="fr-FR"/>
        </w:rPr>
        <w:t>’</w:t>
      </w:r>
      <w:r w:rsidRPr="00753C92">
        <w:rPr>
          <w:lang w:val="fr-FR"/>
        </w:rPr>
        <w:t>unanimité,</w:t>
      </w:r>
    </w:p>
    <w:p w:rsidR="00F85BB2" w:rsidRPr="00753C92" w:rsidRDefault="00F85BB2" w:rsidP="00753C92">
      <w:pPr>
        <w:pStyle w:val="DecList"/>
        <w:keepNext/>
        <w:keepLines/>
        <w:rPr>
          <w:lang w:val="fr-FR"/>
        </w:rPr>
      </w:pPr>
      <w:r w:rsidRPr="00753C92">
        <w:rPr>
          <w:i/>
          <w:lang w:val="fr-FR"/>
        </w:rPr>
        <w:t>Déclare</w:t>
      </w:r>
      <w:r w:rsidRPr="00753C92">
        <w:rPr>
          <w:lang w:val="fr-FR"/>
        </w:rPr>
        <w:t xml:space="preserve"> la requête irrecevable.</w:t>
      </w:r>
    </w:p>
    <w:p w:rsidR="00050A32" w:rsidRPr="00753C92" w:rsidRDefault="00344976" w:rsidP="00753C92">
      <w:pPr>
        <w:pStyle w:val="JuParaLast"/>
        <w:rPr>
          <w:lang w:val="fr-FR"/>
        </w:rPr>
      </w:pPr>
      <w:r w:rsidRPr="00753C92">
        <w:rPr>
          <w:szCs w:val="24"/>
          <w:lang w:val="fr-FR"/>
        </w:rPr>
        <w:t xml:space="preserve">Fait en français puis communiqué par écrit le </w:t>
      </w:r>
      <w:r w:rsidR="00F85BB2" w:rsidRPr="00753C92">
        <w:rPr>
          <w:szCs w:val="24"/>
          <w:lang w:val="fr-FR"/>
        </w:rPr>
        <w:t>28 mai 2020</w:t>
      </w:r>
      <w:r w:rsidRPr="00753C92">
        <w:rPr>
          <w:lang w:val="fr-FR"/>
        </w:rPr>
        <w:t>.</w:t>
      </w:r>
    </w:p>
    <w:p w:rsidR="0091478F" w:rsidRPr="00753C92" w:rsidRDefault="00E95988" w:rsidP="00753C92">
      <w:pPr>
        <w:pStyle w:val="JuSigned"/>
      </w:pPr>
      <w:r w:rsidRPr="00753C92">
        <w:rPr>
          <w:lang w:val="fr-FR"/>
        </w:rPr>
        <w:tab/>
      </w:r>
      <w:r w:rsidRPr="00753C92">
        <w:t xml:space="preserve">Renata </w:t>
      </w:r>
      <w:proofErr w:type="spellStart"/>
      <w:r w:rsidRPr="00753C92">
        <w:t>Degener</w:t>
      </w:r>
      <w:proofErr w:type="spellEnd"/>
      <w:r w:rsidRPr="00753C92">
        <w:tab/>
      </w:r>
      <w:proofErr w:type="spellStart"/>
      <w:r w:rsidRPr="00753C92">
        <w:t>Aleš</w:t>
      </w:r>
      <w:proofErr w:type="spellEnd"/>
      <w:r w:rsidRPr="00753C92">
        <w:t xml:space="preserve"> </w:t>
      </w:r>
      <w:proofErr w:type="spellStart"/>
      <w:r w:rsidRPr="00753C92">
        <w:t>Pejchal</w:t>
      </w:r>
      <w:proofErr w:type="spellEnd"/>
      <w:r w:rsidRPr="00753C92">
        <w:br/>
      </w:r>
      <w:r w:rsidRPr="00753C92">
        <w:tab/>
      </w:r>
      <w:proofErr w:type="spellStart"/>
      <w:r w:rsidRPr="00753C92">
        <w:t>Greffière</w:t>
      </w:r>
      <w:proofErr w:type="spellEnd"/>
      <w:r w:rsidRPr="00753C92">
        <w:t xml:space="preserve"> </w:t>
      </w:r>
      <w:proofErr w:type="spellStart"/>
      <w:r w:rsidRPr="00753C92">
        <w:t>adjointe</w:t>
      </w:r>
      <w:proofErr w:type="spellEnd"/>
      <w:r w:rsidRPr="00753C92">
        <w:tab/>
      </w:r>
      <w:proofErr w:type="spellStart"/>
      <w:r w:rsidRPr="00753C92">
        <w:rPr>
          <w:szCs w:val="24"/>
        </w:rPr>
        <w:t>P</w:t>
      </w:r>
      <w:r w:rsidRPr="00753C92">
        <w:t>résident</w:t>
      </w:r>
      <w:proofErr w:type="spellEnd"/>
    </w:p>
    <w:p w:rsidR="00753C92" w:rsidRPr="00753C92" w:rsidRDefault="00753C92" w:rsidP="00753C92">
      <w:pPr>
        <w:pStyle w:val="ECHRPara"/>
      </w:pPr>
    </w:p>
    <w:sectPr w:rsidR="00753C92" w:rsidRPr="00753C92" w:rsidSect="00AF7102">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BB2" w:rsidRPr="005C3F86" w:rsidRDefault="00F85BB2">
      <w:r w:rsidRPr="005C3F86">
        <w:separator/>
      </w:r>
    </w:p>
  </w:endnote>
  <w:endnote w:type="continuationSeparator" w:id="0">
    <w:p w:rsidR="00F85BB2" w:rsidRPr="005C3F86" w:rsidRDefault="00F85BB2">
      <w:r w:rsidRPr="005C3F8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A1" w:rsidRPr="005C3F86" w:rsidRDefault="00F85BB2" w:rsidP="00DF51A1">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D847B9">
      <w:rPr>
        <w:rStyle w:val="Numeropagina"/>
        <w:noProof/>
        <w:lang w:val="fr-FR"/>
      </w:rPr>
      <w:t>12</w:t>
    </w:r>
    <w:r>
      <w:rPr>
        <w:rStyle w:val="Numeropagina"/>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A1" w:rsidRPr="005C3F86" w:rsidRDefault="00F85BB2" w:rsidP="00DF51A1">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D847B9">
      <w:rPr>
        <w:rStyle w:val="Numeropagina"/>
        <w:noProof/>
        <w:lang w:val="fr-FR"/>
      </w:rPr>
      <w:t>11</w:t>
    </w:r>
    <w:r>
      <w:rPr>
        <w:rStyle w:val="Numeropagina"/>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B2" w:rsidRPr="00150BFA" w:rsidRDefault="00F85BB2" w:rsidP="0020718E">
    <w:pPr>
      <w:jc w:val="center"/>
    </w:pPr>
    <w:r>
      <w:rPr>
        <w:noProof/>
        <w:lang w:val="it-IT" w:eastAsia="it-IT"/>
      </w:rPr>
      <w:drawing>
        <wp:inline distT="0" distB="0" distL="0" distR="0" wp14:anchorId="08672C82" wp14:editId="792319B1">
          <wp:extent cx="771525" cy="619125"/>
          <wp:effectExtent l="0" t="0" r="9525" b="9525"/>
          <wp:docPr id="24" name="Picture 2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5C3F86" w:rsidRDefault="00D847B9"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BB2" w:rsidRPr="005C3F86" w:rsidRDefault="00F85BB2">
      <w:r w:rsidRPr="005C3F86">
        <w:separator/>
      </w:r>
    </w:p>
  </w:footnote>
  <w:footnote w:type="continuationSeparator" w:id="0">
    <w:p w:rsidR="00F85BB2" w:rsidRPr="005C3F86" w:rsidRDefault="00F85BB2">
      <w:r w:rsidRPr="005C3F8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5C3F86" w:rsidRDefault="00344976" w:rsidP="003312A3">
    <w:pPr>
      <w:pStyle w:val="ECHRHeader"/>
      <w:rPr>
        <w:lang w:val="fr-FR"/>
      </w:rPr>
    </w:pPr>
    <w:r w:rsidRPr="005C3F86">
      <w:rPr>
        <w:lang w:val="fr-FR"/>
      </w:rPr>
      <w:t xml:space="preserve">DÉCISION </w:t>
    </w:r>
    <w:r w:rsidR="00F85BB2">
      <w:rPr>
        <w:lang w:val="fr-FR"/>
      </w:rPr>
      <w:t>BERLIOZ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5C3F86" w:rsidRDefault="00344976" w:rsidP="006544C4">
    <w:pPr>
      <w:pStyle w:val="ECHRHeader"/>
      <w:rPr>
        <w:lang w:val="fr-FR"/>
      </w:rPr>
    </w:pPr>
    <w:r w:rsidRPr="005C3F86">
      <w:rPr>
        <w:lang w:val="fr-FR"/>
      </w:rPr>
      <w:t xml:space="preserve">DÉCISION </w:t>
    </w:r>
    <w:r w:rsidR="00F85BB2">
      <w:rPr>
        <w:lang w:val="fr-FR"/>
      </w:rPr>
      <w:t>BERLIOZ c. ITALIE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B2" w:rsidRPr="00A45145" w:rsidRDefault="00F85BB2" w:rsidP="00A45145">
    <w:pPr>
      <w:jc w:val="center"/>
    </w:pPr>
    <w:r>
      <w:rPr>
        <w:noProof/>
        <w:lang w:val="it-IT" w:eastAsia="it-IT"/>
      </w:rPr>
      <w:drawing>
        <wp:inline distT="0" distB="0" distL="0" distR="0" wp14:anchorId="29495A71" wp14:editId="7E1F5CC4">
          <wp:extent cx="2962275" cy="1219200"/>
          <wp:effectExtent l="0" t="0" r="9525" b="0"/>
          <wp:docPr id="16" name="Picture 1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5C3F86" w:rsidRDefault="00D847B9"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150C2167"/>
    <w:multiLevelType w:val="multilevel"/>
    <w:tmpl w:val="334E9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6"/>
  </w:num>
  <w:num w:numId="11">
    <w:abstractNumId w:val="16"/>
  </w:num>
  <w:num w:numId="12">
    <w:abstractNumId w:val="14"/>
  </w:num>
  <w:num w:numId="13">
    <w:abstractNumId w:val="15"/>
  </w:num>
  <w:num w:numId="14">
    <w:abstractNumId w:val="17"/>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6"/>
  </w:num>
  <w:num w:numId="25">
    <w:abstractNumId w:val="16"/>
  </w:num>
  <w:num w:numId="26">
    <w:abstractNumId w:val="12"/>
  </w:num>
  <w:num w:numId="27">
    <w:abstractNumId w:val="1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F85BB2"/>
    <w:rsid w:val="002C1C5C"/>
    <w:rsid w:val="00344976"/>
    <w:rsid w:val="00371453"/>
    <w:rsid w:val="00425B1F"/>
    <w:rsid w:val="00484263"/>
    <w:rsid w:val="005231B3"/>
    <w:rsid w:val="005C3F86"/>
    <w:rsid w:val="0066676B"/>
    <w:rsid w:val="006B0D1B"/>
    <w:rsid w:val="007032BF"/>
    <w:rsid w:val="00753C92"/>
    <w:rsid w:val="007F7E51"/>
    <w:rsid w:val="00921F7F"/>
    <w:rsid w:val="0092227F"/>
    <w:rsid w:val="009E5B80"/>
    <w:rsid w:val="00B5254A"/>
    <w:rsid w:val="00B87A4A"/>
    <w:rsid w:val="00BB3991"/>
    <w:rsid w:val="00D847B9"/>
    <w:rsid w:val="00DF51A1"/>
    <w:rsid w:val="00E95988"/>
    <w:rsid w:val="00EE1D79"/>
    <w:rsid w:val="00F37889"/>
    <w:rsid w:val="00F85BB2"/>
    <w:rsid w:val="00FA1782"/>
    <w:rsid w:val="00FC0B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753C92"/>
    <w:pPr>
      <w:jc w:val="both"/>
    </w:pPr>
    <w:rPr>
      <w:rFonts w:eastAsiaTheme="minorEastAsia"/>
      <w:sz w:val="24"/>
      <w:lang w:val="en-GB"/>
    </w:rPr>
  </w:style>
  <w:style w:type="paragraph" w:styleId="Titolo1">
    <w:name w:val="heading 1"/>
    <w:basedOn w:val="Normale"/>
    <w:next w:val="Normale"/>
    <w:link w:val="Titolo1Carattere"/>
    <w:uiPriority w:val="99"/>
    <w:semiHidden/>
    <w:rsid w:val="00753C92"/>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753C92"/>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753C92"/>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753C92"/>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753C92"/>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753C9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753C92"/>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753C92"/>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753C92"/>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753C9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3C92"/>
    <w:rPr>
      <w:rFonts w:ascii="Tahoma" w:eastAsiaTheme="minorEastAsia" w:hAnsi="Tahoma" w:cs="Tahoma"/>
      <w:sz w:val="16"/>
      <w:szCs w:val="16"/>
      <w:lang w:val="en-GB"/>
    </w:rPr>
  </w:style>
  <w:style w:type="character" w:styleId="Titolodellibro">
    <w:name w:val="Book Title"/>
    <w:uiPriority w:val="99"/>
    <w:semiHidden/>
    <w:qFormat/>
    <w:rsid w:val="00753C92"/>
    <w:rPr>
      <w:i/>
      <w:iCs/>
      <w:smallCaps/>
      <w:spacing w:val="5"/>
    </w:rPr>
  </w:style>
  <w:style w:type="paragraph" w:customStyle="1" w:styleId="ECHRHeader">
    <w:name w:val="ECHR_Header"/>
    <w:aliases w:val="Ju_Header"/>
    <w:basedOn w:val="Intestazione"/>
    <w:uiPriority w:val="4"/>
    <w:qFormat/>
    <w:rsid w:val="00753C92"/>
    <w:pPr>
      <w:tabs>
        <w:tab w:val="clear" w:pos="4536"/>
        <w:tab w:val="clear" w:pos="9072"/>
      </w:tabs>
      <w:jc w:val="center"/>
    </w:pPr>
    <w:rPr>
      <w:sz w:val="18"/>
    </w:rPr>
  </w:style>
  <w:style w:type="paragraph" w:customStyle="1" w:styleId="JuAppQuestion">
    <w:name w:val="Ju_App_Question"/>
    <w:basedOn w:val="Normale"/>
    <w:uiPriority w:val="5"/>
    <w:qFormat/>
    <w:rsid w:val="00753C92"/>
    <w:pPr>
      <w:numPr>
        <w:numId w:val="28"/>
      </w:numPr>
      <w:jc w:val="left"/>
    </w:pPr>
    <w:rPr>
      <w:b/>
    </w:rPr>
  </w:style>
  <w:style w:type="character" w:styleId="Enfasigrassetto">
    <w:name w:val="Strong"/>
    <w:uiPriority w:val="99"/>
    <w:semiHidden/>
    <w:qFormat/>
    <w:rsid w:val="00753C92"/>
    <w:rPr>
      <w:b/>
      <w:bCs/>
    </w:rPr>
  </w:style>
  <w:style w:type="paragraph" w:styleId="Nessunaspaziatura">
    <w:name w:val="No Spacing"/>
    <w:basedOn w:val="Normale"/>
    <w:link w:val="NessunaspaziaturaCarattere"/>
    <w:semiHidden/>
    <w:qFormat/>
    <w:rsid w:val="00753C92"/>
    <w:rPr>
      <w:sz w:val="22"/>
      <w:lang w:val="en-US"/>
    </w:rPr>
  </w:style>
  <w:style w:type="character" w:customStyle="1" w:styleId="NessunaspaziaturaCarattere">
    <w:name w:val="Nessuna spaziatura Carattere"/>
    <w:basedOn w:val="Carpredefinitoparagrafo"/>
    <w:link w:val="Nessunaspaziatura"/>
    <w:semiHidden/>
    <w:rsid w:val="00753C92"/>
    <w:rPr>
      <w:rFonts w:eastAsiaTheme="minorEastAsia"/>
    </w:rPr>
  </w:style>
  <w:style w:type="paragraph" w:customStyle="1" w:styleId="DummyStyle">
    <w:name w:val="Dummy_Style"/>
    <w:basedOn w:val="Normale"/>
    <w:semiHidden/>
    <w:qFormat/>
    <w:rsid w:val="00753C92"/>
    <w:rPr>
      <w:color w:val="00B050"/>
    </w:rPr>
  </w:style>
  <w:style w:type="paragraph" w:customStyle="1" w:styleId="ECHRParaQuote">
    <w:name w:val="ECHR_Para_Quote"/>
    <w:aliases w:val="Ju_Quot"/>
    <w:basedOn w:val="Normale"/>
    <w:uiPriority w:val="14"/>
    <w:qFormat/>
    <w:rsid w:val="00753C92"/>
    <w:pPr>
      <w:spacing w:before="120" w:after="120"/>
      <w:ind w:left="425" w:firstLine="142"/>
    </w:pPr>
    <w:rPr>
      <w:sz w:val="20"/>
    </w:rPr>
  </w:style>
  <w:style w:type="paragraph" w:customStyle="1" w:styleId="JuParaSub">
    <w:name w:val="Ju_Para_Sub"/>
    <w:basedOn w:val="ECHRPara"/>
    <w:uiPriority w:val="13"/>
    <w:qFormat/>
    <w:rsid w:val="00753C92"/>
    <w:pPr>
      <w:ind w:left="284"/>
    </w:pPr>
  </w:style>
  <w:style w:type="paragraph" w:customStyle="1" w:styleId="OpiH1">
    <w:name w:val="Opi_H_1"/>
    <w:basedOn w:val="ECHRHeading2"/>
    <w:uiPriority w:val="42"/>
    <w:semiHidden/>
    <w:qFormat/>
    <w:rsid w:val="00753C92"/>
    <w:pPr>
      <w:ind w:left="635" w:hanging="357"/>
      <w:outlineLvl w:val="2"/>
    </w:pPr>
  </w:style>
  <w:style w:type="paragraph" w:customStyle="1" w:styleId="OpiHa">
    <w:name w:val="Opi_H_a"/>
    <w:basedOn w:val="ECHRHeading3"/>
    <w:uiPriority w:val="43"/>
    <w:semiHidden/>
    <w:qFormat/>
    <w:rsid w:val="00753C92"/>
    <w:pPr>
      <w:ind w:left="833" w:hanging="357"/>
      <w:outlineLvl w:val="3"/>
    </w:pPr>
    <w:rPr>
      <w:b/>
      <w:i w:val="0"/>
      <w:sz w:val="20"/>
    </w:rPr>
  </w:style>
  <w:style w:type="paragraph" w:customStyle="1" w:styleId="OpiHA0">
    <w:name w:val="Opi_H_A"/>
    <w:basedOn w:val="ECHRHeading1"/>
    <w:next w:val="OpiPara"/>
    <w:uiPriority w:val="41"/>
    <w:semiHidden/>
    <w:qFormat/>
    <w:rsid w:val="00753C92"/>
    <w:pPr>
      <w:tabs>
        <w:tab w:val="clear" w:pos="357"/>
      </w:tabs>
      <w:outlineLvl w:val="1"/>
    </w:pPr>
    <w:rPr>
      <w:b/>
    </w:rPr>
  </w:style>
  <w:style w:type="paragraph" w:customStyle="1" w:styleId="ECHRTitleCentre3">
    <w:name w:val="ECHR_Title_Centre_3"/>
    <w:aliases w:val="Ju_H_Article"/>
    <w:basedOn w:val="Normale"/>
    <w:next w:val="ECHRParaQuote"/>
    <w:uiPriority w:val="27"/>
    <w:qFormat/>
    <w:rsid w:val="00753C92"/>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753C92"/>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753C92"/>
    <w:pPr>
      <w:ind w:left="567"/>
    </w:pPr>
  </w:style>
  <w:style w:type="paragraph" w:customStyle="1" w:styleId="ECHRTitle1">
    <w:name w:val="ECHR_Title_1"/>
    <w:aliases w:val="Ju_H_Head"/>
    <w:basedOn w:val="Normale"/>
    <w:next w:val="ECHRPara"/>
    <w:uiPriority w:val="18"/>
    <w:qFormat/>
    <w:rsid w:val="00753C92"/>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753C92"/>
    <w:pPr>
      <w:tabs>
        <w:tab w:val="center" w:pos="6407"/>
      </w:tabs>
      <w:spacing w:before="720"/>
      <w:jc w:val="right"/>
    </w:pPr>
  </w:style>
  <w:style w:type="paragraph" w:styleId="Titolo">
    <w:name w:val="Title"/>
    <w:basedOn w:val="Normale"/>
    <w:next w:val="Normale"/>
    <w:link w:val="TitoloCarattere"/>
    <w:uiPriority w:val="99"/>
    <w:semiHidden/>
    <w:qFormat/>
    <w:rsid w:val="00753C92"/>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753C92"/>
    <w:rPr>
      <w:rFonts w:asciiTheme="majorHAnsi" w:eastAsiaTheme="majorEastAsia" w:hAnsiTheme="majorHAnsi" w:cstheme="majorBidi"/>
      <w:spacing w:val="5"/>
      <w:sz w:val="52"/>
      <w:szCs w:val="52"/>
      <w:lang w:bidi="en-US"/>
    </w:rPr>
  </w:style>
  <w:style w:type="paragraph" w:customStyle="1" w:styleId="OpiHi">
    <w:name w:val="Opi_H_i"/>
    <w:basedOn w:val="ECHRHeading4"/>
    <w:uiPriority w:val="44"/>
    <w:semiHidden/>
    <w:qFormat/>
    <w:rsid w:val="00753C92"/>
    <w:pPr>
      <w:ind w:left="1037" w:hanging="357"/>
      <w:outlineLvl w:val="4"/>
    </w:pPr>
    <w:rPr>
      <w:b w:val="0"/>
      <w:i/>
    </w:rPr>
  </w:style>
  <w:style w:type="character" w:customStyle="1" w:styleId="JUNAMES">
    <w:name w:val="JU_NAMES"/>
    <w:uiPriority w:val="17"/>
    <w:qFormat/>
    <w:rsid w:val="00753C92"/>
    <w:rPr>
      <w:caps w:val="0"/>
      <w:smallCaps/>
    </w:rPr>
  </w:style>
  <w:style w:type="character" w:customStyle="1" w:styleId="JuITMark">
    <w:name w:val="Ju_ITMark"/>
    <w:basedOn w:val="Carpredefinitoparagrafo"/>
    <w:uiPriority w:val="38"/>
    <w:qFormat/>
    <w:rsid w:val="00753C92"/>
    <w:rPr>
      <w:vanish w:val="0"/>
      <w:color w:val="auto"/>
      <w:sz w:val="14"/>
      <w:bdr w:val="none" w:sz="0" w:space="0" w:color="auto"/>
      <w:shd w:val="clear" w:color="auto" w:fill="BEE5FF" w:themeFill="background1" w:themeFillTint="33"/>
    </w:rPr>
  </w:style>
  <w:style w:type="paragraph" w:customStyle="1" w:styleId="OpiPara">
    <w:name w:val="Opi_Para"/>
    <w:basedOn w:val="ECHRPara"/>
    <w:uiPriority w:val="46"/>
    <w:semiHidden/>
    <w:qFormat/>
    <w:rsid w:val="00753C92"/>
  </w:style>
  <w:style w:type="paragraph" w:customStyle="1" w:styleId="JuCourt">
    <w:name w:val="Ju_Court"/>
    <w:basedOn w:val="Normale"/>
    <w:next w:val="Normale"/>
    <w:uiPriority w:val="16"/>
    <w:qFormat/>
    <w:rsid w:val="00753C92"/>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753C92"/>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753C92"/>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753C92"/>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753C92"/>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753C92"/>
    <w:rPr>
      <w:sz w:val="24"/>
      <w:lang w:val="en-GB"/>
    </w:rPr>
  </w:style>
  <w:style w:type="character" w:customStyle="1" w:styleId="Titolo1Carattere">
    <w:name w:val="Titolo 1 Carattere"/>
    <w:basedOn w:val="Carpredefinitoparagrafo"/>
    <w:link w:val="Titolo1"/>
    <w:uiPriority w:val="99"/>
    <w:semiHidden/>
    <w:rsid w:val="00753C92"/>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Titolo4"/>
    <w:next w:val="ECHRPara"/>
    <w:uiPriority w:val="22"/>
    <w:qFormat/>
    <w:rsid w:val="00753C92"/>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753C92"/>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753C92"/>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Titolo6"/>
    <w:next w:val="ECHRPara"/>
    <w:uiPriority w:val="24"/>
    <w:qFormat/>
    <w:rsid w:val="00753C92"/>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753C92"/>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753C92"/>
    <w:rPr>
      <w:rFonts w:asciiTheme="majorHAnsi" w:eastAsiaTheme="majorEastAsia" w:hAnsiTheme="majorHAnsi" w:cstheme="majorBidi"/>
      <w:b/>
      <w:bCs/>
      <w:color w:val="5F5F5F"/>
      <w:sz w:val="24"/>
      <w:lang w:val="en-GB"/>
    </w:rPr>
  </w:style>
  <w:style w:type="paragraph" w:customStyle="1" w:styleId="JuParaLast">
    <w:name w:val="Ju_Para_Last"/>
    <w:basedOn w:val="Normale"/>
    <w:next w:val="ECHRPara"/>
    <w:uiPriority w:val="30"/>
    <w:qFormat/>
    <w:rsid w:val="00753C92"/>
    <w:pPr>
      <w:keepNext/>
      <w:keepLines/>
      <w:spacing w:before="240"/>
      <w:ind w:firstLine="284"/>
    </w:pPr>
  </w:style>
  <w:style w:type="paragraph" w:customStyle="1" w:styleId="DecList">
    <w:name w:val="Dec_List"/>
    <w:basedOn w:val="Normale"/>
    <w:uiPriority w:val="9"/>
    <w:qFormat/>
    <w:rsid w:val="00753C92"/>
    <w:pPr>
      <w:spacing w:before="240"/>
      <w:ind w:left="284"/>
    </w:pPr>
  </w:style>
  <w:style w:type="character" w:customStyle="1" w:styleId="Titolo4Carattere">
    <w:name w:val="Titolo 4 Carattere"/>
    <w:basedOn w:val="Carpredefinitoparagrafo"/>
    <w:link w:val="Titolo4"/>
    <w:uiPriority w:val="99"/>
    <w:semiHidden/>
    <w:rsid w:val="00753C92"/>
    <w:rPr>
      <w:rFonts w:asciiTheme="majorHAnsi" w:eastAsiaTheme="majorEastAsia" w:hAnsiTheme="majorHAnsi" w:cstheme="majorBidi"/>
      <w:b/>
      <w:bCs/>
      <w:i/>
      <w:iCs/>
      <w:color w:val="777777"/>
      <w:sz w:val="24"/>
      <w:lang w:val="en-GB"/>
    </w:rPr>
  </w:style>
  <w:style w:type="paragraph" w:customStyle="1" w:styleId="ECHRDecisionBody">
    <w:name w:val="ECHR_Decision_Body"/>
    <w:aliases w:val="Ju_Judges"/>
    <w:basedOn w:val="Normale"/>
    <w:uiPriority w:val="11"/>
    <w:qFormat/>
    <w:rsid w:val="00753C92"/>
    <w:pPr>
      <w:tabs>
        <w:tab w:val="left" w:pos="567"/>
        <w:tab w:val="left" w:pos="1134"/>
      </w:tabs>
      <w:jc w:val="left"/>
    </w:pPr>
  </w:style>
  <w:style w:type="character" w:customStyle="1" w:styleId="Titolo5Carattere">
    <w:name w:val="Titolo 5 Carattere"/>
    <w:basedOn w:val="Carpredefinitoparagrafo"/>
    <w:link w:val="Titolo5"/>
    <w:uiPriority w:val="99"/>
    <w:semiHidden/>
    <w:rsid w:val="00753C92"/>
    <w:rPr>
      <w:rFonts w:asciiTheme="majorHAnsi" w:eastAsiaTheme="majorEastAsia" w:hAnsiTheme="majorHAnsi" w:cstheme="majorBidi"/>
      <w:b/>
      <w:bCs/>
      <w:color w:val="808080"/>
    </w:rPr>
  </w:style>
  <w:style w:type="paragraph" w:customStyle="1" w:styleId="JuList">
    <w:name w:val="Ju_List"/>
    <w:basedOn w:val="Normale"/>
    <w:uiPriority w:val="28"/>
    <w:qFormat/>
    <w:rsid w:val="00753C92"/>
    <w:pPr>
      <w:ind w:left="340" w:hanging="340"/>
    </w:pPr>
  </w:style>
  <w:style w:type="paragraph" w:customStyle="1" w:styleId="JuLista">
    <w:name w:val="Ju_List_a"/>
    <w:basedOn w:val="JuList"/>
    <w:uiPriority w:val="28"/>
    <w:qFormat/>
    <w:rsid w:val="00753C92"/>
    <w:pPr>
      <w:ind w:left="346" w:firstLine="0"/>
    </w:pPr>
  </w:style>
  <w:style w:type="character" w:styleId="Enfasidelicata">
    <w:name w:val="Subtle Emphasis"/>
    <w:uiPriority w:val="99"/>
    <w:semiHidden/>
    <w:qFormat/>
    <w:rsid w:val="00753C92"/>
    <w:rPr>
      <w:i/>
      <w:iCs/>
    </w:rPr>
  </w:style>
  <w:style w:type="paragraph" w:customStyle="1" w:styleId="JuListi">
    <w:name w:val="Ju_List_i"/>
    <w:basedOn w:val="Normale"/>
    <w:next w:val="JuLista"/>
    <w:uiPriority w:val="28"/>
    <w:qFormat/>
    <w:rsid w:val="00753C92"/>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ParaSub">
    <w:name w:val="Opi_Para_Sub"/>
    <w:basedOn w:val="JuParaSub"/>
    <w:uiPriority w:val="47"/>
    <w:semiHidden/>
    <w:qFormat/>
    <w:rsid w:val="00753C92"/>
  </w:style>
  <w:style w:type="paragraph" w:customStyle="1" w:styleId="OpiQuot">
    <w:name w:val="Opi_Quot"/>
    <w:basedOn w:val="ECHRParaQuote"/>
    <w:uiPriority w:val="48"/>
    <w:semiHidden/>
    <w:qFormat/>
    <w:rsid w:val="00753C92"/>
  </w:style>
  <w:style w:type="paragraph" w:customStyle="1" w:styleId="ECHRTitleCentre2">
    <w:name w:val="ECHR_Title_Centre_2"/>
    <w:aliases w:val="Dec_H_Case"/>
    <w:basedOn w:val="Normale"/>
    <w:next w:val="ECHRPara"/>
    <w:uiPriority w:val="8"/>
    <w:qFormat/>
    <w:rsid w:val="00753C92"/>
    <w:pPr>
      <w:spacing w:after="240"/>
      <w:jc w:val="center"/>
      <w:outlineLvl w:val="0"/>
    </w:pPr>
    <w:rPr>
      <w:rFonts w:asciiTheme="majorHAnsi" w:hAnsiTheme="majorHAnsi"/>
    </w:rPr>
  </w:style>
  <w:style w:type="character" w:styleId="Enfasicorsivo">
    <w:name w:val="Emphasis"/>
    <w:uiPriority w:val="99"/>
    <w:semiHidden/>
    <w:qFormat/>
    <w:rsid w:val="00753C92"/>
    <w:rPr>
      <w:b/>
      <w:bCs/>
      <w:i/>
      <w:iCs/>
      <w:spacing w:val="10"/>
      <w:bdr w:val="none" w:sz="0" w:space="0" w:color="auto"/>
      <w:shd w:val="clear" w:color="auto" w:fill="auto"/>
    </w:rPr>
  </w:style>
  <w:style w:type="paragraph" w:styleId="Pidipagina">
    <w:name w:val="footer"/>
    <w:basedOn w:val="Normale"/>
    <w:link w:val="PidipaginaCarattere"/>
    <w:uiPriority w:val="57"/>
    <w:semiHidden/>
    <w:rsid w:val="00753C92"/>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753C92"/>
    <w:rPr>
      <w:sz w:val="24"/>
      <w:lang w:val="en-GB"/>
    </w:rPr>
  </w:style>
  <w:style w:type="character" w:styleId="Rimandonotaapidipagina">
    <w:name w:val="footnote reference"/>
    <w:basedOn w:val="Carpredefinitoparagrafo"/>
    <w:uiPriority w:val="99"/>
    <w:semiHidden/>
    <w:rsid w:val="00753C92"/>
    <w:rPr>
      <w:vertAlign w:val="superscript"/>
    </w:rPr>
  </w:style>
  <w:style w:type="paragraph" w:styleId="Testonotaapidipagina">
    <w:name w:val="footnote text"/>
    <w:basedOn w:val="Normale"/>
    <w:link w:val="TestonotaapidipaginaCarattere"/>
    <w:uiPriority w:val="99"/>
    <w:semiHidden/>
    <w:rsid w:val="00753C92"/>
    <w:rPr>
      <w:sz w:val="20"/>
      <w:szCs w:val="20"/>
    </w:rPr>
  </w:style>
  <w:style w:type="character" w:customStyle="1" w:styleId="TestonotaapidipaginaCarattere">
    <w:name w:val="Testo nota a piè di pagina Carattere"/>
    <w:basedOn w:val="Carpredefinitoparagrafo"/>
    <w:link w:val="Testonotaapidipagina"/>
    <w:uiPriority w:val="99"/>
    <w:semiHidden/>
    <w:rsid w:val="00753C92"/>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753C92"/>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753C92"/>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753C92"/>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753C92"/>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753C92"/>
    <w:rPr>
      <w:color w:val="0072BC" w:themeColor="hyperlink"/>
      <w:u w:val="single"/>
    </w:rPr>
  </w:style>
  <w:style w:type="character" w:styleId="Enfasiintensa">
    <w:name w:val="Intense Emphasis"/>
    <w:uiPriority w:val="99"/>
    <w:semiHidden/>
    <w:qFormat/>
    <w:rsid w:val="00753C92"/>
    <w:rPr>
      <w:b/>
      <w:bCs/>
    </w:rPr>
  </w:style>
  <w:style w:type="paragraph" w:styleId="Citazioneintensa">
    <w:name w:val="Intense Quote"/>
    <w:basedOn w:val="Normale"/>
    <w:next w:val="Normale"/>
    <w:link w:val="CitazioneintensaCarattere"/>
    <w:uiPriority w:val="99"/>
    <w:semiHidden/>
    <w:qFormat/>
    <w:rsid w:val="00753C92"/>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753C92"/>
    <w:rPr>
      <w:rFonts w:eastAsiaTheme="minorEastAsia"/>
      <w:b/>
      <w:bCs/>
      <w:i/>
      <w:iCs/>
      <w:lang w:bidi="en-US"/>
    </w:rPr>
  </w:style>
  <w:style w:type="character" w:styleId="Riferimentointenso">
    <w:name w:val="Intense Reference"/>
    <w:uiPriority w:val="99"/>
    <w:semiHidden/>
    <w:qFormat/>
    <w:rsid w:val="00753C92"/>
    <w:rPr>
      <w:smallCaps/>
      <w:spacing w:val="5"/>
      <w:u w:val="single"/>
    </w:rPr>
  </w:style>
  <w:style w:type="paragraph" w:styleId="Paragrafoelenco">
    <w:name w:val="List Paragraph"/>
    <w:basedOn w:val="Normale"/>
    <w:uiPriority w:val="99"/>
    <w:semiHidden/>
    <w:qFormat/>
    <w:rsid w:val="00753C92"/>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753C92"/>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753C92"/>
    <w:rPr>
      <w:rFonts w:eastAsiaTheme="minorEastAsia"/>
      <w:i/>
      <w:iCs/>
      <w:lang w:bidi="en-US"/>
    </w:rPr>
  </w:style>
  <w:style w:type="character" w:styleId="Riferimentodelicato">
    <w:name w:val="Subtle Reference"/>
    <w:uiPriority w:val="99"/>
    <w:semiHidden/>
    <w:qFormat/>
    <w:rsid w:val="00753C92"/>
    <w:rPr>
      <w:smallCaps/>
    </w:rPr>
  </w:style>
  <w:style w:type="table" w:styleId="Grigliatabella">
    <w:name w:val="Table Grid"/>
    <w:basedOn w:val="Tabellanormale"/>
    <w:uiPriority w:val="59"/>
    <w:semiHidden/>
    <w:rsid w:val="00753C9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753C9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753C9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753C9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753C92"/>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753C92"/>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753C92"/>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753C92"/>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QuotSub">
    <w:name w:val="Opi_Quot_Sub"/>
    <w:basedOn w:val="JuQuotSub"/>
    <w:uiPriority w:val="49"/>
    <w:semiHidden/>
    <w:qFormat/>
    <w:rsid w:val="00753C92"/>
  </w:style>
  <w:style w:type="paragraph" w:customStyle="1" w:styleId="OpiTranslation">
    <w:name w:val="Opi_Translation"/>
    <w:basedOn w:val="Normale"/>
    <w:next w:val="OpiPara"/>
    <w:uiPriority w:val="40"/>
    <w:semiHidden/>
    <w:qFormat/>
    <w:rsid w:val="00753C92"/>
    <w:pPr>
      <w:jc w:val="center"/>
      <w:outlineLvl w:val="0"/>
    </w:pPr>
    <w:rPr>
      <w:i/>
    </w:rPr>
  </w:style>
  <w:style w:type="paragraph" w:styleId="Sottotitolo">
    <w:name w:val="Subtitle"/>
    <w:basedOn w:val="Normale"/>
    <w:next w:val="Normale"/>
    <w:link w:val="SottotitoloCarattere"/>
    <w:uiPriority w:val="99"/>
    <w:semiHidden/>
    <w:qFormat/>
    <w:rsid w:val="00753C92"/>
    <w:pPr>
      <w:spacing w:after="600"/>
    </w:pPr>
    <w:rPr>
      <w:rFonts w:asciiTheme="majorHAnsi" w:eastAsiaTheme="majorEastAsia" w:hAnsiTheme="majorHAnsi" w:cstheme="majorBidi"/>
      <w:i/>
      <w:iCs/>
      <w:spacing w:val="13"/>
      <w:szCs w:val="24"/>
      <w:lang w:val="en-US" w:bidi="en-US"/>
    </w:rPr>
  </w:style>
  <w:style w:type="paragraph" w:customStyle="1" w:styleId="ECHRPara">
    <w:name w:val="ECHR_Para"/>
    <w:aliases w:val="Ju_Para"/>
    <w:basedOn w:val="Normale"/>
    <w:link w:val="ECHRParaChar"/>
    <w:uiPriority w:val="12"/>
    <w:qFormat/>
    <w:rsid w:val="00753C92"/>
    <w:pPr>
      <w:ind w:firstLine="284"/>
    </w:pPr>
  </w:style>
  <w:style w:type="character" w:customStyle="1" w:styleId="SottotitoloCarattere">
    <w:name w:val="Sottotitolo Carattere"/>
    <w:basedOn w:val="Carpredefinitoparagrafo"/>
    <w:link w:val="Sottotitolo"/>
    <w:uiPriority w:val="99"/>
    <w:semiHidden/>
    <w:rsid w:val="00753C92"/>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753C92"/>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uiPriority w:val="99"/>
    <w:semiHidden/>
    <w:rsid w:val="006544C4"/>
    <w:rPr>
      <w:rFonts w:eastAsiaTheme="minorEastAsia"/>
      <w:sz w:val="20"/>
    </w:rPr>
  </w:style>
  <w:style w:type="paragraph" w:customStyle="1" w:styleId="JuSigned">
    <w:name w:val="Ju_Signed"/>
    <w:basedOn w:val="Normale"/>
    <w:next w:val="JuParaLast"/>
    <w:uiPriority w:val="32"/>
    <w:qFormat/>
    <w:rsid w:val="00753C92"/>
    <w:pPr>
      <w:tabs>
        <w:tab w:val="center" w:pos="851"/>
        <w:tab w:val="center" w:pos="6407"/>
      </w:tabs>
      <w:spacing w:before="720"/>
      <w:jc w:val="left"/>
    </w:pPr>
  </w:style>
  <w:style w:type="paragraph" w:customStyle="1" w:styleId="JuTitle">
    <w:name w:val="Ju_Title"/>
    <w:basedOn w:val="Normale"/>
    <w:next w:val="ECHRPara"/>
    <w:uiPriority w:val="3"/>
    <w:qFormat/>
    <w:rsid w:val="00753C92"/>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753C92"/>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unhideWhenUsed/>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99"/>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99"/>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99"/>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character" w:styleId="Testosegnaposto">
    <w:name w:val="Placeholder Text"/>
    <w:basedOn w:val="Carpredefinitoparagrafo"/>
    <w:uiPriority w:val="99"/>
    <w:semiHidden/>
    <w:rsid w:val="00753C9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753C9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753C9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ECHRFooter">
    <w:name w:val="ECHR_Footer"/>
    <w:aliases w:val="Footer_ECHR"/>
    <w:basedOn w:val="Pidipagina"/>
    <w:uiPriority w:val="57"/>
    <w:semiHidden/>
    <w:rsid w:val="00753C92"/>
    <w:pPr>
      <w:jc w:val="left"/>
    </w:pPr>
    <w:rPr>
      <w:sz w:val="8"/>
    </w:rPr>
  </w:style>
  <w:style w:type="paragraph" w:customStyle="1" w:styleId="ECHRFooterLine">
    <w:name w:val="ECHR_Footer_Line"/>
    <w:aliases w:val="Footer_Line"/>
    <w:basedOn w:val="Normale"/>
    <w:next w:val="ECHRFooter"/>
    <w:uiPriority w:val="57"/>
    <w:semiHidden/>
    <w:rsid w:val="00753C92"/>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e"/>
    <w:next w:val="ECHRPara"/>
    <w:uiPriority w:val="10"/>
    <w:rsid w:val="00753C92"/>
    <w:pPr>
      <w:ind w:firstLine="284"/>
    </w:pPr>
    <w:rPr>
      <w:b/>
    </w:rPr>
  </w:style>
  <w:style w:type="paragraph" w:styleId="Intestazionenota">
    <w:name w:val="Note Heading"/>
    <w:basedOn w:val="Normale"/>
    <w:next w:val="Normale"/>
    <w:uiPriority w:val="99"/>
    <w:semiHidden/>
    <w:rsid w:val="00F85BB2"/>
  </w:style>
  <w:style w:type="paragraph" w:customStyle="1" w:styleId="JuHeaderLandscape">
    <w:name w:val="Ju_Header_Landscape"/>
    <w:basedOn w:val="ECHRHeader"/>
    <w:uiPriority w:val="4"/>
    <w:rsid w:val="00F85BB2"/>
    <w:pPr>
      <w:tabs>
        <w:tab w:val="center" w:pos="6146"/>
        <w:tab w:val="right" w:pos="12293"/>
      </w:tabs>
    </w:pPr>
  </w:style>
  <w:style w:type="character" w:customStyle="1" w:styleId="ECHRParaChar">
    <w:name w:val="ECHR_Para Char"/>
    <w:aliases w:val="Ju_Para Char"/>
    <w:link w:val="ECHRPara"/>
    <w:uiPriority w:val="12"/>
    <w:rsid w:val="00F85BB2"/>
    <w:rPr>
      <w:rFonts w:eastAsiaTheme="minorEastAsia"/>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753C92"/>
    <w:pPr>
      <w:jc w:val="both"/>
    </w:pPr>
    <w:rPr>
      <w:rFonts w:eastAsiaTheme="minorEastAsia"/>
      <w:sz w:val="24"/>
      <w:lang w:val="en-GB"/>
    </w:rPr>
  </w:style>
  <w:style w:type="paragraph" w:styleId="Titolo1">
    <w:name w:val="heading 1"/>
    <w:basedOn w:val="Normale"/>
    <w:next w:val="Normale"/>
    <w:link w:val="Titolo1Carattere"/>
    <w:uiPriority w:val="99"/>
    <w:semiHidden/>
    <w:rsid w:val="00753C92"/>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753C92"/>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753C92"/>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753C92"/>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753C92"/>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753C9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753C92"/>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753C92"/>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753C92"/>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753C9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3C92"/>
    <w:rPr>
      <w:rFonts w:ascii="Tahoma" w:eastAsiaTheme="minorEastAsia" w:hAnsi="Tahoma" w:cs="Tahoma"/>
      <w:sz w:val="16"/>
      <w:szCs w:val="16"/>
      <w:lang w:val="en-GB"/>
    </w:rPr>
  </w:style>
  <w:style w:type="character" w:styleId="Titolodellibro">
    <w:name w:val="Book Title"/>
    <w:uiPriority w:val="99"/>
    <w:semiHidden/>
    <w:qFormat/>
    <w:rsid w:val="00753C92"/>
    <w:rPr>
      <w:i/>
      <w:iCs/>
      <w:smallCaps/>
      <w:spacing w:val="5"/>
    </w:rPr>
  </w:style>
  <w:style w:type="paragraph" w:customStyle="1" w:styleId="ECHRHeader">
    <w:name w:val="ECHR_Header"/>
    <w:aliases w:val="Ju_Header"/>
    <w:basedOn w:val="Intestazione"/>
    <w:uiPriority w:val="4"/>
    <w:qFormat/>
    <w:rsid w:val="00753C92"/>
    <w:pPr>
      <w:tabs>
        <w:tab w:val="clear" w:pos="4536"/>
        <w:tab w:val="clear" w:pos="9072"/>
      </w:tabs>
      <w:jc w:val="center"/>
    </w:pPr>
    <w:rPr>
      <w:sz w:val="18"/>
    </w:rPr>
  </w:style>
  <w:style w:type="paragraph" w:customStyle="1" w:styleId="JuAppQuestion">
    <w:name w:val="Ju_App_Question"/>
    <w:basedOn w:val="Normale"/>
    <w:uiPriority w:val="5"/>
    <w:qFormat/>
    <w:rsid w:val="00753C92"/>
    <w:pPr>
      <w:numPr>
        <w:numId w:val="28"/>
      </w:numPr>
      <w:jc w:val="left"/>
    </w:pPr>
    <w:rPr>
      <w:b/>
    </w:rPr>
  </w:style>
  <w:style w:type="character" w:styleId="Enfasigrassetto">
    <w:name w:val="Strong"/>
    <w:uiPriority w:val="99"/>
    <w:semiHidden/>
    <w:qFormat/>
    <w:rsid w:val="00753C92"/>
    <w:rPr>
      <w:b/>
      <w:bCs/>
    </w:rPr>
  </w:style>
  <w:style w:type="paragraph" w:styleId="Nessunaspaziatura">
    <w:name w:val="No Spacing"/>
    <w:basedOn w:val="Normale"/>
    <w:link w:val="NessunaspaziaturaCarattere"/>
    <w:semiHidden/>
    <w:qFormat/>
    <w:rsid w:val="00753C92"/>
    <w:rPr>
      <w:sz w:val="22"/>
      <w:lang w:val="en-US"/>
    </w:rPr>
  </w:style>
  <w:style w:type="character" w:customStyle="1" w:styleId="NessunaspaziaturaCarattere">
    <w:name w:val="Nessuna spaziatura Carattere"/>
    <w:basedOn w:val="Carpredefinitoparagrafo"/>
    <w:link w:val="Nessunaspaziatura"/>
    <w:semiHidden/>
    <w:rsid w:val="00753C92"/>
    <w:rPr>
      <w:rFonts w:eastAsiaTheme="minorEastAsia"/>
    </w:rPr>
  </w:style>
  <w:style w:type="paragraph" w:customStyle="1" w:styleId="DummyStyle">
    <w:name w:val="Dummy_Style"/>
    <w:basedOn w:val="Normale"/>
    <w:semiHidden/>
    <w:qFormat/>
    <w:rsid w:val="00753C92"/>
    <w:rPr>
      <w:color w:val="00B050"/>
    </w:rPr>
  </w:style>
  <w:style w:type="paragraph" w:customStyle="1" w:styleId="ECHRParaQuote">
    <w:name w:val="ECHR_Para_Quote"/>
    <w:aliases w:val="Ju_Quot"/>
    <w:basedOn w:val="Normale"/>
    <w:uiPriority w:val="14"/>
    <w:qFormat/>
    <w:rsid w:val="00753C92"/>
    <w:pPr>
      <w:spacing w:before="120" w:after="120"/>
      <w:ind w:left="425" w:firstLine="142"/>
    </w:pPr>
    <w:rPr>
      <w:sz w:val="20"/>
    </w:rPr>
  </w:style>
  <w:style w:type="paragraph" w:customStyle="1" w:styleId="JuParaSub">
    <w:name w:val="Ju_Para_Sub"/>
    <w:basedOn w:val="ECHRPara"/>
    <w:uiPriority w:val="13"/>
    <w:qFormat/>
    <w:rsid w:val="00753C92"/>
    <w:pPr>
      <w:ind w:left="284"/>
    </w:pPr>
  </w:style>
  <w:style w:type="paragraph" w:customStyle="1" w:styleId="OpiH1">
    <w:name w:val="Opi_H_1"/>
    <w:basedOn w:val="ECHRHeading2"/>
    <w:uiPriority w:val="42"/>
    <w:semiHidden/>
    <w:qFormat/>
    <w:rsid w:val="00753C92"/>
    <w:pPr>
      <w:ind w:left="635" w:hanging="357"/>
      <w:outlineLvl w:val="2"/>
    </w:pPr>
  </w:style>
  <w:style w:type="paragraph" w:customStyle="1" w:styleId="OpiHa">
    <w:name w:val="Opi_H_a"/>
    <w:basedOn w:val="ECHRHeading3"/>
    <w:uiPriority w:val="43"/>
    <w:semiHidden/>
    <w:qFormat/>
    <w:rsid w:val="00753C92"/>
    <w:pPr>
      <w:ind w:left="833" w:hanging="357"/>
      <w:outlineLvl w:val="3"/>
    </w:pPr>
    <w:rPr>
      <w:b/>
      <w:i w:val="0"/>
      <w:sz w:val="20"/>
    </w:rPr>
  </w:style>
  <w:style w:type="paragraph" w:customStyle="1" w:styleId="OpiHA0">
    <w:name w:val="Opi_H_A"/>
    <w:basedOn w:val="ECHRHeading1"/>
    <w:next w:val="OpiPara"/>
    <w:uiPriority w:val="41"/>
    <w:semiHidden/>
    <w:qFormat/>
    <w:rsid w:val="00753C92"/>
    <w:pPr>
      <w:tabs>
        <w:tab w:val="clear" w:pos="357"/>
      </w:tabs>
      <w:outlineLvl w:val="1"/>
    </w:pPr>
    <w:rPr>
      <w:b/>
    </w:rPr>
  </w:style>
  <w:style w:type="paragraph" w:customStyle="1" w:styleId="ECHRTitleCentre3">
    <w:name w:val="ECHR_Title_Centre_3"/>
    <w:aliases w:val="Ju_H_Article"/>
    <w:basedOn w:val="Normale"/>
    <w:next w:val="ECHRParaQuote"/>
    <w:uiPriority w:val="27"/>
    <w:qFormat/>
    <w:rsid w:val="00753C92"/>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753C92"/>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753C92"/>
    <w:pPr>
      <w:ind w:left="567"/>
    </w:pPr>
  </w:style>
  <w:style w:type="paragraph" w:customStyle="1" w:styleId="ECHRTitle1">
    <w:name w:val="ECHR_Title_1"/>
    <w:aliases w:val="Ju_H_Head"/>
    <w:basedOn w:val="Normale"/>
    <w:next w:val="ECHRPara"/>
    <w:uiPriority w:val="18"/>
    <w:qFormat/>
    <w:rsid w:val="00753C92"/>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753C92"/>
    <w:pPr>
      <w:tabs>
        <w:tab w:val="center" w:pos="6407"/>
      </w:tabs>
      <w:spacing w:before="720"/>
      <w:jc w:val="right"/>
    </w:pPr>
  </w:style>
  <w:style w:type="paragraph" w:styleId="Titolo">
    <w:name w:val="Title"/>
    <w:basedOn w:val="Normale"/>
    <w:next w:val="Normale"/>
    <w:link w:val="TitoloCarattere"/>
    <w:uiPriority w:val="99"/>
    <w:semiHidden/>
    <w:qFormat/>
    <w:rsid w:val="00753C92"/>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753C92"/>
    <w:rPr>
      <w:rFonts w:asciiTheme="majorHAnsi" w:eastAsiaTheme="majorEastAsia" w:hAnsiTheme="majorHAnsi" w:cstheme="majorBidi"/>
      <w:spacing w:val="5"/>
      <w:sz w:val="52"/>
      <w:szCs w:val="52"/>
      <w:lang w:bidi="en-US"/>
    </w:rPr>
  </w:style>
  <w:style w:type="paragraph" w:customStyle="1" w:styleId="OpiHi">
    <w:name w:val="Opi_H_i"/>
    <w:basedOn w:val="ECHRHeading4"/>
    <w:uiPriority w:val="44"/>
    <w:semiHidden/>
    <w:qFormat/>
    <w:rsid w:val="00753C92"/>
    <w:pPr>
      <w:ind w:left="1037" w:hanging="357"/>
      <w:outlineLvl w:val="4"/>
    </w:pPr>
    <w:rPr>
      <w:b w:val="0"/>
      <w:i/>
    </w:rPr>
  </w:style>
  <w:style w:type="character" w:customStyle="1" w:styleId="JUNAMES">
    <w:name w:val="JU_NAMES"/>
    <w:uiPriority w:val="17"/>
    <w:qFormat/>
    <w:rsid w:val="00753C92"/>
    <w:rPr>
      <w:caps w:val="0"/>
      <w:smallCaps/>
    </w:rPr>
  </w:style>
  <w:style w:type="character" w:customStyle="1" w:styleId="JuITMark">
    <w:name w:val="Ju_ITMark"/>
    <w:basedOn w:val="Carpredefinitoparagrafo"/>
    <w:uiPriority w:val="38"/>
    <w:qFormat/>
    <w:rsid w:val="00753C92"/>
    <w:rPr>
      <w:vanish w:val="0"/>
      <w:color w:val="auto"/>
      <w:sz w:val="14"/>
      <w:bdr w:val="none" w:sz="0" w:space="0" w:color="auto"/>
      <w:shd w:val="clear" w:color="auto" w:fill="BEE5FF" w:themeFill="background1" w:themeFillTint="33"/>
    </w:rPr>
  </w:style>
  <w:style w:type="paragraph" w:customStyle="1" w:styleId="OpiPara">
    <w:name w:val="Opi_Para"/>
    <w:basedOn w:val="ECHRPara"/>
    <w:uiPriority w:val="46"/>
    <w:semiHidden/>
    <w:qFormat/>
    <w:rsid w:val="00753C92"/>
  </w:style>
  <w:style w:type="paragraph" w:customStyle="1" w:styleId="JuCourt">
    <w:name w:val="Ju_Court"/>
    <w:basedOn w:val="Normale"/>
    <w:next w:val="Normale"/>
    <w:uiPriority w:val="16"/>
    <w:qFormat/>
    <w:rsid w:val="00753C92"/>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753C92"/>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753C92"/>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753C92"/>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753C92"/>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753C92"/>
    <w:rPr>
      <w:sz w:val="24"/>
      <w:lang w:val="en-GB"/>
    </w:rPr>
  </w:style>
  <w:style w:type="character" w:customStyle="1" w:styleId="Titolo1Carattere">
    <w:name w:val="Titolo 1 Carattere"/>
    <w:basedOn w:val="Carpredefinitoparagrafo"/>
    <w:link w:val="Titolo1"/>
    <w:uiPriority w:val="99"/>
    <w:semiHidden/>
    <w:rsid w:val="00753C92"/>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Titolo4"/>
    <w:next w:val="ECHRPara"/>
    <w:uiPriority w:val="22"/>
    <w:qFormat/>
    <w:rsid w:val="00753C92"/>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753C92"/>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753C92"/>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Titolo6"/>
    <w:next w:val="ECHRPara"/>
    <w:uiPriority w:val="24"/>
    <w:qFormat/>
    <w:rsid w:val="00753C92"/>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753C92"/>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753C92"/>
    <w:rPr>
      <w:rFonts w:asciiTheme="majorHAnsi" w:eastAsiaTheme="majorEastAsia" w:hAnsiTheme="majorHAnsi" w:cstheme="majorBidi"/>
      <w:b/>
      <w:bCs/>
      <w:color w:val="5F5F5F"/>
      <w:sz w:val="24"/>
      <w:lang w:val="en-GB"/>
    </w:rPr>
  </w:style>
  <w:style w:type="paragraph" w:customStyle="1" w:styleId="JuParaLast">
    <w:name w:val="Ju_Para_Last"/>
    <w:basedOn w:val="Normale"/>
    <w:next w:val="ECHRPara"/>
    <w:uiPriority w:val="30"/>
    <w:qFormat/>
    <w:rsid w:val="00753C92"/>
    <w:pPr>
      <w:keepNext/>
      <w:keepLines/>
      <w:spacing w:before="240"/>
      <w:ind w:firstLine="284"/>
    </w:pPr>
  </w:style>
  <w:style w:type="paragraph" w:customStyle="1" w:styleId="DecList">
    <w:name w:val="Dec_List"/>
    <w:basedOn w:val="Normale"/>
    <w:uiPriority w:val="9"/>
    <w:qFormat/>
    <w:rsid w:val="00753C92"/>
    <w:pPr>
      <w:spacing w:before="240"/>
      <w:ind w:left="284"/>
    </w:pPr>
  </w:style>
  <w:style w:type="character" w:customStyle="1" w:styleId="Titolo4Carattere">
    <w:name w:val="Titolo 4 Carattere"/>
    <w:basedOn w:val="Carpredefinitoparagrafo"/>
    <w:link w:val="Titolo4"/>
    <w:uiPriority w:val="99"/>
    <w:semiHidden/>
    <w:rsid w:val="00753C92"/>
    <w:rPr>
      <w:rFonts w:asciiTheme="majorHAnsi" w:eastAsiaTheme="majorEastAsia" w:hAnsiTheme="majorHAnsi" w:cstheme="majorBidi"/>
      <w:b/>
      <w:bCs/>
      <w:i/>
      <w:iCs/>
      <w:color w:val="777777"/>
      <w:sz w:val="24"/>
      <w:lang w:val="en-GB"/>
    </w:rPr>
  </w:style>
  <w:style w:type="paragraph" w:customStyle="1" w:styleId="ECHRDecisionBody">
    <w:name w:val="ECHR_Decision_Body"/>
    <w:aliases w:val="Ju_Judges"/>
    <w:basedOn w:val="Normale"/>
    <w:uiPriority w:val="11"/>
    <w:qFormat/>
    <w:rsid w:val="00753C92"/>
    <w:pPr>
      <w:tabs>
        <w:tab w:val="left" w:pos="567"/>
        <w:tab w:val="left" w:pos="1134"/>
      </w:tabs>
      <w:jc w:val="left"/>
    </w:pPr>
  </w:style>
  <w:style w:type="character" w:customStyle="1" w:styleId="Titolo5Carattere">
    <w:name w:val="Titolo 5 Carattere"/>
    <w:basedOn w:val="Carpredefinitoparagrafo"/>
    <w:link w:val="Titolo5"/>
    <w:uiPriority w:val="99"/>
    <w:semiHidden/>
    <w:rsid w:val="00753C92"/>
    <w:rPr>
      <w:rFonts w:asciiTheme="majorHAnsi" w:eastAsiaTheme="majorEastAsia" w:hAnsiTheme="majorHAnsi" w:cstheme="majorBidi"/>
      <w:b/>
      <w:bCs/>
      <w:color w:val="808080"/>
    </w:rPr>
  </w:style>
  <w:style w:type="paragraph" w:customStyle="1" w:styleId="JuList">
    <w:name w:val="Ju_List"/>
    <w:basedOn w:val="Normale"/>
    <w:uiPriority w:val="28"/>
    <w:qFormat/>
    <w:rsid w:val="00753C92"/>
    <w:pPr>
      <w:ind w:left="340" w:hanging="340"/>
    </w:pPr>
  </w:style>
  <w:style w:type="paragraph" w:customStyle="1" w:styleId="JuLista">
    <w:name w:val="Ju_List_a"/>
    <w:basedOn w:val="JuList"/>
    <w:uiPriority w:val="28"/>
    <w:qFormat/>
    <w:rsid w:val="00753C92"/>
    <w:pPr>
      <w:ind w:left="346" w:firstLine="0"/>
    </w:pPr>
  </w:style>
  <w:style w:type="character" w:styleId="Enfasidelicata">
    <w:name w:val="Subtle Emphasis"/>
    <w:uiPriority w:val="99"/>
    <w:semiHidden/>
    <w:qFormat/>
    <w:rsid w:val="00753C92"/>
    <w:rPr>
      <w:i/>
      <w:iCs/>
    </w:rPr>
  </w:style>
  <w:style w:type="paragraph" w:customStyle="1" w:styleId="JuListi">
    <w:name w:val="Ju_List_i"/>
    <w:basedOn w:val="Normale"/>
    <w:next w:val="JuLista"/>
    <w:uiPriority w:val="28"/>
    <w:qFormat/>
    <w:rsid w:val="00753C92"/>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ParaSub">
    <w:name w:val="Opi_Para_Sub"/>
    <w:basedOn w:val="JuParaSub"/>
    <w:uiPriority w:val="47"/>
    <w:semiHidden/>
    <w:qFormat/>
    <w:rsid w:val="00753C92"/>
  </w:style>
  <w:style w:type="paragraph" w:customStyle="1" w:styleId="OpiQuot">
    <w:name w:val="Opi_Quot"/>
    <w:basedOn w:val="ECHRParaQuote"/>
    <w:uiPriority w:val="48"/>
    <w:semiHidden/>
    <w:qFormat/>
    <w:rsid w:val="00753C92"/>
  </w:style>
  <w:style w:type="paragraph" w:customStyle="1" w:styleId="ECHRTitleCentre2">
    <w:name w:val="ECHR_Title_Centre_2"/>
    <w:aliases w:val="Dec_H_Case"/>
    <w:basedOn w:val="Normale"/>
    <w:next w:val="ECHRPara"/>
    <w:uiPriority w:val="8"/>
    <w:qFormat/>
    <w:rsid w:val="00753C92"/>
    <w:pPr>
      <w:spacing w:after="240"/>
      <w:jc w:val="center"/>
      <w:outlineLvl w:val="0"/>
    </w:pPr>
    <w:rPr>
      <w:rFonts w:asciiTheme="majorHAnsi" w:hAnsiTheme="majorHAnsi"/>
    </w:rPr>
  </w:style>
  <w:style w:type="character" w:styleId="Enfasicorsivo">
    <w:name w:val="Emphasis"/>
    <w:uiPriority w:val="99"/>
    <w:semiHidden/>
    <w:qFormat/>
    <w:rsid w:val="00753C92"/>
    <w:rPr>
      <w:b/>
      <w:bCs/>
      <w:i/>
      <w:iCs/>
      <w:spacing w:val="10"/>
      <w:bdr w:val="none" w:sz="0" w:space="0" w:color="auto"/>
      <w:shd w:val="clear" w:color="auto" w:fill="auto"/>
    </w:rPr>
  </w:style>
  <w:style w:type="paragraph" w:styleId="Pidipagina">
    <w:name w:val="footer"/>
    <w:basedOn w:val="Normale"/>
    <w:link w:val="PidipaginaCarattere"/>
    <w:uiPriority w:val="57"/>
    <w:semiHidden/>
    <w:rsid w:val="00753C92"/>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753C92"/>
    <w:rPr>
      <w:sz w:val="24"/>
      <w:lang w:val="en-GB"/>
    </w:rPr>
  </w:style>
  <w:style w:type="character" w:styleId="Rimandonotaapidipagina">
    <w:name w:val="footnote reference"/>
    <w:basedOn w:val="Carpredefinitoparagrafo"/>
    <w:uiPriority w:val="99"/>
    <w:semiHidden/>
    <w:rsid w:val="00753C92"/>
    <w:rPr>
      <w:vertAlign w:val="superscript"/>
    </w:rPr>
  </w:style>
  <w:style w:type="paragraph" w:styleId="Testonotaapidipagina">
    <w:name w:val="footnote text"/>
    <w:basedOn w:val="Normale"/>
    <w:link w:val="TestonotaapidipaginaCarattere"/>
    <w:uiPriority w:val="99"/>
    <w:semiHidden/>
    <w:rsid w:val="00753C92"/>
    <w:rPr>
      <w:sz w:val="20"/>
      <w:szCs w:val="20"/>
    </w:rPr>
  </w:style>
  <w:style w:type="character" w:customStyle="1" w:styleId="TestonotaapidipaginaCarattere">
    <w:name w:val="Testo nota a piè di pagina Carattere"/>
    <w:basedOn w:val="Carpredefinitoparagrafo"/>
    <w:link w:val="Testonotaapidipagina"/>
    <w:uiPriority w:val="99"/>
    <w:semiHidden/>
    <w:rsid w:val="00753C92"/>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753C92"/>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753C92"/>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753C92"/>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753C92"/>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753C92"/>
    <w:rPr>
      <w:color w:val="0072BC" w:themeColor="hyperlink"/>
      <w:u w:val="single"/>
    </w:rPr>
  </w:style>
  <w:style w:type="character" w:styleId="Enfasiintensa">
    <w:name w:val="Intense Emphasis"/>
    <w:uiPriority w:val="99"/>
    <w:semiHidden/>
    <w:qFormat/>
    <w:rsid w:val="00753C92"/>
    <w:rPr>
      <w:b/>
      <w:bCs/>
    </w:rPr>
  </w:style>
  <w:style w:type="paragraph" w:styleId="Citazioneintensa">
    <w:name w:val="Intense Quote"/>
    <w:basedOn w:val="Normale"/>
    <w:next w:val="Normale"/>
    <w:link w:val="CitazioneintensaCarattere"/>
    <w:uiPriority w:val="99"/>
    <w:semiHidden/>
    <w:qFormat/>
    <w:rsid w:val="00753C92"/>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753C92"/>
    <w:rPr>
      <w:rFonts w:eastAsiaTheme="minorEastAsia"/>
      <w:b/>
      <w:bCs/>
      <w:i/>
      <w:iCs/>
      <w:lang w:bidi="en-US"/>
    </w:rPr>
  </w:style>
  <w:style w:type="character" w:styleId="Riferimentointenso">
    <w:name w:val="Intense Reference"/>
    <w:uiPriority w:val="99"/>
    <w:semiHidden/>
    <w:qFormat/>
    <w:rsid w:val="00753C92"/>
    <w:rPr>
      <w:smallCaps/>
      <w:spacing w:val="5"/>
      <w:u w:val="single"/>
    </w:rPr>
  </w:style>
  <w:style w:type="paragraph" w:styleId="Paragrafoelenco">
    <w:name w:val="List Paragraph"/>
    <w:basedOn w:val="Normale"/>
    <w:uiPriority w:val="99"/>
    <w:semiHidden/>
    <w:qFormat/>
    <w:rsid w:val="00753C92"/>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753C92"/>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753C92"/>
    <w:rPr>
      <w:rFonts w:eastAsiaTheme="minorEastAsia"/>
      <w:i/>
      <w:iCs/>
      <w:lang w:bidi="en-US"/>
    </w:rPr>
  </w:style>
  <w:style w:type="character" w:styleId="Riferimentodelicato">
    <w:name w:val="Subtle Reference"/>
    <w:uiPriority w:val="99"/>
    <w:semiHidden/>
    <w:qFormat/>
    <w:rsid w:val="00753C92"/>
    <w:rPr>
      <w:smallCaps/>
    </w:rPr>
  </w:style>
  <w:style w:type="table" w:styleId="Grigliatabella">
    <w:name w:val="Table Grid"/>
    <w:basedOn w:val="Tabellanormale"/>
    <w:uiPriority w:val="59"/>
    <w:semiHidden/>
    <w:rsid w:val="00753C9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753C9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753C9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753C9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753C92"/>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753C92"/>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753C92"/>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753C92"/>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QuotSub">
    <w:name w:val="Opi_Quot_Sub"/>
    <w:basedOn w:val="JuQuotSub"/>
    <w:uiPriority w:val="49"/>
    <w:semiHidden/>
    <w:qFormat/>
    <w:rsid w:val="00753C92"/>
  </w:style>
  <w:style w:type="paragraph" w:customStyle="1" w:styleId="OpiTranslation">
    <w:name w:val="Opi_Translation"/>
    <w:basedOn w:val="Normale"/>
    <w:next w:val="OpiPara"/>
    <w:uiPriority w:val="40"/>
    <w:semiHidden/>
    <w:qFormat/>
    <w:rsid w:val="00753C92"/>
    <w:pPr>
      <w:jc w:val="center"/>
      <w:outlineLvl w:val="0"/>
    </w:pPr>
    <w:rPr>
      <w:i/>
    </w:rPr>
  </w:style>
  <w:style w:type="paragraph" w:styleId="Sottotitolo">
    <w:name w:val="Subtitle"/>
    <w:basedOn w:val="Normale"/>
    <w:next w:val="Normale"/>
    <w:link w:val="SottotitoloCarattere"/>
    <w:uiPriority w:val="99"/>
    <w:semiHidden/>
    <w:qFormat/>
    <w:rsid w:val="00753C92"/>
    <w:pPr>
      <w:spacing w:after="600"/>
    </w:pPr>
    <w:rPr>
      <w:rFonts w:asciiTheme="majorHAnsi" w:eastAsiaTheme="majorEastAsia" w:hAnsiTheme="majorHAnsi" w:cstheme="majorBidi"/>
      <w:i/>
      <w:iCs/>
      <w:spacing w:val="13"/>
      <w:szCs w:val="24"/>
      <w:lang w:val="en-US" w:bidi="en-US"/>
    </w:rPr>
  </w:style>
  <w:style w:type="paragraph" w:customStyle="1" w:styleId="ECHRPara">
    <w:name w:val="ECHR_Para"/>
    <w:aliases w:val="Ju_Para"/>
    <w:basedOn w:val="Normale"/>
    <w:link w:val="ECHRParaChar"/>
    <w:uiPriority w:val="12"/>
    <w:qFormat/>
    <w:rsid w:val="00753C92"/>
    <w:pPr>
      <w:ind w:firstLine="284"/>
    </w:pPr>
  </w:style>
  <w:style w:type="character" w:customStyle="1" w:styleId="SottotitoloCarattere">
    <w:name w:val="Sottotitolo Carattere"/>
    <w:basedOn w:val="Carpredefinitoparagrafo"/>
    <w:link w:val="Sottotitolo"/>
    <w:uiPriority w:val="99"/>
    <w:semiHidden/>
    <w:rsid w:val="00753C92"/>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753C92"/>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uiPriority w:val="99"/>
    <w:semiHidden/>
    <w:rsid w:val="006544C4"/>
    <w:rPr>
      <w:rFonts w:eastAsiaTheme="minorEastAsia"/>
      <w:sz w:val="20"/>
    </w:rPr>
  </w:style>
  <w:style w:type="paragraph" w:customStyle="1" w:styleId="JuSigned">
    <w:name w:val="Ju_Signed"/>
    <w:basedOn w:val="Normale"/>
    <w:next w:val="JuParaLast"/>
    <w:uiPriority w:val="32"/>
    <w:qFormat/>
    <w:rsid w:val="00753C92"/>
    <w:pPr>
      <w:tabs>
        <w:tab w:val="center" w:pos="851"/>
        <w:tab w:val="center" w:pos="6407"/>
      </w:tabs>
      <w:spacing w:before="720"/>
      <w:jc w:val="left"/>
    </w:pPr>
  </w:style>
  <w:style w:type="paragraph" w:customStyle="1" w:styleId="JuTitle">
    <w:name w:val="Ju_Title"/>
    <w:basedOn w:val="Normale"/>
    <w:next w:val="ECHRPara"/>
    <w:uiPriority w:val="3"/>
    <w:qFormat/>
    <w:rsid w:val="00753C92"/>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753C92"/>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unhideWhenUsed/>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99"/>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99"/>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99"/>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character" w:styleId="Testosegnaposto">
    <w:name w:val="Placeholder Text"/>
    <w:basedOn w:val="Carpredefinitoparagrafo"/>
    <w:uiPriority w:val="99"/>
    <w:semiHidden/>
    <w:rsid w:val="00753C9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753C9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753C9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ECHRFooter">
    <w:name w:val="ECHR_Footer"/>
    <w:aliases w:val="Footer_ECHR"/>
    <w:basedOn w:val="Pidipagina"/>
    <w:uiPriority w:val="57"/>
    <w:semiHidden/>
    <w:rsid w:val="00753C92"/>
    <w:pPr>
      <w:jc w:val="left"/>
    </w:pPr>
    <w:rPr>
      <w:sz w:val="8"/>
    </w:rPr>
  </w:style>
  <w:style w:type="paragraph" w:customStyle="1" w:styleId="ECHRFooterLine">
    <w:name w:val="ECHR_Footer_Line"/>
    <w:aliases w:val="Footer_Line"/>
    <w:basedOn w:val="Normale"/>
    <w:next w:val="ECHRFooter"/>
    <w:uiPriority w:val="57"/>
    <w:semiHidden/>
    <w:rsid w:val="00753C92"/>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e"/>
    <w:next w:val="ECHRPara"/>
    <w:uiPriority w:val="10"/>
    <w:rsid w:val="00753C92"/>
    <w:pPr>
      <w:ind w:firstLine="284"/>
    </w:pPr>
    <w:rPr>
      <w:b/>
    </w:rPr>
  </w:style>
  <w:style w:type="paragraph" w:styleId="Intestazionenota">
    <w:name w:val="Note Heading"/>
    <w:basedOn w:val="Normale"/>
    <w:next w:val="Normale"/>
    <w:uiPriority w:val="99"/>
    <w:semiHidden/>
    <w:rsid w:val="00F85BB2"/>
  </w:style>
  <w:style w:type="paragraph" w:customStyle="1" w:styleId="JuHeaderLandscape">
    <w:name w:val="Ju_Header_Landscape"/>
    <w:basedOn w:val="ECHRHeader"/>
    <w:uiPriority w:val="4"/>
    <w:rsid w:val="00F85BB2"/>
    <w:pPr>
      <w:tabs>
        <w:tab w:val="center" w:pos="6146"/>
        <w:tab w:val="right" w:pos="12293"/>
      </w:tabs>
    </w:pPr>
  </w:style>
  <w:style w:type="character" w:customStyle="1" w:styleId="ECHRParaChar">
    <w:name w:val="ECHR_Para Char"/>
    <w:aliases w:val="Ju_Para Char"/>
    <w:link w:val="ECHRPara"/>
    <w:uiPriority w:val="12"/>
    <w:rsid w:val="00F85BB2"/>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udoc.echr.coe.int/sites/eng/Pages/search.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hudoc.echr.coe.int/sites/eng/Pages/search.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hudoc.echr.coe.int/sites/eng/Pages/search.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hudoc.echr.coe.int/sites/eng/Pages/search.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udoc.echr.coe.int/sites/eng/Pages/search.aspx"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89365-07BE-4D71-9DD7-9B0E214F2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109F0C-275F-40FB-AB72-27A6F76AC05E}">
  <ds:schemaRef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D7A67C8-C32C-4DCB-8B37-DB1A4827EC44}">
  <ds:schemaRefs>
    <ds:schemaRef ds:uri="http://schemas.microsoft.com/sharepoint/v3/contenttype/forms"/>
  </ds:schemaRefs>
</ds:datastoreItem>
</file>

<file path=customXml/itemProps4.xml><?xml version="1.0" encoding="utf-8"?>
<ds:datastoreItem xmlns:ds="http://schemas.openxmlformats.org/officeDocument/2006/customXml" ds:itemID="{04E95C56-0D4A-4B6E-868C-FAD572EB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4422</Words>
  <Characters>25206</Characters>
  <Application>Microsoft Office Word</Application>
  <DocSecurity>4</DocSecurity>
  <Lines>210</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29569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2020-06-08T10:41:00Z</dcterms:created>
  <dcterms:modified xsi:type="dcterms:W3CDTF">2020-06-08T10:41:00Z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11137/13</vt:lpwstr>
  </property>
  <property fmtid="{D5CDD505-2E9C-101B-9397-08002B2CF9AE}" pid="4" name="CASEID">
    <vt:lpwstr>863031</vt:lpwstr>
  </property>
  <property fmtid="{D5CDD505-2E9C-101B-9397-08002B2CF9AE}" pid="5" name="ContentTypeId">
    <vt:lpwstr>0x010100558EB02BDB9E204AB350EDD385B68E10</vt:lpwstr>
  </property>
</Properties>
</file>