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D28F" w14:textId="00F43047" w:rsidR="006544C4" w:rsidRPr="00A1058A" w:rsidRDefault="001F27F3" w:rsidP="00A1058A">
      <w:pPr>
        <w:pStyle w:val="DecHTitle"/>
        <w:rPr>
          <w:sz w:val="4"/>
          <w:szCs w:val="4"/>
        </w:rPr>
      </w:pPr>
      <w:bookmarkStart w:id="0" w:name="_GoBack"/>
      <w:bookmarkEnd w:id="0"/>
      <w:r w:rsidRPr="00A1058A">
        <w:t>PREMIÈRE SECTION</w:t>
      </w:r>
    </w:p>
    <w:p w14:paraId="09AD868D" w14:textId="77777777" w:rsidR="006544C4" w:rsidRPr="00A1058A" w:rsidRDefault="006544C4" w:rsidP="00A1058A">
      <w:pPr>
        <w:pStyle w:val="DecHTitle"/>
        <w:rPr>
          <w:caps/>
          <w:sz w:val="32"/>
        </w:rPr>
      </w:pPr>
      <w:r w:rsidRPr="00A1058A">
        <w:t>DÉCISION</w:t>
      </w:r>
    </w:p>
    <w:p w14:paraId="610F9774" w14:textId="2CC1B837" w:rsidR="006544C4" w:rsidRPr="00A1058A" w:rsidRDefault="001F27F3" w:rsidP="00A1058A">
      <w:pPr>
        <w:pStyle w:val="DecHCase"/>
      </w:pPr>
      <w:r w:rsidRPr="00A1058A">
        <w:t>Requête n</w:t>
      </w:r>
      <w:r w:rsidRPr="00A1058A">
        <w:rPr>
          <w:vertAlign w:val="superscript"/>
        </w:rPr>
        <w:t>o</w:t>
      </w:r>
      <w:r w:rsidR="006544C4" w:rsidRPr="00A1058A">
        <w:t xml:space="preserve"> </w:t>
      </w:r>
      <w:r w:rsidRPr="00A1058A">
        <w:t>3409/16</w:t>
      </w:r>
      <w:r w:rsidR="006544C4" w:rsidRPr="00A1058A">
        <w:br/>
      </w:r>
      <w:r w:rsidRPr="00A1058A">
        <w:t>MAGISTE INTERNATIONAL S.A.</w:t>
      </w:r>
      <w:r w:rsidRPr="00A1058A">
        <w:br/>
      </w:r>
      <w:r w:rsidR="006544C4" w:rsidRPr="00A1058A">
        <w:t xml:space="preserve">contre </w:t>
      </w:r>
      <w:r w:rsidRPr="00A1058A">
        <w:t>l</w:t>
      </w:r>
      <w:r w:rsidR="00A1058A" w:rsidRPr="00A1058A">
        <w:t>’</w:t>
      </w:r>
      <w:r w:rsidRPr="00A1058A">
        <w:t>Italie</w:t>
      </w:r>
    </w:p>
    <w:p w14:paraId="2E321AE1" w14:textId="6B01FF00" w:rsidR="00EC2784" w:rsidRPr="00A1058A" w:rsidRDefault="00EC2784" w:rsidP="00A1058A">
      <w:pPr>
        <w:pStyle w:val="JuParaLast"/>
        <w:rPr>
          <w:rStyle w:val="JuITMark"/>
          <w:shd w:val="clear" w:color="auto" w:fill="auto"/>
        </w:rPr>
      </w:pPr>
    </w:p>
    <w:p w14:paraId="533DE621" w14:textId="7F9C51B9" w:rsidR="001F27F3" w:rsidRPr="00A1058A" w:rsidRDefault="001F27F3" w:rsidP="00A1058A">
      <w:pPr>
        <w:pStyle w:val="JuPara"/>
      </w:pPr>
      <w:r w:rsidRPr="00A1058A">
        <w:t>La Cour européenne des droits de l</w:t>
      </w:r>
      <w:r w:rsidR="00A1058A" w:rsidRPr="00A1058A">
        <w:t>’</w:t>
      </w:r>
      <w:r w:rsidRPr="00A1058A">
        <w:t xml:space="preserve">homme (première section), siégeant le </w:t>
      </w:r>
      <w:r w:rsidR="00CC4AAB" w:rsidRPr="00A1058A">
        <w:t>14</w:t>
      </w:r>
      <w:r w:rsidR="009F5751" w:rsidRPr="00A1058A">
        <w:t> </w:t>
      </w:r>
      <w:r w:rsidR="00CC4AAB" w:rsidRPr="00A1058A">
        <w:t>décembre 2021</w:t>
      </w:r>
      <w:r w:rsidRPr="00A1058A">
        <w:t xml:space="preserve"> en un comité composé de :</w:t>
      </w:r>
    </w:p>
    <w:p w14:paraId="08B26944" w14:textId="41B60205" w:rsidR="001F27F3" w:rsidRPr="00A1058A" w:rsidRDefault="00CC4AAB" w:rsidP="00A1058A">
      <w:pPr>
        <w:pStyle w:val="JuJudges"/>
      </w:pPr>
      <w:r w:rsidRPr="00A1058A">
        <w:tab/>
        <w:t xml:space="preserve">Péter </w:t>
      </w:r>
      <w:proofErr w:type="spellStart"/>
      <w:r w:rsidRPr="00A1058A">
        <w:t>Paczolay</w:t>
      </w:r>
      <w:proofErr w:type="spellEnd"/>
      <w:r w:rsidRPr="00A1058A">
        <w:t>,</w:t>
      </w:r>
      <w:r w:rsidRPr="00A1058A">
        <w:rPr>
          <w:i/>
        </w:rPr>
        <w:t xml:space="preserve"> président,</w:t>
      </w:r>
      <w:r w:rsidRPr="00A1058A">
        <w:rPr>
          <w:i/>
        </w:rPr>
        <w:br/>
      </w:r>
      <w:r w:rsidRPr="00A1058A">
        <w:tab/>
        <w:t xml:space="preserve">Alena </w:t>
      </w:r>
      <w:proofErr w:type="spellStart"/>
      <w:r w:rsidRPr="00A1058A">
        <w:t>Poláčková</w:t>
      </w:r>
      <w:proofErr w:type="spellEnd"/>
      <w:r w:rsidRPr="00A1058A">
        <w:t>,</w:t>
      </w:r>
      <w:r w:rsidRPr="00A1058A">
        <w:rPr>
          <w:i/>
        </w:rPr>
        <w:br/>
      </w:r>
      <w:r w:rsidRPr="00A1058A">
        <w:tab/>
        <w:t>Raffaele Sabato,</w:t>
      </w:r>
      <w:r w:rsidRPr="00A1058A">
        <w:rPr>
          <w:i/>
        </w:rPr>
        <w:t xml:space="preserve"> juges,</w:t>
      </w:r>
    </w:p>
    <w:p w14:paraId="3F7D110C" w14:textId="77777777" w:rsidR="001F27F3" w:rsidRPr="00A1058A" w:rsidRDefault="001F27F3" w:rsidP="00A1058A">
      <w:pPr>
        <w:pStyle w:val="JuPara"/>
      </w:pPr>
      <w:proofErr w:type="gramStart"/>
      <w:r w:rsidRPr="00A1058A">
        <w:t>et</w:t>
      </w:r>
      <w:proofErr w:type="gramEnd"/>
      <w:r w:rsidRPr="00A1058A">
        <w:t xml:space="preserve"> de Liv </w:t>
      </w:r>
      <w:proofErr w:type="spellStart"/>
      <w:r w:rsidRPr="00A1058A">
        <w:t>Tigerstedt</w:t>
      </w:r>
      <w:proofErr w:type="spellEnd"/>
      <w:r w:rsidRPr="00A1058A">
        <w:t xml:space="preserve">, </w:t>
      </w:r>
      <w:r w:rsidRPr="00A1058A">
        <w:rPr>
          <w:i/>
        </w:rPr>
        <w:t>greffière adjointe</w:t>
      </w:r>
      <w:r w:rsidRPr="00A1058A">
        <w:rPr>
          <w:i/>
          <w:iCs/>
        </w:rPr>
        <w:t xml:space="preserve"> d</w:t>
      </w:r>
      <w:r w:rsidRPr="00A1058A">
        <w:rPr>
          <w:i/>
        </w:rPr>
        <w:t>e section</w:t>
      </w:r>
      <w:r w:rsidRPr="00A1058A">
        <w:rPr>
          <w:iCs/>
        </w:rPr>
        <w:t>,</w:t>
      </w:r>
    </w:p>
    <w:p w14:paraId="3C03CDCE" w14:textId="77777777" w:rsidR="001F27F3" w:rsidRPr="00A1058A" w:rsidRDefault="001F27F3" w:rsidP="00A1058A">
      <w:pPr>
        <w:pStyle w:val="JuPara"/>
      </w:pPr>
      <w:r w:rsidRPr="00A1058A">
        <w:t>Vu la requête susmentionnée introduite le 18 décembre 2015,</w:t>
      </w:r>
    </w:p>
    <w:p w14:paraId="78FB2682" w14:textId="77777777" w:rsidR="001F27F3" w:rsidRPr="00A1058A" w:rsidRDefault="001F27F3" w:rsidP="00A1058A">
      <w:pPr>
        <w:pStyle w:val="JuPara"/>
        <w:rPr>
          <w:color w:val="000000"/>
        </w:rPr>
      </w:pPr>
      <w:r w:rsidRPr="00A1058A">
        <w:t>Après en avoir délibéré, rend la décision suivante :</w:t>
      </w:r>
    </w:p>
    <w:p w14:paraId="56013ECA" w14:textId="2118F7B5" w:rsidR="001F27F3" w:rsidRPr="00A1058A" w:rsidRDefault="001F27F3" w:rsidP="00A1058A">
      <w:pPr>
        <w:pStyle w:val="JuHHead"/>
      </w:pPr>
      <w:r w:rsidRPr="00A1058A">
        <w:t>EN FAIT</w:t>
      </w:r>
    </w:p>
    <w:p w14:paraId="08D2A513" w14:textId="66F82287"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1</w:t>
      </w:r>
      <w:r>
        <w:rPr>
          <w:noProof/>
        </w:rPr>
        <w:fldChar w:fldCharType="end"/>
      </w:r>
      <w:r w:rsidR="001F27F3" w:rsidRPr="00A1058A">
        <w:t xml:space="preserve">.  La requérante, </w:t>
      </w:r>
      <w:proofErr w:type="spellStart"/>
      <w:r w:rsidR="001F27F3" w:rsidRPr="00A1058A">
        <w:t>Magiste</w:t>
      </w:r>
      <w:proofErr w:type="spellEnd"/>
      <w:r w:rsidR="001F27F3" w:rsidRPr="00A1058A">
        <w:t xml:space="preserve"> International S.A., est une société de droit luxembourgeois créée en 2001 et ayant son siège administratif en Italie. Elle a été représentée devant la Cour par M</w:t>
      </w:r>
      <w:r w:rsidR="001F27F3" w:rsidRPr="00A1058A">
        <w:rPr>
          <w:vertAlign w:val="superscript"/>
        </w:rPr>
        <w:t>e</w:t>
      </w:r>
      <w:r w:rsidR="001F27F3" w:rsidRPr="00A1058A">
        <w:t xml:space="preserve"> V. </w:t>
      </w:r>
      <w:proofErr w:type="spellStart"/>
      <w:r w:rsidR="001F27F3" w:rsidRPr="00A1058A">
        <w:t>Onida</w:t>
      </w:r>
      <w:proofErr w:type="spellEnd"/>
      <w:r w:rsidR="001F27F3" w:rsidRPr="00A1058A">
        <w:t xml:space="preserve"> et M</w:t>
      </w:r>
      <w:r w:rsidR="001F27F3" w:rsidRPr="00A1058A">
        <w:rPr>
          <w:vertAlign w:val="superscript"/>
        </w:rPr>
        <w:t>e</w:t>
      </w:r>
      <w:r w:rsidR="001F27F3" w:rsidRPr="00A1058A">
        <w:t xml:space="preserve"> B. </w:t>
      </w:r>
      <w:proofErr w:type="spellStart"/>
      <w:r w:rsidR="001F27F3" w:rsidRPr="00A1058A">
        <w:t>Randazzo</w:t>
      </w:r>
      <w:proofErr w:type="spellEnd"/>
      <w:r w:rsidR="001F27F3" w:rsidRPr="00A1058A">
        <w:t>, avocats exerçant à Milan.</w:t>
      </w:r>
    </w:p>
    <w:p w14:paraId="14138DA4" w14:textId="0BD8280D" w:rsidR="001F27F3" w:rsidRPr="00A1058A" w:rsidRDefault="001F27F3" w:rsidP="00A1058A">
      <w:pPr>
        <w:pStyle w:val="JuHA"/>
      </w:pPr>
      <w:r w:rsidRPr="00A1058A">
        <w:t>Les circonstances de l</w:t>
      </w:r>
      <w:r w:rsidR="00A1058A" w:rsidRPr="00A1058A">
        <w:t>’</w:t>
      </w:r>
      <w:r w:rsidRPr="00A1058A">
        <w:t>espèce</w:t>
      </w:r>
    </w:p>
    <w:p w14:paraId="4D2D87D9" w14:textId="57D3FA7B"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w:t>
      </w:r>
      <w:r>
        <w:rPr>
          <w:noProof/>
        </w:rPr>
        <w:fldChar w:fldCharType="end"/>
      </w:r>
      <w:r w:rsidR="001F27F3" w:rsidRPr="00A1058A">
        <w:t>.  Les faits de la cause, tels qu</w:t>
      </w:r>
      <w:r w:rsidR="00A1058A" w:rsidRPr="00A1058A">
        <w:t>’</w:t>
      </w:r>
      <w:r w:rsidR="001F27F3" w:rsidRPr="00A1058A">
        <w:t>ils ont été exposés par la requérante, peuvent se résumer comme suit.</w:t>
      </w:r>
    </w:p>
    <w:p w14:paraId="58C63C34" w14:textId="1281CB73"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w:t>
      </w:r>
      <w:r>
        <w:rPr>
          <w:noProof/>
        </w:rPr>
        <w:fldChar w:fldCharType="end"/>
      </w:r>
      <w:r w:rsidR="001F27F3" w:rsidRPr="00A1058A">
        <w:t>.  Le 16 juin 2006, la requérante introduisit auprès du tribunal de Rome une demande de concordat préventif (</w:t>
      </w:r>
      <w:proofErr w:type="spellStart"/>
      <w:r w:rsidR="001F27F3" w:rsidRPr="00A1058A">
        <w:rPr>
          <w:i/>
          <w:iCs/>
        </w:rPr>
        <w:t>concordato</w:t>
      </w:r>
      <w:proofErr w:type="spellEnd"/>
      <w:r w:rsidR="001F27F3" w:rsidRPr="00A1058A">
        <w:rPr>
          <w:i/>
          <w:iCs/>
        </w:rPr>
        <w:t xml:space="preserve"> </w:t>
      </w:r>
      <w:proofErr w:type="spellStart"/>
      <w:r w:rsidR="001F27F3" w:rsidRPr="00A1058A">
        <w:rPr>
          <w:i/>
          <w:iCs/>
        </w:rPr>
        <w:t>preventivo</w:t>
      </w:r>
      <w:proofErr w:type="spellEnd"/>
      <w:r w:rsidR="001F27F3" w:rsidRPr="00A1058A">
        <w:t>). Soutenant que la saisie dont elle avait fait l</w:t>
      </w:r>
      <w:r w:rsidR="00A1058A" w:rsidRPr="00A1058A">
        <w:t>’</w:t>
      </w:r>
      <w:r w:rsidR="001F27F3" w:rsidRPr="00A1058A">
        <w:t>objet dans le cadre d</w:t>
      </w:r>
      <w:r w:rsidR="00A1058A" w:rsidRPr="00A1058A">
        <w:t>’</w:t>
      </w:r>
      <w:r w:rsidR="001F27F3" w:rsidRPr="00A1058A">
        <w:t>une procédure pénale dirigée contre elle (RG n</w:t>
      </w:r>
      <w:r w:rsidR="001F27F3" w:rsidRPr="00A1058A">
        <w:rPr>
          <w:vertAlign w:val="superscript"/>
        </w:rPr>
        <w:t>o</w:t>
      </w:r>
      <w:r w:rsidR="001F27F3" w:rsidRPr="00A1058A">
        <w:t> 19195/05) n</w:t>
      </w:r>
      <w:r w:rsidR="00A1058A" w:rsidRPr="00A1058A">
        <w:t>’</w:t>
      </w:r>
      <w:r w:rsidR="001F27F3" w:rsidRPr="00A1058A">
        <w:t>était plus justifiée,</w:t>
      </w:r>
      <w:r w:rsidR="001F27F3" w:rsidRPr="00A1058A" w:rsidDel="00BA2C39">
        <w:t xml:space="preserve"> </w:t>
      </w:r>
      <w:r w:rsidR="001F27F3" w:rsidRPr="00A1058A">
        <w:t>elle affirma pouvoir déposer à titre de garantie la somme de 71 millions d</w:t>
      </w:r>
      <w:r w:rsidR="00A1058A" w:rsidRPr="00A1058A">
        <w:t>’</w:t>
      </w:r>
      <w:r w:rsidR="001F27F3" w:rsidRPr="00A1058A">
        <w:t>euros, objet de la saisie.</w:t>
      </w:r>
    </w:p>
    <w:bookmarkStart w:id="1" w:name="DEMANDE_PM_AUDIENCE_MAGISTE"/>
    <w:p w14:paraId="2325727F" w14:textId="7BB03727"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4</w:t>
      </w:r>
      <w:r w:rsidRPr="00A1058A">
        <w:fldChar w:fldCharType="end"/>
      </w:r>
      <w:bookmarkEnd w:id="1"/>
      <w:r w:rsidRPr="00A1058A">
        <w:t>.  Le 26 juin 2006, le ministère public de Rome s</w:t>
      </w:r>
      <w:r w:rsidR="00A1058A" w:rsidRPr="00A1058A">
        <w:t>’</w:t>
      </w:r>
      <w:r w:rsidRPr="00A1058A">
        <w:t>y opposa et demanda au tribunal de déclarer la faillite de la société. À l</w:t>
      </w:r>
      <w:r w:rsidR="00A1058A" w:rsidRPr="00A1058A">
        <w:t>’</w:t>
      </w:r>
      <w:r w:rsidRPr="00A1058A">
        <w:t xml:space="preserve">audience du 10 juillet 2006, la requérante contesta la demande du parquet et plaida en faveur du concordat </w:t>
      </w:r>
      <w:r w:rsidRPr="00A1058A">
        <w:lastRenderedPageBreak/>
        <w:t>préventif. Elle déposa des observations écrites, faisant valoir en particulier qu</w:t>
      </w:r>
      <w:r w:rsidR="00A1058A" w:rsidRPr="00A1058A">
        <w:t>’</w:t>
      </w:r>
      <w:r w:rsidRPr="00A1058A">
        <w:t>elle ne se trouvait pas en situation d</w:t>
      </w:r>
      <w:r w:rsidR="00A1058A" w:rsidRPr="00A1058A">
        <w:t>’</w:t>
      </w:r>
      <w:r w:rsidRPr="00A1058A">
        <w:t>insolvabilité mais de « crise financière temporaire » et que cela était due à des mesures conservatoires touchant son patrimoine. Elle allégua en particulier que la somme indiquée dans sa demande de concordat préventif ne constituait pas le produit d</w:t>
      </w:r>
      <w:r w:rsidR="00A1058A" w:rsidRPr="00A1058A">
        <w:t>’</w:t>
      </w:r>
      <w:r w:rsidRPr="00A1058A">
        <w:t>une infraction et pouvait ainsi être dessaisie et versée en garantie. Par la suite, le parquet de Milan communiqua au tribunal son avis favorable à la mainlevée de la mesure conservatoire.</w:t>
      </w:r>
    </w:p>
    <w:p w14:paraId="6EA640F5" w14:textId="20760F17"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5</w:t>
      </w:r>
      <w:r>
        <w:rPr>
          <w:noProof/>
        </w:rPr>
        <w:fldChar w:fldCharType="end"/>
      </w:r>
      <w:r w:rsidR="001F27F3" w:rsidRPr="00A1058A">
        <w:t>.  Le 16 juillet 2006, le décret législatif n</w:t>
      </w:r>
      <w:r w:rsidR="001F27F3" w:rsidRPr="00A1058A">
        <w:rPr>
          <w:vertAlign w:val="superscript"/>
        </w:rPr>
        <w:t>o</w:t>
      </w:r>
      <w:r w:rsidR="001F27F3" w:rsidRPr="00A1058A">
        <w:t xml:space="preserve"> 5 de 2006 modifiant la loi sur la faillite entra en vigueur.</w:t>
      </w:r>
    </w:p>
    <w:bookmarkStart w:id="2" w:name="CONCORDATO_CONDIZIONATO"/>
    <w:p w14:paraId="7B16FA80" w14:textId="7D63E4F6"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6</w:t>
      </w:r>
      <w:r w:rsidRPr="00A1058A">
        <w:fldChar w:fldCharType="end"/>
      </w:r>
      <w:bookmarkEnd w:id="2"/>
      <w:r w:rsidRPr="00A1058A">
        <w:t>.  Le 13 novembre 2006, le tribunal de Rome ouvrit la procédure de concordat préventif sous condition du dépôt des 71 millions d</w:t>
      </w:r>
      <w:r w:rsidR="00A1058A" w:rsidRPr="00A1058A">
        <w:t>’</w:t>
      </w:r>
      <w:r w:rsidRPr="00A1058A">
        <w:t>euros saisis.</w:t>
      </w:r>
    </w:p>
    <w:bookmarkStart w:id="3" w:name="DECISION_FAILLITE"/>
    <w:p w14:paraId="3B94F850" w14:textId="71240D67"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7</w:t>
      </w:r>
      <w:r w:rsidRPr="00A1058A">
        <w:fldChar w:fldCharType="end"/>
      </w:r>
      <w:bookmarkEnd w:id="3"/>
      <w:r w:rsidRPr="00A1058A">
        <w:t>.  Le 18 janvier 2007, constatant que le tribunal de Milan avait maintenu la saisie sur le patrimoine de la requérante, le tribunal de Rome déclara la faillite de la requérante. Pour ce faire, il considéra que la demande du parquet datée du 26 juin 2006 était toujours recevable et que le droit de la requérante à être entendue avait été respecté au cours de la procédure de concordat préventif, lors de l</w:t>
      </w:r>
      <w:r w:rsidR="00A1058A" w:rsidRPr="00A1058A">
        <w:t>’</w:t>
      </w:r>
      <w:r w:rsidRPr="00A1058A">
        <w:t>audience du 10 juillet 2006. Quant aux normes applicables, se fondant sur les passages pertinents du rapport de présentation (</w:t>
      </w:r>
      <w:proofErr w:type="spellStart"/>
      <w:r w:rsidRPr="00A1058A">
        <w:rPr>
          <w:i/>
          <w:iCs/>
        </w:rPr>
        <w:t>relazione</w:t>
      </w:r>
      <w:proofErr w:type="spellEnd"/>
      <w:r w:rsidRPr="00A1058A">
        <w:rPr>
          <w:i/>
          <w:iCs/>
        </w:rPr>
        <w:t xml:space="preserve"> d</w:t>
      </w:r>
      <w:r w:rsidR="00A1058A" w:rsidRPr="00A1058A">
        <w:rPr>
          <w:i/>
          <w:iCs/>
        </w:rPr>
        <w:t>’</w:t>
      </w:r>
      <w:proofErr w:type="spellStart"/>
      <w:r w:rsidRPr="00A1058A">
        <w:rPr>
          <w:i/>
          <w:iCs/>
        </w:rPr>
        <w:t>accompagnamento</w:t>
      </w:r>
      <w:proofErr w:type="spellEnd"/>
      <w:r w:rsidRPr="00A1058A">
        <w:t>) du décret législatif n</w:t>
      </w:r>
      <w:r w:rsidRPr="00A1058A">
        <w:rPr>
          <w:vertAlign w:val="superscript"/>
        </w:rPr>
        <w:t>o</w:t>
      </w:r>
      <w:r w:rsidRPr="00A1058A">
        <w:t xml:space="preserve"> 5 de 2006, le tribunal appliqua la règlementation antérieure à la réforme.</w:t>
      </w:r>
    </w:p>
    <w:bookmarkStart w:id="4" w:name="OPPOSITION"/>
    <w:p w14:paraId="5D06D99F" w14:textId="3BD06D89"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8</w:t>
      </w:r>
      <w:r w:rsidRPr="00A1058A">
        <w:fldChar w:fldCharType="end"/>
      </w:r>
      <w:bookmarkEnd w:id="4"/>
      <w:r w:rsidRPr="00A1058A">
        <w:t>.  Le 2 février 2007, la requérante introduisit un recours en opposition pour obtenir la révocation de la faillite. Elle contesta la légalité de la décision du tribunal de Rome, alléguant que la demande de faillite présentée par le parquet avait été rejetée dès lors que la procédure de concordat préventif avait été ouverte, et que, de ce fait, le tribunal ne pouvait pas prononcer la faillite. Elle se plaignit aussi de l</w:t>
      </w:r>
      <w:r w:rsidR="00A1058A" w:rsidRPr="00A1058A">
        <w:t>’</w:t>
      </w:r>
      <w:r w:rsidRPr="00A1058A">
        <w:t>absence d</w:t>
      </w:r>
      <w:r w:rsidR="00A1058A" w:rsidRPr="00A1058A">
        <w:t>’</w:t>
      </w:r>
      <w:r w:rsidRPr="00A1058A">
        <w:t>une audience qui lui aurait permis de faire valoir ses droits. S</w:t>
      </w:r>
      <w:r w:rsidR="00A1058A" w:rsidRPr="00A1058A">
        <w:t>’</w:t>
      </w:r>
      <w:r w:rsidRPr="00A1058A">
        <w:t>appuyant sur la jurisprudence de la Cour de cassation (arrêt n</w:t>
      </w:r>
      <w:r w:rsidRPr="00A1058A">
        <w:rPr>
          <w:vertAlign w:val="superscript"/>
        </w:rPr>
        <w:t>o</w:t>
      </w:r>
      <w:r w:rsidRPr="00A1058A">
        <w:t> 7471/2008), le syndic de faillite argua quant à lui que la version modifiée de la loi sur la faillite devait s</w:t>
      </w:r>
      <w:r w:rsidR="00A1058A" w:rsidRPr="00A1058A">
        <w:t>’</w:t>
      </w:r>
      <w:r w:rsidRPr="00A1058A">
        <w:t>appliquer à la procédure et que le recours en opposition était par conséquent irrecevable.</w:t>
      </w:r>
    </w:p>
    <w:bookmarkStart w:id="5" w:name="TRIBUNAL_OPPOSITION"/>
    <w:p w14:paraId="6AD78A51" w14:textId="092C7264"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9</w:t>
      </w:r>
      <w:r w:rsidRPr="00A1058A">
        <w:fldChar w:fldCharType="end"/>
      </w:r>
      <w:bookmarkEnd w:id="5"/>
      <w:r w:rsidRPr="00A1058A">
        <w:t>.  Dans sa décision du 26 septembre 2008, le tribunal de Rome rejeta d</w:t>
      </w:r>
      <w:r w:rsidR="00A1058A" w:rsidRPr="00A1058A">
        <w:t>’</w:t>
      </w:r>
      <w:r w:rsidRPr="00A1058A">
        <w:t>abord l</w:t>
      </w:r>
      <w:r w:rsidR="00A1058A" w:rsidRPr="00A1058A">
        <w:t>’</w:t>
      </w:r>
      <w:r w:rsidRPr="00A1058A">
        <w:t>exception du syndic, affirmant que la procédure de faillite devait être considérée dans sa globalité (</w:t>
      </w:r>
      <w:proofErr w:type="spellStart"/>
      <w:r w:rsidRPr="00A1058A">
        <w:rPr>
          <w:i/>
          <w:iCs/>
        </w:rPr>
        <w:t>unitarietà</w:t>
      </w:r>
      <w:proofErr w:type="spellEnd"/>
      <w:r w:rsidRPr="00A1058A">
        <w:rPr>
          <w:i/>
          <w:iCs/>
        </w:rPr>
        <w:t xml:space="preserve"> </w:t>
      </w:r>
      <w:proofErr w:type="spellStart"/>
      <w:r w:rsidRPr="00A1058A">
        <w:rPr>
          <w:i/>
          <w:iCs/>
        </w:rPr>
        <w:t>della</w:t>
      </w:r>
      <w:proofErr w:type="spellEnd"/>
      <w:r w:rsidRPr="00A1058A">
        <w:rPr>
          <w:i/>
          <w:iCs/>
        </w:rPr>
        <w:t xml:space="preserve"> </w:t>
      </w:r>
      <w:proofErr w:type="spellStart"/>
      <w:r w:rsidRPr="00A1058A">
        <w:rPr>
          <w:i/>
          <w:iCs/>
        </w:rPr>
        <w:t>procedura</w:t>
      </w:r>
      <w:proofErr w:type="spellEnd"/>
      <w:r w:rsidRPr="00A1058A">
        <w:t>), de sorte que l</w:t>
      </w:r>
      <w:r w:rsidR="00A1058A" w:rsidRPr="00A1058A">
        <w:t>’</w:t>
      </w:r>
      <w:r w:rsidRPr="00A1058A">
        <w:t>ancienne loi était applicable, même si la décision d</w:t>
      </w:r>
      <w:r w:rsidR="00A1058A" w:rsidRPr="00A1058A">
        <w:t>’</w:t>
      </w:r>
      <w:r w:rsidRPr="00A1058A">
        <w:t>ouvrir la procédure de faillite avait été prononcée après l</w:t>
      </w:r>
      <w:r w:rsidR="00A1058A" w:rsidRPr="00A1058A">
        <w:t>’</w:t>
      </w:r>
      <w:r w:rsidRPr="00A1058A">
        <w:t>entrée en vigueur du décret législatif. Il jugea ensuite que la demande de concordat préventif était irrecevable dès l</w:t>
      </w:r>
      <w:r w:rsidR="00A1058A" w:rsidRPr="00A1058A">
        <w:t>’</w:t>
      </w:r>
      <w:r w:rsidRPr="00A1058A">
        <w:t>origine, car elle avait été soumise à une condition, la mainlevée de la saisie, dont l</w:t>
      </w:r>
      <w:r w:rsidR="00A1058A" w:rsidRPr="00A1058A">
        <w:t>’</w:t>
      </w:r>
      <w:r w:rsidRPr="00A1058A">
        <w:t xml:space="preserve">existence était incertaine, et que, une fois la demande rejetée, </w:t>
      </w:r>
      <w:bookmarkStart w:id="6" w:name="_Hlk87286252"/>
      <w:r w:rsidRPr="00A1058A">
        <w:t>le tribunal de première instance aurait dû</w:t>
      </w:r>
      <w:bookmarkEnd w:id="6"/>
      <w:r w:rsidRPr="00A1058A">
        <w:t>, en vertu de l</w:t>
      </w:r>
      <w:r w:rsidR="00A1058A" w:rsidRPr="00A1058A">
        <w:t>’</w:t>
      </w:r>
      <w:r w:rsidRPr="00A1058A">
        <w:t>article 162 de la loi sur la faillite, déclarer d</w:t>
      </w:r>
      <w:r w:rsidR="00A1058A" w:rsidRPr="00A1058A">
        <w:t>’</w:t>
      </w:r>
      <w:r w:rsidRPr="00A1058A">
        <w:t xml:space="preserve">office la faillite de la requérante. Quant au respect des </w:t>
      </w:r>
      <w:proofErr w:type="gramStart"/>
      <w:r w:rsidRPr="00A1058A">
        <w:t>droits</w:t>
      </w:r>
      <w:proofErr w:type="gramEnd"/>
      <w:r w:rsidRPr="00A1058A">
        <w:t xml:space="preserve"> de la défense, il estima que le principe du contradictoire avait été respecté lors de l</w:t>
      </w:r>
      <w:r w:rsidR="00A1058A" w:rsidRPr="00A1058A">
        <w:t>’</w:t>
      </w:r>
      <w:r w:rsidRPr="00A1058A">
        <w:t>audience du 10 juillet 2006 et qu</w:t>
      </w:r>
      <w:r w:rsidR="00A1058A" w:rsidRPr="00A1058A">
        <w:t>’</w:t>
      </w:r>
      <w:r w:rsidRPr="00A1058A">
        <w:t>en l</w:t>
      </w:r>
      <w:r w:rsidR="00A1058A" w:rsidRPr="00A1058A">
        <w:t>’</w:t>
      </w:r>
      <w:r w:rsidRPr="00A1058A">
        <w:t xml:space="preserve">absence de « faits </w:t>
      </w:r>
      <w:r w:rsidRPr="00A1058A">
        <w:lastRenderedPageBreak/>
        <w:t>nouveaux » (</w:t>
      </w:r>
      <w:proofErr w:type="spellStart"/>
      <w:r w:rsidRPr="00A1058A">
        <w:rPr>
          <w:i/>
          <w:iCs/>
        </w:rPr>
        <w:t>fatti</w:t>
      </w:r>
      <w:proofErr w:type="spellEnd"/>
      <w:r w:rsidRPr="00A1058A">
        <w:rPr>
          <w:i/>
          <w:iCs/>
        </w:rPr>
        <w:t xml:space="preserve"> </w:t>
      </w:r>
      <w:proofErr w:type="spellStart"/>
      <w:r w:rsidRPr="00A1058A">
        <w:rPr>
          <w:i/>
          <w:iCs/>
        </w:rPr>
        <w:t>nuovi</w:t>
      </w:r>
      <w:proofErr w:type="spellEnd"/>
      <w:r w:rsidRPr="00A1058A">
        <w:t>) la faillite pouvait être prononcée sans obligation d</w:t>
      </w:r>
      <w:r w:rsidR="00A1058A" w:rsidRPr="00A1058A">
        <w:t>’</w:t>
      </w:r>
      <w:r w:rsidRPr="00A1058A">
        <w:t>entendre à nouveau la requérante.</w:t>
      </w:r>
    </w:p>
    <w:p w14:paraId="69E2324B" w14:textId="18321D67" w:rsidR="001F27F3" w:rsidRPr="00A1058A" w:rsidRDefault="00441942" w:rsidP="00A1058A">
      <w:pPr>
        <w:pStyle w:val="JuPara"/>
      </w:pPr>
      <w:r>
        <w:rPr>
          <w:noProof/>
        </w:rPr>
        <w:fldChar w:fldCharType="begin"/>
      </w:r>
      <w:r>
        <w:rPr>
          <w:noProof/>
        </w:rPr>
        <w:instrText xml:space="preserve"> SEQ level0 \*arabic \* MERGEFORM</w:instrText>
      </w:r>
      <w:r>
        <w:rPr>
          <w:noProof/>
        </w:rPr>
        <w:instrText xml:space="preserve">AT </w:instrText>
      </w:r>
      <w:r>
        <w:rPr>
          <w:noProof/>
        </w:rPr>
        <w:fldChar w:fldCharType="separate"/>
      </w:r>
      <w:r w:rsidR="00A1058A" w:rsidRPr="00A1058A">
        <w:rPr>
          <w:noProof/>
        </w:rPr>
        <w:t>10</w:t>
      </w:r>
      <w:r>
        <w:rPr>
          <w:noProof/>
        </w:rPr>
        <w:fldChar w:fldCharType="end"/>
      </w:r>
      <w:r w:rsidR="001F27F3" w:rsidRPr="00A1058A">
        <w:t>.  Le 16 octobre 2008, la requérante attaqua devant la cour d</w:t>
      </w:r>
      <w:r w:rsidR="00A1058A" w:rsidRPr="00A1058A">
        <w:t>’</w:t>
      </w:r>
      <w:r w:rsidR="001F27F3" w:rsidRPr="00A1058A">
        <w:t>appel de Rome la décision du 26 septembre 2008. Dans son appel incident (</w:t>
      </w:r>
      <w:proofErr w:type="spellStart"/>
      <w:r w:rsidR="001F27F3" w:rsidRPr="00A1058A">
        <w:rPr>
          <w:i/>
          <w:iCs/>
        </w:rPr>
        <w:t>appello</w:t>
      </w:r>
      <w:proofErr w:type="spellEnd"/>
      <w:r w:rsidR="006D614E" w:rsidRPr="00A1058A">
        <w:rPr>
          <w:i/>
          <w:iCs/>
        </w:rPr>
        <w:t> </w:t>
      </w:r>
      <w:r w:rsidR="001F27F3" w:rsidRPr="00A1058A">
        <w:rPr>
          <w:i/>
          <w:iCs/>
        </w:rPr>
        <w:t>incidentale</w:t>
      </w:r>
      <w:r w:rsidR="001F27F3" w:rsidRPr="00A1058A">
        <w:t>), le syndic de faillite, invoquant à nouveau l</w:t>
      </w:r>
      <w:r w:rsidR="00A1058A" w:rsidRPr="00A1058A">
        <w:t>’</w:t>
      </w:r>
      <w:r w:rsidR="001F27F3" w:rsidRPr="00A1058A">
        <w:t>application de la nouvelle loi, excipa l</w:t>
      </w:r>
      <w:r w:rsidR="00A1058A" w:rsidRPr="00A1058A">
        <w:t>’</w:t>
      </w:r>
      <w:r w:rsidR="001F27F3" w:rsidRPr="00A1058A">
        <w:t>irrecevabilité du recours en opposition formé par la requérante.</w:t>
      </w:r>
    </w:p>
    <w:bookmarkStart w:id="7" w:name="COUR_APPEL"/>
    <w:p w14:paraId="25B0649A" w14:textId="3F9583E0"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11</w:t>
      </w:r>
      <w:r w:rsidRPr="00A1058A">
        <w:fldChar w:fldCharType="end"/>
      </w:r>
      <w:bookmarkEnd w:id="7"/>
      <w:r w:rsidRPr="00A1058A">
        <w:t>.  Par un arrêt du 4 avril 2012 (n</w:t>
      </w:r>
      <w:r w:rsidRPr="00A1058A">
        <w:rPr>
          <w:vertAlign w:val="superscript"/>
        </w:rPr>
        <w:t>o</w:t>
      </w:r>
      <w:r w:rsidRPr="00A1058A">
        <w:t xml:space="preserve"> 204/13), la cour d</w:t>
      </w:r>
      <w:r w:rsidR="00A1058A" w:rsidRPr="00A1058A">
        <w:t>’</w:t>
      </w:r>
      <w:r w:rsidRPr="00A1058A">
        <w:t>appel, s</w:t>
      </w:r>
      <w:r w:rsidR="00A1058A" w:rsidRPr="00A1058A">
        <w:t>’</w:t>
      </w:r>
      <w:r w:rsidRPr="00A1058A">
        <w:t>appuyant sur l</w:t>
      </w:r>
      <w:r w:rsidR="00A1058A" w:rsidRPr="00A1058A">
        <w:t>’</w:t>
      </w:r>
      <w:r w:rsidRPr="00A1058A">
        <w:t>interprétation faite par la Cour de cassation (arrêt n</w:t>
      </w:r>
      <w:r w:rsidRPr="00A1058A">
        <w:rPr>
          <w:vertAlign w:val="superscript"/>
        </w:rPr>
        <w:t>o</w:t>
      </w:r>
      <w:r w:rsidRPr="00A1058A">
        <w:t xml:space="preserve"> 7471/2008), déclara le recours en opposition irrecevable. Elle jugea notamment que l</w:t>
      </w:r>
      <w:r w:rsidR="00A1058A" w:rsidRPr="00A1058A">
        <w:t>’</w:t>
      </w:r>
      <w:r w:rsidRPr="00A1058A">
        <w:t>interprétation correcte de la procédure de faillite et de l</w:t>
      </w:r>
      <w:r w:rsidR="00A1058A" w:rsidRPr="00A1058A">
        <w:t>’</w:t>
      </w:r>
      <w:r w:rsidRPr="00A1058A">
        <w:t>article 150 du décret législatif n</w:t>
      </w:r>
      <w:r w:rsidRPr="00A1058A">
        <w:rPr>
          <w:vertAlign w:val="superscript"/>
        </w:rPr>
        <w:t>o</w:t>
      </w:r>
      <w:r w:rsidRPr="00A1058A">
        <w:t> 5 de 2006 modifiant la loi sur la faillite permettait de différencier la procédure antérieure à la déclaration de faillite (</w:t>
      </w:r>
      <w:proofErr w:type="spellStart"/>
      <w:r w:rsidRPr="00A1058A">
        <w:rPr>
          <w:i/>
          <w:iCs/>
        </w:rPr>
        <w:t>fase</w:t>
      </w:r>
      <w:proofErr w:type="spellEnd"/>
      <w:r w:rsidRPr="00A1058A">
        <w:rPr>
          <w:i/>
          <w:iCs/>
        </w:rPr>
        <w:t xml:space="preserve"> </w:t>
      </w:r>
      <w:proofErr w:type="spellStart"/>
      <w:r w:rsidRPr="00A1058A">
        <w:rPr>
          <w:i/>
          <w:iCs/>
        </w:rPr>
        <w:t>istruttoria</w:t>
      </w:r>
      <w:proofErr w:type="spellEnd"/>
      <w:r w:rsidRPr="00A1058A">
        <w:rPr>
          <w:i/>
          <w:iCs/>
        </w:rPr>
        <w:t xml:space="preserve"> </w:t>
      </w:r>
      <w:proofErr w:type="spellStart"/>
      <w:r w:rsidRPr="00A1058A">
        <w:rPr>
          <w:i/>
          <w:iCs/>
        </w:rPr>
        <w:t>prefallimentare</w:t>
      </w:r>
      <w:proofErr w:type="spellEnd"/>
      <w:r w:rsidRPr="00A1058A">
        <w:t>) de celle relative à la faillite (</w:t>
      </w:r>
      <w:proofErr w:type="spellStart"/>
      <w:r w:rsidRPr="00A1058A">
        <w:rPr>
          <w:i/>
          <w:iCs/>
        </w:rPr>
        <w:t>fase</w:t>
      </w:r>
      <w:proofErr w:type="spellEnd"/>
      <w:r w:rsidRPr="00A1058A">
        <w:rPr>
          <w:i/>
          <w:iCs/>
        </w:rPr>
        <w:t xml:space="preserve"> </w:t>
      </w:r>
      <w:proofErr w:type="spellStart"/>
      <w:r w:rsidRPr="00A1058A">
        <w:rPr>
          <w:i/>
          <w:iCs/>
        </w:rPr>
        <w:t>concorsuale</w:t>
      </w:r>
      <w:proofErr w:type="spellEnd"/>
      <w:r w:rsidRPr="00A1058A">
        <w:t>) qui s</w:t>
      </w:r>
      <w:r w:rsidR="00A1058A" w:rsidRPr="00A1058A">
        <w:t>’</w:t>
      </w:r>
      <w:r w:rsidRPr="00A1058A">
        <w:t>ouvrait à partir de la date du jugement déclarant la faillite. Par conséquent, relevant que la décision du tribunal de Rome avait été rendue après l</w:t>
      </w:r>
      <w:r w:rsidR="00A1058A" w:rsidRPr="00A1058A">
        <w:t>’</w:t>
      </w:r>
      <w:r w:rsidRPr="00A1058A">
        <w:t>entrée en vigueur de la réforme, elle dit que la procédure était soumise aux nouvelles dispositions, y compris le nouvel article 18 de la loi sur la faillite</w:t>
      </w:r>
      <w:r w:rsidRPr="00A1058A" w:rsidDel="00954899">
        <w:t xml:space="preserve"> </w:t>
      </w:r>
      <w:r w:rsidRPr="00A1058A">
        <w:t>qui ne prévoyait plus le recours en opposition.</w:t>
      </w:r>
    </w:p>
    <w:p w14:paraId="7B103D5C" w14:textId="4CA2AD99" w:rsidR="001F27F3" w:rsidRPr="00A1058A" w:rsidRDefault="00441942" w:rsidP="00A1058A">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r w:rsidR="00A1058A" w:rsidRPr="00A1058A">
        <w:rPr>
          <w:noProof/>
        </w:rPr>
        <w:t>12</w:t>
      </w:r>
      <w:r>
        <w:rPr>
          <w:noProof/>
        </w:rPr>
        <w:fldChar w:fldCharType="end"/>
      </w:r>
      <w:r w:rsidR="001F27F3" w:rsidRPr="00A1058A">
        <w:t>.  Par un arrêt du 18 juin 2015 (n</w:t>
      </w:r>
      <w:r w:rsidR="001F27F3" w:rsidRPr="00A1058A">
        <w:rPr>
          <w:vertAlign w:val="superscript"/>
        </w:rPr>
        <w:t>o</w:t>
      </w:r>
      <w:r w:rsidR="001F27F3" w:rsidRPr="00A1058A">
        <w:t xml:space="preserve"> 12649/2015), la Cour de cassation, confirmant sa jurisprudence en la matière, rejeta le pourvoi de la requérante.</w:t>
      </w:r>
    </w:p>
    <w:p w14:paraId="390EF553" w14:textId="77777777" w:rsidR="001F27F3" w:rsidRPr="00A1058A" w:rsidRDefault="001F27F3" w:rsidP="00A1058A">
      <w:pPr>
        <w:pStyle w:val="JuHA"/>
      </w:pPr>
      <w:r w:rsidRPr="00A1058A">
        <w:t>Le droit et la pratique internes pertinents</w:t>
      </w:r>
    </w:p>
    <w:p w14:paraId="0DE63138" w14:textId="77777777" w:rsidR="001F27F3" w:rsidRPr="00A1058A" w:rsidRDefault="001F27F3" w:rsidP="00A1058A">
      <w:pPr>
        <w:pStyle w:val="JuH1"/>
      </w:pPr>
      <w:r w:rsidRPr="00A1058A">
        <w:t>La réforme de la loi sur la faillite</w:t>
      </w:r>
    </w:p>
    <w:bookmarkStart w:id="8" w:name="ART150_LF"/>
    <w:p w14:paraId="52FAF06F" w14:textId="6AB520BA"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13</w:t>
      </w:r>
      <w:r w:rsidRPr="00A1058A">
        <w:fldChar w:fldCharType="end"/>
      </w:r>
      <w:bookmarkEnd w:id="8"/>
      <w:r w:rsidRPr="00A1058A">
        <w:t>.  Le décret législatif n</w:t>
      </w:r>
      <w:r w:rsidR="00820286" w:rsidRPr="00A1058A">
        <w:rPr>
          <w:vertAlign w:val="superscript"/>
        </w:rPr>
        <w:t>o</w:t>
      </w:r>
      <w:r w:rsidRPr="00A1058A">
        <w:t xml:space="preserve"> 5 du 9 janvier 2006 modifiant la loi sur la faillite est entré en vigueur le 16 juillet 2006. L</w:t>
      </w:r>
      <w:r w:rsidR="00A1058A" w:rsidRPr="00A1058A">
        <w:t>’</w:t>
      </w:r>
      <w:r w:rsidRPr="00A1058A">
        <w:t>article 150 du décret législatif portant sur les dispositions transitoires est ainsi libellé :</w:t>
      </w:r>
    </w:p>
    <w:p w14:paraId="7FE6A9E9" w14:textId="6883DCAA" w:rsidR="001F27F3" w:rsidRPr="00A1058A" w:rsidRDefault="001F27F3" w:rsidP="00A1058A">
      <w:pPr>
        <w:pStyle w:val="JuQuot"/>
      </w:pPr>
      <w:r w:rsidRPr="00A1058A">
        <w:rPr>
          <w:i/>
          <w:iCs/>
        </w:rPr>
        <w:t>« </w:t>
      </w:r>
      <w:r w:rsidRPr="00A1058A">
        <w:t>Les demandes [</w:t>
      </w:r>
      <w:proofErr w:type="spellStart"/>
      <w:r w:rsidRPr="00A1058A">
        <w:rPr>
          <w:i/>
          <w:iCs/>
        </w:rPr>
        <w:t>ricorsi</w:t>
      </w:r>
      <w:proofErr w:type="spellEnd"/>
      <w:r w:rsidRPr="00A1058A">
        <w:t>] de faillite (...) déposées avant l</w:t>
      </w:r>
      <w:r w:rsidR="00A1058A" w:rsidRPr="00A1058A">
        <w:t>’</w:t>
      </w:r>
      <w:r w:rsidRPr="00A1058A">
        <w:t>entrée en vigueur du présent décret, ainsi que les procédures de faillite (...) en cours à la même date, sont réglementées par la loi antérieure. »</w:t>
      </w:r>
    </w:p>
    <w:bookmarkStart w:id="9" w:name="ART18_LF"/>
    <w:p w14:paraId="4F115CCF" w14:textId="4139A902"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14</w:t>
      </w:r>
      <w:r w:rsidRPr="00A1058A">
        <w:fldChar w:fldCharType="end"/>
      </w:r>
      <w:bookmarkEnd w:id="9"/>
      <w:r w:rsidRPr="00A1058A">
        <w:t>.  Quant aux recours susceptibles d</w:t>
      </w:r>
      <w:r w:rsidR="00A1058A" w:rsidRPr="00A1058A">
        <w:t>’</w:t>
      </w:r>
      <w:r w:rsidRPr="00A1058A">
        <w:t>être exercés contre le jugement déclarant la faillite, l</w:t>
      </w:r>
      <w:r w:rsidR="00A1058A" w:rsidRPr="00A1058A">
        <w:t>’</w:t>
      </w:r>
      <w:r w:rsidRPr="00A1058A">
        <w:t>ancienne version de l</w:t>
      </w:r>
      <w:r w:rsidR="00A1058A" w:rsidRPr="00A1058A">
        <w:t>’</w:t>
      </w:r>
      <w:r w:rsidRPr="00A1058A">
        <w:t>article 18 de la loi sur la faillite prévoyait le recours en opposition et l</w:t>
      </w:r>
      <w:r w:rsidR="00A1058A" w:rsidRPr="00A1058A">
        <w:t>’</w:t>
      </w:r>
      <w:r w:rsidRPr="00A1058A">
        <w:t>appel. La réforme de 2006 a maintenu seulement l</w:t>
      </w:r>
      <w:r w:rsidR="00A1058A" w:rsidRPr="00A1058A">
        <w:t>’</w:t>
      </w:r>
      <w:r w:rsidRPr="00A1058A">
        <w:t>appel (qui par la suite a été modifié et est devenu à partir du 1</w:t>
      </w:r>
      <w:r w:rsidRPr="00A1058A">
        <w:rPr>
          <w:vertAlign w:val="superscript"/>
        </w:rPr>
        <w:t>er</w:t>
      </w:r>
      <w:r w:rsidR="006D614E" w:rsidRPr="00A1058A">
        <w:rPr>
          <w:vertAlign w:val="superscript"/>
        </w:rPr>
        <w:t> </w:t>
      </w:r>
      <w:r w:rsidRPr="00A1058A">
        <w:t>janvier 2008 le « </w:t>
      </w:r>
      <w:proofErr w:type="spellStart"/>
      <w:r w:rsidRPr="00A1058A">
        <w:rPr>
          <w:i/>
          <w:iCs/>
        </w:rPr>
        <w:t>reclamo</w:t>
      </w:r>
      <w:proofErr w:type="spellEnd"/>
      <w:r w:rsidRPr="00A1058A">
        <w:t> » devant la cour d</w:t>
      </w:r>
      <w:r w:rsidR="00A1058A" w:rsidRPr="00A1058A">
        <w:t>’</w:t>
      </w:r>
      <w:r w:rsidRPr="00A1058A">
        <w:t>appel).</w:t>
      </w:r>
    </w:p>
    <w:bookmarkStart w:id="10" w:name="ARTT_162_173_LF"/>
    <w:p w14:paraId="68225321" w14:textId="73004901"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15</w:t>
      </w:r>
      <w:r w:rsidRPr="00A1058A">
        <w:fldChar w:fldCharType="end"/>
      </w:r>
      <w:bookmarkEnd w:id="10"/>
      <w:r w:rsidRPr="00A1058A">
        <w:t>.  L</w:t>
      </w:r>
      <w:r w:rsidR="00A1058A" w:rsidRPr="00A1058A">
        <w:t>’</w:t>
      </w:r>
      <w:r w:rsidRPr="00A1058A">
        <w:t>article 162 de la loi applicable à l</w:t>
      </w:r>
      <w:r w:rsidR="00A1058A" w:rsidRPr="00A1058A">
        <w:t>’</w:t>
      </w:r>
      <w:r w:rsidRPr="00A1058A">
        <w:t>époque des faits, prévoyait que s</w:t>
      </w:r>
      <w:r w:rsidR="00A1058A" w:rsidRPr="00A1058A">
        <w:t>’</w:t>
      </w:r>
      <w:r w:rsidRPr="00A1058A">
        <w:t>il jugeait que les conditions requises pour l</w:t>
      </w:r>
      <w:r w:rsidR="00A1058A" w:rsidRPr="00A1058A">
        <w:t>’</w:t>
      </w:r>
      <w:r w:rsidRPr="00A1058A">
        <w:t>admission au concordat préventif n</w:t>
      </w:r>
      <w:r w:rsidR="00A1058A" w:rsidRPr="00A1058A">
        <w:t>’</w:t>
      </w:r>
      <w:r w:rsidRPr="00A1058A">
        <w:t>étaient plus réunies, le tribunal pouvait déclarer d</w:t>
      </w:r>
      <w:r w:rsidR="00A1058A" w:rsidRPr="00A1058A">
        <w:t>’</w:t>
      </w:r>
      <w:r w:rsidRPr="00A1058A">
        <w:t>office la faillite de l</w:t>
      </w:r>
      <w:r w:rsidR="00A1058A" w:rsidRPr="00A1058A">
        <w:t>’</w:t>
      </w:r>
      <w:r w:rsidRPr="00A1058A">
        <w:t>entreprise. Selon l</w:t>
      </w:r>
      <w:r w:rsidR="00A1058A" w:rsidRPr="00A1058A">
        <w:t>’</w:t>
      </w:r>
      <w:r w:rsidRPr="00A1058A">
        <w:t>article 173 de la loi sur la faillite, applicable à l</w:t>
      </w:r>
      <w:r w:rsidR="00A1058A" w:rsidRPr="00A1058A">
        <w:t>’</w:t>
      </w:r>
      <w:r w:rsidRPr="00A1058A">
        <w:t>époque des faits, si la décision de clôturer la procédure de redressement judiciaire et de déclarer la faillite se fondait sur un élément nouveau (« </w:t>
      </w:r>
      <w:proofErr w:type="spellStart"/>
      <w:r w:rsidRPr="00A1058A">
        <w:rPr>
          <w:i/>
          <w:iCs/>
        </w:rPr>
        <w:t>fatto</w:t>
      </w:r>
      <w:proofErr w:type="spellEnd"/>
      <w:r w:rsidRPr="00A1058A">
        <w:rPr>
          <w:i/>
          <w:iCs/>
        </w:rPr>
        <w:t xml:space="preserve"> </w:t>
      </w:r>
      <w:proofErr w:type="spellStart"/>
      <w:r w:rsidRPr="00A1058A">
        <w:rPr>
          <w:i/>
          <w:iCs/>
        </w:rPr>
        <w:t>nuovo</w:t>
      </w:r>
      <w:proofErr w:type="spellEnd"/>
      <w:r w:rsidRPr="00A1058A">
        <w:t> »), le tribunal devait convoquer le débiteur avant de rendre sa décision.</w:t>
      </w:r>
    </w:p>
    <w:p w14:paraId="07DC0257" w14:textId="77777777" w:rsidR="001F27F3" w:rsidRPr="00A1058A" w:rsidRDefault="001F27F3" w:rsidP="00A1058A">
      <w:pPr>
        <w:pStyle w:val="JuH1"/>
      </w:pPr>
      <w:r w:rsidRPr="00A1058A">
        <w:lastRenderedPageBreak/>
        <w:t>La jurisprudence de la Cour de cassation</w:t>
      </w:r>
    </w:p>
    <w:bookmarkStart w:id="11" w:name="JP_CASS_OFFICE_162"/>
    <w:p w14:paraId="1E5285EB" w14:textId="7CE25851"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16</w:t>
      </w:r>
      <w:r w:rsidRPr="00A1058A">
        <w:fldChar w:fldCharType="end"/>
      </w:r>
      <w:bookmarkEnd w:id="11"/>
      <w:r w:rsidRPr="00A1058A">
        <w:t>.  Dans son arrêt n</w:t>
      </w:r>
      <w:r w:rsidRPr="00A1058A">
        <w:rPr>
          <w:vertAlign w:val="superscript"/>
        </w:rPr>
        <w:t>o</w:t>
      </w:r>
      <w:r w:rsidRPr="00A1058A">
        <w:t xml:space="preserve"> 5054 de 2001, la Cour de cassation a jugé, qu</w:t>
      </w:r>
      <w:r w:rsidR="00A1058A" w:rsidRPr="00A1058A">
        <w:t>’</w:t>
      </w:r>
      <w:r w:rsidRPr="00A1058A">
        <w:t>en vertu de l</w:t>
      </w:r>
      <w:r w:rsidR="00A1058A" w:rsidRPr="00A1058A">
        <w:t>’</w:t>
      </w:r>
      <w:r w:rsidRPr="00A1058A">
        <w:t>article 162 de la loi sur la faillite lorsque la procédure de concordat préventif est clôturée, le tribunal peut prononcer d</w:t>
      </w:r>
      <w:r w:rsidR="00A1058A" w:rsidRPr="00A1058A">
        <w:t>’</w:t>
      </w:r>
      <w:r w:rsidRPr="00A1058A">
        <w:t>office la faillite sans procéder à une nouvelle convocation du débiteur, vu que celui-ci a déjà été entendu lors de l</w:t>
      </w:r>
      <w:r w:rsidR="00A1058A" w:rsidRPr="00A1058A">
        <w:t>’</w:t>
      </w:r>
      <w:r w:rsidRPr="00A1058A">
        <w:t>examen de la demande de concordat préventif (voir aussi les arrêts n</w:t>
      </w:r>
      <w:r w:rsidRPr="00A1058A">
        <w:rPr>
          <w:vertAlign w:val="superscript"/>
        </w:rPr>
        <w:t>os </w:t>
      </w:r>
      <w:r w:rsidRPr="00A1058A">
        <w:t>218546/2013 et 13817/2011). Par la suite, dans son arrêt n</w:t>
      </w:r>
      <w:r w:rsidRPr="00A1058A">
        <w:rPr>
          <w:vertAlign w:val="superscript"/>
        </w:rPr>
        <w:t>o</w:t>
      </w:r>
      <w:r w:rsidRPr="00A1058A">
        <w:t> 13773 de 2002, elle a affirmé que les droits de la défense sont respectés lorsque le débiteur est entendu par le juge et qu</w:t>
      </w:r>
      <w:r w:rsidR="00A1058A" w:rsidRPr="00A1058A">
        <w:t>’</w:t>
      </w:r>
      <w:r w:rsidRPr="00A1058A">
        <w:t>il est mis en mesure de présenter toutes les observations et preuves nécessaires à appuyer la demande d</w:t>
      </w:r>
      <w:r w:rsidR="00A1058A" w:rsidRPr="00A1058A">
        <w:t>’</w:t>
      </w:r>
      <w:r w:rsidRPr="00A1058A">
        <w:t>admission au concordat préventif et à démontrer l</w:t>
      </w:r>
      <w:r w:rsidR="00A1058A" w:rsidRPr="00A1058A">
        <w:t>’</w:t>
      </w:r>
      <w:r w:rsidRPr="00A1058A">
        <w:t>absence des conditions préalables à la déclaration de faillite (voir aussi les arrêts n</w:t>
      </w:r>
      <w:r w:rsidRPr="00A1058A">
        <w:rPr>
          <w:vertAlign w:val="superscript"/>
        </w:rPr>
        <w:t>os</w:t>
      </w:r>
      <w:r w:rsidRPr="00A1058A">
        <w:t> 9491/1991, 2418/1991 et 10673/2000).</w:t>
      </w:r>
    </w:p>
    <w:bookmarkStart w:id="12" w:name="JP_CASS_BIFASE"/>
    <w:p w14:paraId="52B2BD9C" w14:textId="2F64BBB4"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17</w:t>
      </w:r>
      <w:r w:rsidRPr="00A1058A">
        <w:fldChar w:fldCharType="end"/>
      </w:r>
      <w:bookmarkEnd w:id="12"/>
      <w:r w:rsidRPr="00A1058A">
        <w:t>.  Dans son arrêt n</w:t>
      </w:r>
      <w:r w:rsidRPr="00A1058A">
        <w:rPr>
          <w:vertAlign w:val="superscript"/>
        </w:rPr>
        <w:t>o</w:t>
      </w:r>
      <w:r w:rsidRPr="00A1058A">
        <w:t xml:space="preserve"> 7471 du 20 mars 2008, la Cour de cassation a d</w:t>
      </w:r>
      <w:r w:rsidR="00A1058A" w:rsidRPr="00A1058A">
        <w:t>’</w:t>
      </w:r>
      <w:r w:rsidRPr="00A1058A">
        <w:t>abord rappelé les divergences de jurisprudence entre les juridictions du fond quant à l</w:t>
      </w:r>
      <w:r w:rsidR="00A1058A" w:rsidRPr="00A1058A">
        <w:t>’</w:t>
      </w:r>
      <w:r w:rsidRPr="00A1058A">
        <w:t>interprétation de l</w:t>
      </w:r>
      <w:r w:rsidR="00A1058A" w:rsidRPr="00A1058A">
        <w:t>’</w:t>
      </w:r>
      <w:r w:rsidRPr="00A1058A">
        <w:t xml:space="preserve">article 150 du décret législatif portant sur les dispositions transitoires de la réforme de la loi sur la faillite. Elle a par la suite dit que ces dispositions avaient un caractère exceptionnel, par rapport au principe général du </w:t>
      </w:r>
      <w:proofErr w:type="spellStart"/>
      <w:r w:rsidRPr="00A1058A">
        <w:rPr>
          <w:i/>
          <w:iCs/>
        </w:rPr>
        <w:t>tempus</w:t>
      </w:r>
      <w:proofErr w:type="spellEnd"/>
      <w:r w:rsidRPr="00A1058A">
        <w:rPr>
          <w:i/>
          <w:iCs/>
        </w:rPr>
        <w:t xml:space="preserve"> </w:t>
      </w:r>
      <w:proofErr w:type="spellStart"/>
      <w:r w:rsidRPr="00A1058A">
        <w:rPr>
          <w:i/>
          <w:iCs/>
        </w:rPr>
        <w:t>regit</w:t>
      </w:r>
      <w:proofErr w:type="spellEnd"/>
      <w:r w:rsidRPr="00A1058A">
        <w:rPr>
          <w:i/>
          <w:iCs/>
        </w:rPr>
        <w:t xml:space="preserve"> </w:t>
      </w:r>
      <w:proofErr w:type="spellStart"/>
      <w:r w:rsidRPr="00A1058A">
        <w:rPr>
          <w:i/>
          <w:iCs/>
        </w:rPr>
        <w:t>actum</w:t>
      </w:r>
      <w:proofErr w:type="spellEnd"/>
      <w:r w:rsidRPr="00A1058A">
        <w:t>, de sorte que les situations non expressément indiquées étaient soumises à la nouvelle règlementation. Selon la Cour de cassation, le choix de supprimer le recours en opposition répondait à l</w:t>
      </w:r>
      <w:r w:rsidR="00A1058A" w:rsidRPr="00A1058A">
        <w:t>’</w:t>
      </w:r>
      <w:r w:rsidRPr="00A1058A">
        <w:t>exigence d</w:t>
      </w:r>
      <w:r w:rsidR="00A1058A" w:rsidRPr="00A1058A">
        <w:t>’</w:t>
      </w:r>
      <w:r w:rsidRPr="00A1058A">
        <w:t>accélérer la procédure de faillite. Elle a expliqué ensuite que le jugement déclarant la faillite mettait un terme à la phase de pré-faillite (</w:t>
      </w:r>
      <w:proofErr w:type="spellStart"/>
      <w:r w:rsidRPr="00A1058A">
        <w:rPr>
          <w:i/>
          <w:iCs/>
        </w:rPr>
        <w:t>fase</w:t>
      </w:r>
      <w:proofErr w:type="spellEnd"/>
      <w:r w:rsidR="006D614E" w:rsidRPr="00A1058A">
        <w:rPr>
          <w:i/>
          <w:iCs/>
        </w:rPr>
        <w:t> </w:t>
      </w:r>
      <w:proofErr w:type="spellStart"/>
      <w:r w:rsidRPr="00A1058A">
        <w:rPr>
          <w:i/>
          <w:iCs/>
        </w:rPr>
        <w:t>prefallimentare</w:t>
      </w:r>
      <w:proofErr w:type="spellEnd"/>
      <w:r w:rsidRPr="00A1058A">
        <w:t>) et permettait l</w:t>
      </w:r>
      <w:r w:rsidR="00A1058A" w:rsidRPr="00A1058A">
        <w:t>’</w:t>
      </w:r>
      <w:r w:rsidRPr="00A1058A">
        <w:t>ouverture de la liquidation judiciaire (</w:t>
      </w:r>
      <w:proofErr w:type="spellStart"/>
      <w:r w:rsidRPr="00A1058A">
        <w:rPr>
          <w:i/>
          <w:iCs/>
        </w:rPr>
        <w:t>fase</w:t>
      </w:r>
      <w:proofErr w:type="spellEnd"/>
      <w:r w:rsidRPr="00A1058A">
        <w:rPr>
          <w:i/>
          <w:iCs/>
        </w:rPr>
        <w:t xml:space="preserve"> </w:t>
      </w:r>
      <w:proofErr w:type="spellStart"/>
      <w:r w:rsidRPr="00A1058A">
        <w:rPr>
          <w:i/>
          <w:iCs/>
        </w:rPr>
        <w:t>concorsuale</w:t>
      </w:r>
      <w:proofErr w:type="spellEnd"/>
      <w:r w:rsidRPr="00A1058A">
        <w:t>). Dès lors, si le jugement était adopté après l</w:t>
      </w:r>
      <w:r w:rsidR="00A1058A" w:rsidRPr="00A1058A">
        <w:t>’</w:t>
      </w:r>
      <w:r w:rsidRPr="00A1058A">
        <w:t>entrée en vigueur du décret législatif, il devait respecter les conditions de forme et de contenu imposées par les nouvelles dispositions de l</w:t>
      </w:r>
      <w:r w:rsidR="00A1058A" w:rsidRPr="00A1058A">
        <w:t>’</w:t>
      </w:r>
      <w:r w:rsidRPr="00A1058A">
        <w:t>article 16 de la loi sur la faillite. De même, elle a dit que le recours éventuel contre ledit jugement doit respecter les termes du nouvel article 18 de la loi sur la faillite prévoyant uniquement l</w:t>
      </w:r>
      <w:r w:rsidR="00A1058A" w:rsidRPr="00A1058A">
        <w:t>’</w:t>
      </w:r>
      <w:r w:rsidRPr="00A1058A">
        <w:t>appel.</w:t>
      </w:r>
    </w:p>
    <w:bookmarkStart w:id="13" w:name="JP_CASS_RICHIAMO"/>
    <w:p w14:paraId="129F73B7" w14:textId="77256FB8" w:rsidR="001F27F3" w:rsidRPr="00A1058A" w:rsidRDefault="001F27F3" w:rsidP="00A1058A">
      <w:pPr>
        <w:pStyle w:val="JuPara"/>
      </w:pPr>
      <w:r w:rsidRPr="00A1058A">
        <w:fldChar w:fldCharType="begin"/>
      </w:r>
      <w:r w:rsidRPr="00A1058A">
        <w:instrText xml:space="preserve"> SEQ level0 \*arabic \* MERGEFORMAT </w:instrText>
      </w:r>
      <w:r w:rsidRPr="00A1058A">
        <w:fldChar w:fldCharType="separate"/>
      </w:r>
      <w:r w:rsidR="00A1058A" w:rsidRPr="00A1058A">
        <w:rPr>
          <w:noProof/>
        </w:rPr>
        <w:t>18</w:t>
      </w:r>
      <w:r w:rsidRPr="00A1058A">
        <w:fldChar w:fldCharType="end"/>
      </w:r>
      <w:bookmarkEnd w:id="13"/>
      <w:r w:rsidRPr="00A1058A">
        <w:t>.  Dans l</w:t>
      </w:r>
      <w:r w:rsidR="00A1058A" w:rsidRPr="00A1058A">
        <w:t>’</w:t>
      </w:r>
      <w:r w:rsidRPr="00A1058A">
        <w:t>arrêt n</w:t>
      </w:r>
      <w:r w:rsidRPr="00A1058A">
        <w:rPr>
          <w:vertAlign w:val="superscript"/>
        </w:rPr>
        <w:t>o</w:t>
      </w:r>
      <w:r w:rsidRPr="00A1058A">
        <w:t xml:space="preserve"> 16270 de 2016, la Cour de cassation a rappelé les principes de la Cour en matière de droit à un tribunal et conclu que la réforme de la procédure de faillite ne portait pas atteinte aux droits du débiteur failli.</w:t>
      </w:r>
    </w:p>
    <w:p w14:paraId="0A26FF29" w14:textId="77777777" w:rsidR="001F27F3" w:rsidRPr="00A1058A" w:rsidRDefault="001F27F3" w:rsidP="00A1058A">
      <w:pPr>
        <w:pStyle w:val="JuHHead"/>
      </w:pPr>
      <w:r w:rsidRPr="00A1058A">
        <w:t>GRIEFS</w:t>
      </w:r>
    </w:p>
    <w:p w14:paraId="15178CE8" w14:textId="077800DF" w:rsidR="001F27F3" w:rsidRPr="00A1058A" w:rsidRDefault="00441942" w:rsidP="00A1058A">
      <w:pPr>
        <w:pStyle w:val="JuPara"/>
      </w:pPr>
      <w:r>
        <w:rPr>
          <w:noProof/>
        </w:rPr>
        <w:fldChar w:fldCharType="begin"/>
      </w:r>
      <w:r>
        <w:rPr>
          <w:noProof/>
        </w:rPr>
        <w:instrText xml:space="preserve"> SEQ level0 \*arabic \* MERGEFORMAT</w:instrText>
      </w:r>
      <w:r>
        <w:rPr>
          <w:noProof/>
        </w:rPr>
        <w:instrText xml:space="preserve"> </w:instrText>
      </w:r>
      <w:r>
        <w:rPr>
          <w:noProof/>
        </w:rPr>
        <w:fldChar w:fldCharType="separate"/>
      </w:r>
      <w:r w:rsidR="00A1058A" w:rsidRPr="00A1058A">
        <w:rPr>
          <w:noProof/>
        </w:rPr>
        <w:t>19</w:t>
      </w:r>
      <w:r>
        <w:rPr>
          <w:noProof/>
        </w:rPr>
        <w:fldChar w:fldCharType="end"/>
      </w:r>
      <w:r w:rsidR="001F27F3" w:rsidRPr="00A1058A">
        <w:t>.  Invoquant l</w:t>
      </w:r>
      <w:r w:rsidR="00A1058A" w:rsidRPr="00A1058A">
        <w:t>’</w:t>
      </w:r>
      <w:r w:rsidR="001F27F3" w:rsidRPr="00A1058A">
        <w:t>article 6 § 1 de la Convention, la requérante se plaint d</w:t>
      </w:r>
      <w:r w:rsidR="00A1058A" w:rsidRPr="00A1058A">
        <w:t>’</w:t>
      </w:r>
      <w:r w:rsidR="001F27F3" w:rsidRPr="00A1058A">
        <w:t>une violation de son droit d</w:t>
      </w:r>
      <w:r w:rsidR="00A1058A" w:rsidRPr="00A1058A">
        <w:t>’</w:t>
      </w:r>
      <w:r w:rsidR="001F27F3" w:rsidRPr="00A1058A">
        <w:t>accès à un tribunal. Elle allègue que les tribunaux internes ont interprété les dispositions normatives de manière contradictoire et non prévisible, faisant preuve de formalisme.</w:t>
      </w:r>
    </w:p>
    <w:p w14:paraId="43855EEC" w14:textId="324361E5"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20</w:t>
      </w:r>
      <w:r>
        <w:rPr>
          <w:noProof/>
        </w:rPr>
        <w:fldChar w:fldCharType="end"/>
      </w:r>
      <w:r w:rsidR="001F27F3" w:rsidRPr="00A1058A">
        <w:t>.  Invoquant l</w:t>
      </w:r>
      <w:r w:rsidR="00A1058A" w:rsidRPr="00A1058A">
        <w:t>’</w:t>
      </w:r>
      <w:r w:rsidR="001F27F3" w:rsidRPr="00A1058A">
        <w:t>article 6 § 3, la requérante se plaint d</w:t>
      </w:r>
      <w:r w:rsidR="00A1058A" w:rsidRPr="00A1058A">
        <w:t>’</w:t>
      </w:r>
      <w:r w:rsidR="001F27F3" w:rsidRPr="00A1058A">
        <w:t>une violation du principe du contradictoire et se plaint aussi d</w:t>
      </w:r>
      <w:r w:rsidR="00A1058A" w:rsidRPr="00A1058A">
        <w:t>’</w:t>
      </w:r>
      <w:r w:rsidR="001F27F3" w:rsidRPr="00A1058A">
        <w:t>avoir été privée de son droit de se défendre, faute d</w:t>
      </w:r>
      <w:r w:rsidR="00A1058A" w:rsidRPr="00A1058A">
        <w:t>’</w:t>
      </w:r>
      <w:r w:rsidR="001F27F3" w:rsidRPr="00A1058A">
        <w:t>avoir été convoquée avant la déclaration de faillite.</w:t>
      </w:r>
    </w:p>
    <w:p w14:paraId="6E9757E0" w14:textId="0965AA6C" w:rsidR="001F27F3" w:rsidRPr="00A1058A" w:rsidRDefault="00441942" w:rsidP="00A1058A">
      <w:pPr>
        <w:pStyle w:val="JuPara"/>
      </w:pPr>
      <w:r>
        <w:rPr>
          <w:noProof/>
        </w:rPr>
        <w:lastRenderedPageBreak/>
        <w:fldChar w:fldCharType="begin"/>
      </w:r>
      <w:r>
        <w:rPr>
          <w:noProof/>
        </w:rPr>
        <w:instrText xml:space="preserve"> SEQ level0 \*arabic \* MERGEFORMAT </w:instrText>
      </w:r>
      <w:r>
        <w:rPr>
          <w:noProof/>
        </w:rPr>
        <w:fldChar w:fldCharType="separate"/>
      </w:r>
      <w:r w:rsidR="00A1058A" w:rsidRPr="00A1058A">
        <w:rPr>
          <w:noProof/>
        </w:rPr>
        <w:t>21</w:t>
      </w:r>
      <w:r>
        <w:rPr>
          <w:noProof/>
        </w:rPr>
        <w:fldChar w:fldCharType="end"/>
      </w:r>
      <w:r w:rsidR="001F27F3" w:rsidRPr="00A1058A">
        <w:t>.  Sur le terrain de l</w:t>
      </w:r>
      <w:r w:rsidR="00A1058A" w:rsidRPr="00A1058A">
        <w:t>’</w:t>
      </w:r>
      <w:r w:rsidR="001F27F3" w:rsidRPr="00A1058A">
        <w:t>article 13 de la Convention, elle affirme que la décision d</w:t>
      </w:r>
      <w:r w:rsidR="00A1058A" w:rsidRPr="00A1058A">
        <w:t>’</w:t>
      </w:r>
      <w:r w:rsidR="001F27F3" w:rsidRPr="00A1058A">
        <w:t>irrecevabilité rendue à la suite du recours en opposition formé par elle l</w:t>
      </w:r>
      <w:r w:rsidR="00A1058A" w:rsidRPr="00A1058A">
        <w:t>’</w:t>
      </w:r>
      <w:r w:rsidR="001F27F3" w:rsidRPr="00A1058A">
        <w:t>a privée d</w:t>
      </w:r>
      <w:r w:rsidR="00A1058A" w:rsidRPr="00A1058A">
        <w:t>’</w:t>
      </w:r>
      <w:r w:rsidR="001F27F3" w:rsidRPr="00A1058A">
        <w:t>un remède interne effectif contre la décision de faillite.</w:t>
      </w:r>
    </w:p>
    <w:p w14:paraId="3F132BE7" w14:textId="730DC64E"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22</w:t>
      </w:r>
      <w:r>
        <w:rPr>
          <w:noProof/>
        </w:rPr>
        <w:fldChar w:fldCharType="end"/>
      </w:r>
      <w:r w:rsidR="001F27F3" w:rsidRPr="00A1058A">
        <w:t>.  Maîtresse de la qualification juridique des faits de la cause, la Cour observe qu</w:t>
      </w:r>
      <w:r w:rsidR="00A1058A" w:rsidRPr="00A1058A">
        <w:t>’</w:t>
      </w:r>
      <w:r w:rsidR="001F27F3" w:rsidRPr="00A1058A">
        <w:t xml:space="preserve">en vertu du principe </w:t>
      </w:r>
      <w:r w:rsidR="001F27F3" w:rsidRPr="00A1058A">
        <w:rPr>
          <w:i/>
          <w:iCs/>
        </w:rPr>
        <w:t xml:space="preserve">jura </w:t>
      </w:r>
      <w:proofErr w:type="spellStart"/>
      <w:r w:rsidR="001F27F3" w:rsidRPr="00A1058A">
        <w:rPr>
          <w:i/>
          <w:iCs/>
        </w:rPr>
        <w:t>novit</w:t>
      </w:r>
      <w:proofErr w:type="spellEnd"/>
      <w:r w:rsidR="001F27F3" w:rsidRPr="00A1058A">
        <w:rPr>
          <w:i/>
          <w:iCs/>
        </w:rPr>
        <w:t xml:space="preserve"> </w:t>
      </w:r>
      <w:proofErr w:type="spellStart"/>
      <w:r w:rsidR="001F27F3" w:rsidRPr="00A1058A">
        <w:rPr>
          <w:i/>
          <w:iCs/>
        </w:rPr>
        <w:t>curia</w:t>
      </w:r>
      <w:proofErr w:type="spellEnd"/>
      <w:r w:rsidR="001F27F3" w:rsidRPr="00A1058A">
        <w:t>, elle n</w:t>
      </w:r>
      <w:r w:rsidR="00A1058A" w:rsidRPr="00A1058A">
        <w:t>’</w:t>
      </w:r>
      <w:r w:rsidR="001F27F3" w:rsidRPr="00A1058A">
        <w:t>est pas tenue par les moyens de droit avancés par la requérante en vertu de la Convention et de ses Protocoles, et elle peut décider de la qualification juridique à donner aux faits d</w:t>
      </w:r>
      <w:r w:rsidR="00A1058A" w:rsidRPr="00A1058A">
        <w:t>’</w:t>
      </w:r>
      <w:r w:rsidR="001F27F3" w:rsidRPr="00A1058A">
        <w:t>un grief en examinant celui-ci sur le terrain d</w:t>
      </w:r>
      <w:r w:rsidR="00A1058A" w:rsidRPr="00A1058A">
        <w:t>’</w:t>
      </w:r>
      <w:r w:rsidR="001F27F3" w:rsidRPr="00A1058A">
        <w:t>articles ou de dispositions de la Convention autres que ceux invoqués par la requérante (</w:t>
      </w:r>
      <w:proofErr w:type="spellStart"/>
      <w:r w:rsidR="001F27F3" w:rsidRPr="00A1058A">
        <w:rPr>
          <w:i/>
          <w:iCs/>
        </w:rPr>
        <w:t>Radomilja</w:t>
      </w:r>
      <w:proofErr w:type="spellEnd"/>
      <w:r w:rsidR="001F27F3" w:rsidRPr="00A1058A">
        <w:rPr>
          <w:i/>
          <w:iCs/>
        </w:rPr>
        <w:t xml:space="preserve"> et</w:t>
      </w:r>
      <w:r w:rsidR="006D614E" w:rsidRPr="00A1058A">
        <w:rPr>
          <w:i/>
          <w:iCs/>
        </w:rPr>
        <w:t> </w:t>
      </w:r>
      <w:r w:rsidR="001F27F3" w:rsidRPr="00A1058A">
        <w:rPr>
          <w:i/>
          <w:iCs/>
        </w:rPr>
        <w:t>autres c. Croatie</w:t>
      </w:r>
      <w:r w:rsidR="001F27F3" w:rsidRPr="00A1058A">
        <w:t xml:space="preserve"> [GC]</w:t>
      </w:r>
      <w:r w:rsidR="001F27F3" w:rsidRPr="00A1058A">
        <w:rPr>
          <w:lang w:eastAsia="en-GB"/>
        </w:rPr>
        <w:t xml:space="preserve">, </w:t>
      </w:r>
      <w:r w:rsidR="001F27F3" w:rsidRPr="00A1058A">
        <w:t>n</w:t>
      </w:r>
      <w:r w:rsidR="001F27F3" w:rsidRPr="00A1058A">
        <w:rPr>
          <w:vertAlign w:val="superscript"/>
        </w:rPr>
        <w:t>os</w:t>
      </w:r>
      <w:r w:rsidR="001F27F3" w:rsidRPr="00A1058A">
        <w:t xml:space="preserve"> 37685/10 et 22768/12</w:t>
      </w:r>
      <w:r w:rsidR="001F27F3" w:rsidRPr="00A1058A">
        <w:rPr>
          <w:lang w:eastAsia="en-GB"/>
        </w:rPr>
        <w:t xml:space="preserve">, </w:t>
      </w:r>
      <w:r w:rsidR="001F27F3" w:rsidRPr="00A1058A">
        <w:t>§ 126, 20 mars 2018). Ainsi, elle estime que la requérante se plaint en substance d</w:t>
      </w:r>
      <w:r w:rsidR="00A1058A" w:rsidRPr="00A1058A">
        <w:t>’</w:t>
      </w:r>
      <w:r w:rsidR="001F27F3" w:rsidRPr="00A1058A">
        <w:t>une violation de son droit d</w:t>
      </w:r>
      <w:r w:rsidR="00A1058A" w:rsidRPr="00A1058A">
        <w:t>’</w:t>
      </w:r>
      <w:r w:rsidR="001F27F3" w:rsidRPr="00A1058A">
        <w:t>accès à un tribunal et du principe de sécurité juridique qu</w:t>
      </w:r>
      <w:r w:rsidR="00A1058A" w:rsidRPr="00A1058A">
        <w:t>’</w:t>
      </w:r>
      <w:r w:rsidR="001F27F3" w:rsidRPr="00A1058A">
        <w:t>il convient d</w:t>
      </w:r>
      <w:r w:rsidR="00A1058A" w:rsidRPr="00A1058A">
        <w:t>’</w:t>
      </w:r>
      <w:r w:rsidR="001F27F3" w:rsidRPr="00A1058A">
        <w:t>examiner sur le terrain de l</w:t>
      </w:r>
      <w:r w:rsidR="00A1058A" w:rsidRPr="00A1058A">
        <w:t>’</w:t>
      </w:r>
      <w:r w:rsidR="001F27F3" w:rsidRPr="00A1058A">
        <w:t>article 6 § 1 de la Convention.</w:t>
      </w:r>
    </w:p>
    <w:p w14:paraId="5D881CC0" w14:textId="4B793A3B" w:rsidR="001F27F3" w:rsidRPr="00A1058A" w:rsidRDefault="001F27F3" w:rsidP="00A1058A">
      <w:pPr>
        <w:pStyle w:val="JuHHead"/>
      </w:pPr>
      <w:r w:rsidRPr="00A1058A">
        <w:t>EN DROIT</w:t>
      </w:r>
    </w:p>
    <w:p w14:paraId="49C3D7CD" w14:textId="54A4E26F"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23</w:t>
      </w:r>
      <w:r>
        <w:rPr>
          <w:noProof/>
        </w:rPr>
        <w:fldChar w:fldCharType="end"/>
      </w:r>
      <w:r w:rsidR="001F27F3" w:rsidRPr="00A1058A">
        <w:t>.  La requérante soutient que l</w:t>
      </w:r>
      <w:r w:rsidR="00A1058A" w:rsidRPr="00A1058A">
        <w:t>’</w:t>
      </w:r>
      <w:r w:rsidR="001F27F3" w:rsidRPr="00A1058A">
        <w:t>interprétation de la modification législative de loi sur la faillite a emporté violation de l</w:t>
      </w:r>
      <w:r w:rsidR="00A1058A" w:rsidRPr="00A1058A">
        <w:t>’</w:t>
      </w:r>
      <w:r w:rsidR="001F27F3" w:rsidRPr="00A1058A">
        <w:t>article 6 § 1 de la Convention.</w:t>
      </w:r>
      <w:bookmarkStart w:id="14" w:name="_Hlk36127508"/>
      <w:r w:rsidR="001F27F3" w:rsidRPr="00A1058A">
        <w:rPr>
          <w:rFonts w:ascii="Arial" w:hAnsi="Arial" w:cs="Arial"/>
          <w:color w:val="000000"/>
        </w:rPr>
        <w:t xml:space="preserve"> </w:t>
      </w:r>
      <w:r w:rsidR="001F27F3" w:rsidRPr="00A1058A">
        <w:t>En sa partie pertinente, cette disposition est ainsi libellée :</w:t>
      </w:r>
      <w:bookmarkEnd w:id="14"/>
    </w:p>
    <w:p w14:paraId="793ABC72" w14:textId="4B2B7186" w:rsidR="001F27F3" w:rsidRPr="00A1058A" w:rsidRDefault="001F27F3" w:rsidP="00A1058A">
      <w:pPr>
        <w:pStyle w:val="JuQuot"/>
      </w:pPr>
      <w:r w:rsidRPr="00A1058A">
        <w:t>« Toute personne a droit à ce que sa cause soit entendue équitablement, publiquement et dans un délai raisonnable, par un tribunal indépendant et impartial, établi par la loi (...) »</w:t>
      </w:r>
    </w:p>
    <w:p w14:paraId="5D5C4D9C" w14:textId="6816F84C"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24</w:t>
      </w:r>
      <w:r>
        <w:rPr>
          <w:noProof/>
        </w:rPr>
        <w:fldChar w:fldCharType="end"/>
      </w:r>
      <w:r w:rsidR="001F27F3" w:rsidRPr="00A1058A">
        <w:t>.  La Cour renvoie aux principes applicables en matière de droit d</w:t>
      </w:r>
      <w:r w:rsidR="00A1058A" w:rsidRPr="00A1058A">
        <w:t>’</w:t>
      </w:r>
      <w:r w:rsidR="001F27F3" w:rsidRPr="00A1058A">
        <w:t>accès à un tribunal (</w:t>
      </w:r>
      <w:proofErr w:type="spellStart"/>
      <w:r w:rsidR="001F27F3" w:rsidRPr="00A1058A">
        <w:rPr>
          <w:i/>
          <w:iCs/>
        </w:rPr>
        <w:t>Zubac</w:t>
      </w:r>
      <w:proofErr w:type="spellEnd"/>
      <w:r w:rsidR="001F27F3" w:rsidRPr="00A1058A">
        <w:rPr>
          <w:i/>
          <w:iCs/>
        </w:rPr>
        <w:t xml:space="preserve"> c. Croatie</w:t>
      </w:r>
      <w:r w:rsidR="001F27F3" w:rsidRPr="00A1058A">
        <w:t xml:space="preserve"> [GC], n</w:t>
      </w:r>
      <w:r w:rsidR="001F27F3" w:rsidRPr="00A1058A">
        <w:rPr>
          <w:vertAlign w:val="superscript"/>
        </w:rPr>
        <w:t>o</w:t>
      </w:r>
      <w:r w:rsidR="001F27F3" w:rsidRPr="00A1058A">
        <w:t xml:space="preserve"> 40160/12, §§ 76-79, 5</w:t>
      </w:r>
      <w:r w:rsidR="00820286" w:rsidRPr="00A1058A">
        <w:t> </w:t>
      </w:r>
      <w:r w:rsidR="001F27F3" w:rsidRPr="00A1058A">
        <w:t>avril 2018). Elle rappelle en particulier que ce droit n</w:t>
      </w:r>
      <w:r w:rsidR="00A1058A" w:rsidRPr="00A1058A">
        <w:t>’</w:t>
      </w:r>
      <w:r w:rsidR="001F27F3" w:rsidRPr="00A1058A">
        <w:t>est pas absolu ; il se prête à des limitations implicitement admises, car il appelle de par sa nature même une réglementation par l</w:t>
      </w:r>
      <w:r w:rsidR="00A1058A" w:rsidRPr="00A1058A">
        <w:t>’</w:t>
      </w:r>
      <w:r w:rsidR="001F27F3" w:rsidRPr="00A1058A">
        <w:t>État, lequel jouit à cet égard d</w:t>
      </w:r>
      <w:r w:rsidR="00A1058A" w:rsidRPr="00A1058A">
        <w:t>’</w:t>
      </w:r>
      <w:r w:rsidR="001F27F3" w:rsidRPr="00A1058A">
        <w:t>une certaine marge d</w:t>
      </w:r>
      <w:r w:rsidR="00A1058A" w:rsidRPr="00A1058A">
        <w:t>’</w:t>
      </w:r>
      <w:r w:rsidR="001F27F3" w:rsidRPr="00A1058A">
        <w:t>appréciation (</w:t>
      </w:r>
      <w:proofErr w:type="spellStart"/>
      <w:r w:rsidR="001F27F3" w:rsidRPr="00A1058A">
        <w:rPr>
          <w:i/>
        </w:rPr>
        <w:t>Golder</w:t>
      </w:r>
      <w:proofErr w:type="spellEnd"/>
      <w:r w:rsidR="001F27F3" w:rsidRPr="00A1058A">
        <w:rPr>
          <w:i/>
        </w:rPr>
        <w:t xml:space="preserve"> c. Royaume-Uni</w:t>
      </w:r>
      <w:r w:rsidR="001F27F3" w:rsidRPr="00A1058A">
        <w:t>, 21 février 1975, § 38, série A n</w:t>
      </w:r>
      <w:r w:rsidR="001F27F3" w:rsidRPr="00A1058A">
        <w:rPr>
          <w:vertAlign w:val="superscript"/>
        </w:rPr>
        <w:t>o</w:t>
      </w:r>
      <w:r w:rsidR="001F27F3" w:rsidRPr="00A1058A">
        <w:t> 18). Cela étant, ces limitations ne sauraient restreindre l</w:t>
      </w:r>
      <w:r w:rsidR="00A1058A" w:rsidRPr="00A1058A">
        <w:t>’</w:t>
      </w:r>
      <w:r w:rsidR="001F27F3" w:rsidRPr="00A1058A">
        <w:t>accès ouvert à un justiciable d</w:t>
      </w:r>
      <w:r w:rsidR="00A1058A" w:rsidRPr="00A1058A">
        <w:t>’</w:t>
      </w:r>
      <w:r w:rsidR="001F27F3" w:rsidRPr="00A1058A">
        <w:t>une manière ou à un point tels que son droit à un tribunal s</w:t>
      </w:r>
      <w:r w:rsidR="00A1058A" w:rsidRPr="00A1058A">
        <w:t>’</w:t>
      </w:r>
      <w:r w:rsidR="001F27F3" w:rsidRPr="00A1058A">
        <w:t>en trouve atteint dans sa substance même. L</w:t>
      </w:r>
      <w:r w:rsidR="00A1058A" w:rsidRPr="00A1058A">
        <w:t>’</w:t>
      </w:r>
      <w:r w:rsidR="001F27F3" w:rsidRPr="00A1058A">
        <w:t>accessibilité, la clarté et la prévisibilité des dispositions légales et de la jurisprudence</w:t>
      </w:r>
      <w:r w:rsidR="001F27F3" w:rsidRPr="00A1058A">
        <w:rPr>
          <w:i/>
        </w:rPr>
        <w:t xml:space="preserve"> </w:t>
      </w:r>
      <w:r w:rsidR="001F27F3" w:rsidRPr="00A1058A">
        <w:t>assurent ainsi l</w:t>
      </w:r>
      <w:r w:rsidR="00A1058A" w:rsidRPr="00A1058A">
        <w:t>’</w:t>
      </w:r>
      <w:r w:rsidR="001F27F3" w:rsidRPr="00A1058A">
        <w:t>effectivité du droit d</w:t>
      </w:r>
      <w:r w:rsidR="00A1058A" w:rsidRPr="00A1058A">
        <w:t>’</w:t>
      </w:r>
      <w:r w:rsidR="001F27F3" w:rsidRPr="00A1058A">
        <w:t>accès à un tribunal (</w:t>
      </w:r>
      <w:r w:rsidR="001F27F3" w:rsidRPr="00A1058A">
        <w:rPr>
          <w:i/>
        </w:rPr>
        <w:t>Legrand c. France</w:t>
      </w:r>
      <w:r w:rsidR="001F27F3" w:rsidRPr="00A1058A">
        <w:t>, n</w:t>
      </w:r>
      <w:r w:rsidR="001F27F3" w:rsidRPr="00A1058A">
        <w:rPr>
          <w:vertAlign w:val="superscript"/>
        </w:rPr>
        <w:t>o</w:t>
      </w:r>
      <w:r w:rsidR="001F27F3" w:rsidRPr="00A1058A">
        <w:t> 23228/08, §</w:t>
      </w:r>
      <w:r w:rsidR="009F5751" w:rsidRPr="00A1058A">
        <w:t> </w:t>
      </w:r>
      <w:r w:rsidR="001F27F3" w:rsidRPr="00A1058A">
        <w:t>34, 26 mai 2011).</w:t>
      </w:r>
    </w:p>
    <w:p w14:paraId="391A3E9A" w14:textId="25937B9C"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25</w:t>
      </w:r>
      <w:r>
        <w:rPr>
          <w:noProof/>
        </w:rPr>
        <w:fldChar w:fldCharType="end"/>
      </w:r>
      <w:r w:rsidR="001F27F3" w:rsidRPr="00A1058A">
        <w:t>.  La Cour relève qu</w:t>
      </w:r>
      <w:r w:rsidR="00A1058A" w:rsidRPr="00A1058A">
        <w:t>’</w:t>
      </w:r>
      <w:r w:rsidR="001F27F3" w:rsidRPr="00A1058A">
        <w:t>en l</w:t>
      </w:r>
      <w:r w:rsidR="00A1058A" w:rsidRPr="00A1058A">
        <w:t>’</w:t>
      </w:r>
      <w:r w:rsidR="001F27F3" w:rsidRPr="00A1058A">
        <w:t>espèce les dispositions transitoires (paragraphe</w:t>
      </w:r>
      <w:r w:rsidR="009F5751" w:rsidRPr="00A1058A">
        <w:t> </w:t>
      </w:r>
      <w:r w:rsidR="001F27F3" w:rsidRPr="00A1058A">
        <w:fldChar w:fldCharType="begin"/>
      </w:r>
      <w:r w:rsidR="001F27F3" w:rsidRPr="00A1058A">
        <w:instrText xml:space="preserve"> REF ART150_LF \h </w:instrText>
      </w:r>
      <w:r w:rsidR="001F27F3" w:rsidRPr="00A1058A">
        <w:fldChar w:fldCharType="separate"/>
      </w:r>
      <w:r w:rsidR="00A1058A" w:rsidRPr="00A1058A">
        <w:rPr>
          <w:noProof/>
        </w:rPr>
        <w:t>13</w:t>
      </w:r>
      <w:r w:rsidR="001F27F3" w:rsidRPr="00A1058A">
        <w:fldChar w:fldCharType="end"/>
      </w:r>
      <w:r w:rsidR="001F27F3" w:rsidRPr="00A1058A">
        <w:t xml:space="preserve"> ci-dessus) ont été interprétées de manière divergente par les juridictions internes (paragraphes </w:t>
      </w:r>
      <w:r w:rsidR="001F27F3" w:rsidRPr="00A1058A">
        <w:fldChar w:fldCharType="begin"/>
      </w:r>
      <w:r w:rsidR="001F27F3" w:rsidRPr="00A1058A">
        <w:instrText xml:space="preserve"> REF TRIBUNAL_OPPOSITION \h </w:instrText>
      </w:r>
      <w:r w:rsidR="001F27F3" w:rsidRPr="00A1058A">
        <w:fldChar w:fldCharType="separate"/>
      </w:r>
      <w:r w:rsidR="00A1058A" w:rsidRPr="00A1058A">
        <w:rPr>
          <w:noProof/>
        </w:rPr>
        <w:t>9</w:t>
      </w:r>
      <w:r w:rsidR="001F27F3" w:rsidRPr="00A1058A">
        <w:fldChar w:fldCharType="end"/>
      </w:r>
      <w:r w:rsidR="001F27F3" w:rsidRPr="00A1058A">
        <w:t xml:space="preserve"> et </w:t>
      </w:r>
      <w:r w:rsidR="001F27F3" w:rsidRPr="00A1058A">
        <w:fldChar w:fldCharType="begin"/>
      </w:r>
      <w:r w:rsidR="001F27F3" w:rsidRPr="00A1058A">
        <w:instrText xml:space="preserve"> REF JP_CASS_BIFASE \h </w:instrText>
      </w:r>
      <w:r w:rsidR="001F27F3" w:rsidRPr="00A1058A">
        <w:fldChar w:fldCharType="separate"/>
      </w:r>
      <w:r w:rsidR="00A1058A" w:rsidRPr="00A1058A">
        <w:rPr>
          <w:noProof/>
        </w:rPr>
        <w:t>17</w:t>
      </w:r>
      <w:r w:rsidR="001F27F3" w:rsidRPr="00A1058A">
        <w:fldChar w:fldCharType="end"/>
      </w:r>
      <w:r w:rsidR="001F27F3" w:rsidRPr="00A1058A">
        <w:t xml:space="preserve"> ci-dessus). Cette divergence d</w:t>
      </w:r>
      <w:r w:rsidR="00A1058A" w:rsidRPr="00A1058A">
        <w:t>’</w:t>
      </w:r>
      <w:r w:rsidR="001F27F3" w:rsidRPr="00A1058A">
        <w:t>interprétation a eu comme conséquence que le recours en opposition de la requérante a été déclaré irrecevable.</w:t>
      </w:r>
    </w:p>
    <w:p w14:paraId="3DC69D74" w14:textId="307C32E5" w:rsidR="001F27F3" w:rsidRPr="00A1058A" w:rsidRDefault="001F27F3" w:rsidP="00A1058A">
      <w:pPr>
        <w:pStyle w:val="JuPara"/>
        <w:rPr>
          <w:rFonts w:cstheme="minorHAnsi"/>
        </w:rPr>
      </w:pPr>
      <w:r w:rsidRPr="00A1058A">
        <w:rPr>
          <w:rFonts w:cstheme="minorHAnsi"/>
        </w:rPr>
        <w:fldChar w:fldCharType="begin"/>
      </w:r>
      <w:r w:rsidRPr="00A1058A">
        <w:rPr>
          <w:rFonts w:cstheme="minorHAnsi"/>
        </w:rPr>
        <w:instrText xml:space="preserve"> SEQ level0 \*arabic \* MERGEFORMAT </w:instrText>
      </w:r>
      <w:r w:rsidRPr="00A1058A">
        <w:rPr>
          <w:rFonts w:cstheme="minorHAnsi"/>
        </w:rPr>
        <w:fldChar w:fldCharType="separate"/>
      </w:r>
      <w:r w:rsidR="00A1058A" w:rsidRPr="00A1058A">
        <w:rPr>
          <w:rFonts w:cstheme="minorHAnsi"/>
          <w:noProof/>
        </w:rPr>
        <w:t>26</w:t>
      </w:r>
      <w:r w:rsidRPr="00A1058A">
        <w:rPr>
          <w:rFonts w:cstheme="minorHAnsi"/>
        </w:rPr>
        <w:fldChar w:fldCharType="end"/>
      </w:r>
      <w:r w:rsidRPr="00A1058A">
        <w:rPr>
          <w:rFonts w:cstheme="minorHAnsi"/>
        </w:rPr>
        <w:t>.  Quant à la question de savoir si ce contraste de jurisprudence a porté atteinte aux droits de la requérante, la Cour renvoie aux principes applicables en la matière (</w:t>
      </w:r>
      <w:proofErr w:type="spellStart"/>
      <w:r w:rsidRPr="00A1058A">
        <w:rPr>
          <w:rFonts w:cstheme="minorHAnsi"/>
          <w:i/>
          <w:color w:val="000000"/>
        </w:rPr>
        <w:t>Svilengaćanin</w:t>
      </w:r>
      <w:proofErr w:type="spellEnd"/>
      <w:r w:rsidRPr="00A1058A">
        <w:rPr>
          <w:rFonts w:cstheme="minorHAnsi"/>
          <w:i/>
          <w:color w:val="000000"/>
        </w:rPr>
        <w:t xml:space="preserve"> et autres c. Serbie</w:t>
      </w:r>
      <w:r w:rsidRPr="00A1058A">
        <w:rPr>
          <w:rFonts w:cstheme="minorHAnsi"/>
          <w:color w:val="000000"/>
        </w:rPr>
        <w:t>, n</w:t>
      </w:r>
      <w:r w:rsidRPr="00A1058A">
        <w:rPr>
          <w:rFonts w:cstheme="minorHAnsi"/>
          <w:color w:val="000000"/>
          <w:vertAlign w:val="superscript"/>
        </w:rPr>
        <w:t>os</w:t>
      </w:r>
      <w:r w:rsidRPr="00A1058A">
        <w:rPr>
          <w:rFonts w:cstheme="minorHAnsi"/>
          <w:color w:val="000000"/>
        </w:rPr>
        <w:t xml:space="preserve"> 50104/10 et 9 autres, §</w:t>
      </w:r>
      <w:r w:rsidR="006D614E" w:rsidRPr="00A1058A">
        <w:rPr>
          <w:rFonts w:cstheme="minorHAnsi"/>
          <w:color w:val="000000"/>
        </w:rPr>
        <w:t> </w:t>
      </w:r>
      <w:r w:rsidRPr="00A1058A">
        <w:rPr>
          <w:rFonts w:cstheme="minorHAnsi"/>
          <w:color w:val="000000"/>
        </w:rPr>
        <w:t>79, 12</w:t>
      </w:r>
      <w:r w:rsidR="009F5751" w:rsidRPr="00A1058A">
        <w:rPr>
          <w:rFonts w:cstheme="minorHAnsi"/>
          <w:color w:val="000000"/>
        </w:rPr>
        <w:t> </w:t>
      </w:r>
      <w:r w:rsidRPr="00A1058A">
        <w:rPr>
          <w:rFonts w:cstheme="minorHAnsi"/>
          <w:color w:val="000000"/>
        </w:rPr>
        <w:t xml:space="preserve">janvier 2021, avec la jurisprudence citée). En particulier, elle rappelle </w:t>
      </w:r>
      <w:r w:rsidRPr="00A1058A">
        <w:rPr>
          <w:rFonts w:cstheme="minorHAnsi"/>
        </w:rPr>
        <w:t>avoir déjà reconnu que l</w:t>
      </w:r>
      <w:r w:rsidR="00A1058A" w:rsidRPr="00A1058A">
        <w:rPr>
          <w:rFonts w:cstheme="minorHAnsi"/>
        </w:rPr>
        <w:t>’</w:t>
      </w:r>
      <w:r w:rsidRPr="00A1058A">
        <w:rPr>
          <w:rFonts w:cstheme="minorHAnsi"/>
        </w:rPr>
        <w:t xml:space="preserve">éventualité de divergences de jurisprudence est </w:t>
      </w:r>
      <w:r w:rsidRPr="00A1058A">
        <w:rPr>
          <w:rFonts w:cstheme="minorHAnsi"/>
        </w:rPr>
        <w:lastRenderedPageBreak/>
        <w:t>naturellement inhérente à tout système judiciaire reposant sur un ensemble de juridictions du fond ayant autorité sur leur ressort territorial. De telles divergences peuvent également apparaître au sein d</w:t>
      </w:r>
      <w:r w:rsidR="00A1058A" w:rsidRPr="00A1058A">
        <w:rPr>
          <w:rFonts w:cstheme="minorHAnsi"/>
        </w:rPr>
        <w:t>’</w:t>
      </w:r>
      <w:r w:rsidRPr="00A1058A">
        <w:rPr>
          <w:rFonts w:cstheme="minorHAnsi"/>
        </w:rPr>
        <w:t>une même juridiction. Cela en soi ne saurait être jugé contraire à la Convention (</w:t>
      </w:r>
      <w:proofErr w:type="spellStart"/>
      <w:r w:rsidRPr="00A1058A">
        <w:rPr>
          <w:i/>
        </w:rPr>
        <w:t>Stanković</w:t>
      </w:r>
      <w:proofErr w:type="spellEnd"/>
      <w:r w:rsidRPr="00A1058A">
        <w:rPr>
          <w:i/>
        </w:rPr>
        <w:t xml:space="preserve"> et</w:t>
      </w:r>
      <w:r w:rsidR="006D614E" w:rsidRPr="00A1058A">
        <w:rPr>
          <w:i/>
        </w:rPr>
        <w:t> </w:t>
      </w:r>
      <w:proofErr w:type="spellStart"/>
      <w:r w:rsidRPr="00A1058A">
        <w:rPr>
          <w:i/>
        </w:rPr>
        <w:t>Trajković</w:t>
      </w:r>
      <w:proofErr w:type="spellEnd"/>
      <w:r w:rsidRPr="00A1058A">
        <w:t xml:space="preserve"> </w:t>
      </w:r>
      <w:r w:rsidRPr="00A1058A">
        <w:rPr>
          <w:i/>
        </w:rPr>
        <w:t>c. Serbie</w:t>
      </w:r>
      <w:r w:rsidRPr="00A1058A">
        <w:rPr>
          <w:snapToGrid w:val="0"/>
        </w:rPr>
        <w:t>,</w:t>
      </w:r>
      <w:r w:rsidRPr="00A1058A">
        <w:t xml:space="preserve"> n</w:t>
      </w:r>
      <w:r w:rsidRPr="00A1058A">
        <w:rPr>
          <w:rFonts w:cs="Times New Roman"/>
          <w:vertAlign w:val="superscript"/>
        </w:rPr>
        <w:t>os</w:t>
      </w:r>
      <w:r w:rsidRPr="00A1058A">
        <w:t xml:space="preserve"> 37194/08 et 37260/08</w:t>
      </w:r>
      <w:r w:rsidRPr="00A1058A">
        <w:rPr>
          <w:snapToGrid w:val="0"/>
        </w:rPr>
        <w:t xml:space="preserve">, § 41, </w:t>
      </w:r>
      <w:r w:rsidRPr="00A1058A">
        <w:t>22</w:t>
      </w:r>
      <w:r w:rsidR="00820286" w:rsidRPr="00A1058A">
        <w:t xml:space="preserve"> </w:t>
      </w:r>
      <w:r w:rsidRPr="00A1058A">
        <w:t>décembre</w:t>
      </w:r>
      <w:r w:rsidRPr="00A1058A">
        <w:rPr>
          <w:snapToGrid w:val="0"/>
        </w:rPr>
        <w:t xml:space="preserve"> 2015, et </w:t>
      </w:r>
      <w:r w:rsidRPr="00A1058A">
        <w:rPr>
          <w:rFonts w:cstheme="minorHAnsi"/>
          <w:i/>
          <w:iCs/>
        </w:rPr>
        <w:t>Santos Pinto c. Portugal</w:t>
      </w:r>
      <w:r w:rsidRPr="00A1058A">
        <w:rPr>
          <w:rFonts w:cstheme="minorHAnsi"/>
        </w:rPr>
        <w:t>, n</w:t>
      </w:r>
      <w:r w:rsidRPr="00A1058A">
        <w:rPr>
          <w:rFonts w:cstheme="minorHAnsi"/>
          <w:vertAlign w:val="superscript"/>
        </w:rPr>
        <w:t>o</w:t>
      </w:r>
      <w:r w:rsidRPr="00A1058A">
        <w:rPr>
          <w:rFonts w:cstheme="minorHAnsi"/>
        </w:rPr>
        <w:t> 39005/04, § 41, 20 mai 2008). Saisie à maintes reprises de litiges mettant en jeu la question de divergences de jurisprudence, la Cour a eu l</w:t>
      </w:r>
      <w:r w:rsidR="00A1058A" w:rsidRPr="00A1058A">
        <w:rPr>
          <w:rFonts w:cstheme="minorHAnsi"/>
        </w:rPr>
        <w:t>’</w:t>
      </w:r>
      <w:r w:rsidRPr="00A1058A">
        <w:rPr>
          <w:rFonts w:cstheme="minorHAnsi"/>
        </w:rPr>
        <w:t>occasion de se prononcer sur le point de savoir dans quelles conditions des contradictions dans la jurisprudence d</w:t>
      </w:r>
      <w:r w:rsidR="00A1058A" w:rsidRPr="00A1058A">
        <w:rPr>
          <w:rFonts w:cstheme="minorHAnsi"/>
        </w:rPr>
        <w:t>’</w:t>
      </w:r>
      <w:r w:rsidRPr="00A1058A">
        <w:rPr>
          <w:rFonts w:cstheme="minorHAnsi"/>
        </w:rPr>
        <w:t>une juridiction nationale suprême portaient atteinte aux exigences du procès équitable prévu par</w:t>
      </w:r>
      <w:r w:rsidR="009F5751" w:rsidRPr="00A1058A">
        <w:rPr>
          <w:rFonts w:cstheme="minorHAnsi"/>
        </w:rPr>
        <w:t xml:space="preserve"> </w:t>
      </w:r>
      <w:r w:rsidRPr="00A1058A">
        <w:rPr>
          <w:rFonts w:cstheme="minorHAnsi"/>
        </w:rPr>
        <w:t>l</w:t>
      </w:r>
      <w:r w:rsidR="00A1058A" w:rsidRPr="00A1058A">
        <w:rPr>
          <w:rFonts w:cstheme="minorHAnsi"/>
        </w:rPr>
        <w:t>’</w:t>
      </w:r>
      <w:r w:rsidRPr="00A1058A">
        <w:rPr>
          <w:rFonts w:cstheme="minorHAnsi"/>
        </w:rPr>
        <w:t>article 6 § 1 de la Convention (</w:t>
      </w:r>
      <w:proofErr w:type="spellStart"/>
      <w:r w:rsidRPr="00A1058A">
        <w:rPr>
          <w:i/>
        </w:rPr>
        <w:t>Nejdet</w:t>
      </w:r>
      <w:proofErr w:type="spellEnd"/>
      <w:r w:rsidRPr="00A1058A">
        <w:rPr>
          <w:i/>
        </w:rPr>
        <w:t xml:space="preserve"> </w:t>
      </w:r>
      <w:proofErr w:type="spellStart"/>
      <w:r w:rsidRPr="00A1058A">
        <w:rPr>
          <w:i/>
        </w:rPr>
        <w:t>Şahin</w:t>
      </w:r>
      <w:proofErr w:type="spellEnd"/>
      <w:r w:rsidRPr="00A1058A">
        <w:rPr>
          <w:i/>
        </w:rPr>
        <w:t xml:space="preserve"> et </w:t>
      </w:r>
      <w:proofErr w:type="spellStart"/>
      <w:r w:rsidRPr="00A1058A">
        <w:rPr>
          <w:i/>
        </w:rPr>
        <w:t>Perihan</w:t>
      </w:r>
      <w:proofErr w:type="spellEnd"/>
      <w:r w:rsidRPr="00A1058A">
        <w:rPr>
          <w:i/>
        </w:rPr>
        <w:t xml:space="preserve"> </w:t>
      </w:r>
      <w:proofErr w:type="spellStart"/>
      <w:r w:rsidRPr="00A1058A">
        <w:rPr>
          <w:i/>
        </w:rPr>
        <w:t>Şahin</w:t>
      </w:r>
      <w:proofErr w:type="spellEnd"/>
      <w:r w:rsidRPr="00A1058A">
        <w:rPr>
          <w:i/>
        </w:rPr>
        <w:t xml:space="preserve"> c. Turquie</w:t>
      </w:r>
      <w:r w:rsidRPr="00A1058A">
        <w:t xml:space="preserve"> [GC], n</w:t>
      </w:r>
      <w:r w:rsidRPr="00A1058A">
        <w:rPr>
          <w:vertAlign w:val="superscript"/>
        </w:rPr>
        <w:t>o</w:t>
      </w:r>
      <w:r w:rsidRPr="00A1058A">
        <w:t xml:space="preserve"> 13279/05</w:t>
      </w:r>
      <w:r w:rsidRPr="00A1058A">
        <w:rPr>
          <w:snapToGrid w:val="0"/>
        </w:rPr>
        <w:t xml:space="preserve">, § 52, </w:t>
      </w:r>
      <w:r w:rsidRPr="00A1058A">
        <w:t>20</w:t>
      </w:r>
      <w:r w:rsidRPr="00A1058A">
        <w:rPr>
          <w:snapToGrid w:val="0"/>
        </w:rPr>
        <w:t> </w:t>
      </w:r>
      <w:r w:rsidRPr="00A1058A">
        <w:t>octobre</w:t>
      </w:r>
      <w:r w:rsidRPr="00A1058A">
        <w:rPr>
          <w:snapToGrid w:val="0"/>
        </w:rPr>
        <w:t xml:space="preserve"> 2011). E</w:t>
      </w:r>
      <w:r w:rsidRPr="00A1058A">
        <w:rPr>
          <w:rFonts w:cstheme="minorHAnsi"/>
        </w:rPr>
        <w:t>lle a ainsi précisé les critères qui guidaient son appréciation, lesquels consistent à rechercher s</w:t>
      </w:r>
      <w:r w:rsidR="00A1058A" w:rsidRPr="00A1058A">
        <w:rPr>
          <w:rFonts w:cstheme="minorHAnsi"/>
        </w:rPr>
        <w:t>’</w:t>
      </w:r>
      <w:r w:rsidRPr="00A1058A">
        <w:rPr>
          <w:rFonts w:cstheme="minorHAnsi"/>
        </w:rPr>
        <w:t>il existe « des divergences profondes et persistantes » dans la jurisprudence d</w:t>
      </w:r>
      <w:r w:rsidR="00A1058A" w:rsidRPr="00A1058A">
        <w:rPr>
          <w:rFonts w:cstheme="minorHAnsi"/>
        </w:rPr>
        <w:t>’</w:t>
      </w:r>
      <w:r w:rsidRPr="00A1058A">
        <w:rPr>
          <w:rFonts w:cstheme="minorHAnsi"/>
        </w:rPr>
        <w:t>une juridiction suprême, si la législation interne prévoit des mécanismes permettant de supprimer ces incohérences, si ces mécanismes ont été appliqués et quels ont été, le cas échéant, les effets de leur application (</w:t>
      </w:r>
      <w:r w:rsidRPr="00A1058A">
        <w:rPr>
          <w:rFonts w:cstheme="minorHAnsi"/>
          <w:i/>
        </w:rPr>
        <w:t>Paroisse gréco-catholique Lupeni et autres c. Roumanie</w:t>
      </w:r>
      <w:r w:rsidRPr="00A1058A">
        <w:rPr>
          <w:rFonts w:cstheme="minorHAnsi"/>
        </w:rPr>
        <w:t xml:space="preserve"> [GC], n</w:t>
      </w:r>
      <w:r w:rsidRPr="00A1058A">
        <w:rPr>
          <w:rFonts w:cstheme="minorHAnsi"/>
          <w:vertAlign w:val="superscript"/>
        </w:rPr>
        <w:t>o</w:t>
      </w:r>
      <w:r w:rsidR="00820286" w:rsidRPr="00A1058A">
        <w:rPr>
          <w:rFonts w:cstheme="minorHAnsi"/>
        </w:rPr>
        <w:t> </w:t>
      </w:r>
      <w:r w:rsidRPr="00A1058A">
        <w:rPr>
          <w:rFonts w:cstheme="minorHAnsi"/>
        </w:rPr>
        <w:t xml:space="preserve">76943/11, § 116, 29 novembre 2016, et </w:t>
      </w:r>
      <w:proofErr w:type="spellStart"/>
      <w:r w:rsidRPr="00A1058A">
        <w:rPr>
          <w:i/>
        </w:rPr>
        <w:t>Iordan</w:t>
      </w:r>
      <w:proofErr w:type="spellEnd"/>
      <w:r w:rsidRPr="00A1058A">
        <w:rPr>
          <w:i/>
        </w:rPr>
        <w:t xml:space="preserve"> </w:t>
      </w:r>
      <w:proofErr w:type="spellStart"/>
      <w:r w:rsidRPr="00A1058A">
        <w:rPr>
          <w:i/>
        </w:rPr>
        <w:t>Iordanov</w:t>
      </w:r>
      <w:proofErr w:type="spellEnd"/>
      <w:r w:rsidRPr="00A1058A">
        <w:rPr>
          <w:i/>
        </w:rPr>
        <w:t xml:space="preserve"> et autres c. Bulgarie</w:t>
      </w:r>
      <w:r w:rsidRPr="00A1058A">
        <w:t>, n</w:t>
      </w:r>
      <w:r w:rsidRPr="00A1058A">
        <w:rPr>
          <w:vertAlign w:val="superscript"/>
        </w:rPr>
        <w:t>o</w:t>
      </w:r>
      <w:r w:rsidR="006D614E" w:rsidRPr="00A1058A">
        <w:rPr>
          <w:vertAlign w:val="superscript"/>
        </w:rPr>
        <w:t> </w:t>
      </w:r>
      <w:r w:rsidRPr="00A1058A">
        <w:t>23530/02</w:t>
      </w:r>
      <w:r w:rsidRPr="00A1058A">
        <w:rPr>
          <w:snapToGrid w:val="0"/>
        </w:rPr>
        <w:t xml:space="preserve">, §§ 49-50, 2 </w:t>
      </w:r>
      <w:r w:rsidRPr="00A1058A">
        <w:t>juillet</w:t>
      </w:r>
      <w:r w:rsidRPr="00A1058A">
        <w:rPr>
          <w:snapToGrid w:val="0"/>
        </w:rPr>
        <w:t xml:space="preserve"> 2009)</w:t>
      </w:r>
      <w:r w:rsidRPr="00A1058A">
        <w:rPr>
          <w:rFonts w:cstheme="minorHAnsi"/>
        </w:rPr>
        <w:t>.</w:t>
      </w:r>
    </w:p>
    <w:p w14:paraId="41E0ED8C" w14:textId="1F3A689F" w:rsidR="001F27F3" w:rsidRPr="00A1058A" w:rsidRDefault="001F27F3" w:rsidP="00A1058A">
      <w:pPr>
        <w:pStyle w:val="JuPara"/>
        <w:rPr>
          <w:rFonts w:cstheme="minorHAnsi"/>
        </w:rPr>
      </w:pPr>
      <w:r w:rsidRPr="00A1058A">
        <w:rPr>
          <w:rFonts w:cstheme="minorHAnsi"/>
        </w:rPr>
        <w:fldChar w:fldCharType="begin"/>
      </w:r>
      <w:r w:rsidRPr="00A1058A">
        <w:rPr>
          <w:rFonts w:cstheme="minorHAnsi"/>
        </w:rPr>
        <w:instrText xml:space="preserve"> SEQ level0 \*arabic \* MERGEFORMAT </w:instrText>
      </w:r>
      <w:r w:rsidRPr="00A1058A">
        <w:rPr>
          <w:rFonts w:cstheme="minorHAnsi"/>
        </w:rPr>
        <w:fldChar w:fldCharType="separate"/>
      </w:r>
      <w:r w:rsidR="00A1058A" w:rsidRPr="00A1058A">
        <w:rPr>
          <w:rFonts w:cstheme="minorHAnsi"/>
          <w:noProof/>
        </w:rPr>
        <w:t>27</w:t>
      </w:r>
      <w:r w:rsidRPr="00A1058A">
        <w:rPr>
          <w:rFonts w:cstheme="minorHAnsi"/>
        </w:rPr>
        <w:fldChar w:fldCharType="end"/>
      </w:r>
      <w:r w:rsidRPr="00A1058A">
        <w:rPr>
          <w:rFonts w:cstheme="minorHAnsi"/>
        </w:rPr>
        <w:t>.  En l</w:t>
      </w:r>
      <w:r w:rsidR="00A1058A" w:rsidRPr="00A1058A">
        <w:rPr>
          <w:rFonts w:cstheme="minorHAnsi"/>
        </w:rPr>
        <w:t>’</w:t>
      </w:r>
      <w:r w:rsidRPr="00A1058A">
        <w:rPr>
          <w:rFonts w:cstheme="minorHAnsi"/>
        </w:rPr>
        <w:t>espèce, la Cour note que les divergences de jurisprudence évoquées par la requérante n</w:t>
      </w:r>
      <w:r w:rsidR="00A1058A" w:rsidRPr="00A1058A">
        <w:rPr>
          <w:rFonts w:cstheme="minorHAnsi"/>
        </w:rPr>
        <w:t>’</w:t>
      </w:r>
      <w:r w:rsidRPr="00A1058A">
        <w:rPr>
          <w:rFonts w:cstheme="minorHAnsi"/>
        </w:rPr>
        <w:t>étaient pas limitées à son affaire. En effet, comme indiqué par la Cour de cassation</w:t>
      </w:r>
      <w:r w:rsidRPr="00A1058A">
        <w:t xml:space="preserve"> </w:t>
      </w:r>
      <w:r w:rsidRPr="00A1058A">
        <w:rPr>
          <w:rFonts w:cstheme="minorHAnsi"/>
        </w:rPr>
        <w:t xml:space="preserve">dans son arrêt de 2008 </w:t>
      </w:r>
      <w:r w:rsidRPr="00A1058A">
        <w:t>(paragraphe </w:t>
      </w:r>
      <w:r w:rsidRPr="00A1058A">
        <w:fldChar w:fldCharType="begin"/>
      </w:r>
      <w:r w:rsidRPr="00A1058A">
        <w:instrText xml:space="preserve"> REF JP_CASS_BIFASE \h </w:instrText>
      </w:r>
      <w:r w:rsidRPr="00A1058A">
        <w:fldChar w:fldCharType="separate"/>
      </w:r>
      <w:r w:rsidR="00A1058A" w:rsidRPr="00A1058A">
        <w:rPr>
          <w:noProof/>
        </w:rPr>
        <w:t>17</w:t>
      </w:r>
      <w:r w:rsidRPr="00A1058A">
        <w:fldChar w:fldCharType="end"/>
      </w:r>
      <w:r w:rsidRPr="00A1058A">
        <w:t xml:space="preserve"> ci-dessus),</w:t>
      </w:r>
      <w:r w:rsidRPr="00A1058A">
        <w:rPr>
          <w:rFonts w:cstheme="minorHAnsi"/>
        </w:rPr>
        <w:t xml:space="preserve"> les premiers mois au cours desquels la réforme de la loi sur la faillite</w:t>
      </w:r>
      <w:r w:rsidRPr="00A1058A" w:rsidDel="00A9161F">
        <w:rPr>
          <w:rFonts w:cstheme="minorHAnsi"/>
        </w:rPr>
        <w:t xml:space="preserve"> </w:t>
      </w:r>
      <w:r w:rsidRPr="00A1058A">
        <w:rPr>
          <w:rFonts w:cstheme="minorHAnsi"/>
        </w:rPr>
        <w:t>est entrée en vigueur, les juridictions du fond avaient interprété de manière divergente la portée des dispositions transitoires et, en particulier, l</w:t>
      </w:r>
      <w:r w:rsidR="00A1058A" w:rsidRPr="00A1058A">
        <w:rPr>
          <w:rFonts w:cstheme="minorHAnsi"/>
        </w:rPr>
        <w:t>’</w:t>
      </w:r>
      <w:r w:rsidRPr="00A1058A">
        <w:rPr>
          <w:rFonts w:cstheme="minorHAnsi"/>
        </w:rPr>
        <w:t xml:space="preserve">applicabilité du nouvel article 18 de la loi sur la faillite aux procédures de faillite déjà en cours (paragraphe </w:t>
      </w:r>
      <w:r w:rsidRPr="00A1058A">
        <w:rPr>
          <w:rFonts w:cstheme="minorHAnsi"/>
        </w:rPr>
        <w:fldChar w:fldCharType="begin"/>
      </w:r>
      <w:r w:rsidRPr="00A1058A">
        <w:rPr>
          <w:rFonts w:cstheme="minorHAnsi"/>
        </w:rPr>
        <w:instrText xml:space="preserve"> REF ART18_LF \h </w:instrText>
      </w:r>
      <w:r w:rsidRPr="00A1058A">
        <w:rPr>
          <w:rFonts w:cstheme="minorHAnsi"/>
        </w:rPr>
      </w:r>
      <w:r w:rsidRPr="00A1058A">
        <w:rPr>
          <w:rFonts w:cstheme="minorHAnsi"/>
        </w:rPr>
        <w:fldChar w:fldCharType="separate"/>
      </w:r>
      <w:r w:rsidR="00A1058A" w:rsidRPr="00A1058A">
        <w:rPr>
          <w:noProof/>
        </w:rPr>
        <w:t>14</w:t>
      </w:r>
      <w:r w:rsidRPr="00A1058A">
        <w:rPr>
          <w:rFonts w:cstheme="minorHAnsi"/>
        </w:rPr>
        <w:fldChar w:fldCharType="end"/>
      </w:r>
      <w:r w:rsidRPr="00A1058A">
        <w:rPr>
          <w:rFonts w:cstheme="minorHAnsi"/>
        </w:rPr>
        <w:t xml:space="preserve"> ci-dessus).</w:t>
      </w:r>
    </w:p>
    <w:p w14:paraId="6D05F32A" w14:textId="1E46CAA2"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28</w:t>
      </w:r>
      <w:r>
        <w:rPr>
          <w:noProof/>
        </w:rPr>
        <w:fldChar w:fldCharType="end"/>
      </w:r>
      <w:r w:rsidR="001F27F3" w:rsidRPr="00A1058A">
        <w:t>.  À cet égard, la Cour a souligné à maintes reprises que le rôle d</w:t>
      </w:r>
      <w:r w:rsidR="00A1058A" w:rsidRPr="00A1058A">
        <w:t>’</w:t>
      </w:r>
      <w:r w:rsidR="001F27F3" w:rsidRPr="00A1058A">
        <w:t>une juridiction suprême est de régler les contradictions entre les différentes juridictions (</w:t>
      </w:r>
      <w:proofErr w:type="spellStart"/>
      <w:r w:rsidR="001F27F3" w:rsidRPr="00A1058A">
        <w:rPr>
          <w:i/>
        </w:rPr>
        <w:t>Zielinski</w:t>
      </w:r>
      <w:proofErr w:type="spellEnd"/>
      <w:r w:rsidR="001F27F3" w:rsidRPr="00A1058A">
        <w:rPr>
          <w:i/>
        </w:rPr>
        <w:t xml:space="preserve"> et </w:t>
      </w:r>
      <w:proofErr w:type="spellStart"/>
      <w:r w:rsidR="001F27F3" w:rsidRPr="00A1058A">
        <w:rPr>
          <w:i/>
        </w:rPr>
        <w:t>Pradal</w:t>
      </w:r>
      <w:proofErr w:type="spellEnd"/>
      <w:r w:rsidR="001F27F3" w:rsidRPr="00A1058A">
        <w:rPr>
          <w:i/>
        </w:rPr>
        <w:t xml:space="preserve"> et Gonzalez et autres c. France</w:t>
      </w:r>
      <w:r w:rsidR="001F27F3" w:rsidRPr="00A1058A">
        <w:t xml:space="preserve"> [GC], n</w:t>
      </w:r>
      <w:r w:rsidR="001F27F3" w:rsidRPr="00A1058A">
        <w:rPr>
          <w:rFonts w:cs="Times New Roman"/>
          <w:vertAlign w:val="superscript"/>
        </w:rPr>
        <w:t>os</w:t>
      </w:r>
      <w:r w:rsidR="001F27F3" w:rsidRPr="00A1058A">
        <w:t> 24846/94 et 9 autres, § 59, CEDH 1999</w:t>
      </w:r>
      <w:r w:rsidR="001F27F3" w:rsidRPr="00A1058A">
        <w:noBreakHyphen/>
        <w:t xml:space="preserve">VII, et </w:t>
      </w:r>
      <w:r w:rsidR="001F27F3" w:rsidRPr="00A1058A">
        <w:rPr>
          <w:i/>
        </w:rPr>
        <w:t xml:space="preserve">Ferreira Santos </w:t>
      </w:r>
      <w:proofErr w:type="spellStart"/>
      <w:r w:rsidR="001F27F3" w:rsidRPr="00A1058A">
        <w:rPr>
          <w:i/>
        </w:rPr>
        <w:t>Pardal</w:t>
      </w:r>
      <w:proofErr w:type="spellEnd"/>
      <w:r w:rsidR="001F27F3" w:rsidRPr="00A1058A">
        <w:t xml:space="preserve"> </w:t>
      </w:r>
      <w:r w:rsidR="001F27F3" w:rsidRPr="00A1058A">
        <w:rPr>
          <w:i/>
        </w:rPr>
        <w:t>c. Portugal</w:t>
      </w:r>
      <w:r w:rsidR="001F27F3" w:rsidRPr="00A1058A">
        <w:t>, n</w:t>
      </w:r>
      <w:r w:rsidR="001F27F3" w:rsidRPr="00A1058A">
        <w:rPr>
          <w:vertAlign w:val="superscript"/>
        </w:rPr>
        <w:t>o </w:t>
      </w:r>
      <w:r w:rsidR="001F27F3" w:rsidRPr="00A1058A">
        <w:t>30123/10</w:t>
      </w:r>
      <w:r w:rsidR="001F27F3" w:rsidRPr="00A1058A">
        <w:rPr>
          <w:snapToGrid w:val="0"/>
        </w:rPr>
        <w:t xml:space="preserve">, § 47, 30 </w:t>
      </w:r>
      <w:r w:rsidR="001F27F3" w:rsidRPr="00A1058A">
        <w:t>juillet</w:t>
      </w:r>
      <w:r w:rsidR="001F27F3" w:rsidRPr="00A1058A">
        <w:rPr>
          <w:snapToGrid w:val="0"/>
        </w:rPr>
        <w:t xml:space="preserve"> 2015).</w:t>
      </w:r>
      <w:r w:rsidR="001F27F3" w:rsidRPr="00A1058A">
        <w:t xml:space="preserve"> Par conséquent, si une pratique divergente se développe au sein d</w:t>
      </w:r>
      <w:r w:rsidR="00A1058A" w:rsidRPr="00A1058A">
        <w:t>’</w:t>
      </w:r>
      <w:r w:rsidR="001F27F3" w:rsidRPr="00A1058A">
        <w:t>une des plus hautes autorités judiciaires du pays, cette dernière devient elle-même source d</w:t>
      </w:r>
      <w:r w:rsidR="00A1058A" w:rsidRPr="00A1058A">
        <w:t>’</w:t>
      </w:r>
      <w:r w:rsidR="001F27F3" w:rsidRPr="00A1058A">
        <w:t>insécurité juridique, portant ainsi atteinte au principe de la sécurité juridique et réduisant la confiance du public dans le système judiciaire (</w:t>
      </w:r>
      <w:r w:rsidR="001F27F3" w:rsidRPr="00A1058A">
        <w:rPr>
          <w:i/>
        </w:rPr>
        <w:t>Paroisse gréco-catholique Lupeni et autres</w:t>
      </w:r>
      <w:r w:rsidR="001F27F3" w:rsidRPr="00A1058A">
        <w:t>, précité, § 123).</w:t>
      </w:r>
    </w:p>
    <w:p w14:paraId="377106DE" w14:textId="7124191F"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29</w:t>
      </w:r>
      <w:r>
        <w:rPr>
          <w:noProof/>
        </w:rPr>
        <w:fldChar w:fldCharType="end"/>
      </w:r>
      <w:r w:rsidR="001F27F3" w:rsidRPr="00A1058A">
        <w:t>.  Il convient toutefois de souligner que la présente affaire se distingue des affaires susmentionnées en ce que les divergences de jurisprudence en l</w:t>
      </w:r>
      <w:r w:rsidR="00A1058A" w:rsidRPr="00A1058A">
        <w:t>’</w:t>
      </w:r>
      <w:r w:rsidR="001F27F3" w:rsidRPr="00A1058A">
        <w:t>espèce étaient limitées aux juridictions du fond. En tant que garante de l</w:t>
      </w:r>
      <w:r w:rsidR="00A1058A" w:rsidRPr="00A1058A">
        <w:t>’</w:t>
      </w:r>
      <w:r w:rsidR="001F27F3" w:rsidRPr="00A1058A">
        <w:t>uniformité du droit interne, la Cour de cassation s</w:t>
      </w:r>
      <w:r w:rsidR="00A1058A" w:rsidRPr="00A1058A">
        <w:t>’</w:t>
      </w:r>
      <w:r w:rsidR="001F27F3" w:rsidRPr="00A1058A">
        <w:t>est prononcée à ce sujet dans son arrêt de 2008. Dans son appréciation, elle a d</w:t>
      </w:r>
      <w:r w:rsidR="00A1058A" w:rsidRPr="00A1058A">
        <w:t>’</w:t>
      </w:r>
      <w:r w:rsidR="001F27F3" w:rsidRPr="00A1058A">
        <w:t xml:space="preserve">abord rappelé la nature et les caractéristiques de la procédure de faillite et a ensuite déterminé la </w:t>
      </w:r>
      <w:r w:rsidR="001F27F3" w:rsidRPr="00A1058A">
        <w:lastRenderedPageBreak/>
        <w:t>portée des dispositions transitoires modifiant la loi sur la faillite (paragraphe</w:t>
      </w:r>
      <w:r w:rsidR="001F27F3" w:rsidRPr="00A1058A">
        <w:fldChar w:fldCharType="begin"/>
      </w:r>
      <w:r w:rsidR="001F27F3" w:rsidRPr="00A1058A">
        <w:instrText xml:space="preserve"> REF JP_CASS_BIFASE \h </w:instrText>
      </w:r>
      <w:r w:rsidR="001F27F3" w:rsidRPr="00A1058A">
        <w:fldChar w:fldCharType="separate"/>
      </w:r>
      <w:r w:rsidR="00A1058A" w:rsidRPr="00A1058A">
        <w:rPr>
          <w:noProof/>
        </w:rPr>
        <w:t>17</w:t>
      </w:r>
      <w:r w:rsidR="001F27F3" w:rsidRPr="00A1058A">
        <w:fldChar w:fldCharType="end"/>
      </w:r>
      <w:r w:rsidR="001F27F3" w:rsidRPr="00A1058A">
        <w:t xml:space="preserve"> ci-dessus). </w:t>
      </w:r>
      <w:r w:rsidR="001F27F3" w:rsidRPr="00A1058A">
        <w:rPr>
          <w:rFonts w:cstheme="minorHAnsi"/>
        </w:rPr>
        <w:t>À</w:t>
      </w:r>
      <w:r w:rsidR="001F27F3" w:rsidRPr="00A1058A">
        <w:t xml:space="preserve"> partir de cet arrêt, rendu moins de deux ans après l</w:t>
      </w:r>
      <w:r w:rsidR="00A1058A" w:rsidRPr="00A1058A">
        <w:t>’</w:t>
      </w:r>
      <w:r w:rsidR="001F27F3" w:rsidRPr="00A1058A">
        <w:t>entrée en vigueur du décret législatif réformant la loi sur la faillite, les divergences de jurisprudence ont été écartées et les juridictions internes, telles que la cour d</w:t>
      </w:r>
      <w:r w:rsidR="00A1058A" w:rsidRPr="00A1058A">
        <w:t>’</w:t>
      </w:r>
      <w:r w:rsidR="001F27F3" w:rsidRPr="00A1058A">
        <w:t>appel et la Cour de cassation en l</w:t>
      </w:r>
      <w:r w:rsidR="00A1058A" w:rsidRPr="00A1058A">
        <w:t>’</w:t>
      </w:r>
      <w:r w:rsidR="001F27F3" w:rsidRPr="00A1058A">
        <w:t>espèce, ont suivi l</w:t>
      </w:r>
      <w:r w:rsidR="00A1058A" w:rsidRPr="00A1058A">
        <w:t>’</w:t>
      </w:r>
      <w:r w:rsidR="001F27F3" w:rsidRPr="00A1058A">
        <w:t>interprétation donnée par la haute juridiction.</w:t>
      </w:r>
    </w:p>
    <w:p w14:paraId="199A8783" w14:textId="7C10A604"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30</w:t>
      </w:r>
      <w:r>
        <w:rPr>
          <w:noProof/>
        </w:rPr>
        <w:fldChar w:fldCharType="end"/>
      </w:r>
      <w:r w:rsidR="001F27F3" w:rsidRPr="00A1058A">
        <w:t>.  Par conséquent, il n</w:t>
      </w:r>
      <w:r w:rsidR="00A1058A" w:rsidRPr="00A1058A">
        <w:t>’</w:t>
      </w:r>
      <w:r w:rsidR="001F27F3" w:rsidRPr="00A1058A">
        <w:t>y a pas eu en l</w:t>
      </w:r>
      <w:r w:rsidR="00A1058A" w:rsidRPr="00A1058A">
        <w:t>’</w:t>
      </w:r>
      <w:r w:rsidR="001F27F3" w:rsidRPr="00A1058A">
        <w:t xml:space="preserve">espèce une divergence de jurisprudence « profonde et persistante » au sens des principes précités. </w:t>
      </w:r>
      <w:r w:rsidR="001F27F3" w:rsidRPr="00A1058A">
        <w:rPr>
          <w:rFonts w:cstheme="minorHAnsi"/>
        </w:rPr>
        <w:t>À</w:t>
      </w:r>
      <w:r w:rsidR="001F27F3" w:rsidRPr="00A1058A">
        <w:t xml:space="preserve"> l</w:t>
      </w:r>
      <w:r w:rsidR="00A1058A" w:rsidRPr="00A1058A">
        <w:t>’</w:t>
      </w:r>
      <w:r w:rsidR="001F27F3" w:rsidRPr="00A1058A">
        <w:t>opposé, la Cour de cassation est intervenue de manière raisonnable pour remédier à la divergence de jurisprudence apparue entre les juridictions du fond. Aux yeux de la Cour, l</w:t>
      </w:r>
      <w:r w:rsidR="00A1058A" w:rsidRPr="00A1058A">
        <w:t>’</w:t>
      </w:r>
      <w:r w:rsidR="001F27F3" w:rsidRPr="00A1058A">
        <w:t>interprétation de la Cour de cassation n</w:t>
      </w:r>
      <w:r w:rsidR="00A1058A" w:rsidRPr="00A1058A">
        <w:t>’</w:t>
      </w:r>
      <w:r w:rsidR="001F27F3" w:rsidRPr="00A1058A">
        <w:t>est pas constitutive d</w:t>
      </w:r>
      <w:r w:rsidR="00A1058A" w:rsidRPr="00A1058A">
        <w:t>’</w:t>
      </w:r>
      <w:r w:rsidR="001F27F3" w:rsidRPr="00A1058A">
        <w:t>une violation de l</w:t>
      </w:r>
      <w:r w:rsidR="00A1058A" w:rsidRPr="00A1058A">
        <w:t>’</w:t>
      </w:r>
      <w:r w:rsidR="001F27F3" w:rsidRPr="00A1058A">
        <w:t>article 6 § 1 de la Convention (voir,</w:t>
      </w:r>
      <w:r w:rsidR="006D614E" w:rsidRPr="00A1058A">
        <w:t> </w:t>
      </w:r>
      <w:r w:rsidR="001F27F3" w:rsidRPr="00A1058A">
        <w:rPr>
          <w:i/>
          <w:iCs/>
        </w:rPr>
        <w:t>a</w:t>
      </w:r>
      <w:r w:rsidR="006D614E" w:rsidRPr="00A1058A">
        <w:rPr>
          <w:i/>
          <w:iCs/>
        </w:rPr>
        <w:t> </w:t>
      </w:r>
      <w:r w:rsidR="001F27F3" w:rsidRPr="00A1058A">
        <w:rPr>
          <w:i/>
          <w:iCs/>
        </w:rPr>
        <w:t>contrario</w:t>
      </w:r>
      <w:r w:rsidR="001F27F3" w:rsidRPr="00A1058A">
        <w:t xml:space="preserve">, </w:t>
      </w:r>
      <w:proofErr w:type="spellStart"/>
      <w:r w:rsidR="001F27F3" w:rsidRPr="00A1058A">
        <w:rPr>
          <w:i/>
          <w:iCs/>
        </w:rPr>
        <w:t>Mirković</w:t>
      </w:r>
      <w:proofErr w:type="spellEnd"/>
      <w:r w:rsidR="001F27F3" w:rsidRPr="00A1058A">
        <w:rPr>
          <w:i/>
          <w:iCs/>
        </w:rPr>
        <w:t xml:space="preserve"> et autres c. Serbie</w:t>
      </w:r>
      <w:r w:rsidR="001F27F3" w:rsidRPr="00A1058A">
        <w:rPr>
          <w:lang w:eastAsia="en-GB"/>
        </w:rPr>
        <w:t>, n</w:t>
      </w:r>
      <w:r w:rsidR="001F27F3" w:rsidRPr="00A1058A">
        <w:rPr>
          <w:vertAlign w:val="superscript"/>
          <w:lang w:eastAsia="en-GB"/>
        </w:rPr>
        <w:t>os</w:t>
      </w:r>
      <w:r w:rsidR="001F27F3" w:rsidRPr="00A1058A">
        <w:t> 27471/15 et 12 autres</w:t>
      </w:r>
      <w:r w:rsidR="001F27F3" w:rsidRPr="00A1058A">
        <w:rPr>
          <w:lang w:eastAsia="en-GB"/>
        </w:rPr>
        <w:t xml:space="preserve">, </w:t>
      </w:r>
      <w:r w:rsidR="001F27F3" w:rsidRPr="00A1058A">
        <w:t>§§</w:t>
      </w:r>
      <w:r w:rsidR="006D614E" w:rsidRPr="00A1058A">
        <w:t> </w:t>
      </w:r>
      <w:r w:rsidR="001F27F3" w:rsidRPr="00A1058A">
        <w:t>140</w:t>
      </w:r>
      <w:r w:rsidR="006D614E" w:rsidRPr="00A1058A">
        <w:noBreakHyphen/>
      </w:r>
      <w:r w:rsidR="001F27F3" w:rsidRPr="00A1058A">
        <w:t>42, 26 juin 2018).</w:t>
      </w:r>
    </w:p>
    <w:p w14:paraId="584D76C5" w14:textId="7BF0AB4E" w:rsidR="001F27F3" w:rsidRPr="00A1058A" w:rsidRDefault="00441942" w:rsidP="00A1058A">
      <w:pPr>
        <w:pStyle w:val="JuPara"/>
      </w:pPr>
      <w:r>
        <w:rPr>
          <w:noProof/>
        </w:rPr>
        <w:fldChar w:fldCharType="begin"/>
      </w:r>
      <w:r>
        <w:rPr>
          <w:noProof/>
        </w:rPr>
        <w:instrText xml:space="preserve"> SEQ level0 \*a</w:instrText>
      </w:r>
      <w:r>
        <w:rPr>
          <w:noProof/>
        </w:rPr>
        <w:instrText xml:space="preserve">rabic \* MERGEFORMAT </w:instrText>
      </w:r>
      <w:r>
        <w:rPr>
          <w:noProof/>
        </w:rPr>
        <w:fldChar w:fldCharType="separate"/>
      </w:r>
      <w:r w:rsidR="00A1058A" w:rsidRPr="00A1058A">
        <w:rPr>
          <w:noProof/>
        </w:rPr>
        <w:t>31</w:t>
      </w:r>
      <w:r>
        <w:rPr>
          <w:noProof/>
        </w:rPr>
        <w:fldChar w:fldCharType="end"/>
      </w:r>
      <w:r w:rsidR="001F27F3" w:rsidRPr="00A1058A">
        <w:t>.  La Cour rappelle ensuite que les limitations appliquées au droit d</w:t>
      </w:r>
      <w:r w:rsidR="00A1058A" w:rsidRPr="00A1058A">
        <w:t>’</w:t>
      </w:r>
      <w:r w:rsidR="001F27F3" w:rsidRPr="00A1058A">
        <w:t>accès à un tribunal ne se concilient avec l</w:t>
      </w:r>
      <w:r w:rsidR="00A1058A" w:rsidRPr="00A1058A">
        <w:t>’</w:t>
      </w:r>
      <w:r w:rsidR="001F27F3" w:rsidRPr="00A1058A">
        <w:t>article 6 § 1 de la Convention que si elles poursuivent un but légitime et s</w:t>
      </w:r>
      <w:r w:rsidR="00A1058A" w:rsidRPr="00A1058A">
        <w:t>’</w:t>
      </w:r>
      <w:r w:rsidR="001F27F3" w:rsidRPr="00A1058A">
        <w:t>il existe un rapport raisonnable de proportionnalité entre les moyens employés et le but visé (</w:t>
      </w:r>
      <w:proofErr w:type="spellStart"/>
      <w:r w:rsidR="001F27F3" w:rsidRPr="00A1058A">
        <w:rPr>
          <w:i/>
          <w:iCs/>
        </w:rPr>
        <w:t>Zubac</w:t>
      </w:r>
      <w:proofErr w:type="spellEnd"/>
      <w:r w:rsidR="001F27F3" w:rsidRPr="00A1058A">
        <w:t>, précité, §§</w:t>
      </w:r>
      <w:r w:rsidR="006D614E" w:rsidRPr="00A1058A">
        <w:t> </w:t>
      </w:r>
      <w:r w:rsidR="001F27F3" w:rsidRPr="00A1058A">
        <w:t>78-79).</w:t>
      </w:r>
    </w:p>
    <w:p w14:paraId="4294F638" w14:textId="025333D1"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32</w:t>
      </w:r>
      <w:r>
        <w:rPr>
          <w:noProof/>
        </w:rPr>
        <w:fldChar w:fldCharType="end"/>
      </w:r>
      <w:r w:rsidR="001F27F3" w:rsidRPr="00A1058A">
        <w:t>.  En l</w:t>
      </w:r>
      <w:r w:rsidR="00A1058A" w:rsidRPr="00A1058A">
        <w:t>’</w:t>
      </w:r>
      <w:r w:rsidR="001F27F3" w:rsidRPr="00A1058A">
        <w:t xml:space="preserve">espèce, la Cour observe que la procédure de faillite, tout en garantissant les droits du failli, vise principalement à protéger les intérêts patrimoniaux des créanciers. En supprimant le recours en opposition, le législateur a ainsi voulu rendre la procédure de faillite plus rapide au profit des créanciers (paragraphe </w:t>
      </w:r>
      <w:r w:rsidR="001F27F3" w:rsidRPr="00A1058A">
        <w:fldChar w:fldCharType="begin"/>
      </w:r>
      <w:r w:rsidR="001F27F3" w:rsidRPr="00A1058A">
        <w:instrText xml:space="preserve"> REF JP_CASS_BIFASE \h  \* MERGEFORMAT </w:instrText>
      </w:r>
      <w:r w:rsidR="001F27F3" w:rsidRPr="00A1058A">
        <w:fldChar w:fldCharType="separate"/>
      </w:r>
      <w:r w:rsidR="00A1058A" w:rsidRPr="00A1058A">
        <w:t>17</w:t>
      </w:r>
      <w:r w:rsidR="001F27F3" w:rsidRPr="00A1058A">
        <w:fldChar w:fldCharType="end"/>
      </w:r>
      <w:r w:rsidR="001F27F3" w:rsidRPr="00A1058A">
        <w:t xml:space="preserve"> ci-dessus). Dès lors, la Cour considère que la suppression du recours en opposition répond au but légitime de raccourcir la durée de la procédure et ainsi de protéger les droits et intérêts d</w:t>
      </w:r>
      <w:r w:rsidR="00A1058A" w:rsidRPr="00A1058A">
        <w:t>’</w:t>
      </w:r>
      <w:r w:rsidR="001F27F3" w:rsidRPr="00A1058A">
        <w:t>autrui, à savoir ceux des créanciers.</w:t>
      </w:r>
    </w:p>
    <w:p w14:paraId="5187DC17" w14:textId="105F018D"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33</w:t>
      </w:r>
      <w:r>
        <w:rPr>
          <w:noProof/>
        </w:rPr>
        <w:fldChar w:fldCharType="end"/>
      </w:r>
      <w:r w:rsidR="001F27F3" w:rsidRPr="00A1058A">
        <w:t>.  La Cour relève ensuite que l</w:t>
      </w:r>
      <w:r w:rsidR="00A1058A" w:rsidRPr="00A1058A">
        <w:t>’</w:t>
      </w:r>
      <w:r w:rsidR="001F27F3" w:rsidRPr="00A1058A">
        <w:t>article 18 de la loi sur la faillite garantit toujours la possibilité pour le justiciable de faire appel du jugement déclarant la faillite (« </w:t>
      </w:r>
      <w:proofErr w:type="spellStart"/>
      <w:r w:rsidR="001F27F3" w:rsidRPr="00A1058A">
        <w:rPr>
          <w:i/>
          <w:iCs/>
        </w:rPr>
        <w:t>reclamo</w:t>
      </w:r>
      <w:proofErr w:type="spellEnd"/>
      <w:r w:rsidR="001F27F3" w:rsidRPr="00A1058A">
        <w:t> » à partir du 1</w:t>
      </w:r>
      <w:r w:rsidR="001F27F3" w:rsidRPr="00A1058A">
        <w:rPr>
          <w:vertAlign w:val="superscript"/>
        </w:rPr>
        <w:t>er</w:t>
      </w:r>
      <w:r w:rsidR="001F27F3" w:rsidRPr="00A1058A">
        <w:t xml:space="preserve"> janvier 2008, paragraphe </w:t>
      </w:r>
      <w:r w:rsidR="001F27F3" w:rsidRPr="00A1058A">
        <w:rPr>
          <w:rFonts w:cstheme="minorHAnsi"/>
        </w:rPr>
        <w:fldChar w:fldCharType="begin"/>
      </w:r>
      <w:r w:rsidR="001F27F3" w:rsidRPr="00A1058A">
        <w:rPr>
          <w:rFonts w:cstheme="minorHAnsi"/>
        </w:rPr>
        <w:instrText xml:space="preserve"> REF ART18_LF \h </w:instrText>
      </w:r>
      <w:r w:rsidR="001F27F3" w:rsidRPr="00A1058A">
        <w:rPr>
          <w:rFonts w:cstheme="minorHAnsi"/>
        </w:rPr>
      </w:r>
      <w:r w:rsidR="001F27F3" w:rsidRPr="00A1058A">
        <w:rPr>
          <w:rFonts w:cstheme="minorHAnsi"/>
        </w:rPr>
        <w:fldChar w:fldCharType="separate"/>
      </w:r>
      <w:r w:rsidR="00A1058A" w:rsidRPr="00A1058A">
        <w:rPr>
          <w:noProof/>
        </w:rPr>
        <w:t>14</w:t>
      </w:r>
      <w:r w:rsidR="001F27F3" w:rsidRPr="00A1058A">
        <w:rPr>
          <w:rFonts w:cstheme="minorHAnsi"/>
        </w:rPr>
        <w:fldChar w:fldCharType="end"/>
      </w:r>
      <w:r w:rsidR="001F27F3" w:rsidRPr="00A1058A">
        <w:t xml:space="preserve"> ci-dessus). Or, même si la procédure en appel ne garantit pas au justiciable un niveau de protection équivalent à celui de la procédure en opposition, il n</w:t>
      </w:r>
      <w:r w:rsidR="00A1058A" w:rsidRPr="00A1058A">
        <w:t>’</w:t>
      </w:r>
      <w:r w:rsidR="001F27F3" w:rsidRPr="00A1058A">
        <w:t>en reste pas moins que la cour d</w:t>
      </w:r>
      <w:r w:rsidR="00A1058A" w:rsidRPr="00A1058A">
        <w:t>’</w:t>
      </w:r>
      <w:r w:rsidR="001F27F3" w:rsidRPr="00A1058A">
        <w:t>appel est un organe de pleine juridiction et que son pouvoir, délimité par les moyens d</w:t>
      </w:r>
      <w:r w:rsidR="00A1058A" w:rsidRPr="00A1058A">
        <w:t>’</w:t>
      </w:r>
      <w:r w:rsidR="001F27F3" w:rsidRPr="00A1058A">
        <w:t>appel présentés devant elle, assure un niveau suffisant de protection du principe du contradictoire. En outre, la Cour estime en l</w:t>
      </w:r>
      <w:r w:rsidR="00A1058A" w:rsidRPr="00A1058A">
        <w:t>’</w:t>
      </w:r>
      <w:r w:rsidR="001F27F3" w:rsidRPr="00A1058A">
        <w:t>espèce que le fait d</w:t>
      </w:r>
      <w:r w:rsidR="00A1058A" w:rsidRPr="00A1058A">
        <w:t>’</w:t>
      </w:r>
      <w:r w:rsidR="001F27F3" w:rsidRPr="00A1058A">
        <w:t>avoir introduit un recours en opposition, au lieu d</w:t>
      </w:r>
      <w:r w:rsidR="00A1058A" w:rsidRPr="00A1058A">
        <w:t>’</w:t>
      </w:r>
      <w:r w:rsidR="001F27F3" w:rsidRPr="00A1058A">
        <w:t>un appel, est le résultat d</w:t>
      </w:r>
      <w:r w:rsidR="00A1058A" w:rsidRPr="00A1058A">
        <w:t>’</w:t>
      </w:r>
      <w:r w:rsidR="001F27F3" w:rsidRPr="00A1058A">
        <w:t>un choix de la requérante découlant d</w:t>
      </w:r>
      <w:r w:rsidR="00A1058A" w:rsidRPr="00A1058A">
        <w:t>’</w:t>
      </w:r>
      <w:r w:rsidR="001F27F3" w:rsidRPr="00A1058A">
        <w:t>une interprétation des dispositions transitoires qui était incertaine à l</w:t>
      </w:r>
      <w:r w:rsidR="00A1058A" w:rsidRPr="00A1058A">
        <w:t>’</w:t>
      </w:r>
      <w:r w:rsidR="001F27F3" w:rsidRPr="00A1058A">
        <w:t>époque de faits et qui s</w:t>
      </w:r>
      <w:r w:rsidR="00A1058A" w:rsidRPr="00A1058A">
        <w:t>’</w:t>
      </w:r>
      <w:r w:rsidR="001F27F3" w:rsidRPr="00A1058A">
        <w:t>est révélée par la suite incorrecte. Aux fins de l</w:t>
      </w:r>
      <w:r w:rsidR="00A1058A" w:rsidRPr="00A1058A">
        <w:t>’</w:t>
      </w:r>
      <w:r w:rsidR="001F27F3" w:rsidRPr="00A1058A">
        <w:t>appréciation de la Cour, cette interprétation ne saurait se justifier, par une interprétation largement majoritaire des juridictions du fond ou par l</w:t>
      </w:r>
      <w:r w:rsidR="00A1058A" w:rsidRPr="00A1058A">
        <w:t>’</w:t>
      </w:r>
      <w:r w:rsidR="001F27F3" w:rsidRPr="00A1058A">
        <w:t xml:space="preserve">existence de divergences de jurisprudence de la Cour de cassation (voir, </w:t>
      </w:r>
      <w:r w:rsidR="001F27F3" w:rsidRPr="00A1058A">
        <w:rPr>
          <w:i/>
          <w:iCs/>
        </w:rPr>
        <w:t>mutatis mutandis</w:t>
      </w:r>
      <w:r w:rsidR="001F27F3" w:rsidRPr="00A1058A">
        <w:t xml:space="preserve">, </w:t>
      </w:r>
      <w:proofErr w:type="spellStart"/>
      <w:r w:rsidR="001F27F3" w:rsidRPr="00A1058A">
        <w:rPr>
          <w:i/>
          <w:iCs/>
        </w:rPr>
        <w:t>Kurşun</w:t>
      </w:r>
      <w:proofErr w:type="spellEnd"/>
      <w:r w:rsidR="001F27F3" w:rsidRPr="00A1058A">
        <w:rPr>
          <w:i/>
          <w:iCs/>
        </w:rPr>
        <w:t xml:space="preserve"> c. Turquie</w:t>
      </w:r>
      <w:r w:rsidR="001F27F3" w:rsidRPr="00A1058A">
        <w:rPr>
          <w:lang w:eastAsia="en-GB"/>
        </w:rPr>
        <w:t>, n</w:t>
      </w:r>
      <w:r w:rsidR="001F27F3" w:rsidRPr="00A1058A">
        <w:rPr>
          <w:vertAlign w:val="superscript"/>
          <w:lang w:eastAsia="en-GB"/>
        </w:rPr>
        <w:t>o </w:t>
      </w:r>
      <w:r w:rsidR="001F27F3" w:rsidRPr="00A1058A">
        <w:t>22677/10</w:t>
      </w:r>
      <w:r w:rsidR="001F27F3" w:rsidRPr="00A1058A">
        <w:rPr>
          <w:lang w:eastAsia="en-GB"/>
        </w:rPr>
        <w:t>, §</w:t>
      </w:r>
      <w:r w:rsidR="001F27F3" w:rsidRPr="00A1058A">
        <w:t xml:space="preserve">§ 94-99, 30 octobre 2018). </w:t>
      </w:r>
      <w:r w:rsidR="001F27F3" w:rsidRPr="00A1058A">
        <w:rPr>
          <w:rFonts w:cstheme="minorHAnsi"/>
        </w:rPr>
        <w:t>À</w:t>
      </w:r>
      <w:r w:rsidR="001F27F3" w:rsidRPr="00A1058A">
        <w:t xml:space="preserve"> cet égard, la Cour renvoie aux conclusions qui précèdent sur les divergences de </w:t>
      </w:r>
      <w:r w:rsidR="001F27F3" w:rsidRPr="00A1058A">
        <w:lastRenderedPageBreak/>
        <w:t>jurisprudence. Dès lors, l</w:t>
      </w:r>
      <w:r w:rsidR="00A1058A" w:rsidRPr="00A1058A">
        <w:t>’</w:t>
      </w:r>
      <w:r w:rsidR="001F27F3" w:rsidRPr="00A1058A">
        <w:t>ingérence subie en l</w:t>
      </w:r>
      <w:r w:rsidR="00A1058A" w:rsidRPr="00A1058A">
        <w:t>’</w:t>
      </w:r>
      <w:r w:rsidR="001F27F3" w:rsidRPr="00A1058A">
        <w:t>espèce par la requérante n</w:t>
      </w:r>
      <w:r w:rsidR="00A1058A" w:rsidRPr="00A1058A">
        <w:t>’</w:t>
      </w:r>
      <w:r w:rsidR="001F27F3" w:rsidRPr="00A1058A">
        <w:t>est pas disproportionnée au but poursuivi.</w:t>
      </w:r>
    </w:p>
    <w:p w14:paraId="6413515E" w14:textId="2F6687E8"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34</w:t>
      </w:r>
      <w:r>
        <w:rPr>
          <w:noProof/>
        </w:rPr>
        <w:fldChar w:fldCharType="end"/>
      </w:r>
      <w:r w:rsidR="001F27F3" w:rsidRPr="00A1058A">
        <w:t>.  Quant au refus allégué des juridictions internes d</w:t>
      </w:r>
      <w:r w:rsidR="00A1058A" w:rsidRPr="00A1058A">
        <w:t>’</w:t>
      </w:r>
      <w:r w:rsidR="001F27F3" w:rsidRPr="00A1058A">
        <w:t>entendre la requérante avant de déclarer sa faillite, la Cour observe que l</w:t>
      </w:r>
      <w:r w:rsidR="00A1058A" w:rsidRPr="00A1058A">
        <w:t>’</w:t>
      </w:r>
      <w:r w:rsidR="001F27F3" w:rsidRPr="00A1058A">
        <w:t>intéressée a été convoquée, dans le cadre de la procédure de concordat préventif, à l</w:t>
      </w:r>
      <w:r w:rsidR="00A1058A" w:rsidRPr="00A1058A">
        <w:t>’</w:t>
      </w:r>
      <w:r w:rsidR="001F27F3" w:rsidRPr="00A1058A">
        <w:t xml:space="preserve">audience du 10 juillet 2006 (paragraphe </w:t>
      </w:r>
      <w:r w:rsidR="001F27F3" w:rsidRPr="00A1058A">
        <w:fldChar w:fldCharType="begin"/>
      </w:r>
      <w:r w:rsidR="001F27F3" w:rsidRPr="00A1058A">
        <w:instrText xml:space="preserve"> REF DEMANDE_PM_AUDIENCE_MAGISTE \h </w:instrText>
      </w:r>
      <w:r w:rsidR="001F27F3" w:rsidRPr="00A1058A">
        <w:fldChar w:fldCharType="separate"/>
      </w:r>
      <w:r w:rsidR="00A1058A" w:rsidRPr="00A1058A">
        <w:rPr>
          <w:noProof/>
        </w:rPr>
        <w:t>4</w:t>
      </w:r>
      <w:r w:rsidR="001F27F3" w:rsidRPr="00A1058A">
        <w:fldChar w:fldCharType="end"/>
      </w:r>
      <w:r w:rsidR="001F27F3" w:rsidRPr="00A1058A">
        <w:t xml:space="preserve"> ci-dessus) et qu</w:t>
      </w:r>
      <w:r w:rsidR="00A1058A" w:rsidRPr="00A1058A">
        <w:t>’</w:t>
      </w:r>
      <w:r w:rsidR="001F27F3" w:rsidRPr="00A1058A">
        <w:t>au cours de l</w:t>
      </w:r>
      <w:r w:rsidR="00A1058A" w:rsidRPr="00A1058A">
        <w:t>’</w:t>
      </w:r>
      <w:r w:rsidR="001F27F3" w:rsidRPr="00A1058A">
        <w:t>audience elle a pu contester la demande du parquet, qui visait à la déclaration de faillite, et présenter des observations écrites et des documents en soutien de son plan de concordat. Le tribunal a dans un premier temps fait droit à la demande de la requérante et, une fois obtenue la confirmation qu</w:t>
      </w:r>
      <w:r w:rsidR="00A1058A" w:rsidRPr="00A1058A">
        <w:t>’</w:t>
      </w:r>
      <w:r w:rsidR="001F27F3" w:rsidRPr="00A1058A">
        <w:t>une décision de mainlevée de la saisie était probable, a ouvert le concordat préventif, sous condition toutefois du dépôt des 71 millions indiqués dans la demande initiale (paragraphe </w:t>
      </w:r>
      <w:r w:rsidR="001F27F3" w:rsidRPr="00A1058A">
        <w:fldChar w:fldCharType="begin"/>
      </w:r>
      <w:r w:rsidR="001F27F3" w:rsidRPr="00A1058A">
        <w:instrText xml:space="preserve"> REF CONCORDATO_CONDIZIONATO \h </w:instrText>
      </w:r>
      <w:r w:rsidR="001F27F3" w:rsidRPr="00A1058A">
        <w:fldChar w:fldCharType="separate"/>
      </w:r>
      <w:r w:rsidR="00A1058A" w:rsidRPr="00A1058A">
        <w:rPr>
          <w:noProof/>
        </w:rPr>
        <w:t>6</w:t>
      </w:r>
      <w:r w:rsidR="001F27F3" w:rsidRPr="00A1058A">
        <w:fldChar w:fldCharType="end"/>
      </w:r>
      <w:r w:rsidR="001F27F3" w:rsidRPr="00A1058A">
        <w:t xml:space="preserve"> ci-dessus). La condition n</w:t>
      </w:r>
      <w:r w:rsidR="00A1058A" w:rsidRPr="00A1058A">
        <w:t>’</w:t>
      </w:r>
      <w:r w:rsidR="001F27F3" w:rsidRPr="00A1058A">
        <w:t>ayant été réalisée, le tribunal a déclaré la faillite.</w:t>
      </w:r>
    </w:p>
    <w:p w14:paraId="60930B46" w14:textId="0D15969A"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35</w:t>
      </w:r>
      <w:r>
        <w:rPr>
          <w:noProof/>
        </w:rPr>
        <w:fldChar w:fldCharType="end"/>
      </w:r>
      <w:r w:rsidR="001F27F3" w:rsidRPr="00A1058A">
        <w:t>.  La Cour note que, selon la jurisprudence de la Cour de cassation (paragraphe </w:t>
      </w:r>
      <w:r w:rsidR="001F27F3" w:rsidRPr="00A1058A">
        <w:fldChar w:fldCharType="begin"/>
      </w:r>
      <w:r w:rsidR="001F27F3" w:rsidRPr="00A1058A">
        <w:instrText xml:space="preserve"> REF JP_CASS_OFFICE_162 \h </w:instrText>
      </w:r>
      <w:r w:rsidR="001F27F3" w:rsidRPr="00A1058A">
        <w:fldChar w:fldCharType="separate"/>
      </w:r>
      <w:r w:rsidR="00A1058A" w:rsidRPr="00A1058A">
        <w:rPr>
          <w:noProof/>
        </w:rPr>
        <w:t>16</w:t>
      </w:r>
      <w:r w:rsidR="001F27F3" w:rsidRPr="00A1058A">
        <w:fldChar w:fldCharType="end"/>
      </w:r>
      <w:r w:rsidR="001F27F3" w:rsidRPr="00A1058A">
        <w:t xml:space="preserve"> ci-dessus), lorsque le juge déclare la clôture du concordat préventif, il peut procéder d</w:t>
      </w:r>
      <w:r w:rsidR="00A1058A" w:rsidRPr="00A1058A">
        <w:t>’</w:t>
      </w:r>
      <w:r w:rsidR="001F27F3" w:rsidRPr="00A1058A">
        <w:t>office à l</w:t>
      </w:r>
      <w:r w:rsidR="00A1058A" w:rsidRPr="00A1058A">
        <w:t>’</w:t>
      </w:r>
      <w:r w:rsidR="001F27F3" w:rsidRPr="00A1058A">
        <w:t>ouverture de la faillite et, si aucun élément nouveau ne survient, procéder à la déclaration de faillite sans obligation d</w:t>
      </w:r>
      <w:r w:rsidR="00A1058A" w:rsidRPr="00A1058A">
        <w:t>’</w:t>
      </w:r>
      <w:r w:rsidR="001F27F3" w:rsidRPr="00A1058A">
        <w:t>entendre une deuxième fois le débiteur qui, au moment de la demande de concordat préventif, a déjà eu l</w:t>
      </w:r>
      <w:r w:rsidR="00A1058A" w:rsidRPr="00A1058A">
        <w:t>’</w:t>
      </w:r>
      <w:r w:rsidR="001F27F3" w:rsidRPr="00A1058A">
        <w:t>occasion de s</w:t>
      </w:r>
      <w:r w:rsidR="00A1058A" w:rsidRPr="00A1058A">
        <w:t>’</w:t>
      </w:r>
      <w:r w:rsidR="001F27F3" w:rsidRPr="00A1058A">
        <w:t>y opposer.</w:t>
      </w:r>
    </w:p>
    <w:p w14:paraId="3D219165" w14:textId="164349B3"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36</w:t>
      </w:r>
      <w:r>
        <w:rPr>
          <w:noProof/>
        </w:rPr>
        <w:fldChar w:fldCharType="end"/>
      </w:r>
      <w:r w:rsidR="001F27F3" w:rsidRPr="00A1058A">
        <w:t>.  En l</w:t>
      </w:r>
      <w:r w:rsidR="00A1058A" w:rsidRPr="00A1058A">
        <w:t>’</w:t>
      </w:r>
      <w:r w:rsidR="001F27F3" w:rsidRPr="00A1058A">
        <w:t xml:space="preserve">espèce, la Cour estime que les juridictions internes ont respecté le principe du contradictoire (paragraphe </w:t>
      </w:r>
      <w:r w:rsidR="001F27F3" w:rsidRPr="00A1058A">
        <w:fldChar w:fldCharType="begin"/>
      </w:r>
      <w:r w:rsidR="001F27F3" w:rsidRPr="00A1058A">
        <w:instrText xml:space="preserve"> REF TRIBUNAL_OPPOSITION \h </w:instrText>
      </w:r>
      <w:r w:rsidR="001F27F3" w:rsidRPr="00A1058A">
        <w:fldChar w:fldCharType="separate"/>
      </w:r>
      <w:r w:rsidR="00A1058A" w:rsidRPr="00A1058A">
        <w:rPr>
          <w:noProof/>
        </w:rPr>
        <w:t>9</w:t>
      </w:r>
      <w:r w:rsidR="001F27F3" w:rsidRPr="00A1058A">
        <w:fldChar w:fldCharType="end"/>
      </w:r>
      <w:r w:rsidR="001F27F3" w:rsidRPr="00A1058A">
        <w:t xml:space="preserve"> ci-dessus) et examiné les observations de la requérante contre la déclaration de faillite. En effet, l</w:t>
      </w:r>
      <w:r w:rsidR="00A1058A" w:rsidRPr="00A1058A">
        <w:t>’</w:t>
      </w:r>
      <w:r w:rsidR="001F27F3" w:rsidRPr="00A1058A">
        <w:t>intéressée a pu contester la demande du parquet, qui visait à l</w:t>
      </w:r>
      <w:r w:rsidR="00A1058A" w:rsidRPr="00A1058A">
        <w:t>’</w:t>
      </w:r>
      <w:r w:rsidR="001F27F3" w:rsidRPr="00A1058A">
        <w:t>ouverture immédiate de la faillite. Par la suite, le tribunal a déclaré la faillite sans se fonder sur de nouveaux éléments qui auraient éventuellement justifié la convocation de la requérante.</w:t>
      </w:r>
    </w:p>
    <w:p w14:paraId="4BD3A8B5" w14:textId="3902FAC0" w:rsidR="001F27F3" w:rsidRPr="00A1058A" w:rsidRDefault="00441942" w:rsidP="00A1058A">
      <w:pPr>
        <w:pStyle w:val="JuPara"/>
      </w:pPr>
      <w:r>
        <w:rPr>
          <w:noProof/>
        </w:rPr>
        <w:fldChar w:fldCharType="begin"/>
      </w:r>
      <w:r>
        <w:rPr>
          <w:noProof/>
        </w:rPr>
        <w:instrText xml:space="preserve"> SEQ level0 \*arabic \* MERGEFORMAT </w:instrText>
      </w:r>
      <w:r>
        <w:rPr>
          <w:noProof/>
        </w:rPr>
        <w:fldChar w:fldCharType="separate"/>
      </w:r>
      <w:r w:rsidR="00A1058A" w:rsidRPr="00A1058A">
        <w:rPr>
          <w:noProof/>
        </w:rPr>
        <w:t>37</w:t>
      </w:r>
      <w:r>
        <w:rPr>
          <w:noProof/>
        </w:rPr>
        <w:fldChar w:fldCharType="end"/>
      </w:r>
      <w:r w:rsidR="001F27F3" w:rsidRPr="00A1058A">
        <w:t>.  En conclusion, compte tenu de ce qui précède, la Cour considère que le droit de la requérante à un procès équitable n</w:t>
      </w:r>
      <w:r w:rsidR="00A1058A" w:rsidRPr="00A1058A">
        <w:t>’</w:t>
      </w:r>
      <w:r w:rsidR="001F27F3" w:rsidRPr="00A1058A">
        <w:t>a pas été atteint dans sa substance même. Il s</w:t>
      </w:r>
      <w:r w:rsidR="00A1058A" w:rsidRPr="00A1058A">
        <w:t>’</w:t>
      </w:r>
      <w:r w:rsidR="001F27F3" w:rsidRPr="00A1058A">
        <w:t>ensuit que la requête est manifestement mal fondée et doit être rejetée en application de l</w:t>
      </w:r>
      <w:r w:rsidR="00A1058A" w:rsidRPr="00A1058A">
        <w:t>’</w:t>
      </w:r>
      <w:r w:rsidR="001F27F3" w:rsidRPr="00A1058A">
        <w:t>article 35 §§ 3 a) et 4 de la Convention.</w:t>
      </w:r>
    </w:p>
    <w:p w14:paraId="11FBF981" w14:textId="231D9B85" w:rsidR="001F27F3" w:rsidRPr="00A1058A" w:rsidRDefault="001F27F3" w:rsidP="00A1058A">
      <w:pPr>
        <w:pStyle w:val="JuParaLast"/>
        <w:keepNext w:val="0"/>
        <w:keepLines w:val="0"/>
      </w:pPr>
      <w:r w:rsidRPr="00A1058A">
        <w:t>Par ces motifs, la Cour, à l</w:t>
      </w:r>
      <w:r w:rsidR="00A1058A" w:rsidRPr="00A1058A">
        <w:t>’</w:t>
      </w:r>
      <w:r w:rsidRPr="00A1058A">
        <w:t>unanimité,</w:t>
      </w:r>
    </w:p>
    <w:p w14:paraId="176C9365" w14:textId="320A5527" w:rsidR="00883788" w:rsidRPr="00A1058A" w:rsidRDefault="001F27F3" w:rsidP="00A1058A">
      <w:pPr>
        <w:pStyle w:val="DecList"/>
      </w:pPr>
      <w:r w:rsidRPr="00A1058A">
        <w:rPr>
          <w:i/>
        </w:rPr>
        <w:t>Déclare</w:t>
      </w:r>
      <w:r w:rsidRPr="00A1058A">
        <w:t xml:space="preserve"> la requête irrecevable.</w:t>
      </w:r>
    </w:p>
    <w:p w14:paraId="24925907" w14:textId="1C90CDBF" w:rsidR="00050A32" w:rsidRPr="00A1058A" w:rsidRDefault="00F40988" w:rsidP="00A1058A">
      <w:pPr>
        <w:pStyle w:val="JuParaLast"/>
        <w:keepNext w:val="0"/>
        <w:keepLines w:val="0"/>
        <w:rPr>
          <w:sz w:val="14"/>
        </w:rPr>
      </w:pPr>
      <w:r w:rsidRPr="00A1058A">
        <w:t xml:space="preserve">Fait en français puis communiqué par écrit le </w:t>
      </w:r>
      <w:r w:rsidR="001F27F3" w:rsidRPr="00A1058A">
        <w:t>20 janvier 2022</w:t>
      </w:r>
      <w:r w:rsidRPr="00A1058A">
        <w:t>.</w:t>
      </w:r>
    </w:p>
    <w:p w14:paraId="1D6E2DAC" w14:textId="646221D5" w:rsidR="00C64EBF" w:rsidRPr="00A1058A" w:rsidRDefault="001B2A94" w:rsidP="00A1058A">
      <w:pPr>
        <w:pStyle w:val="ECHRPlaceholder"/>
      </w:pPr>
      <w:r w:rsidRPr="00A1058A">
        <w:tab/>
      </w:r>
    </w:p>
    <w:p w14:paraId="35F19F69" w14:textId="0C57F92E" w:rsidR="00234E8A" w:rsidRPr="00A1058A" w:rsidRDefault="00050A32" w:rsidP="00A1058A">
      <w:pPr>
        <w:pStyle w:val="JuSigned"/>
      </w:pPr>
      <w:r w:rsidRPr="00A1058A">
        <w:lastRenderedPageBreak/>
        <w:tab/>
      </w:r>
      <w:r w:rsidR="001F27F3" w:rsidRPr="00A1058A">
        <w:rPr>
          <w:rFonts w:eastAsia="PMingLiU"/>
        </w:rPr>
        <w:t xml:space="preserve">Liv </w:t>
      </w:r>
      <w:proofErr w:type="spellStart"/>
      <w:r w:rsidR="001F27F3" w:rsidRPr="00A1058A">
        <w:rPr>
          <w:rFonts w:eastAsia="PMingLiU"/>
        </w:rPr>
        <w:t>Tigerstedt</w:t>
      </w:r>
      <w:proofErr w:type="spellEnd"/>
      <w:r w:rsidR="0091478F" w:rsidRPr="00A1058A">
        <w:tab/>
      </w:r>
      <w:r w:rsidR="001F27F3" w:rsidRPr="00A1058A">
        <w:t xml:space="preserve">Péter </w:t>
      </w:r>
      <w:proofErr w:type="spellStart"/>
      <w:r w:rsidR="001F27F3" w:rsidRPr="00A1058A">
        <w:t>Paczolay</w:t>
      </w:r>
      <w:proofErr w:type="spellEnd"/>
      <w:r w:rsidR="0058193F" w:rsidRPr="00A1058A">
        <w:br/>
      </w:r>
      <w:r w:rsidR="0035621E" w:rsidRPr="00A1058A">
        <w:rPr>
          <w:iCs/>
        </w:rPr>
        <w:tab/>
      </w:r>
      <w:r w:rsidR="001F27F3" w:rsidRPr="00A1058A">
        <w:t>Greffière adjointe</w:t>
      </w:r>
      <w:r w:rsidR="0091478F" w:rsidRPr="00A1058A">
        <w:tab/>
      </w:r>
      <w:r w:rsidR="001F27F3" w:rsidRPr="00A1058A">
        <w:t>Président</w:t>
      </w:r>
    </w:p>
    <w:sectPr w:rsidR="00234E8A" w:rsidRPr="00A1058A"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DF78" w14:textId="77777777" w:rsidR="00441942" w:rsidRPr="001F27F3" w:rsidRDefault="00441942" w:rsidP="006544C4">
      <w:r w:rsidRPr="001F27F3">
        <w:separator/>
      </w:r>
    </w:p>
  </w:endnote>
  <w:endnote w:type="continuationSeparator" w:id="0">
    <w:p w14:paraId="4654A99D" w14:textId="77777777" w:rsidR="00441942" w:rsidRPr="001F27F3" w:rsidRDefault="00441942" w:rsidP="006544C4">
      <w:r w:rsidRPr="001F27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3F52" w14:textId="593DB9AD" w:rsidR="00AF7102" w:rsidRPr="001F27F3" w:rsidRDefault="001F27F3"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32C8" w14:textId="14C6BE73" w:rsidR="00AF7102" w:rsidRPr="001F27F3" w:rsidRDefault="001F27F3"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23D2" w14:textId="42E55032" w:rsidR="001F27F3" w:rsidRPr="00150BFA" w:rsidRDefault="001F27F3" w:rsidP="0020718E">
    <w:pPr>
      <w:jc w:val="center"/>
    </w:pPr>
    <w:r>
      <w:rPr>
        <w:noProof/>
        <w:lang w:val="en-US" w:eastAsia="ja-JP"/>
      </w:rPr>
      <w:drawing>
        <wp:inline distT="0" distB="0" distL="0" distR="0" wp14:anchorId="62260248" wp14:editId="67327A0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B2D22C4" w14:textId="167FE0F2" w:rsidR="00112D62" w:rsidRPr="001F27F3" w:rsidRDefault="00441942"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C1BB" w14:textId="77777777" w:rsidR="00441942" w:rsidRPr="001F27F3" w:rsidRDefault="00441942" w:rsidP="006544C4">
      <w:r w:rsidRPr="001F27F3">
        <w:separator/>
      </w:r>
    </w:p>
  </w:footnote>
  <w:footnote w:type="continuationSeparator" w:id="0">
    <w:p w14:paraId="588645AA" w14:textId="77777777" w:rsidR="00441942" w:rsidRPr="001F27F3" w:rsidRDefault="00441942" w:rsidP="006544C4">
      <w:r w:rsidRPr="001F27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7EE5" w14:textId="214CCC56" w:rsidR="00112D62" w:rsidRPr="001F27F3" w:rsidRDefault="00334EC5" w:rsidP="003312A3">
    <w:pPr>
      <w:pStyle w:val="JuHeader"/>
    </w:pPr>
    <w:r w:rsidRPr="001F27F3">
      <w:t xml:space="preserve">DÉCISION </w:t>
    </w:r>
    <w:r w:rsidR="001F27F3">
      <w:t>MAGISTE INTERNATIONAL S.A.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0590" w14:textId="55793AC5" w:rsidR="00112D62" w:rsidRPr="001F27F3" w:rsidRDefault="00334EC5" w:rsidP="006544C4">
    <w:pPr>
      <w:pStyle w:val="JuHeader"/>
    </w:pPr>
    <w:r w:rsidRPr="001F27F3">
      <w:t xml:space="preserve">DÉCISION </w:t>
    </w:r>
    <w:r w:rsidR="001F27F3">
      <w:t>MAGISTE INTERNATIONAL S.A.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2D34" w14:textId="3A5C366A" w:rsidR="001F27F3" w:rsidRPr="00A45145" w:rsidRDefault="001F27F3" w:rsidP="00A45145">
    <w:pPr>
      <w:jc w:val="center"/>
    </w:pPr>
    <w:r>
      <w:rPr>
        <w:noProof/>
        <w:lang w:val="en-US" w:eastAsia="ja-JP"/>
      </w:rPr>
      <w:drawing>
        <wp:inline distT="0" distB="0" distL="0" distR="0" wp14:anchorId="0A1F3391" wp14:editId="6A09F1C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455A02" w14:textId="1A8D50A9" w:rsidR="00112D62" w:rsidRPr="001F27F3" w:rsidRDefault="00441942"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1F27F3"/>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7604C"/>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27F3"/>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1942"/>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4B4"/>
    <w:rsid w:val="004C086C"/>
    <w:rsid w:val="004C1F56"/>
    <w:rsid w:val="004C27BC"/>
    <w:rsid w:val="004D15F3"/>
    <w:rsid w:val="004D5311"/>
    <w:rsid w:val="004D5DCC"/>
    <w:rsid w:val="004E6295"/>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D614E"/>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286"/>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3788"/>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9F5751"/>
    <w:rsid w:val="00A1058A"/>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E12"/>
    <w:rsid w:val="00CB1F66"/>
    <w:rsid w:val="00CB2951"/>
    <w:rsid w:val="00CC4AAB"/>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F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E6295"/>
    <w:rPr>
      <w:sz w:val="24"/>
      <w:szCs w:val="24"/>
      <w:lang w:val="fr-FR"/>
    </w:rPr>
  </w:style>
  <w:style w:type="paragraph" w:styleId="Titolo1">
    <w:name w:val="heading 1"/>
    <w:basedOn w:val="Normale"/>
    <w:next w:val="Normale"/>
    <w:link w:val="Titolo1Carattere"/>
    <w:uiPriority w:val="98"/>
    <w:semiHidden/>
    <w:rsid w:val="004E629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E629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E629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E629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E629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E629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E629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E629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E629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4E629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E6295"/>
    <w:rPr>
      <w:rFonts w:ascii="Tahoma" w:hAnsi="Tahoma" w:cs="Tahoma"/>
      <w:sz w:val="16"/>
      <w:szCs w:val="16"/>
      <w:lang w:val="fr-FR"/>
    </w:rPr>
  </w:style>
  <w:style w:type="character" w:styleId="Titolodellibro">
    <w:name w:val="Book Title"/>
    <w:uiPriority w:val="98"/>
    <w:semiHidden/>
    <w:qFormat/>
    <w:rsid w:val="004E6295"/>
    <w:rPr>
      <w:i/>
      <w:iCs/>
      <w:smallCaps/>
      <w:spacing w:val="5"/>
    </w:rPr>
  </w:style>
  <w:style w:type="paragraph" w:customStyle="1" w:styleId="JuHeader">
    <w:name w:val="Ju_Header"/>
    <w:aliases w:val="_Header"/>
    <w:basedOn w:val="Intestazione"/>
    <w:uiPriority w:val="29"/>
    <w:qFormat/>
    <w:rsid w:val="004E6295"/>
    <w:pPr>
      <w:tabs>
        <w:tab w:val="clear" w:pos="4536"/>
        <w:tab w:val="clear" w:pos="9072"/>
      </w:tabs>
      <w:jc w:val="center"/>
    </w:pPr>
    <w:rPr>
      <w:sz w:val="18"/>
    </w:rPr>
  </w:style>
  <w:style w:type="paragraph" w:customStyle="1" w:styleId="NormalJustified">
    <w:name w:val="Normal_Justified"/>
    <w:basedOn w:val="Normale"/>
    <w:semiHidden/>
    <w:rsid w:val="004E6295"/>
    <w:pPr>
      <w:jc w:val="both"/>
    </w:pPr>
  </w:style>
  <w:style w:type="character" w:styleId="Enfasigrassetto">
    <w:name w:val="Strong"/>
    <w:uiPriority w:val="98"/>
    <w:semiHidden/>
    <w:qFormat/>
    <w:rsid w:val="004E6295"/>
    <w:rPr>
      <w:b/>
      <w:bCs/>
    </w:rPr>
  </w:style>
  <w:style w:type="paragraph" w:styleId="Nessunaspaziatura">
    <w:name w:val="No Spacing"/>
    <w:basedOn w:val="Normale"/>
    <w:link w:val="NessunaspaziaturaCarattere"/>
    <w:uiPriority w:val="98"/>
    <w:semiHidden/>
    <w:qFormat/>
    <w:rsid w:val="004E6295"/>
  </w:style>
  <w:style w:type="character" w:customStyle="1" w:styleId="NessunaspaziaturaCarattere">
    <w:name w:val="Nessuna spaziatura Carattere"/>
    <w:basedOn w:val="Carpredefinitoparagrafo"/>
    <w:link w:val="Nessunaspaziatura"/>
    <w:uiPriority w:val="98"/>
    <w:semiHidden/>
    <w:rsid w:val="004E6295"/>
    <w:rPr>
      <w:sz w:val="24"/>
      <w:szCs w:val="24"/>
      <w:lang w:val="fr-FR"/>
    </w:rPr>
  </w:style>
  <w:style w:type="paragraph" w:customStyle="1" w:styleId="ECHRBullet1">
    <w:name w:val="ECHR_Bullet_1"/>
    <w:aliases w:val="_Bul_1"/>
    <w:basedOn w:val="NormalJustified"/>
    <w:uiPriority w:val="23"/>
    <w:semiHidden/>
    <w:qFormat/>
    <w:rsid w:val="004E6295"/>
    <w:pPr>
      <w:numPr>
        <w:numId w:val="5"/>
      </w:numPr>
      <w:spacing w:before="60" w:after="60"/>
    </w:pPr>
  </w:style>
  <w:style w:type="paragraph" w:customStyle="1" w:styleId="JuQuot">
    <w:name w:val="Ju_Quot"/>
    <w:aliases w:val="_Quote"/>
    <w:basedOn w:val="NormalJustified"/>
    <w:uiPriority w:val="20"/>
    <w:qFormat/>
    <w:rsid w:val="004E6295"/>
    <w:pPr>
      <w:spacing w:before="120" w:after="120"/>
      <w:ind w:left="425" w:firstLine="142"/>
    </w:pPr>
    <w:rPr>
      <w:sz w:val="20"/>
    </w:rPr>
  </w:style>
  <w:style w:type="paragraph" w:customStyle="1" w:styleId="JuList">
    <w:name w:val="Ju_List"/>
    <w:aliases w:val="_List_1"/>
    <w:basedOn w:val="NormalJustified"/>
    <w:uiPriority w:val="23"/>
    <w:qFormat/>
    <w:rsid w:val="004E6295"/>
    <w:pPr>
      <w:numPr>
        <w:numId w:val="6"/>
      </w:numPr>
      <w:spacing w:before="280" w:after="60"/>
    </w:pPr>
  </w:style>
  <w:style w:type="paragraph" w:customStyle="1" w:styleId="JuLista">
    <w:name w:val="Ju_List_a"/>
    <w:aliases w:val="_List_2"/>
    <w:basedOn w:val="NormalJustified"/>
    <w:uiPriority w:val="23"/>
    <w:rsid w:val="004E6295"/>
    <w:pPr>
      <w:numPr>
        <w:ilvl w:val="1"/>
        <w:numId w:val="6"/>
      </w:numPr>
    </w:pPr>
  </w:style>
  <w:style w:type="paragraph" w:customStyle="1" w:styleId="JuListi">
    <w:name w:val="Ju_List_i"/>
    <w:aliases w:val="_List_3"/>
    <w:basedOn w:val="NormalJustified"/>
    <w:uiPriority w:val="23"/>
    <w:rsid w:val="004E6295"/>
    <w:pPr>
      <w:numPr>
        <w:ilvl w:val="2"/>
        <w:numId w:val="6"/>
      </w:numPr>
    </w:pPr>
  </w:style>
  <w:style w:type="paragraph" w:customStyle="1" w:styleId="ECHRCoverTitle4">
    <w:name w:val="ECHR_Cover_Title_4"/>
    <w:aliases w:val="_Title_4"/>
    <w:basedOn w:val="JuPara"/>
    <w:next w:val="JuPara"/>
    <w:uiPriority w:val="38"/>
    <w:qFormat/>
    <w:rsid w:val="004E6295"/>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4E6295"/>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4E6295"/>
    <w:pPr>
      <w:numPr>
        <w:numId w:val="5"/>
      </w:numPr>
    </w:pPr>
  </w:style>
  <w:style w:type="numbering" w:customStyle="1" w:styleId="ECHRA1StyleList">
    <w:name w:val="ECHR_A1_Style_List"/>
    <w:basedOn w:val="Nessunelenco"/>
    <w:uiPriority w:val="99"/>
    <w:rsid w:val="004E6295"/>
    <w:pPr>
      <w:numPr>
        <w:numId w:val="6"/>
      </w:numPr>
    </w:pPr>
  </w:style>
  <w:style w:type="paragraph" w:customStyle="1" w:styleId="JuHHead">
    <w:name w:val="Ju_H_Head"/>
    <w:aliases w:val="_Head_1"/>
    <w:basedOn w:val="Titolo1"/>
    <w:next w:val="JuPara"/>
    <w:uiPriority w:val="17"/>
    <w:qFormat/>
    <w:rsid w:val="004E6295"/>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4E6295"/>
    <w:pPr>
      <w:numPr>
        <w:numId w:val="7"/>
      </w:numPr>
    </w:pPr>
  </w:style>
  <w:style w:type="paragraph" w:styleId="Titolo">
    <w:name w:val="Title"/>
    <w:basedOn w:val="Normale"/>
    <w:next w:val="Normale"/>
    <w:link w:val="TitoloCarattere"/>
    <w:uiPriority w:val="98"/>
    <w:semiHidden/>
    <w:qFormat/>
    <w:rsid w:val="004E629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E6295"/>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4E629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4E6295"/>
    <w:pPr>
      <w:ind w:firstLine="284"/>
    </w:pPr>
    <w:rPr>
      <w:b/>
    </w:rPr>
  </w:style>
  <w:style w:type="paragraph" w:customStyle="1" w:styleId="JuCourt">
    <w:name w:val="Ju_Court"/>
    <w:aliases w:val="_Court_Names"/>
    <w:basedOn w:val="Normale"/>
    <w:next w:val="Normale"/>
    <w:uiPriority w:val="32"/>
    <w:qFormat/>
    <w:rsid w:val="004E629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4E6295"/>
    <w:pPr>
      <w:tabs>
        <w:tab w:val="center" w:pos="6407"/>
      </w:tabs>
      <w:spacing w:before="720"/>
      <w:jc w:val="right"/>
    </w:pPr>
  </w:style>
  <w:style w:type="paragraph" w:customStyle="1" w:styleId="JuHIRoman">
    <w:name w:val="Ju_H_I_Roman"/>
    <w:aliases w:val="_Head_2"/>
    <w:basedOn w:val="Titolo2"/>
    <w:next w:val="JuPara"/>
    <w:uiPriority w:val="17"/>
    <w:qFormat/>
    <w:rsid w:val="004E6295"/>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4E6295"/>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4E6295"/>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4E629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E6295"/>
    <w:rPr>
      <w:sz w:val="24"/>
      <w:szCs w:val="24"/>
      <w:lang w:val="fr-FR"/>
    </w:rPr>
  </w:style>
  <w:style w:type="character" w:customStyle="1" w:styleId="Titolo1Carattere">
    <w:name w:val="Titolo 1 Carattere"/>
    <w:basedOn w:val="Carpredefinitoparagrafo"/>
    <w:link w:val="Titolo1"/>
    <w:uiPriority w:val="98"/>
    <w:semiHidden/>
    <w:rsid w:val="004E629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4E6295"/>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4E6295"/>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4E629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4E6295"/>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4E6295"/>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4E629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4E6295"/>
    <w:pPr>
      <w:keepNext/>
      <w:keepLines/>
      <w:spacing w:before="240" w:after="240"/>
      <w:ind w:firstLine="284"/>
    </w:pPr>
  </w:style>
  <w:style w:type="character" w:customStyle="1" w:styleId="JuITMark">
    <w:name w:val="Ju_ITMark"/>
    <w:aliases w:val="_ITMark"/>
    <w:basedOn w:val="Carpredefinitoparagrafo"/>
    <w:uiPriority w:val="54"/>
    <w:qFormat/>
    <w:rsid w:val="004E6295"/>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4E6295"/>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4E6295"/>
    <w:pPr>
      <w:tabs>
        <w:tab w:val="left" w:pos="567"/>
        <w:tab w:val="left" w:pos="1134"/>
      </w:tabs>
    </w:pPr>
  </w:style>
  <w:style w:type="character" w:customStyle="1" w:styleId="Titolo5Carattere">
    <w:name w:val="Titolo 5 Carattere"/>
    <w:basedOn w:val="Carpredefinitoparagrafo"/>
    <w:link w:val="Titolo5"/>
    <w:uiPriority w:val="98"/>
    <w:semiHidden/>
    <w:rsid w:val="004E6295"/>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4E6295"/>
    <w:rPr>
      <w:caps w:val="0"/>
      <w:smallCaps/>
    </w:rPr>
  </w:style>
  <w:style w:type="character" w:styleId="Enfasidelicata">
    <w:name w:val="Subtle Emphasis"/>
    <w:uiPriority w:val="98"/>
    <w:semiHidden/>
    <w:qFormat/>
    <w:rsid w:val="004E6295"/>
    <w:rPr>
      <w:i/>
      <w:iCs/>
    </w:rPr>
  </w:style>
  <w:style w:type="table" w:customStyle="1" w:styleId="ECHRTable">
    <w:name w:val="ECHR_Table"/>
    <w:basedOn w:val="Tabellanormale"/>
    <w:rsid w:val="004E629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E629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4E6295"/>
    <w:pPr>
      <w:keepNext/>
      <w:keepLines/>
      <w:spacing w:after="280"/>
      <w:ind w:firstLine="0"/>
      <w:jc w:val="center"/>
    </w:pPr>
    <w:rPr>
      <w:rFonts w:asciiTheme="majorHAnsi" w:hAnsiTheme="majorHAnsi"/>
    </w:rPr>
  </w:style>
  <w:style w:type="character" w:styleId="Enfasicorsivo">
    <w:name w:val="Emphasis"/>
    <w:uiPriority w:val="98"/>
    <w:semiHidden/>
    <w:qFormat/>
    <w:rsid w:val="004E6295"/>
    <w:rPr>
      <w:b/>
      <w:bCs/>
      <w:i/>
      <w:iCs/>
      <w:spacing w:val="10"/>
      <w:bdr w:val="none" w:sz="0" w:space="0" w:color="auto"/>
      <w:shd w:val="clear" w:color="auto" w:fill="auto"/>
    </w:rPr>
  </w:style>
  <w:style w:type="paragraph" w:styleId="Pidipagina">
    <w:name w:val="footer"/>
    <w:basedOn w:val="Normale"/>
    <w:link w:val="PidipaginaCarattere"/>
    <w:uiPriority w:val="98"/>
    <w:semiHidden/>
    <w:rsid w:val="004E629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E6295"/>
    <w:rPr>
      <w:sz w:val="24"/>
      <w:szCs w:val="24"/>
      <w:lang w:val="fr-FR"/>
    </w:rPr>
  </w:style>
  <w:style w:type="character" w:styleId="Rimandonotaapidipagina">
    <w:name w:val="footnote reference"/>
    <w:basedOn w:val="Carpredefinitoparagrafo"/>
    <w:uiPriority w:val="98"/>
    <w:semiHidden/>
    <w:rsid w:val="004E6295"/>
    <w:rPr>
      <w:vertAlign w:val="superscript"/>
    </w:rPr>
  </w:style>
  <w:style w:type="paragraph" w:styleId="Testonotaapidipagina">
    <w:name w:val="footnote text"/>
    <w:basedOn w:val="NormalJustified"/>
    <w:link w:val="TestonotaapidipaginaCarattere"/>
    <w:uiPriority w:val="98"/>
    <w:semiHidden/>
    <w:rsid w:val="004E6295"/>
    <w:rPr>
      <w:sz w:val="20"/>
      <w:szCs w:val="20"/>
    </w:rPr>
  </w:style>
  <w:style w:type="character" w:customStyle="1" w:styleId="TestonotaapidipaginaCarattere">
    <w:name w:val="Testo nota a piè di pagina Carattere"/>
    <w:basedOn w:val="Carpredefinitoparagrafo"/>
    <w:link w:val="Testonotaapidipagina"/>
    <w:uiPriority w:val="98"/>
    <w:semiHidden/>
    <w:rsid w:val="004E6295"/>
    <w:rPr>
      <w:sz w:val="20"/>
      <w:szCs w:val="20"/>
      <w:lang w:val="fr-FR"/>
    </w:rPr>
  </w:style>
  <w:style w:type="character" w:customStyle="1" w:styleId="Titolo6Carattere">
    <w:name w:val="Titolo 6 Carattere"/>
    <w:basedOn w:val="Carpredefinitoparagrafo"/>
    <w:link w:val="Titolo6"/>
    <w:uiPriority w:val="98"/>
    <w:semiHidden/>
    <w:rsid w:val="004E6295"/>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4E6295"/>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4E6295"/>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4E6295"/>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4E6295"/>
    <w:rPr>
      <w:color w:val="0072BC" w:themeColor="hyperlink"/>
      <w:u w:val="single"/>
    </w:rPr>
  </w:style>
  <w:style w:type="character" w:styleId="Enfasiintensa">
    <w:name w:val="Intense Emphasis"/>
    <w:uiPriority w:val="98"/>
    <w:semiHidden/>
    <w:qFormat/>
    <w:rsid w:val="004E6295"/>
    <w:rPr>
      <w:b/>
      <w:bCs/>
    </w:rPr>
  </w:style>
  <w:style w:type="paragraph" w:styleId="Citazioneintensa">
    <w:name w:val="Intense Quote"/>
    <w:basedOn w:val="Normale"/>
    <w:next w:val="Normale"/>
    <w:link w:val="CitazioneintensaCarattere"/>
    <w:uiPriority w:val="98"/>
    <w:semiHidden/>
    <w:qFormat/>
    <w:rsid w:val="004E629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E6295"/>
    <w:rPr>
      <w:b/>
      <w:bCs/>
      <w:i/>
      <w:iCs/>
      <w:sz w:val="24"/>
      <w:szCs w:val="24"/>
      <w:lang w:val="fr-FR" w:bidi="en-US"/>
    </w:rPr>
  </w:style>
  <w:style w:type="character" w:styleId="Riferimentointenso">
    <w:name w:val="Intense Reference"/>
    <w:uiPriority w:val="98"/>
    <w:semiHidden/>
    <w:qFormat/>
    <w:rsid w:val="004E6295"/>
    <w:rPr>
      <w:smallCaps/>
      <w:spacing w:val="5"/>
      <w:u w:val="single"/>
    </w:rPr>
  </w:style>
  <w:style w:type="paragraph" w:styleId="Paragrafoelenco">
    <w:name w:val="List Paragraph"/>
    <w:basedOn w:val="Normale"/>
    <w:uiPriority w:val="98"/>
    <w:semiHidden/>
    <w:qFormat/>
    <w:rsid w:val="004E6295"/>
    <w:pPr>
      <w:ind w:left="720"/>
      <w:contextualSpacing/>
    </w:pPr>
  </w:style>
  <w:style w:type="table" w:customStyle="1" w:styleId="LtrTableAddress">
    <w:name w:val="Ltr_Table_Address"/>
    <w:aliases w:val="ECHR_Ltr_Table_Address"/>
    <w:basedOn w:val="Tabellanormale"/>
    <w:uiPriority w:val="99"/>
    <w:rsid w:val="004E6295"/>
    <w:rPr>
      <w:sz w:val="24"/>
      <w:szCs w:val="24"/>
    </w:rPr>
    <w:tblPr>
      <w:tblInd w:w="5103" w:type="dxa"/>
    </w:tblPr>
  </w:style>
  <w:style w:type="paragraph" w:styleId="Citazione">
    <w:name w:val="Quote"/>
    <w:basedOn w:val="Normale"/>
    <w:next w:val="Normale"/>
    <w:link w:val="CitazioneCarattere"/>
    <w:uiPriority w:val="98"/>
    <w:semiHidden/>
    <w:qFormat/>
    <w:rsid w:val="004E629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E6295"/>
    <w:rPr>
      <w:i/>
      <w:iCs/>
      <w:sz w:val="24"/>
      <w:szCs w:val="24"/>
      <w:lang w:val="fr-FR" w:bidi="en-US"/>
    </w:rPr>
  </w:style>
  <w:style w:type="character" w:styleId="Riferimentodelicato">
    <w:name w:val="Subtle Reference"/>
    <w:uiPriority w:val="98"/>
    <w:semiHidden/>
    <w:qFormat/>
    <w:rsid w:val="004E6295"/>
    <w:rPr>
      <w:smallCaps/>
    </w:rPr>
  </w:style>
  <w:style w:type="table" w:styleId="Grigliatabella">
    <w:name w:val="Table Grid"/>
    <w:basedOn w:val="Tabellanormale"/>
    <w:uiPriority w:val="59"/>
    <w:semiHidden/>
    <w:rsid w:val="004E629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4E629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E629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E629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E629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E629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4E629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4E629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E629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4E629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4E629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4E62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4E629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4E629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4E6295"/>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uiPriority w:val="4"/>
    <w:qFormat/>
    <w:rsid w:val="004E6295"/>
    <w:pPr>
      <w:ind w:firstLine="284"/>
    </w:pPr>
  </w:style>
  <w:style w:type="character" w:customStyle="1" w:styleId="SottotitoloCarattere">
    <w:name w:val="Sottotitolo Carattere"/>
    <w:basedOn w:val="Carpredefinitoparagrafo"/>
    <w:link w:val="Sottotitolo"/>
    <w:uiPriority w:val="98"/>
    <w:semiHidden/>
    <w:rsid w:val="004E6295"/>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4E629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4E629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4E6295"/>
    <w:pPr>
      <w:numPr>
        <w:numId w:val="2"/>
      </w:numPr>
    </w:pPr>
  </w:style>
  <w:style w:type="table" w:customStyle="1" w:styleId="ECHRTableForInternalUse">
    <w:name w:val="ECHR_Table_For_Internal_Use"/>
    <w:basedOn w:val="Tabellanormale"/>
    <w:uiPriority w:val="99"/>
    <w:rsid w:val="004E629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E629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4E6295"/>
    <w:pPr>
      <w:numPr>
        <w:numId w:val="3"/>
      </w:numPr>
    </w:pPr>
  </w:style>
  <w:style w:type="numbering" w:styleId="ArticoloSezione">
    <w:name w:val="Outline List 3"/>
    <w:basedOn w:val="Nessunelenco"/>
    <w:uiPriority w:val="99"/>
    <w:semiHidden/>
    <w:unhideWhenUsed/>
    <w:rsid w:val="004E6295"/>
    <w:pPr>
      <w:numPr>
        <w:numId w:val="4"/>
      </w:numPr>
    </w:pPr>
  </w:style>
  <w:style w:type="table" w:customStyle="1" w:styleId="ECHRHeaderTable">
    <w:name w:val="ECHR_Header_Table"/>
    <w:basedOn w:val="Tabellanormale"/>
    <w:uiPriority w:val="99"/>
    <w:rsid w:val="004E629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4E6295"/>
  </w:style>
  <w:style w:type="paragraph" w:styleId="Testodelblocco">
    <w:name w:val="Block Text"/>
    <w:basedOn w:val="Normale"/>
    <w:uiPriority w:val="98"/>
    <w:semiHidden/>
    <w:rsid w:val="004E629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4E629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4E6295"/>
    <w:pPr>
      <w:spacing w:after="120"/>
    </w:pPr>
  </w:style>
  <w:style w:type="table" w:customStyle="1" w:styleId="ECHRHeaderTableReduced">
    <w:name w:val="ECHR_Header_Table_Reduced"/>
    <w:basedOn w:val="Tabellanormale"/>
    <w:uiPriority w:val="99"/>
    <w:rsid w:val="004E62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4E6295"/>
    <w:rPr>
      <w:sz w:val="18"/>
    </w:rPr>
  </w:style>
  <w:style w:type="character" w:styleId="Rimandocommento">
    <w:name w:val="annotation reference"/>
    <w:basedOn w:val="Carpredefinitoparagrafo"/>
    <w:uiPriority w:val="98"/>
    <w:semiHidden/>
    <w:rsid w:val="004E6295"/>
    <w:rPr>
      <w:sz w:val="16"/>
      <w:szCs w:val="16"/>
    </w:rPr>
  </w:style>
  <w:style w:type="paragraph" w:styleId="Testocommento">
    <w:name w:val="annotation text"/>
    <w:basedOn w:val="Normale"/>
    <w:link w:val="TestocommentoCarattere"/>
    <w:uiPriority w:val="98"/>
    <w:semiHidden/>
    <w:rsid w:val="004E6295"/>
    <w:rPr>
      <w:sz w:val="20"/>
      <w:szCs w:val="20"/>
    </w:rPr>
  </w:style>
  <w:style w:type="character" w:customStyle="1" w:styleId="TestocommentoCarattere">
    <w:name w:val="Testo commento Carattere"/>
    <w:basedOn w:val="Carpredefinitoparagrafo"/>
    <w:link w:val="Testocommento"/>
    <w:uiPriority w:val="98"/>
    <w:rsid w:val="004E6295"/>
    <w:rPr>
      <w:sz w:val="20"/>
      <w:szCs w:val="20"/>
      <w:lang w:val="fr-FR"/>
    </w:rPr>
  </w:style>
  <w:style w:type="paragraph" w:customStyle="1" w:styleId="JuSigned">
    <w:name w:val="Ju_Signed"/>
    <w:aliases w:val="_Signature"/>
    <w:basedOn w:val="Normale"/>
    <w:next w:val="JuPara"/>
    <w:uiPriority w:val="31"/>
    <w:qFormat/>
    <w:rsid w:val="004E6295"/>
    <w:pPr>
      <w:tabs>
        <w:tab w:val="center" w:pos="1418"/>
        <w:tab w:val="center" w:pos="5954"/>
      </w:tabs>
      <w:spacing w:before="720"/>
    </w:pPr>
  </w:style>
  <w:style w:type="paragraph" w:customStyle="1" w:styleId="JuTitle">
    <w:name w:val="Ju_Title"/>
    <w:aliases w:val="_Title_2"/>
    <w:basedOn w:val="Normale"/>
    <w:next w:val="JuPara"/>
    <w:uiPriority w:val="38"/>
    <w:qFormat/>
    <w:rsid w:val="004E6295"/>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4E6295"/>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4E6295"/>
    <w:pPr>
      <w:numPr>
        <w:numId w:val="9"/>
      </w:numPr>
      <w:contextualSpacing/>
    </w:pPr>
  </w:style>
  <w:style w:type="paragraph" w:styleId="Puntoelenco3">
    <w:name w:val="List Bullet 3"/>
    <w:basedOn w:val="Normale"/>
    <w:uiPriority w:val="98"/>
    <w:semiHidden/>
    <w:rsid w:val="004E6295"/>
    <w:pPr>
      <w:numPr>
        <w:numId w:val="10"/>
      </w:numPr>
      <w:contextualSpacing/>
    </w:pPr>
  </w:style>
  <w:style w:type="character" w:customStyle="1" w:styleId="CorpotestoCarattere">
    <w:name w:val="Corpo testo Carattere"/>
    <w:basedOn w:val="Carpredefinitoparagrafo"/>
    <w:link w:val="Corpotesto"/>
    <w:uiPriority w:val="98"/>
    <w:semiHidden/>
    <w:rsid w:val="004E6295"/>
    <w:rPr>
      <w:sz w:val="24"/>
      <w:szCs w:val="24"/>
      <w:lang w:val="fr-FR"/>
    </w:rPr>
  </w:style>
  <w:style w:type="paragraph" w:styleId="Corpodeltesto2">
    <w:name w:val="Body Text 2"/>
    <w:basedOn w:val="Normale"/>
    <w:link w:val="Corpodeltesto2Carattere"/>
    <w:uiPriority w:val="98"/>
    <w:semiHidden/>
    <w:rsid w:val="004E6295"/>
    <w:pPr>
      <w:spacing w:after="120" w:line="480" w:lineRule="auto"/>
    </w:pPr>
  </w:style>
  <w:style w:type="character" w:customStyle="1" w:styleId="Corpodeltesto2Carattere">
    <w:name w:val="Corpo del testo 2 Carattere"/>
    <w:basedOn w:val="Carpredefinitoparagrafo"/>
    <w:link w:val="Corpodeltesto2"/>
    <w:uiPriority w:val="98"/>
    <w:semiHidden/>
    <w:rsid w:val="004E6295"/>
    <w:rPr>
      <w:sz w:val="24"/>
      <w:szCs w:val="24"/>
      <w:lang w:val="fr-FR"/>
    </w:rPr>
  </w:style>
  <w:style w:type="paragraph" w:styleId="Corpodeltesto3">
    <w:name w:val="Body Text 3"/>
    <w:basedOn w:val="Normale"/>
    <w:link w:val="Corpodeltesto3Carattere"/>
    <w:uiPriority w:val="98"/>
    <w:semiHidden/>
    <w:rsid w:val="004E629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E6295"/>
    <w:rPr>
      <w:sz w:val="16"/>
      <w:szCs w:val="16"/>
      <w:lang w:val="fr-FR"/>
    </w:rPr>
  </w:style>
  <w:style w:type="paragraph" w:styleId="Primorientrocorpodeltesto">
    <w:name w:val="Body Text First Indent"/>
    <w:basedOn w:val="Corpotesto"/>
    <w:link w:val="PrimorientrocorpodeltestoCarattere"/>
    <w:uiPriority w:val="98"/>
    <w:semiHidden/>
    <w:rsid w:val="004E629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E6295"/>
    <w:rPr>
      <w:sz w:val="24"/>
      <w:szCs w:val="24"/>
      <w:lang w:val="fr-FR"/>
    </w:rPr>
  </w:style>
  <w:style w:type="paragraph" w:styleId="Rientrocorpodeltesto">
    <w:name w:val="Body Text Indent"/>
    <w:basedOn w:val="Normale"/>
    <w:link w:val="RientrocorpodeltestoCarattere"/>
    <w:uiPriority w:val="98"/>
    <w:semiHidden/>
    <w:rsid w:val="004E629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E6295"/>
    <w:rPr>
      <w:sz w:val="24"/>
      <w:szCs w:val="24"/>
      <w:lang w:val="fr-FR"/>
    </w:rPr>
  </w:style>
  <w:style w:type="paragraph" w:styleId="Primorientrocorpodeltesto2">
    <w:name w:val="Body Text First Indent 2"/>
    <w:basedOn w:val="Rientrocorpodeltesto"/>
    <w:link w:val="Primorientrocorpodeltesto2Carattere"/>
    <w:uiPriority w:val="98"/>
    <w:semiHidden/>
    <w:rsid w:val="004E629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E6295"/>
    <w:rPr>
      <w:sz w:val="24"/>
      <w:szCs w:val="24"/>
      <w:lang w:val="fr-FR"/>
    </w:rPr>
  </w:style>
  <w:style w:type="paragraph" w:styleId="Rientrocorpodeltesto2">
    <w:name w:val="Body Text Indent 2"/>
    <w:basedOn w:val="Normale"/>
    <w:link w:val="Rientrocorpodeltesto2Carattere"/>
    <w:uiPriority w:val="98"/>
    <w:semiHidden/>
    <w:rsid w:val="004E629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E6295"/>
    <w:rPr>
      <w:sz w:val="24"/>
      <w:szCs w:val="24"/>
      <w:lang w:val="fr-FR"/>
    </w:rPr>
  </w:style>
  <w:style w:type="paragraph" w:styleId="Rientrocorpodeltesto3">
    <w:name w:val="Body Text Indent 3"/>
    <w:basedOn w:val="Normale"/>
    <w:link w:val="Rientrocorpodeltesto3Carattere"/>
    <w:uiPriority w:val="98"/>
    <w:semiHidden/>
    <w:rsid w:val="004E629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E6295"/>
    <w:rPr>
      <w:sz w:val="16"/>
      <w:szCs w:val="16"/>
      <w:lang w:val="fr-FR"/>
    </w:rPr>
  </w:style>
  <w:style w:type="paragraph" w:styleId="Didascalia">
    <w:name w:val="caption"/>
    <w:basedOn w:val="Normale"/>
    <w:next w:val="Normale"/>
    <w:uiPriority w:val="98"/>
    <w:semiHidden/>
    <w:qFormat/>
    <w:rsid w:val="004E629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E6295"/>
    <w:pPr>
      <w:ind w:left="4252"/>
    </w:pPr>
  </w:style>
  <w:style w:type="character" w:customStyle="1" w:styleId="FormuladichiusuraCarattere">
    <w:name w:val="Formula di chiusura Carattere"/>
    <w:basedOn w:val="Carpredefinitoparagrafo"/>
    <w:link w:val="Formuladichiusura"/>
    <w:uiPriority w:val="98"/>
    <w:semiHidden/>
    <w:rsid w:val="004E6295"/>
    <w:rPr>
      <w:sz w:val="24"/>
      <w:szCs w:val="24"/>
      <w:lang w:val="fr-FR"/>
    </w:rPr>
  </w:style>
  <w:style w:type="table" w:styleId="Grigliaacolori">
    <w:name w:val="Colorful Grid"/>
    <w:basedOn w:val="Tabellanormale"/>
    <w:uiPriority w:val="73"/>
    <w:semiHidden/>
    <w:rsid w:val="004E629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E629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E629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E629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E629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E629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E629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E629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E629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E629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E629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E629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E629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E629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E629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E629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E629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E629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E629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E629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E629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E6295"/>
    <w:rPr>
      <w:b/>
      <w:bCs/>
    </w:rPr>
  </w:style>
  <w:style w:type="character" w:customStyle="1" w:styleId="SoggettocommentoCarattere">
    <w:name w:val="Soggetto commento Carattere"/>
    <w:basedOn w:val="TestocommentoCarattere"/>
    <w:link w:val="Soggettocommento"/>
    <w:uiPriority w:val="98"/>
    <w:semiHidden/>
    <w:rsid w:val="004E6295"/>
    <w:rPr>
      <w:b/>
      <w:bCs/>
      <w:sz w:val="20"/>
      <w:szCs w:val="20"/>
      <w:lang w:val="fr-FR"/>
    </w:rPr>
  </w:style>
  <w:style w:type="table" w:styleId="Elencoscuro">
    <w:name w:val="Dark List"/>
    <w:basedOn w:val="Tabellanormale"/>
    <w:uiPriority w:val="70"/>
    <w:semiHidden/>
    <w:rsid w:val="004E629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E629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E629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E629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E629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E629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E629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E6295"/>
  </w:style>
  <w:style w:type="character" w:customStyle="1" w:styleId="DataCarattere">
    <w:name w:val="Data Carattere"/>
    <w:basedOn w:val="Carpredefinitoparagrafo"/>
    <w:link w:val="Data"/>
    <w:uiPriority w:val="98"/>
    <w:semiHidden/>
    <w:rsid w:val="004E6295"/>
    <w:rPr>
      <w:sz w:val="24"/>
      <w:szCs w:val="24"/>
      <w:lang w:val="fr-FR"/>
    </w:rPr>
  </w:style>
  <w:style w:type="paragraph" w:styleId="Mappadocumento">
    <w:name w:val="Document Map"/>
    <w:basedOn w:val="Normale"/>
    <w:link w:val="MappadocumentoCarattere"/>
    <w:uiPriority w:val="98"/>
    <w:semiHidden/>
    <w:rsid w:val="004E629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E629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4E6295"/>
  </w:style>
  <w:style w:type="character" w:customStyle="1" w:styleId="FirmadipostaelettronicaCarattere">
    <w:name w:val="Firma di posta elettronica Carattere"/>
    <w:basedOn w:val="Carpredefinitoparagrafo"/>
    <w:link w:val="Firmadipostaelettronica"/>
    <w:uiPriority w:val="98"/>
    <w:semiHidden/>
    <w:rsid w:val="004E6295"/>
    <w:rPr>
      <w:sz w:val="24"/>
      <w:szCs w:val="24"/>
      <w:lang w:val="fr-FR"/>
    </w:rPr>
  </w:style>
  <w:style w:type="character" w:styleId="Rimandonotadichiusura">
    <w:name w:val="endnote reference"/>
    <w:basedOn w:val="Carpredefinitoparagrafo"/>
    <w:uiPriority w:val="98"/>
    <w:semiHidden/>
    <w:rsid w:val="004E6295"/>
    <w:rPr>
      <w:vertAlign w:val="superscript"/>
    </w:rPr>
  </w:style>
  <w:style w:type="paragraph" w:styleId="Testonotadichiusura">
    <w:name w:val="endnote text"/>
    <w:basedOn w:val="Normale"/>
    <w:link w:val="TestonotadichiusuraCarattere"/>
    <w:uiPriority w:val="98"/>
    <w:semiHidden/>
    <w:rsid w:val="004E6295"/>
    <w:rPr>
      <w:sz w:val="20"/>
      <w:szCs w:val="20"/>
    </w:rPr>
  </w:style>
  <w:style w:type="character" w:customStyle="1" w:styleId="TestonotadichiusuraCarattere">
    <w:name w:val="Testo nota di chiusura Carattere"/>
    <w:basedOn w:val="Carpredefinitoparagrafo"/>
    <w:link w:val="Testonotadichiusura"/>
    <w:uiPriority w:val="98"/>
    <w:semiHidden/>
    <w:rsid w:val="004E6295"/>
    <w:rPr>
      <w:sz w:val="20"/>
      <w:szCs w:val="20"/>
      <w:lang w:val="fr-FR"/>
    </w:rPr>
  </w:style>
  <w:style w:type="paragraph" w:styleId="Indirizzodestinatario">
    <w:name w:val="envelope address"/>
    <w:basedOn w:val="Normale"/>
    <w:uiPriority w:val="98"/>
    <w:semiHidden/>
    <w:rsid w:val="004E629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E629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E6295"/>
    <w:rPr>
      <w:color w:val="7030A0" w:themeColor="followedHyperlink"/>
      <w:u w:val="single"/>
    </w:rPr>
  </w:style>
  <w:style w:type="character" w:styleId="AcronimoHTML">
    <w:name w:val="HTML Acronym"/>
    <w:basedOn w:val="Carpredefinitoparagrafo"/>
    <w:uiPriority w:val="98"/>
    <w:semiHidden/>
    <w:rsid w:val="004E6295"/>
  </w:style>
  <w:style w:type="paragraph" w:styleId="IndirizzoHTML">
    <w:name w:val="HTML Address"/>
    <w:basedOn w:val="Normale"/>
    <w:link w:val="IndirizzoHTMLCarattere"/>
    <w:uiPriority w:val="98"/>
    <w:semiHidden/>
    <w:rsid w:val="004E6295"/>
    <w:rPr>
      <w:i/>
      <w:iCs/>
    </w:rPr>
  </w:style>
  <w:style w:type="character" w:customStyle="1" w:styleId="IndirizzoHTMLCarattere">
    <w:name w:val="Indirizzo HTML Carattere"/>
    <w:basedOn w:val="Carpredefinitoparagrafo"/>
    <w:link w:val="IndirizzoHTML"/>
    <w:uiPriority w:val="98"/>
    <w:semiHidden/>
    <w:rsid w:val="004E6295"/>
    <w:rPr>
      <w:i/>
      <w:iCs/>
      <w:sz w:val="24"/>
      <w:szCs w:val="24"/>
      <w:lang w:val="fr-FR"/>
    </w:rPr>
  </w:style>
  <w:style w:type="character" w:styleId="CitazioneHTML">
    <w:name w:val="HTML Cite"/>
    <w:basedOn w:val="Carpredefinitoparagrafo"/>
    <w:uiPriority w:val="98"/>
    <w:semiHidden/>
    <w:rsid w:val="004E6295"/>
    <w:rPr>
      <w:i/>
      <w:iCs/>
    </w:rPr>
  </w:style>
  <w:style w:type="character" w:styleId="CodiceHTML">
    <w:name w:val="HTML Code"/>
    <w:basedOn w:val="Carpredefinitoparagrafo"/>
    <w:uiPriority w:val="98"/>
    <w:semiHidden/>
    <w:rsid w:val="004E6295"/>
    <w:rPr>
      <w:rFonts w:ascii="Consolas" w:hAnsi="Consolas" w:cs="Consolas"/>
      <w:sz w:val="20"/>
      <w:szCs w:val="20"/>
    </w:rPr>
  </w:style>
  <w:style w:type="character" w:styleId="DefinizioneHTML">
    <w:name w:val="HTML Definition"/>
    <w:basedOn w:val="Carpredefinitoparagrafo"/>
    <w:uiPriority w:val="98"/>
    <w:semiHidden/>
    <w:rsid w:val="004E6295"/>
    <w:rPr>
      <w:i/>
      <w:iCs/>
    </w:rPr>
  </w:style>
  <w:style w:type="character" w:styleId="TastieraHTML">
    <w:name w:val="HTML Keyboard"/>
    <w:basedOn w:val="Carpredefinitoparagrafo"/>
    <w:uiPriority w:val="98"/>
    <w:semiHidden/>
    <w:rsid w:val="004E6295"/>
    <w:rPr>
      <w:rFonts w:ascii="Consolas" w:hAnsi="Consolas" w:cs="Consolas"/>
      <w:sz w:val="20"/>
      <w:szCs w:val="20"/>
    </w:rPr>
  </w:style>
  <w:style w:type="paragraph" w:styleId="PreformattatoHTML">
    <w:name w:val="HTML Preformatted"/>
    <w:basedOn w:val="Normale"/>
    <w:link w:val="PreformattatoHTMLCarattere"/>
    <w:uiPriority w:val="98"/>
    <w:semiHidden/>
    <w:rsid w:val="004E629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E6295"/>
    <w:rPr>
      <w:rFonts w:ascii="Consolas" w:hAnsi="Consolas" w:cs="Consolas"/>
      <w:sz w:val="20"/>
      <w:szCs w:val="20"/>
      <w:lang w:val="fr-FR"/>
    </w:rPr>
  </w:style>
  <w:style w:type="character" w:styleId="EsempioHTML">
    <w:name w:val="HTML Sample"/>
    <w:basedOn w:val="Carpredefinitoparagrafo"/>
    <w:uiPriority w:val="98"/>
    <w:semiHidden/>
    <w:rsid w:val="004E6295"/>
    <w:rPr>
      <w:rFonts w:ascii="Consolas" w:hAnsi="Consolas" w:cs="Consolas"/>
      <w:sz w:val="24"/>
      <w:szCs w:val="24"/>
    </w:rPr>
  </w:style>
  <w:style w:type="character" w:styleId="MacchinadascrivereHTML">
    <w:name w:val="HTML Typewriter"/>
    <w:basedOn w:val="Carpredefinitoparagrafo"/>
    <w:uiPriority w:val="98"/>
    <w:semiHidden/>
    <w:rsid w:val="004E6295"/>
    <w:rPr>
      <w:rFonts w:ascii="Consolas" w:hAnsi="Consolas" w:cs="Consolas"/>
      <w:sz w:val="20"/>
      <w:szCs w:val="20"/>
    </w:rPr>
  </w:style>
  <w:style w:type="character" w:styleId="VariabileHTML">
    <w:name w:val="HTML Variable"/>
    <w:basedOn w:val="Carpredefinitoparagrafo"/>
    <w:uiPriority w:val="98"/>
    <w:semiHidden/>
    <w:rsid w:val="004E6295"/>
    <w:rPr>
      <w:i/>
      <w:iCs/>
    </w:rPr>
  </w:style>
  <w:style w:type="paragraph" w:styleId="Indice1">
    <w:name w:val="index 1"/>
    <w:basedOn w:val="Normale"/>
    <w:next w:val="Normale"/>
    <w:autoRedefine/>
    <w:uiPriority w:val="98"/>
    <w:semiHidden/>
    <w:rsid w:val="004E6295"/>
    <w:pPr>
      <w:ind w:left="240" w:hanging="240"/>
    </w:pPr>
  </w:style>
  <w:style w:type="paragraph" w:styleId="Indice2">
    <w:name w:val="index 2"/>
    <w:basedOn w:val="Normale"/>
    <w:next w:val="Normale"/>
    <w:autoRedefine/>
    <w:uiPriority w:val="98"/>
    <w:semiHidden/>
    <w:rsid w:val="004E6295"/>
    <w:pPr>
      <w:ind w:left="480" w:hanging="240"/>
    </w:pPr>
  </w:style>
  <w:style w:type="paragraph" w:styleId="Indice3">
    <w:name w:val="index 3"/>
    <w:basedOn w:val="Normale"/>
    <w:next w:val="Normale"/>
    <w:autoRedefine/>
    <w:uiPriority w:val="98"/>
    <w:semiHidden/>
    <w:rsid w:val="004E6295"/>
    <w:pPr>
      <w:ind w:left="720" w:hanging="240"/>
    </w:pPr>
  </w:style>
  <w:style w:type="paragraph" w:styleId="Indice4">
    <w:name w:val="index 4"/>
    <w:basedOn w:val="Normale"/>
    <w:next w:val="Normale"/>
    <w:autoRedefine/>
    <w:uiPriority w:val="98"/>
    <w:semiHidden/>
    <w:rsid w:val="004E6295"/>
    <w:pPr>
      <w:ind w:left="960" w:hanging="240"/>
    </w:pPr>
  </w:style>
  <w:style w:type="paragraph" w:styleId="Indice5">
    <w:name w:val="index 5"/>
    <w:basedOn w:val="Normale"/>
    <w:next w:val="Normale"/>
    <w:autoRedefine/>
    <w:uiPriority w:val="98"/>
    <w:semiHidden/>
    <w:rsid w:val="004E6295"/>
    <w:pPr>
      <w:ind w:left="1200" w:hanging="240"/>
    </w:pPr>
  </w:style>
  <w:style w:type="paragraph" w:styleId="Indice6">
    <w:name w:val="index 6"/>
    <w:basedOn w:val="Normale"/>
    <w:next w:val="Normale"/>
    <w:autoRedefine/>
    <w:uiPriority w:val="98"/>
    <w:semiHidden/>
    <w:rsid w:val="004E6295"/>
    <w:pPr>
      <w:ind w:left="1440" w:hanging="240"/>
    </w:pPr>
  </w:style>
  <w:style w:type="paragraph" w:styleId="Indice7">
    <w:name w:val="index 7"/>
    <w:basedOn w:val="Normale"/>
    <w:next w:val="Normale"/>
    <w:autoRedefine/>
    <w:uiPriority w:val="98"/>
    <w:semiHidden/>
    <w:rsid w:val="004E6295"/>
    <w:pPr>
      <w:ind w:left="1680" w:hanging="240"/>
    </w:pPr>
  </w:style>
  <w:style w:type="paragraph" w:styleId="Indice8">
    <w:name w:val="index 8"/>
    <w:basedOn w:val="Normale"/>
    <w:next w:val="Normale"/>
    <w:autoRedefine/>
    <w:uiPriority w:val="98"/>
    <w:semiHidden/>
    <w:rsid w:val="004E6295"/>
    <w:pPr>
      <w:ind w:left="1920" w:hanging="240"/>
    </w:pPr>
  </w:style>
  <w:style w:type="paragraph" w:styleId="Indice9">
    <w:name w:val="index 9"/>
    <w:basedOn w:val="Normale"/>
    <w:next w:val="Normale"/>
    <w:autoRedefine/>
    <w:uiPriority w:val="98"/>
    <w:semiHidden/>
    <w:rsid w:val="004E6295"/>
    <w:pPr>
      <w:ind w:left="2160" w:hanging="240"/>
    </w:pPr>
  </w:style>
  <w:style w:type="paragraph" w:styleId="Titoloindice">
    <w:name w:val="index heading"/>
    <w:basedOn w:val="Normale"/>
    <w:next w:val="Indice1"/>
    <w:uiPriority w:val="98"/>
    <w:semiHidden/>
    <w:rsid w:val="004E6295"/>
    <w:rPr>
      <w:rFonts w:asciiTheme="majorHAnsi" w:eastAsiaTheme="majorEastAsia" w:hAnsiTheme="majorHAnsi" w:cstheme="majorBidi"/>
      <w:b/>
      <w:bCs/>
    </w:rPr>
  </w:style>
  <w:style w:type="table" w:styleId="Grigliachiara">
    <w:name w:val="Light Grid"/>
    <w:basedOn w:val="Tabellanormale"/>
    <w:uiPriority w:val="62"/>
    <w:semiHidden/>
    <w:rsid w:val="004E629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E629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E629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E629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E629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E629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E629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E629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E629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E629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E629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E629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E629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E629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E629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E629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E629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E629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E629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E629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E629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E6295"/>
  </w:style>
  <w:style w:type="paragraph" w:styleId="Elenco">
    <w:name w:val="List"/>
    <w:basedOn w:val="Normale"/>
    <w:uiPriority w:val="98"/>
    <w:semiHidden/>
    <w:rsid w:val="004E6295"/>
    <w:pPr>
      <w:ind w:left="283" w:hanging="283"/>
      <w:contextualSpacing/>
    </w:pPr>
  </w:style>
  <w:style w:type="paragraph" w:styleId="Elenco2">
    <w:name w:val="List 2"/>
    <w:basedOn w:val="Normale"/>
    <w:uiPriority w:val="98"/>
    <w:semiHidden/>
    <w:rsid w:val="004E6295"/>
    <w:pPr>
      <w:ind w:left="566" w:hanging="283"/>
      <w:contextualSpacing/>
    </w:pPr>
  </w:style>
  <w:style w:type="paragraph" w:styleId="Elenco3">
    <w:name w:val="List 3"/>
    <w:basedOn w:val="Normale"/>
    <w:uiPriority w:val="98"/>
    <w:semiHidden/>
    <w:rsid w:val="004E6295"/>
    <w:pPr>
      <w:ind w:left="849" w:hanging="283"/>
      <w:contextualSpacing/>
    </w:pPr>
  </w:style>
  <w:style w:type="paragraph" w:styleId="Elenco4">
    <w:name w:val="List 4"/>
    <w:basedOn w:val="Normale"/>
    <w:uiPriority w:val="98"/>
    <w:semiHidden/>
    <w:rsid w:val="004E6295"/>
    <w:pPr>
      <w:ind w:left="1132" w:hanging="283"/>
      <w:contextualSpacing/>
    </w:pPr>
  </w:style>
  <w:style w:type="paragraph" w:styleId="Elenco5">
    <w:name w:val="List 5"/>
    <w:basedOn w:val="Normale"/>
    <w:uiPriority w:val="98"/>
    <w:semiHidden/>
    <w:rsid w:val="004E6295"/>
    <w:pPr>
      <w:ind w:left="1415" w:hanging="283"/>
      <w:contextualSpacing/>
    </w:pPr>
  </w:style>
  <w:style w:type="paragraph" w:styleId="Puntoelenco">
    <w:name w:val="List Bullet"/>
    <w:basedOn w:val="Normale"/>
    <w:uiPriority w:val="98"/>
    <w:semiHidden/>
    <w:rsid w:val="004E6295"/>
    <w:pPr>
      <w:numPr>
        <w:numId w:val="8"/>
      </w:numPr>
    </w:pPr>
  </w:style>
  <w:style w:type="paragraph" w:styleId="Puntoelenco4">
    <w:name w:val="List Bullet 4"/>
    <w:basedOn w:val="Normale"/>
    <w:uiPriority w:val="98"/>
    <w:semiHidden/>
    <w:rsid w:val="004E6295"/>
    <w:pPr>
      <w:numPr>
        <w:numId w:val="11"/>
      </w:numPr>
      <w:contextualSpacing/>
    </w:pPr>
  </w:style>
  <w:style w:type="paragraph" w:styleId="Puntoelenco5">
    <w:name w:val="List Bullet 5"/>
    <w:basedOn w:val="Normale"/>
    <w:uiPriority w:val="98"/>
    <w:semiHidden/>
    <w:rsid w:val="004E6295"/>
    <w:pPr>
      <w:numPr>
        <w:numId w:val="12"/>
      </w:numPr>
      <w:contextualSpacing/>
    </w:pPr>
  </w:style>
  <w:style w:type="paragraph" w:styleId="Elencocontinua">
    <w:name w:val="List Continue"/>
    <w:basedOn w:val="Normale"/>
    <w:uiPriority w:val="98"/>
    <w:semiHidden/>
    <w:rsid w:val="004E6295"/>
    <w:pPr>
      <w:spacing w:after="120"/>
      <w:ind w:left="283"/>
      <w:contextualSpacing/>
    </w:pPr>
  </w:style>
  <w:style w:type="paragraph" w:styleId="Elencocontinua2">
    <w:name w:val="List Continue 2"/>
    <w:basedOn w:val="Normale"/>
    <w:uiPriority w:val="98"/>
    <w:semiHidden/>
    <w:rsid w:val="004E6295"/>
    <w:pPr>
      <w:spacing w:after="120"/>
      <w:ind w:left="566"/>
      <w:contextualSpacing/>
    </w:pPr>
  </w:style>
  <w:style w:type="paragraph" w:styleId="Elencocontinua3">
    <w:name w:val="List Continue 3"/>
    <w:basedOn w:val="Normale"/>
    <w:uiPriority w:val="98"/>
    <w:semiHidden/>
    <w:rsid w:val="004E6295"/>
    <w:pPr>
      <w:spacing w:after="120"/>
      <w:ind w:left="849"/>
      <w:contextualSpacing/>
    </w:pPr>
  </w:style>
  <w:style w:type="paragraph" w:styleId="Elencocontinua4">
    <w:name w:val="List Continue 4"/>
    <w:basedOn w:val="Normale"/>
    <w:uiPriority w:val="98"/>
    <w:semiHidden/>
    <w:rsid w:val="004E6295"/>
    <w:pPr>
      <w:spacing w:after="120"/>
      <w:ind w:left="1132"/>
      <w:contextualSpacing/>
    </w:pPr>
  </w:style>
  <w:style w:type="paragraph" w:styleId="Elencocontinua5">
    <w:name w:val="List Continue 5"/>
    <w:basedOn w:val="Normale"/>
    <w:uiPriority w:val="98"/>
    <w:semiHidden/>
    <w:rsid w:val="004E6295"/>
    <w:pPr>
      <w:spacing w:after="120"/>
      <w:ind w:left="1415"/>
      <w:contextualSpacing/>
    </w:pPr>
  </w:style>
  <w:style w:type="paragraph" w:styleId="Numeroelenco">
    <w:name w:val="List Number"/>
    <w:basedOn w:val="Normale"/>
    <w:uiPriority w:val="98"/>
    <w:semiHidden/>
    <w:rsid w:val="004E6295"/>
    <w:pPr>
      <w:numPr>
        <w:numId w:val="13"/>
      </w:numPr>
      <w:contextualSpacing/>
    </w:pPr>
  </w:style>
  <w:style w:type="paragraph" w:styleId="Numeroelenco2">
    <w:name w:val="List Number 2"/>
    <w:basedOn w:val="Normale"/>
    <w:uiPriority w:val="98"/>
    <w:semiHidden/>
    <w:rsid w:val="004E6295"/>
    <w:pPr>
      <w:numPr>
        <w:numId w:val="14"/>
      </w:numPr>
      <w:contextualSpacing/>
    </w:pPr>
  </w:style>
  <w:style w:type="paragraph" w:styleId="Numeroelenco3">
    <w:name w:val="List Number 3"/>
    <w:basedOn w:val="Normale"/>
    <w:uiPriority w:val="98"/>
    <w:semiHidden/>
    <w:rsid w:val="004E6295"/>
    <w:pPr>
      <w:numPr>
        <w:numId w:val="15"/>
      </w:numPr>
      <w:contextualSpacing/>
    </w:pPr>
  </w:style>
  <w:style w:type="paragraph" w:styleId="Numeroelenco4">
    <w:name w:val="List Number 4"/>
    <w:basedOn w:val="Normale"/>
    <w:uiPriority w:val="98"/>
    <w:semiHidden/>
    <w:rsid w:val="004E6295"/>
    <w:pPr>
      <w:numPr>
        <w:numId w:val="16"/>
      </w:numPr>
      <w:contextualSpacing/>
    </w:pPr>
  </w:style>
  <w:style w:type="paragraph" w:styleId="Numeroelenco5">
    <w:name w:val="List Number 5"/>
    <w:basedOn w:val="Normale"/>
    <w:uiPriority w:val="98"/>
    <w:semiHidden/>
    <w:rsid w:val="004E6295"/>
    <w:pPr>
      <w:numPr>
        <w:numId w:val="17"/>
      </w:numPr>
      <w:contextualSpacing/>
    </w:pPr>
  </w:style>
  <w:style w:type="paragraph" w:styleId="Testomacro">
    <w:name w:val="macro"/>
    <w:link w:val="TestomacroCarattere"/>
    <w:uiPriority w:val="98"/>
    <w:semiHidden/>
    <w:rsid w:val="004E62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E6295"/>
    <w:rPr>
      <w:rFonts w:ascii="Consolas" w:eastAsiaTheme="minorEastAsia" w:hAnsi="Consolas" w:cs="Consolas"/>
      <w:sz w:val="20"/>
      <w:szCs w:val="20"/>
    </w:rPr>
  </w:style>
  <w:style w:type="table" w:styleId="Grigliamedia1">
    <w:name w:val="Medium Grid 1"/>
    <w:basedOn w:val="Tabellanormale"/>
    <w:uiPriority w:val="67"/>
    <w:semiHidden/>
    <w:rsid w:val="004E629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E629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E629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E629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E629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E629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E629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E62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E62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E62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E62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E62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E62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E629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E629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E629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E629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E629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E629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E629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E629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E629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E629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E629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E629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E629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E629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E629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E629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E62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E62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E62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E62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E62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E62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E62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E62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E629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4E6295"/>
    <w:rPr>
      <w:rFonts w:ascii="Times New Roman" w:hAnsi="Times New Roman" w:cs="Times New Roman"/>
    </w:rPr>
  </w:style>
  <w:style w:type="paragraph" w:styleId="Rientronormale">
    <w:name w:val="Normal Indent"/>
    <w:basedOn w:val="Normale"/>
    <w:uiPriority w:val="98"/>
    <w:semiHidden/>
    <w:rsid w:val="004E6295"/>
    <w:pPr>
      <w:ind w:left="720"/>
    </w:pPr>
  </w:style>
  <w:style w:type="paragraph" w:styleId="Intestazionenota">
    <w:name w:val="Note Heading"/>
    <w:basedOn w:val="Normale"/>
    <w:next w:val="Normale"/>
    <w:link w:val="IntestazionenotaCarattere"/>
    <w:uiPriority w:val="98"/>
    <w:semiHidden/>
    <w:rsid w:val="004E6295"/>
  </w:style>
  <w:style w:type="character" w:customStyle="1" w:styleId="IntestazionenotaCarattere">
    <w:name w:val="Intestazione nota Carattere"/>
    <w:basedOn w:val="Carpredefinitoparagrafo"/>
    <w:link w:val="Intestazionenota"/>
    <w:uiPriority w:val="98"/>
    <w:semiHidden/>
    <w:rsid w:val="004E6295"/>
    <w:rPr>
      <w:sz w:val="24"/>
      <w:szCs w:val="24"/>
      <w:lang w:val="fr-FR"/>
    </w:rPr>
  </w:style>
  <w:style w:type="character" w:styleId="Testosegnaposto">
    <w:name w:val="Placeholder Text"/>
    <w:basedOn w:val="Carpredefinitoparagrafo"/>
    <w:uiPriority w:val="98"/>
    <w:semiHidden/>
    <w:rsid w:val="004E629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E629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E629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4E6295"/>
  </w:style>
  <w:style w:type="character" w:customStyle="1" w:styleId="FormuladiaperturaCarattere">
    <w:name w:val="Formula di apertura Carattere"/>
    <w:basedOn w:val="Carpredefinitoparagrafo"/>
    <w:link w:val="Formuladiapertura"/>
    <w:uiPriority w:val="98"/>
    <w:semiHidden/>
    <w:rsid w:val="004E6295"/>
    <w:rPr>
      <w:sz w:val="24"/>
      <w:szCs w:val="24"/>
      <w:lang w:val="fr-FR"/>
    </w:rPr>
  </w:style>
  <w:style w:type="paragraph" w:styleId="Firma">
    <w:name w:val="Signature"/>
    <w:basedOn w:val="Normale"/>
    <w:link w:val="FirmaCarattere"/>
    <w:uiPriority w:val="98"/>
    <w:semiHidden/>
    <w:rsid w:val="004E6295"/>
    <w:pPr>
      <w:ind w:left="4252"/>
    </w:pPr>
  </w:style>
  <w:style w:type="character" w:customStyle="1" w:styleId="FirmaCarattere">
    <w:name w:val="Firma Carattere"/>
    <w:basedOn w:val="Carpredefinitoparagrafo"/>
    <w:link w:val="Firma"/>
    <w:uiPriority w:val="98"/>
    <w:semiHidden/>
    <w:rsid w:val="004E6295"/>
    <w:rPr>
      <w:sz w:val="24"/>
      <w:szCs w:val="24"/>
      <w:lang w:val="fr-FR"/>
    </w:rPr>
  </w:style>
  <w:style w:type="table" w:styleId="Tabellaeffetti3D1">
    <w:name w:val="Table 3D effects 1"/>
    <w:basedOn w:val="Tabellanormale"/>
    <w:uiPriority w:val="99"/>
    <w:semiHidden/>
    <w:unhideWhenUsed/>
    <w:rsid w:val="004E629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E629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E629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E629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E629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E629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E629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E629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E629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E629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E629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E629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E629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E629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E629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E629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E629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4E62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E629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E629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E629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E62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E629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E629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E629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E629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E629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E629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E62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E62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E62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E629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E62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E6295"/>
    <w:pPr>
      <w:ind w:left="240" w:hanging="240"/>
    </w:pPr>
  </w:style>
  <w:style w:type="paragraph" w:styleId="Indicedellefigure">
    <w:name w:val="table of figures"/>
    <w:basedOn w:val="Normale"/>
    <w:next w:val="Normale"/>
    <w:uiPriority w:val="98"/>
    <w:semiHidden/>
    <w:rsid w:val="004E6295"/>
  </w:style>
  <w:style w:type="table" w:styleId="Tabellaprofessionale">
    <w:name w:val="Table Professional"/>
    <w:basedOn w:val="Tabellanormale"/>
    <w:uiPriority w:val="99"/>
    <w:semiHidden/>
    <w:unhideWhenUsed/>
    <w:rsid w:val="004E62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E629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E629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E629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E629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E629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E629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E629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E629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E629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4E629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E629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E6295"/>
    <w:pPr>
      <w:spacing w:after="100"/>
      <w:ind w:left="1680"/>
    </w:pPr>
  </w:style>
  <w:style w:type="paragraph" w:styleId="Sommario9">
    <w:name w:val="toc 9"/>
    <w:basedOn w:val="Normale"/>
    <w:next w:val="Normale"/>
    <w:autoRedefine/>
    <w:uiPriority w:val="98"/>
    <w:semiHidden/>
    <w:rsid w:val="004E6295"/>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4E6295"/>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4E6295"/>
    <w:pPr>
      <w:numPr>
        <w:ilvl w:val="1"/>
      </w:numPr>
    </w:pPr>
  </w:style>
  <w:style w:type="paragraph" w:customStyle="1" w:styleId="ECHRBullet3">
    <w:name w:val="ECHR_Bullet_3"/>
    <w:aliases w:val="_Bul_3"/>
    <w:basedOn w:val="ECHRBullet2"/>
    <w:uiPriority w:val="23"/>
    <w:semiHidden/>
    <w:rsid w:val="004E6295"/>
    <w:pPr>
      <w:numPr>
        <w:ilvl w:val="2"/>
      </w:numPr>
    </w:pPr>
  </w:style>
  <w:style w:type="paragraph" w:customStyle="1" w:styleId="ECHRBullet4">
    <w:name w:val="ECHR_Bullet_4"/>
    <w:aliases w:val="_Bul_4"/>
    <w:basedOn w:val="ECHRBullet3"/>
    <w:uiPriority w:val="23"/>
    <w:semiHidden/>
    <w:rsid w:val="004E6295"/>
    <w:pPr>
      <w:numPr>
        <w:ilvl w:val="3"/>
      </w:numPr>
    </w:pPr>
  </w:style>
  <w:style w:type="paragraph" w:customStyle="1" w:styleId="ECHRConfidential">
    <w:name w:val="ECHR_Confidential"/>
    <w:aliases w:val="_Confidential"/>
    <w:basedOn w:val="Normale"/>
    <w:next w:val="Normale"/>
    <w:uiPriority w:val="42"/>
    <w:semiHidden/>
    <w:qFormat/>
    <w:rsid w:val="004E6295"/>
    <w:pPr>
      <w:jc w:val="right"/>
    </w:pPr>
    <w:rPr>
      <w:color w:val="C00000"/>
      <w:sz w:val="20"/>
    </w:rPr>
  </w:style>
  <w:style w:type="paragraph" w:customStyle="1" w:styleId="ECHRDecisionBody">
    <w:name w:val="ECHR_Decision_Body"/>
    <w:aliases w:val="_Decision_Body"/>
    <w:basedOn w:val="NormalJustified"/>
    <w:uiPriority w:val="54"/>
    <w:semiHidden/>
    <w:rsid w:val="004E629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E629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E6295"/>
    <w:rPr>
      <w:rFonts w:ascii="Arial" w:hAnsi="Arial"/>
      <w:i/>
      <w:color w:val="002856"/>
      <w:sz w:val="32"/>
      <w:szCs w:val="24"/>
      <w:lang w:val="fr-FR"/>
    </w:rPr>
  </w:style>
  <w:style w:type="paragraph" w:customStyle="1" w:styleId="DummyStyle">
    <w:name w:val="Dummy_Style"/>
    <w:aliases w:val="_Dummy"/>
    <w:basedOn w:val="Normale"/>
    <w:semiHidden/>
    <w:qFormat/>
    <w:rsid w:val="004E6295"/>
    <w:rPr>
      <w:color w:val="00B050"/>
      <w:sz w:val="22"/>
    </w:rPr>
  </w:style>
  <w:style w:type="paragraph" w:customStyle="1" w:styleId="ECHRFooterLineLandscape">
    <w:name w:val="ECHR_Footer_Line_Landscape"/>
    <w:aliases w:val="_Footer_Line_Landscape"/>
    <w:basedOn w:val="Normale"/>
    <w:uiPriority w:val="29"/>
    <w:semiHidden/>
    <w:rsid w:val="004E629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4E6295"/>
    <w:pPr>
      <w:ind w:left="567" w:hanging="567"/>
    </w:pPr>
  </w:style>
  <w:style w:type="paragraph" w:customStyle="1" w:styleId="ECHRHeading9">
    <w:name w:val="ECHR_Heading_9"/>
    <w:aliases w:val="_Head_9"/>
    <w:basedOn w:val="Titolo9"/>
    <w:uiPriority w:val="17"/>
    <w:semiHidden/>
    <w:rsid w:val="004E6295"/>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4E629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4E6295"/>
    <w:pPr>
      <w:spacing w:before="120" w:after="120"/>
      <w:ind w:left="567"/>
    </w:pPr>
  </w:style>
  <w:style w:type="paragraph" w:customStyle="1" w:styleId="ECHRLine">
    <w:name w:val="ECHR_Line"/>
    <w:aliases w:val="_Line"/>
    <w:basedOn w:val="NormalJustified"/>
    <w:next w:val="Normale"/>
    <w:uiPriority w:val="46"/>
    <w:semiHidden/>
    <w:rsid w:val="004E629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4E6295"/>
    <w:pPr>
      <w:numPr>
        <w:numId w:val="0"/>
      </w:numPr>
      <w:ind w:left="284"/>
    </w:pPr>
  </w:style>
  <w:style w:type="paragraph" w:customStyle="1" w:styleId="ECHRNumberedList1">
    <w:name w:val="ECHR_Numbered_List_1"/>
    <w:aliases w:val="_Num_1"/>
    <w:basedOn w:val="NormalJustified"/>
    <w:uiPriority w:val="23"/>
    <w:semiHidden/>
    <w:qFormat/>
    <w:rsid w:val="004E6295"/>
    <w:pPr>
      <w:numPr>
        <w:numId w:val="7"/>
      </w:numPr>
      <w:spacing w:before="60" w:after="60"/>
    </w:pPr>
  </w:style>
  <w:style w:type="paragraph" w:customStyle="1" w:styleId="ECHRNumberedList2">
    <w:name w:val="ECHR_Numbered_List_2"/>
    <w:aliases w:val="_Num_2"/>
    <w:basedOn w:val="ECHRNumberedList1"/>
    <w:uiPriority w:val="23"/>
    <w:semiHidden/>
    <w:rsid w:val="004E6295"/>
    <w:pPr>
      <w:numPr>
        <w:ilvl w:val="1"/>
      </w:numPr>
    </w:pPr>
  </w:style>
  <w:style w:type="paragraph" w:customStyle="1" w:styleId="ECHRNumberedList3">
    <w:name w:val="ECHR_Numbered_List_3"/>
    <w:aliases w:val="_Num_3"/>
    <w:basedOn w:val="ECHRNumberedList2"/>
    <w:uiPriority w:val="23"/>
    <w:semiHidden/>
    <w:rsid w:val="004E6295"/>
    <w:pPr>
      <w:numPr>
        <w:ilvl w:val="2"/>
      </w:numPr>
    </w:pPr>
  </w:style>
  <w:style w:type="paragraph" w:customStyle="1" w:styleId="ECHRPlaceholder">
    <w:name w:val="ECHR_Placeholder"/>
    <w:aliases w:val="_Placeholder"/>
    <w:basedOn w:val="JuSigned"/>
    <w:uiPriority w:val="31"/>
    <w:rsid w:val="004E6295"/>
    <w:rPr>
      <w:color w:val="FFFFFF"/>
    </w:rPr>
  </w:style>
  <w:style w:type="character" w:customStyle="1" w:styleId="ECHRRed">
    <w:name w:val="ECHR_Red"/>
    <w:aliases w:val="_Red"/>
    <w:basedOn w:val="Carpredefinitoparagrafo"/>
    <w:uiPriority w:val="15"/>
    <w:semiHidden/>
    <w:qFormat/>
    <w:rsid w:val="004E6295"/>
    <w:rPr>
      <w:color w:val="C00000" w:themeColor="accent2"/>
    </w:rPr>
  </w:style>
  <w:style w:type="paragraph" w:customStyle="1" w:styleId="ECHRHeaderDate">
    <w:name w:val="ECHR_Header_Date"/>
    <w:aliases w:val="_Ref_Date"/>
    <w:basedOn w:val="Normale"/>
    <w:uiPriority w:val="44"/>
    <w:semiHidden/>
    <w:qFormat/>
    <w:rsid w:val="004E6295"/>
    <w:pPr>
      <w:jc w:val="right"/>
    </w:pPr>
    <w:rPr>
      <w:sz w:val="20"/>
    </w:rPr>
  </w:style>
  <w:style w:type="paragraph" w:customStyle="1" w:styleId="ECHRHeaderRefIt">
    <w:name w:val="ECHR_Header_Ref_It"/>
    <w:aliases w:val="_Ref_Ital"/>
    <w:basedOn w:val="Normale"/>
    <w:next w:val="ECHRHeaderDate"/>
    <w:uiPriority w:val="43"/>
    <w:semiHidden/>
    <w:qFormat/>
    <w:rsid w:val="004E6295"/>
    <w:pPr>
      <w:jc w:val="right"/>
    </w:pPr>
    <w:rPr>
      <w:i/>
      <w:sz w:val="20"/>
    </w:rPr>
  </w:style>
  <w:style w:type="paragraph" w:customStyle="1" w:styleId="ECHRSpacer">
    <w:name w:val="ECHR_Spacer"/>
    <w:aliases w:val="_Spacer"/>
    <w:basedOn w:val="Normale"/>
    <w:uiPriority w:val="45"/>
    <w:semiHidden/>
    <w:rsid w:val="004E6295"/>
    <w:rPr>
      <w:sz w:val="4"/>
    </w:rPr>
  </w:style>
  <w:style w:type="paragraph" w:customStyle="1" w:styleId="ECHRTitleCentre1">
    <w:name w:val="ECHR_Title_Centre_1"/>
    <w:aliases w:val="_Title_C_1"/>
    <w:basedOn w:val="Normale"/>
    <w:next w:val="Normale"/>
    <w:uiPriority w:val="26"/>
    <w:semiHidden/>
    <w:qFormat/>
    <w:rsid w:val="004E629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E629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E629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E6295"/>
    <w:pPr>
      <w:outlineLvl w:val="0"/>
    </w:pPr>
  </w:style>
  <w:style w:type="paragraph" w:customStyle="1" w:styleId="ECHRTitle1">
    <w:name w:val="ECHR_Title_1"/>
    <w:aliases w:val="_Title_L_1"/>
    <w:basedOn w:val="Normale"/>
    <w:next w:val="Normale"/>
    <w:uiPriority w:val="28"/>
    <w:semiHidden/>
    <w:qFormat/>
    <w:rsid w:val="004E629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E629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E629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4E6295"/>
    <w:pPr>
      <w:outlineLvl w:val="0"/>
    </w:pPr>
  </w:style>
  <w:style w:type="table" w:customStyle="1" w:styleId="ECHRTable2">
    <w:name w:val="ECHR_Table_2"/>
    <w:basedOn w:val="Tabellanormale"/>
    <w:uiPriority w:val="99"/>
    <w:rsid w:val="004E629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E629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4E629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styleId="Revisione">
    <w:name w:val="Revision"/>
    <w:hidden/>
    <w:uiPriority w:val="99"/>
    <w:semiHidden/>
    <w:rsid w:val="001F27F3"/>
    <w:rPr>
      <w:sz w:val="24"/>
      <w:szCs w:val="24"/>
      <w:lang w:val="fr-FR"/>
    </w:rPr>
  </w:style>
  <w:style w:type="table" w:styleId="Tabellagriglia1chiara">
    <w:name w:val="Grid Table 1 Light"/>
    <w:basedOn w:val="Tabellanormale"/>
    <w:uiPriority w:val="46"/>
    <w:semiHidden/>
    <w:rsid w:val="004E62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E629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E629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E629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E629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E629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E629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E62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E629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E629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E629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E629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E629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E629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E62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E62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E62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E62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E62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E62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E62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E62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E62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E62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E62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E62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E62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E62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E62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E62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E62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E62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E62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E62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E62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E62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E62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E62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E62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E62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E62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E62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E62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E62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E62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E62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E62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E62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E62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E6295"/>
    <w:rPr>
      <w:color w:val="2B579A"/>
      <w:shd w:val="clear" w:color="auto" w:fill="E1DFDD"/>
    </w:rPr>
  </w:style>
  <w:style w:type="table" w:styleId="Tabellaelenco1chiara">
    <w:name w:val="List Table 1 Light"/>
    <w:basedOn w:val="Tabellanormale"/>
    <w:uiPriority w:val="46"/>
    <w:semiHidden/>
    <w:rsid w:val="004E62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E629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E629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E629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E629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E629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E629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E62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E629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E629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E629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E629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E629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E629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E62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E629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E629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E629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E629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E629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E629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E62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E62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E62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E62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E62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E62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E62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E629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E629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E629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E629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E629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E629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E629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E62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E629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E629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E629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E629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E629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E629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E62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E629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E629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E629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E629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E629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E629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E6295"/>
    <w:rPr>
      <w:color w:val="2B579A"/>
      <w:shd w:val="clear" w:color="auto" w:fill="E1DFDD"/>
    </w:rPr>
  </w:style>
  <w:style w:type="table" w:styleId="Tabellasemplice-1">
    <w:name w:val="Plain Table 1"/>
    <w:basedOn w:val="Tabellanormale"/>
    <w:uiPriority w:val="41"/>
    <w:semiHidden/>
    <w:rsid w:val="004E629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E62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E62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E62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E62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E6295"/>
    <w:rPr>
      <w:u w:val="dotted"/>
    </w:rPr>
  </w:style>
  <w:style w:type="character" w:customStyle="1" w:styleId="SmartLink">
    <w:name w:val="Smart Link"/>
    <w:basedOn w:val="Carpredefinitoparagrafo"/>
    <w:uiPriority w:val="99"/>
    <w:semiHidden/>
    <w:unhideWhenUsed/>
    <w:rsid w:val="004E6295"/>
    <w:rPr>
      <w:color w:val="0000FF"/>
      <w:u w:val="single"/>
      <w:shd w:val="clear" w:color="auto" w:fill="F3F2F1"/>
    </w:rPr>
  </w:style>
  <w:style w:type="table" w:styleId="Grigliatabellachiara">
    <w:name w:val="Grid Table Light"/>
    <w:basedOn w:val="Tabellanormale"/>
    <w:uiPriority w:val="40"/>
    <w:semiHidden/>
    <w:rsid w:val="004E629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4E6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B424-2A96-4CAA-B4A3-B1B5A824C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34D72-748A-4837-B569-FEB8BE040145}">
  <ds:schemaRefs>
    <ds:schemaRef ds:uri="http://schemas.microsoft.com/sharepoint/v3/contenttype/forms"/>
  </ds:schemaRefs>
</ds:datastoreItem>
</file>

<file path=customXml/itemProps3.xml><?xml version="1.0" encoding="utf-8"?>
<ds:datastoreItem xmlns:ds="http://schemas.openxmlformats.org/officeDocument/2006/customXml" ds:itemID="{7A2CB590-826C-49BB-B8FF-D988322FA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315523-B22F-4B72-AC90-08E8713E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20397</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2022-04-04T08:02:00Z</dcterms:created>
  <dcterms:modified xsi:type="dcterms:W3CDTF">2022-04-04T08:02:00Z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3409/16</vt:lpwstr>
  </property>
  <property fmtid="{D5CDD505-2E9C-101B-9397-08002B2CF9AE}" pid="4" name="CASEID">
    <vt:lpwstr>1176907</vt:lpwstr>
  </property>
  <property fmtid="{D5CDD505-2E9C-101B-9397-08002B2CF9AE}" pid="5" name="ContentTypeId">
    <vt:lpwstr>0x010100558EB02BDB9E204AB350EDD385B68E10</vt:lpwstr>
  </property>
</Properties>
</file>