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DD64A6" w:rsidRDefault="00E77CB3" w:rsidP="00DD64A6">
      <w:pPr>
        <w:jc w:val="center"/>
        <w:rPr>
          <w:lang w:val="fr-FR"/>
        </w:rPr>
      </w:pPr>
      <w:bookmarkStart w:id="0" w:name="_GoBack"/>
      <w:bookmarkEnd w:id="0"/>
    </w:p>
    <w:p w:rsidR="00A543D5" w:rsidRPr="00DD64A6" w:rsidRDefault="00A543D5" w:rsidP="00DD64A6">
      <w:pPr>
        <w:jc w:val="center"/>
        <w:rPr>
          <w:lang w:val="fr-FR"/>
        </w:rPr>
      </w:pPr>
    </w:p>
    <w:p w:rsidR="00A543D5" w:rsidRPr="00DD64A6" w:rsidRDefault="00A543D5" w:rsidP="00DD64A6">
      <w:pPr>
        <w:jc w:val="center"/>
        <w:rPr>
          <w:lang w:val="fr-FR"/>
        </w:rPr>
      </w:pPr>
    </w:p>
    <w:p w:rsidR="00E77CB3" w:rsidRPr="00DD64A6" w:rsidRDefault="0036691A" w:rsidP="00DD64A6">
      <w:pPr>
        <w:jc w:val="center"/>
        <w:rPr>
          <w:lang w:val="fr-FR"/>
        </w:rPr>
      </w:pPr>
      <w:r w:rsidRPr="00DD64A6">
        <w:rPr>
          <w:lang w:val="fr-FR"/>
        </w:rPr>
        <w:t>PREMIÈRE SECTION</w:t>
      </w:r>
    </w:p>
    <w:p w:rsidR="00E77CB3" w:rsidRPr="00DD64A6" w:rsidRDefault="00E77CB3" w:rsidP="00DD64A6">
      <w:pPr>
        <w:jc w:val="center"/>
        <w:rPr>
          <w:lang w:val="fr-FR"/>
        </w:rPr>
      </w:pPr>
    </w:p>
    <w:p w:rsidR="00A543D5" w:rsidRPr="00DD64A6" w:rsidRDefault="00A543D5" w:rsidP="00DD64A6">
      <w:pPr>
        <w:jc w:val="center"/>
        <w:rPr>
          <w:lang w:val="fr-FR"/>
        </w:rPr>
      </w:pPr>
    </w:p>
    <w:p w:rsidR="00A543D5" w:rsidRPr="00DD64A6" w:rsidRDefault="00A543D5" w:rsidP="00DD64A6">
      <w:pPr>
        <w:jc w:val="center"/>
        <w:rPr>
          <w:lang w:val="fr-FR"/>
        </w:rPr>
      </w:pPr>
    </w:p>
    <w:p w:rsidR="00A543D5" w:rsidRPr="00DD64A6" w:rsidRDefault="00A543D5" w:rsidP="00DD64A6">
      <w:pPr>
        <w:jc w:val="center"/>
        <w:rPr>
          <w:lang w:val="fr-FR"/>
        </w:rPr>
      </w:pPr>
    </w:p>
    <w:p w:rsidR="00A543D5" w:rsidRPr="00DD64A6" w:rsidRDefault="00A543D5" w:rsidP="00DD64A6">
      <w:pPr>
        <w:jc w:val="center"/>
        <w:rPr>
          <w:lang w:val="fr-FR"/>
        </w:rPr>
      </w:pPr>
    </w:p>
    <w:p w:rsidR="00A543D5" w:rsidRPr="00DD64A6" w:rsidRDefault="00A543D5" w:rsidP="00DD64A6">
      <w:pPr>
        <w:jc w:val="center"/>
        <w:rPr>
          <w:lang w:val="fr-FR"/>
        </w:rPr>
      </w:pPr>
    </w:p>
    <w:p w:rsidR="00E77CB3" w:rsidRPr="00DD64A6" w:rsidRDefault="00E77CB3" w:rsidP="00DD64A6">
      <w:pPr>
        <w:jc w:val="center"/>
        <w:rPr>
          <w:b/>
          <w:lang w:val="it-IT"/>
        </w:rPr>
      </w:pPr>
      <w:bookmarkStart w:id="1" w:name="To"/>
      <w:r w:rsidRPr="00DD64A6">
        <w:rPr>
          <w:b/>
          <w:lang w:val="it-IT"/>
        </w:rPr>
        <w:t xml:space="preserve">AFFAIRE </w:t>
      </w:r>
      <w:bookmarkEnd w:id="1"/>
      <w:r w:rsidR="0036691A" w:rsidRPr="00DD64A6">
        <w:rPr>
          <w:b/>
          <w:lang w:val="it-IT"/>
        </w:rPr>
        <w:t>CENTRO DEMARZIO S.R.L. c. ITALIE</w:t>
      </w:r>
    </w:p>
    <w:p w:rsidR="00E77CB3" w:rsidRPr="00DD64A6" w:rsidRDefault="00E77CB3" w:rsidP="00DD64A6">
      <w:pPr>
        <w:jc w:val="center"/>
        <w:rPr>
          <w:lang w:val="it-IT"/>
        </w:rPr>
      </w:pPr>
    </w:p>
    <w:p w:rsidR="003F6A58" w:rsidRPr="00DD64A6" w:rsidRDefault="00E77CB3" w:rsidP="00DD64A6">
      <w:pPr>
        <w:jc w:val="center"/>
        <w:rPr>
          <w:szCs w:val="24"/>
          <w:u w:val="single"/>
          <w:lang w:val="fr-FR"/>
        </w:rPr>
      </w:pPr>
      <w:r w:rsidRPr="00DD64A6">
        <w:rPr>
          <w:i/>
          <w:lang w:val="fr-FR"/>
        </w:rPr>
        <w:t>(</w:t>
      </w:r>
      <w:r w:rsidR="0036691A" w:rsidRPr="00DD64A6">
        <w:rPr>
          <w:i/>
          <w:lang w:val="fr-FR"/>
        </w:rPr>
        <w:t>Requête n</w:t>
      </w:r>
      <w:r w:rsidR="0036691A" w:rsidRPr="00DD64A6">
        <w:rPr>
          <w:i/>
          <w:vertAlign w:val="superscript"/>
          <w:lang w:val="fr-FR"/>
        </w:rPr>
        <w:t>o</w:t>
      </w:r>
      <w:r w:rsidR="0036691A" w:rsidRPr="00DD64A6">
        <w:rPr>
          <w:i/>
          <w:lang w:val="fr-FR"/>
        </w:rPr>
        <w:t xml:space="preserve"> 24/11</w:t>
      </w:r>
      <w:r w:rsidRPr="00DD64A6">
        <w:rPr>
          <w:i/>
          <w:lang w:val="fr-FR"/>
        </w:rPr>
        <w:t>)</w:t>
      </w:r>
    </w:p>
    <w:p w:rsidR="00A543D5" w:rsidRPr="00DD64A6" w:rsidRDefault="00A543D5" w:rsidP="00DD64A6">
      <w:pPr>
        <w:jc w:val="center"/>
        <w:rPr>
          <w:szCs w:val="24"/>
          <w:u w:val="single"/>
          <w:lang w:val="fr-FR"/>
        </w:rPr>
      </w:pPr>
    </w:p>
    <w:p w:rsidR="00A543D5" w:rsidRPr="00DD64A6" w:rsidRDefault="00A543D5" w:rsidP="00DD64A6">
      <w:pPr>
        <w:jc w:val="center"/>
        <w:rPr>
          <w:szCs w:val="24"/>
          <w:u w:val="single"/>
          <w:lang w:val="fr-FR"/>
        </w:rPr>
      </w:pPr>
    </w:p>
    <w:p w:rsidR="00A543D5" w:rsidRPr="00DD64A6" w:rsidRDefault="00A543D5" w:rsidP="00DD64A6">
      <w:pPr>
        <w:jc w:val="center"/>
        <w:rPr>
          <w:szCs w:val="24"/>
          <w:u w:val="single"/>
          <w:lang w:val="fr-FR"/>
        </w:rPr>
      </w:pPr>
    </w:p>
    <w:p w:rsidR="00A543D5" w:rsidRPr="00DD64A6" w:rsidRDefault="00A543D5"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DD64A6" w:rsidRPr="00DD64A6" w:rsidRDefault="00DD64A6" w:rsidP="00DD64A6">
      <w:pPr>
        <w:jc w:val="center"/>
        <w:rPr>
          <w:szCs w:val="24"/>
          <w:u w:val="single"/>
          <w:lang w:val="fr-FR"/>
        </w:rPr>
      </w:pPr>
    </w:p>
    <w:p w:rsidR="0092394B" w:rsidRPr="00DD64A6" w:rsidRDefault="0092394B" w:rsidP="00DD64A6">
      <w:pPr>
        <w:jc w:val="center"/>
        <w:rPr>
          <w:szCs w:val="24"/>
          <w:u w:val="single"/>
          <w:lang w:val="fr-FR"/>
        </w:rPr>
      </w:pPr>
    </w:p>
    <w:p w:rsidR="0092394B" w:rsidRPr="00DD64A6" w:rsidRDefault="0092394B" w:rsidP="00DD64A6">
      <w:pPr>
        <w:jc w:val="center"/>
        <w:rPr>
          <w:lang w:val="fr-FR"/>
        </w:rPr>
      </w:pPr>
    </w:p>
    <w:p w:rsidR="00A543D5" w:rsidRPr="00DD64A6" w:rsidRDefault="00A543D5" w:rsidP="00DD64A6">
      <w:pPr>
        <w:jc w:val="center"/>
        <w:rPr>
          <w:lang w:val="fr-FR"/>
        </w:rPr>
      </w:pPr>
      <w:r w:rsidRPr="00DD64A6">
        <w:rPr>
          <w:lang w:val="fr-FR"/>
        </w:rPr>
        <w:t>ARRÊT</w:t>
      </w:r>
    </w:p>
    <w:p w:rsidR="0092394B" w:rsidRPr="00DD64A6" w:rsidRDefault="0092394B" w:rsidP="00DD64A6">
      <w:pPr>
        <w:jc w:val="center"/>
        <w:rPr>
          <w:lang w:val="fr-FR"/>
        </w:rPr>
      </w:pPr>
    </w:p>
    <w:p w:rsidR="0092394B" w:rsidRPr="00DD64A6" w:rsidRDefault="0092394B" w:rsidP="00DD64A6">
      <w:pPr>
        <w:jc w:val="center"/>
        <w:rPr>
          <w:lang w:val="fr-FR"/>
        </w:rPr>
      </w:pPr>
    </w:p>
    <w:p w:rsidR="0092394B" w:rsidRPr="00DD64A6" w:rsidRDefault="0092394B" w:rsidP="00DD64A6">
      <w:pPr>
        <w:jc w:val="center"/>
        <w:rPr>
          <w:lang w:val="fr-FR"/>
        </w:rPr>
      </w:pPr>
      <w:r w:rsidRPr="00DD64A6">
        <w:rPr>
          <w:lang w:val="fr-FR"/>
        </w:rPr>
        <w:t>STRASBOURG</w:t>
      </w:r>
    </w:p>
    <w:p w:rsidR="0092394B" w:rsidRPr="00DD64A6" w:rsidRDefault="0092394B" w:rsidP="00DD64A6">
      <w:pPr>
        <w:jc w:val="center"/>
        <w:rPr>
          <w:lang w:val="fr-FR"/>
        </w:rPr>
      </w:pPr>
    </w:p>
    <w:p w:rsidR="0092394B" w:rsidRPr="00DD64A6" w:rsidRDefault="0092394B" w:rsidP="00DD64A6">
      <w:pPr>
        <w:jc w:val="center"/>
        <w:rPr>
          <w:lang w:val="fr-FR"/>
        </w:rPr>
      </w:pPr>
      <w:r w:rsidRPr="00DD64A6">
        <w:rPr>
          <w:lang w:val="fr-FR"/>
        </w:rPr>
        <w:t>5 juillet 2018</w:t>
      </w:r>
    </w:p>
    <w:p w:rsidR="0092394B" w:rsidRPr="00DD64A6" w:rsidRDefault="0092394B" w:rsidP="00DD64A6">
      <w:pPr>
        <w:jc w:val="center"/>
        <w:rPr>
          <w:lang w:val="fr-FR"/>
        </w:rPr>
      </w:pPr>
    </w:p>
    <w:p w:rsidR="0092394B" w:rsidRPr="00DD64A6" w:rsidRDefault="0092394B" w:rsidP="00DD64A6">
      <w:pPr>
        <w:jc w:val="center"/>
        <w:rPr>
          <w:lang w:val="fr-FR"/>
        </w:rPr>
      </w:pPr>
    </w:p>
    <w:p w:rsidR="0092394B" w:rsidRPr="00DD64A6" w:rsidRDefault="0092394B" w:rsidP="00DD64A6">
      <w:pPr>
        <w:jc w:val="center"/>
        <w:rPr>
          <w:lang w:val="fr-FR"/>
        </w:rPr>
      </w:pPr>
    </w:p>
    <w:p w:rsidR="0092394B" w:rsidRPr="00DD64A6" w:rsidRDefault="0092394B" w:rsidP="00DD64A6">
      <w:pPr>
        <w:jc w:val="center"/>
        <w:rPr>
          <w:i/>
          <w:sz w:val="22"/>
          <w:lang w:val="fr-FR"/>
        </w:rPr>
      </w:pPr>
      <w:r w:rsidRPr="00DD64A6">
        <w:rPr>
          <w:i/>
          <w:sz w:val="22"/>
          <w:lang w:val="fr-FR"/>
        </w:rPr>
        <w:t>Cet arrêt est définitif. Il peut subir des retouches de forme.</w:t>
      </w:r>
    </w:p>
    <w:p w:rsidR="0092394B" w:rsidRPr="00DD64A6" w:rsidRDefault="0092394B" w:rsidP="00DD64A6">
      <w:pPr>
        <w:pStyle w:val="ECHRPara"/>
        <w:rPr>
          <w:lang w:val="fr-FR"/>
        </w:rPr>
        <w:sectPr w:rsidR="0092394B" w:rsidRPr="00DD64A6" w:rsidSect="00A543D5">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DD64A6" w:rsidRDefault="00E77CB3" w:rsidP="00DD64A6">
      <w:pPr>
        <w:pStyle w:val="JuCase"/>
        <w:ind w:firstLine="0"/>
        <w:rPr>
          <w:lang w:val="fr-FR"/>
        </w:rPr>
      </w:pPr>
      <w:r w:rsidRPr="00DD64A6">
        <w:rPr>
          <w:lang w:val="fr-FR"/>
        </w:rPr>
        <w:lastRenderedPageBreak/>
        <w:t>En l</w:t>
      </w:r>
      <w:r w:rsidR="00DD64A6" w:rsidRPr="00DD64A6">
        <w:rPr>
          <w:lang w:val="fr-FR"/>
        </w:rPr>
        <w:t>’</w:t>
      </w:r>
      <w:r w:rsidRPr="00DD64A6">
        <w:rPr>
          <w:lang w:val="fr-FR"/>
        </w:rPr>
        <w:t xml:space="preserve">affaire </w:t>
      </w:r>
      <w:r w:rsidR="0036691A" w:rsidRPr="00DD64A6">
        <w:rPr>
          <w:lang w:val="fr-FR"/>
        </w:rPr>
        <w:t xml:space="preserve">Centro </w:t>
      </w:r>
      <w:proofErr w:type="spellStart"/>
      <w:r w:rsidR="0036691A" w:rsidRPr="00DD64A6">
        <w:rPr>
          <w:lang w:val="fr-FR"/>
        </w:rPr>
        <w:t>Demarzio</w:t>
      </w:r>
      <w:proofErr w:type="spellEnd"/>
      <w:r w:rsidR="0036691A" w:rsidRPr="00DD64A6">
        <w:rPr>
          <w:lang w:val="fr-FR"/>
        </w:rPr>
        <w:t xml:space="preserve"> </w:t>
      </w:r>
      <w:proofErr w:type="spellStart"/>
      <w:r w:rsidR="0036691A" w:rsidRPr="00DD64A6">
        <w:rPr>
          <w:lang w:val="fr-FR"/>
        </w:rPr>
        <w:t>S.r.l</w:t>
      </w:r>
      <w:proofErr w:type="spellEnd"/>
      <w:r w:rsidR="0036691A" w:rsidRPr="00DD64A6">
        <w:rPr>
          <w:lang w:val="fr-FR"/>
        </w:rPr>
        <w:t>. c. Italie</w:t>
      </w:r>
      <w:r w:rsidRPr="00DD64A6">
        <w:rPr>
          <w:lang w:val="fr-FR"/>
        </w:rPr>
        <w:t>,</w:t>
      </w:r>
    </w:p>
    <w:p w:rsidR="00AF4522" w:rsidRPr="00DD64A6" w:rsidRDefault="00AF4522" w:rsidP="00DD64A6">
      <w:pPr>
        <w:pStyle w:val="ECHRPara"/>
        <w:rPr>
          <w:lang w:val="fr-FR"/>
        </w:rPr>
      </w:pPr>
      <w:r w:rsidRPr="00DD64A6">
        <w:rPr>
          <w:lang w:val="fr-FR"/>
        </w:rPr>
        <w:t>La Cour européenne des droits de l</w:t>
      </w:r>
      <w:r w:rsidR="00DD64A6" w:rsidRPr="00DD64A6">
        <w:rPr>
          <w:lang w:val="fr-FR"/>
        </w:rPr>
        <w:t>’</w:t>
      </w:r>
      <w:r w:rsidRPr="00DD64A6">
        <w:rPr>
          <w:lang w:val="fr-FR"/>
        </w:rPr>
        <w:t>homme (première section), siégeant en un comité composé de :</w:t>
      </w:r>
    </w:p>
    <w:p w:rsidR="00AF4522" w:rsidRPr="00DD64A6" w:rsidRDefault="0092394B" w:rsidP="00DD64A6">
      <w:pPr>
        <w:pStyle w:val="ECHRDecisionBody"/>
        <w:rPr>
          <w:lang w:val="fr-FR"/>
        </w:rPr>
      </w:pPr>
      <w:r w:rsidRPr="00DD64A6">
        <w:rPr>
          <w:lang w:val="fr-FR"/>
        </w:rPr>
        <w:tab/>
        <w:t xml:space="preserve">Kristina </w:t>
      </w:r>
      <w:proofErr w:type="spellStart"/>
      <w:r w:rsidRPr="00DD64A6">
        <w:rPr>
          <w:lang w:val="fr-FR"/>
        </w:rPr>
        <w:t>Pardalos</w:t>
      </w:r>
      <w:proofErr w:type="spellEnd"/>
      <w:r w:rsidRPr="00DD64A6">
        <w:rPr>
          <w:lang w:val="fr-FR"/>
        </w:rPr>
        <w:t>,</w:t>
      </w:r>
      <w:r w:rsidRPr="00DD64A6">
        <w:rPr>
          <w:i/>
          <w:lang w:val="fr-FR"/>
        </w:rPr>
        <w:t xml:space="preserve"> présidente,</w:t>
      </w:r>
      <w:r w:rsidRPr="00DD64A6">
        <w:rPr>
          <w:i/>
          <w:lang w:val="fr-FR"/>
        </w:rPr>
        <w:br/>
      </w:r>
      <w:r w:rsidRPr="00DD64A6">
        <w:rPr>
          <w:lang w:val="fr-FR"/>
        </w:rPr>
        <w:tab/>
      </w:r>
      <w:proofErr w:type="spellStart"/>
      <w:r w:rsidRPr="00DD64A6">
        <w:rPr>
          <w:lang w:val="fr-FR"/>
        </w:rPr>
        <w:t>Pauliine</w:t>
      </w:r>
      <w:proofErr w:type="spellEnd"/>
      <w:r w:rsidRPr="00DD64A6">
        <w:rPr>
          <w:lang w:val="fr-FR"/>
        </w:rPr>
        <w:t xml:space="preserve"> </w:t>
      </w:r>
      <w:proofErr w:type="spellStart"/>
      <w:r w:rsidRPr="00DD64A6">
        <w:rPr>
          <w:lang w:val="fr-FR"/>
        </w:rPr>
        <w:t>Koskelo</w:t>
      </w:r>
      <w:proofErr w:type="spellEnd"/>
      <w:r w:rsidRPr="00DD64A6">
        <w:rPr>
          <w:lang w:val="fr-FR"/>
        </w:rPr>
        <w:t>,</w:t>
      </w:r>
      <w:r w:rsidRPr="00DD64A6">
        <w:rPr>
          <w:i/>
          <w:lang w:val="fr-FR"/>
        </w:rPr>
        <w:br/>
      </w:r>
      <w:r w:rsidRPr="00DD64A6">
        <w:rPr>
          <w:lang w:val="fr-FR"/>
        </w:rPr>
        <w:tab/>
        <w:t xml:space="preserve">Tim </w:t>
      </w:r>
      <w:proofErr w:type="spellStart"/>
      <w:r w:rsidRPr="00DD64A6">
        <w:rPr>
          <w:lang w:val="fr-FR"/>
        </w:rPr>
        <w:t>Eicke</w:t>
      </w:r>
      <w:proofErr w:type="spellEnd"/>
      <w:r w:rsidRPr="00DD64A6">
        <w:rPr>
          <w:lang w:val="fr-FR"/>
        </w:rPr>
        <w:t>,</w:t>
      </w:r>
      <w:r w:rsidRPr="00DD64A6">
        <w:rPr>
          <w:i/>
          <w:lang w:val="fr-FR"/>
        </w:rPr>
        <w:t xml:space="preserve"> juges</w:t>
      </w:r>
      <w:proofErr w:type="gramStart"/>
      <w:r w:rsidRPr="00DD64A6">
        <w:rPr>
          <w:i/>
          <w:lang w:val="fr-FR"/>
        </w:rPr>
        <w:t>,</w:t>
      </w:r>
      <w:proofErr w:type="gramEnd"/>
      <w:r w:rsidR="00AF4522" w:rsidRPr="00DD64A6">
        <w:rPr>
          <w:lang w:val="fr-FR"/>
        </w:rPr>
        <w:br/>
        <w:t xml:space="preserve">et de Renata </w:t>
      </w:r>
      <w:proofErr w:type="spellStart"/>
      <w:r w:rsidR="00AF4522" w:rsidRPr="00DD64A6">
        <w:rPr>
          <w:lang w:val="fr-FR"/>
        </w:rPr>
        <w:t>Degener</w:t>
      </w:r>
      <w:proofErr w:type="spellEnd"/>
      <w:r w:rsidR="00AF4522" w:rsidRPr="00DD64A6">
        <w:rPr>
          <w:lang w:val="fr-FR"/>
        </w:rPr>
        <w:t xml:space="preserve">, </w:t>
      </w:r>
      <w:r w:rsidR="00AF4522" w:rsidRPr="00DD64A6">
        <w:rPr>
          <w:i/>
          <w:lang w:val="fr-FR"/>
        </w:rPr>
        <w:t>greffière adjointe</w:t>
      </w:r>
      <w:r w:rsidR="00AF4522" w:rsidRPr="00DD64A6">
        <w:rPr>
          <w:iCs/>
          <w:lang w:val="fr-FR"/>
        </w:rPr>
        <w:t xml:space="preserve"> </w:t>
      </w:r>
      <w:r w:rsidR="00AF4522" w:rsidRPr="00DD64A6">
        <w:rPr>
          <w:i/>
          <w:iCs/>
          <w:lang w:val="fr-FR"/>
        </w:rPr>
        <w:t>d</w:t>
      </w:r>
      <w:r w:rsidR="00AF4522" w:rsidRPr="00DD64A6">
        <w:rPr>
          <w:i/>
          <w:lang w:val="fr-FR"/>
        </w:rPr>
        <w:t>e section</w:t>
      </w:r>
      <w:r w:rsidR="00AF4522" w:rsidRPr="00DD64A6">
        <w:rPr>
          <w:lang w:val="fr-FR"/>
        </w:rPr>
        <w:t>,</w:t>
      </w:r>
    </w:p>
    <w:p w:rsidR="00AF4522" w:rsidRPr="00DD64A6" w:rsidRDefault="00AF4522" w:rsidP="00DD64A6">
      <w:pPr>
        <w:pStyle w:val="ECHRPara"/>
        <w:rPr>
          <w:lang w:val="fr-FR"/>
        </w:rPr>
      </w:pPr>
      <w:r w:rsidRPr="00DD64A6">
        <w:rPr>
          <w:lang w:val="fr-FR"/>
        </w:rPr>
        <w:t xml:space="preserve">Après en avoir délibéré en chambre du conseil le </w:t>
      </w:r>
      <w:r w:rsidR="0092394B" w:rsidRPr="00DD64A6">
        <w:rPr>
          <w:lang w:val="fr-FR"/>
        </w:rPr>
        <w:t>12 juin 2018</w:t>
      </w:r>
      <w:r w:rsidRPr="00DD64A6">
        <w:rPr>
          <w:lang w:val="fr-FR"/>
        </w:rPr>
        <w:t>,</w:t>
      </w:r>
    </w:p>
    <w:p w:rsidR="00AF4522" w:rsidRPr="00DD64A6" w:rsidRDefault="00AF4522" w:rsidP="00DD64A6">
      <w:pPr>
        <w:pStyle w:val="ECHRPara"/>
        <w:rPr>
          <w:lang w:val="fr-FR"/>
        </w:rPr>
      </w:pPr>
      <w:r w:rsidRPr="00DD64A6">
        <w:rPr>
          <w:lang w:val="fr-FR"/>
        </w:rPr>
        <w:t>Rend l</w:t>
      </w:r>
      <w:r w:rsidR="00DD64A6" w:rsidRPr="00DD64A6">
        <w:rPr>
          <w:lang w:val="fr-FR"/>
        </w:rPr>
        <w:t>’</w:t>
      </w:r>
      <w:r w:rsidRPr="00DD64A6">
        <w:rPr>
          <w:lang w:val="fr-FR"/>
        </w:rPr>
        <w:t>arrêt que voici, adopté à cette date :</w:t>
      </w:r>
    </w:p>
    <w:p w:rsidR="00E77CB3" w:rsidRPr="00DD64A6" w:rsidRDefault="00E77CB3" w:rsidP="00DD64A6">
      <w:pPr>
        <w:pStyle w:val="ECHRTitle1"/>
        <w:rPr>
          <w:lang w:val="fr-FR"/>
        </w:rPr>
      </w:pPr>
      <w:r w:rsidRPr="00DD64A6">
        <w:rPr>
          <w:lang w:val="fr-FR"/>
        </w:rPr>
        <w:t>PROCÉDURE</w:t>
      </w:r>
    </w:p>
    <w:p w:rsidR="00E77CB3"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w:t>
      </w:r>
      <w:r w:rsidRPr="00DD64A6">
        <w:rPr>
          <w:lang w:val="fr-FR"/>
        </w:rPr>
        <w:fldChar w:fldCharType="end"/>
      </w:r>
      <w:r w:rsidR="00E77CB3" w:rsidRPr="00DD64A6">
        <w:rPr>
          <w:lang w:val="fr-FR"/>
        </w:rPr>
        <w:t>.  À l</w:t>
      </w:r>
      <w:r w:rsidR="00DD64A6" w:rsidRPr="00DD64A6">
        <w:rPr>
          <w:lang w:val="fr-FR"/>
        </w:rPr>
        <w:t>’</w:t>
      </w:r>
      <w:r w:rsidR="00E77CB3" w:rsidRPr="00DD64A6">
        <w:rPr>
          <w:lang w:val="fr-FR"/>
        </w:rPr>
        <w:t>origine de l</w:t>
      </w:r>
      <w:r w:rsidR="00DD64A6" w:rsidRPr="00DD64A6">
        <w:rPr>
          <w:lang w:val="fr-FR"/>
        </w:rPr>
        <w:t>’</w:t>
      </w:r>
      <w:r w:rsidR="00E77CB3" w:rsidRPr="00DD64A6">
        <w:rPr>
          <w:lang w:val="fr-FR"/>
        </w:rPr>
        <w:t xml:space="preserve">affaire </w:t>
      </w:r>
      <w:r w:rsidRPr="00DD64A6">
        <w:rPr>
          <w:lang w:val="fr-FR"/>
        </w:rPr>
        <w:t>se trouve une requête (n</w:t>
      </w:r>
      <w:r w:rsidR="003F6A58" w:rsidRPr="00DD64A6">
        <w:rPr>
          <w:vertAlign w:val="superscript"/>
          <w:lang w:val="fr-FR"/>
        </w:rPr>
        <w:t>o</w:t>
      </w:r>
      <w:r w:rsidRPr="00DD64A6">
        <w:rPr>
          <w:lang w:val="fr-FR"/>
        </w:rPr>
        <w:t xml:space="preserve"> 24/11) dirigée</w:t>
      </w:r>
      <w:r w:rsidR="00E77CB3" w:rsidRPr="00DD64A6">
        <w:rPr>
          <w:lang w:val="fr-FR"/>
        </w:rPr>
        <w:t xml:space="preserve"> contre </w:t>
      </w:r>
      <w:r w:rsidRPr="00DD64A6">
        <w:rPr>
          <w:lang w:val="fr-FR"/>
        </w:rPr>
        <w:t>la République italienne</w:t>
      </w:r>
      <w:r w:rsidR="00E77CB3" w:rsidRPr="00DD64A6">
        <w:rPr>
          <w:lang w:val="fr-FR"/>
        </w:rPr>
        <w:t xml:space="preserve"> et dont </w:t>
      </w:r>
      <w:r w:rsidR="00525945" w:rsidRPr="00DD64A6">
        <w:rPr>
          <w:lang w:val="fr-FR"/>
        </w:rPr>
        <w:t>une société de droit italien</w:t>
      </w:r>
      <w:r w:rsidRPr="00DD64A6">
        <w:rPr>
          <w:lang w:val="fr-FR"/>
        </w:rPr>
        <w:t xml:space="preserve">, </w:t>
      </w:r>
      <w:r w:rsidR="00525945" w:rsidRPr="00DD64A6">
        <w:rPr>
          <w:lang w:val="fr-FR"/>
        </w:rPr>
        <w:t>la</w:t>
      </w:r>
      <w:r w:rsidRPr="00DD64A6">
        <w:rPr>
          <w:lang w:val="fr-FR"/>
        </w:rPr>
        <w:t xml:space="preserve"> </w:t>
      </w:r>
      <w:r w:rsidR="00E66AE7" w:rsidRPr="00DD64A6">
        <w:rPr>
          <w:lang w:val="fr-FR"/>
        </w:rPr>
        <w:t xml:space="preserve">société </w:t>
      </w:r>
      <w:r w:rsidRPr="00DD64A6">
        <w:rPr>
          <w:lang w:val="fr-FR"/>
        </w:rPr>
        <w:t xml:space="preserve">Centro </w:t>
      </w:r>
      <w:proofErr w:type="spellStart"/>
      <w:r w:rsidRPr="00DD64A6">
        <w:rPr>
          <w:lang w:val="fr-FR"/>
        </w:rPr>
        <w:t>Demarzio</w:t>
      </w:r>
      <w:proofErr w:type="spellEnd"/>
      <w:r w:rsidRPr="00DD64A6">
        <w:rPr>
          <w:lang w:val="fr-FR"/>
        </w:rPr>
        <w:t xml:space="preserve"> </w:t>
      </w:r>
      <w:proofErr w:type="spellStart"/>
      <w:r w:rsidRPr="00DD64A6">
        <w:rPr>
          <w:lang w:val="fr-FR"/>
        </w:rPr>
        <w:t>S.r.l</w:t>
      </w:r>
      <w:proofErr w:type="spellEnd"/>
      <w:r w:rsidRPr="00DD64A6">
        <w:rPr>
          <w:lang w:val="fr-FR"/>
        </w:rPr>
        <w:t xml:space="preserve">. (« la </w:t>
      </w:r>
      <w:r w:rsidR="00484DC9" w:rsidRPr="00DD64A6">
        <w:rPr>
          <w:lang w:val="fr-FR"/>
        </w:rPr>
        <w:t xml:space="preserve">société </w:t>
      </w:r>
      <w:r w:rsidRPr="00DD64A6">
        <w:rPr>
          <w:lang w:val="fr-FR"/>
        </w:rPr>
        <w:t>requérante »), a saisi la Cour le 29</w:t>
      </w:r>
      <w:r w:rsidR="005A3971" w:rsidRPr="00DD64A6">
        <w:rPr>
          <w:lang w:val="fr-FR"/>
        </w:rPr>
        <w:t> </w:t>
      </w:r>
      <w:r w:rsidRPr="00DD64A6">
        <w:rPr>
          <w:lang w:val="fr-FR"/>
        </w:rPr>
        <w:t>octobre</w:t>
      </w:r>
      <w:r w:rsidR="00DD64A6" w:rsidRPr="00DD64A6">
        <w:rPr>
          <w:lang w:val="fr-FR"/>
        </w:rPr>
        <w:t xml:space="preserve"> </w:t>
      </w:r>
      <w:r w:rsidRPr="00DD64A6">
        <w:rPr>
          <w:lang w:val="fr-FR"/>
        </w:rPr>
        <w:t>2010</w:t>
      </w:r>
      <w:r w:rsidR="00E77CB3" w:rsidRPr="00DD64A6">
        <w:rPr>
          <w:lang w:val="fr-FR"/>
        </w:rPr>
        <w:t xml:space="preserve"> en vertu de </w:t>
      </w:r>
      <w:r w:rsidRPr="00DD64A6">
        <w:rPr>
          <w:lang w:val="fr-FR"/>
        </w:rPr>
        <w:t>l</w:t>
      </w:r>
      <w:r w:rsidR="00DD64A6" w:rsidRPr="00DD64A6">
        <w:rPr>
          <w:lang w:val="fr-FR"/>
        </w:rPr>
        <w:t>’</w:t>
      </w:r>
      <w:r w:rsidRPr="00DD64A6">
        <w:rPr>
          <w:lang w:val="fr-FR"/>
        </w:rPr>
        <w:t>article 34</w:t>
      </w:r>
      <w:r w:rsidR="00E77CB3" w:rsidRPr="00DD64A6">
        <w:rPr>
          <w:lang w:val="fr-FR"/>
        </w:rPr>
        <w:t xml:space="preserve"> de la Convention de sauvegarde des droits de l</w:t>
      </w:r>
      <w:r w:rsidR="00DD64A6" w:rsidRPr="00DD64A6">
        <w:rPr>
          <w:lang w:val="fr-FR"/>
        </w:rPr>
        <w:t>’</w:t>
      </w:r>
      <w:r w:rsidR="00E77CB3" w:rsidRPr="00DD64A6">
        <w:rPr>
          <w:lang w:val="fr-FR"/>
        </w:rPr>
        <w:t>homme et des libertés fondamentales (« la Convention »).</w:t>
      </w:r>
    </w:p>
    <w:p w:rsidR="0036691A"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w:t>
      </w:r>
      <w:r w:rsidRPr="00DD64A6">
        <w:rPr>
          <w:lang w:val="fr-FR"/>
        </w:rPr>
        <w:fldChar w:fldCharType="end"/>
      </w:r>
      <w:r w:rsidR="00E77CB3" w:rsidRPr="00DD64A6">
        <w:rPr>
          <w:lang w:val="fr-FR"/>
        </w:rPr>
        <w:t>.  </w:t>
      </w:r>
      <w:r w:rsidRPr="00DD64A6">
        <w:rPr>
          <w:lang w:val="fr-FR"/>
        </w:rPr>
        <w:t xml:space="preserve">La </w:t>
      </w:r>
      <w:r w:rsidR="00484DC9" w:rsidRPr="00DD64A6">
        <w:rPr>
          <w:lang w:val="fr-FR"/>
        </w:rPr>
        <w:t xml:space="preserve">société </w:t>
      </w:r>
      <w:r w:rsidRPr="00DD64A6">
        <w:rPr>
          <w:lang w:val="fr-FR"/>
        </w:rPr>
        <w:t>requérante a été représentée par M</w:t>
      </w:r>
      <w:r w:rsidRPr="00DD64A6">
        <w:rPr>
          <w:vertAlign w:val="superscript"/>
          <w:lang w:val="fr-FR"/>
        </w:rPr>
        <w:t>e</w:t>
      </w:r>
      <w:r w:rsidRPr="00DD64A6">
        <w:rPr>
          <w:lang w:val="fr-FR"/>
        </w:rPr>
        <w:t xml:space="preserve"> A. </w:t>
      </w:r>
      <w:proofErr w:type="spellStart"/>
      <w:r w:rsidRPr="00DD64A6">
        <w:rPr>
          <w:lang w:val="fr-FR"/>
        </w:rPr>
        <w:t>Clarizia</w:t>
      </w:r>
      <w:proofErr w:type="spellEnd"/>
      <w:r w:rsidRPr="00DD64A6">
        <w:rPr>
          <w:lang w:val="fr-FR"/>
        </w:rPr>
        <w:t>, avocat</w:t>
      </w:r>
      <w:r w:rsidR="000C055F" w:rsidRPr="00DD64A6">
        <w:rPr>
          <w:lang w:val="fr-FR"/>
        </w:rPr>
        <w:t>e</w:t>
      </w:r>
      <w:r w:rsidRPr="00DD64A6">
        <w:rPr>
          <w:lang w:val="fr-FR"/>
        </w:rPr>
        <w:t xml:space="preserve"> à Rome. </w:t>
      </w:r>
      <w:r w:rsidR="00E77CB3" w:rsidRPr="00DD64A6">
        <w:rPr>
          <w:lang w:val="fr-FR"/>
        </w:rPr>
        <w:t xml:space="preserve">Le gouvernement </w:t>
      </w:r>
      <w:r w:rsidRPr="00DD64A6">
        <w:rPr>
          <w:lang w:val="fr-FR"/>
        </w:rPr>
        <w:t>italien</w:t>
      </w:r>
      <w:r w:rsidR="00E77CB3" w:rsidRPr="00DD64A6">
        <w:rPr>
          <w:lang w:val="fr-FR"/>
        </w:rPr>
        <w:t xml:space="preserve"> (« le Gouvernement ») a été représenté par son agent, </w:t>
      </w:r>
      <w:r w:rsidR="00525945" w:rsidRPr="00DD64A6">
        <w:rPr>
          <w:lang w:val="fr-FR"/>
        </w:rPr>
        <w:t>M</w:t>
      </w:r>
      <w:r w:rsidR="00525945" w:rsidRPr="00DD64A6">
        <w:rPr>
          <w:vertAlign w:val="superscript"/>
          <w:lang w:val="fr-FR"/>
        </w:rPr>
        <w:t>me</w:t>
      </w:r>
      <w:r w:rsidR="00525945" w:rsidRPr="00DD64A6">
        <w:rPr>
          <w:lang w:val="fr-FR"/>
        </w:rPr>
        <w:t xml:space="preserve"> E. Spatafora</w:t>
      </w:r>
      <w:r w:rsidR="00E77CB3" w:rsidRPr="00DD64A6">
        <w:rPr>
          <w:lang w:val="fr-FR"/>
        </w:rPr>
        <w:t xml:space="preserve">, </w:t>
      </w:r>
      <w:r w:rsidR="00525945" w:rsidRPr="00DD64A6">
        <w:rPr>
          <w:lang w:val="fr-FR"/>
        </w:rPr>
        <w:t>et par M</w:t>
      </w:r>
      <w:r w:rsidR="00525945" w:rsidRPr="00DD64A6">
        <w:rPr>
          <w:vertAlign w:val="superscript"/>
          <w:lang w:val="fr-FR"/>
        </w:rPr>
        <w:t xml:space="preserve">me </w:t>
      </w:r>
      <w:r w:rsidR="00525945" w:rsidRPr="00DD64A6">
        <w:rPr>
          <w:lang w:val="fr-FR"/>
        </w:rPr>
        <w:t>P. Accardo</w:t>
      </w:r>
      <w:r w:rsidR="003748C6" w:rsidRPr="00DD64A6">
        <w:rPr>
          <w:lang w:val="fr-FR"/>
        </w:rPr>
        <w:t xml:space="preserve">, </w:t>
      </w:r>
      <w:proofErr w:type="spellStart"/>
      <w:r w:rsidR="003748C6" w:rsidRPr="00DD64A6">
        <w:rPr>
          <w:lang w:val="fr-FR"/>
        </w:rPr>
        <w:t>coagent</w:t>
      </w:r>
      <w:proofErr w:type="spellEnd"/>
      <w:r w:rsidR="00525945" w:rsidRPr="00DD64A6">
        <w:rPr>
          <w:lang w:val="fr-FR"/>
        </w:rPr>
        <w:t>.</w:t>
      </w:r>
    </w:p>
    <w:p w:rsidR="00E77CB3"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w:t>
      </w:r>
      <w:r w:rsidRPr="00DD64A6">
        <w:rPr>
          <w:lang w:val="fr-FR"/>
        </w:rPr>
        <w:fldChar w:fldCharType="end"/>
      </w:r>
      <w:r w:rsidRPr="00DD64A6">
        <w:rPr>
          <w:lang w:val="fr-FR"/>
        </w:rPr>
        <w:t xml:space="preserve">.  La </w:t>
      </w:r>
      <w:r w:rsidR="00484DC9" w:rsidRPr="00DD64A6">
        <w:rPr>
          <w:lang w:val="fr-FR"/>
        </w:rPr>
        <w:t xml:space="preserve">société </w:t>
      </w:r>
      <w:r w:rsidRPr="00DD64A6">
        <w:rPr>
          <w:lang w:val="fr-FR"/>
        </w:rPr>
        <w:t xml:space="preserve">requérante </w:t>
      </w:r>
      <w:r w:rsidR="000D35F3" w:rsidRPr="00DD64A6">
        <w:rPr>
          <w:lang w:val="fr-FR"/>
        </w:rPr>
        <w:t>se plaignait notamment d</w:t>
      </w:r>
      <w:r w:rsidR="00DD64A6" w:rsidRPr="00DD64A6">
        <w:rPr>
          <w:lang w:val="fr-FR"/>
        </w:rPr>
        <w:t>’</w:t>
      </w:r>
      <w:r w:rsidR="00A00A52" w:rsidRPr="00DD64A6">
        <w:rPr>
          <w:lang w:val="fr-FR"/>
        </w:rPr>
        <w:t>une ingérence dans son droit au respect de ses biens</w:t>
      </w:r>
      <w:r w:rsidR="000611B3" w:rsidRPr="00DD64A6">
        <w:rPr>
          <w:lang w:val="fr-FR"/>
        </w:rPr>
        <w:t xml:space="preserve"> </w:t>
      </w:r>
      <w:r w:rsidR="00132800" w:rsidRPr="00DD64A6">
        <w:rPr>
          <w:lang w:val="fr-FR"/>
        </w:rPr>
        <w:t xml:space="preserve">en raison </w:t>
      </w:r>
      <w:r w:rsidR="00DF6831" w:rsidRPr="00DD64A6">
        <w:rPr>
          <w:lang w:val="fr-FR"/>
        </w:rPr>
        <w:t>d</w:t>
      </w:r>
      <w:r w:rsidR="00DD64A6" w:rsidRPr="00DD64A6">
        <w:rPr>
          <w:lang w:val="fr-FR"/>
        </w:rPr>
        <w:t>’</w:t>
      </w:r>
      <w:r w:rsidR="00DF6831" w:rsidRPr="00DD64A6">
        <w:rPr>
          <w:lang w:val="fr-FR"/>
        </w:rPr>
        <w:t xml:space="preserve">un acte </w:t>
      </w:r>
      <w:r w:rsidR="00B36FAD" w:rsidRPr="00DD64A6">
        <w:rPr>
          <w:lang w:val="fr-FR"/>
        </w:rPr>
        <w:t>illégal</w:t>
      </w:r>
      <w:r w:rsidR="00B22546" w:rsidRPr="00DD64A6">
        <w:rPr>
          <w:lang w:val="fr-FR"/>
        </w:rPr>
        <w:t xml:space="preserve"> de l</w:t>
      </w:r>
      <w:r w:rsidR="00DD64A6" w:rsidRPr="00DD64A6">
        <w:rPr>
          <w:lang w:val="fr-FR"/>
        </w:rPr>
        <w:t>’</w:t>
      </w:r>
      <w:r w:rsidR="00B22546" w:rsidRPr="00DD64A6">
        <w:rPr>
          <w:lang w:val="fr-FR"/>
        </w:rPr>
        <w:t>administration</w:t>
      </w:r>
      <w:r w:rsidR="00DF6831" w:rsidRPr="00DD64A6">
        <w:rPr>
          <w:lang w:val="fr-FR"/>
        </w:rPr>
        <w:t>.</w:t>
      </w:r>
    </w:p>
    <w:p w:rsidR="00E77CB3"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w:t>
      </w:r>
      <w:r w:rsidRPr="00DD64A6">
        <w:rPr>
          <w:lang w:val="fr-FR"/>
        </w:rPr>
        <w:fldChar w:fldCharType="end"/>
      </w:r>
      <w:r w:rsidR="00E77CB3" w:rsidRPr="00DD64A6">
        <w:rPr>
          <w:lang w:val="fr-FR"/>
        </w:rPr>
        <w:t>.  </w:t>
      </w:r>
      <w:r w:rsidRPr="00DD64A6">
        <w:rPr>
          <w:lang w:val="fr-FR"/>
        </w:rPr>
        <w:t xml:space="preserve">Le </w:t>
      </w:r>
      <w:r w:rsidRPr="00DD64A6">
        <w:rPr>
          <w:szCs w:val="24"/>
          <w:lang w:val="fr-FR"/>
        </w:rPr>
        <w:t>10 mars 2017</w:t>
      </w:r>
      <w:r w:rsidR="00E77CB3" w:rsidRPr="00DD64A6">
        <w:rPr>
          <w:lang w:val="fr-FR"/>
        </w:rPr>
        <w:t xml:space="preserve">, </w:t>
      </w:r>
      <w:r w:rsidRPr="00DD64A6">
        <w:rPr>
          <w:lang w:val="fr-FR"/>
        </w:rPr>
        <w:t xml:space="preserve">le grief concernant </w:t>
      </w:r>
      <w:r w:rsidR="00525945" w:rsidRPr="00DD64A6">
        <w:rPr>
          <w:lang w:val="fr-FR"/>
        </w:rPr>
        <w:t>l</w:t>
      </w:r>
      <w:r w:rsidR="00DD64A6" w:rsidRPr="00DD64A6">
        <w:rPr>
          <w:lang w:val="fr-FR"/>
        </w:rPr>
        <w:t>’</w:t>
      </w:r>
      <w:r w:rsidR="00525945" w:rsidRPr="00DD64A6">
        <w:rPr>
          <w:lang w:val="fr-FR"/>
        </w:rPr>
        <w:t>article 1 du Protocole n</w:t>
      </w:r>
      <w:r w:rsidR="00E15F9A" w:rsidRPr="00DD64A6">
        <w:rPr>
          <w:vertAlign w:val="superscript"/>
          <w:lang w:val="fr-FR"/>
        </w:rPr>
        <w:t>o</w:t>
      </w:r>
      <w:r w:rsidR="00525945" w:rsidRPr="00DD64A6">
        <w:rPr>
          <w:lang w:val="fr-FR"/>
        </w:rPr>
        <w:t xml:space="preserve"> 1</w:t>
      </w:r>
      <w:r w:rsidRPr="00DD64A6">
        <w:rPr>
          <w:lang w:val="fr-FR"/>
        </w:rPr>
        <w:t xml:space="preserve"> a été communiqué au Gouvernement et la requête a été déclarée irrecevable</w:t>
      </w:r>
      <w:r w:rsidRPr="00DD64A6">
        <w:rPr>
          <w:szCs w:val="24"/>
          <w:lang w:val="fr-FR"/>
        </w:rPr>
        <w:t xml:space="preserve"> pour le surplus </w:t>
      </w:r>
      <w:r w:rsidRPr="00DD64A6">
        <w:rPr>
          <w:lang w:val="fr-FR"/>
        </w:rPr>
        <w:t>conformément à l</w:t>
      </w:r>
      <w:r w:rsidR="00DD64A6" w:rsidRPr="00DD64A6">
        <w:rPr>
          <w:lang w:val="fr-FR"/>
        </w:rPr>
        <w:t>’</w:t>
      </w:r>
      <w:r w:rsidRPr="00DD64A6">
        <w:rPr>
          <w:lang w:val="fr-FR"/>
        </w:rPr>
        <w:t>article 54 § 3 du règlement de la Cour</w:t>
      </w:r>
      <w:r w:rsidR="00646454" w:rsidRPr="00DD64A6">
        <w:rPr>
          <w:lang w:val="fr-FR"/>
        </w:rPr>
        <w:t>.</w:t>
      </w:r>
    </w:p>
    <w:p w:rsidR="009713E8" w:rsidRPr="00DD64A6" w:rsidRDefault="009713E8" w:rsidP="00DD64A6">
      <w:pPr>
        <w:pStyle w:val="ECHRPara"/>
        <w:rPr>
          <w:szCs w:val="24"/>
          <w:lang w:val="fr-FR" w:eastAsia="en-GB"/>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5</w:t>
      </w:r>
      <w:r w:rsidRPr="00DD64A6">
        <w:rPr>
          <w:lang w:val="fr-FR"/>
        </w:rPr>
        <w:fldChar w:fldCharType="end"/>
      </w:r>
      <w:r w:rsidRPr="00DD64A6">
        <w:rPr>
          <w:lang w:val="fr-FR"/>
        </w:rPr>
        <w:t>.  </w:t>
      </w:r>
      <w:r w:rsidR="007F4B36" w:rsidRPr="00DD64A6">
        <w:rPr>
          <w:lang w:val="fr-FR"/>
        </w:rPr>
        <w:t>Par une lettre du 20 mars 2018, le Gouvernement s</w:t>
      </w:r>
      <w:r w:rsidR="00DD64A6" w:rsidRPr="00DD64A6">
        <w:rPr>
          <w:lang w:val="fr-FR"/>
        </w:rPr>
        <w:t>’</w:t>
      </w:r>
      <w:r w:rsidR="007F4B36" w:rsidRPr="00DD64A6">
        <w:rPr>
          <w:lang w:val="fr-FR"/>
        </w:rPr>
        <w:t>est opposé à l</w:t>
      </w:r>
      <w:r w:rsidR="00DD64A6" w:rsidRPr="00DD64A6">
        <w:rPr>
          <w:lang w:val="fr-FR"/>
        </w:rPr>
        <w:t>’</w:t>
      </w:r>
      <w:r w:rsidR="007F4B36" w:rsidRPr="00DD64A6">
        <w:rPr>
          <w:lang w:val="fr-FR"/>
        </w:rPr>
        <w:t>examen de la requête par un comité. Après avoir examiné l</w:t>
      </w:r>
      <w:r w:rsidR="00DD64A6" w:rsidRPr="00DD64A6">
        <w:rPr>
          <w:lang w:val="fr-FR"/>
        </w:rPr>
        <w:t>’</w:t>
      </w:r>
      <w:r w:rsidR="007F4B36" w:rsidRPr="00DD64A6">
        <w:rPr>
          <w:lang w:val="fr-FR"/>
        </w:rPr>
        <w:t>objection du Gouvernement, la Cour l</w:t>
      </w:r>
      <w:r w:rsidR="00DD64A6" w:rsidRPr="00DD64A6">
        <w:rPr>
          <w:lang w:val="fr-FR"/>
        </w:rPr>
        <w:t>’</w:t>
      </w:r>
      <w:r w:rsidR="007F4B36" w:rsidRPr="00DD64A6">
        <w:rPr>
          <w:lang w:val="fr-FR"/>
        </w:rPr>
        <w:t>a rejetée.</w:t>
      </w:r>
    </w:p>
    <w:p w:rsidR="00E77CB3" w:rsidRPr="00DD64A6" w:rsidRDefault="00E77CB3" w:rsidP="00DD64A6">
      <w:pPr>
        <w:pStyle w:val="ECHRTitle1"/>
        <w:tabs>
          <w:tab w:val="left" w:pos="5387"/>
        </w:tabs>
        <w:rPr>
          <w:lang w:val="fr-FR"/>
        </w:rPr>
      </w:pPr>
      <w:r w:rsidRPr="00DD64A6">
        <w:rPr>
          <w:lang w:val="fr-FR"/>
        </w:rPr>
        <w:t>EN FAIT</w:t>
      </w:r>
    </w:p>
    <w:p w:rsidR="00E77CB3" w:rsidRPr="00DD64A6" w:rsidRDefault="00E77CB3" w:rsidP="00DD64A6">
      <w:pPr>
        <w:pStyle w:val="ECHRHeading1"/>
        <w:rPr>
          <w:lang w:val="fr-FR"/>
        </w:rPr>
      </w:pPr>
      <w:r w:rsidRPr="00DD64A6">
        <w:rPr>
          <w:lang w:val="fr-FR"/>
        </w:rPr>
        <w:t>I.</w:t>
      </w:r>
      <w:proofErr w:type="gramStart"/>
      <w:r w:rsidRPr="00DD64A6">
        <w:rPr>
          <w:lang w:val="fr-FR"/>
        </w:rPr>
        <w:t>  LES</w:t>
      </w:r>
      <w:proofErr w:type="gramEnd"/>
      <w:r w:rsidRPr="00DD64A6">
        <w:rPr>
          <w:lang w:val="fr-FR"/>
        </w:rPr>
        <w:t xml:space="preserve"> CIRCONSTANCES DE L</w:t>
      </w:r>
      <w:r w:rsidR="00DD64A6" w:rsidRPr="00DD64A6">
        <w:rPr>
          <w:lang w:val="fr-FR"/>
        </w:rPr>
        <w:t>’</w:t>
      </w:r>
      <w:r w:rsidRPr="00DD64A6">
        <w:rPr>
          <w:lang w:val="fr-FR"/>
        </w:rPr>
        <w:t>ESPÈCE</w:t>
      </w:r>
    </w:p>
    <w:p w:rsidR="00E77CB3"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6</w:t>
      </w:r>
      <w:r w:rsidRPr="00DD64A6">
        <w:rPr>
          <w:lang w:val="fr-FR"/>
        </w:rPr>
        <w:fldChar w:fldCharType="end"/>
      </w:r>
      <w:r w:rsidR="00E77CB3" w:rsidRPr="00DD64A6">
        <w:rPr>
          <w:lang w:val="fr-FR"/>
        </w:rPr>
        <w:t>.  </w:t>
      </w:r>
      <w:r w:rsidRPr="00DD64A6">
        <w:rPr>
          <w:lang w:val="fr-FR"/>
        </w:rPr>
        <w:t xml:space="preserve">La </w:t>
      </w:r>
      <w:r w:rsidR="00484DC9" w:rsidRPr="00DD64A6">
        <w:rPr>
          <w:lang w:val="fr-FR"/>
        </w:rPr>
        <w:t xml:space="preserve">société </w:t>
      </w:r>
      <w:r w:rsidRPr="00DD64A6">
        <w:rPr>
          <w:lang w:val="fr-FR"/>
        </w:rPr>
        <w:t xml:space="preserve">requérante est </w:t>
      </w:r>
      <w:r w:rsidR="002F0B9F" w:rsidRPr="00DD64A6">
        <w:rPr>
          <w:lang w:val="fr-FR"/>
        </w:rPr>
        <w:t>une</w:t>
      </w:r>
      <w:r w:rsidRPr="00DD64A6">
        <w:rPr>
          <w:lang w:val="fr-FR"/>
        </w:rPr>
        <w:t xml:space="preserve"> </w:t>
      </w:r>
      <w:r w:rsidR="002F0B9F" w:rsidRPr="00DD64A6">
        <w:rPr>
          <w:lang w:val="fr-FR"/>
        </w:rPr>
        <w:t xml:space="preserve">société à responsabilité limitée de droit italien </w:t>
      </w:r>
      <w:r w:rsidR="00455DDE" w:rsidRPr="00DD64A6">
        <w:rPr>
          <w:lang w:val="fr-FR"/>
        </w:rPr>
        <w:t>ayant</w:t>
      </w:r>
      <w:r w:rsidR="002F0B9F" w:rsidRPr="00DD64A6">
        <w:rPr>
          <w:lang w:val="fr-FR"/>
        </w:rPr>
        <w:t xml:space="preserve"> son siège </w:t>
      </w:r>
      <w:r w:rsidRPr="00DD64A6">
        <w:rPr>
          <w:lang w:val="fr-FR"/>
        </w:rPr>
        <w:t xml:space="preserve">à Gravina </w:t>
      </w:r>
      <w:r w:rsidR="002F0B9F" w:rsidRPr="00DD64A6">
        <w:rPr>
          <w:lang w:val="fr-FR"/>
        </w:rPr>
        <w:t>di</w:t>
      </w:r>
      <w:r w:rsidRPr="00DD64A6">
        <w:rPr>
          <w:lang w:val="fr-FR"/>
        </w:rPr>
        <w:t xml:space="preserve"> </w:t>
      </w:r>
      <w:proofErr w:type="spellStart"/>
      <w:r w:rsidRPr="00DD64A6">
        <w:rPr>
          <w:lang w:val="fr-FR"/>
        </w:rPr>
        <w:t>Puglia</w:t>
      </w:r>
      <w:proofErr w:type="spellEnd"/>
      <w:r w:rsidR="00E77CB3" w:rsidRPr="00DD64A6">
        <w:rPr>
          <w:lang w:val="fr-FR"/>
        </w:rPr>
        <w:t>.</w:t>
      </w:r>
      <w:r w:rsidR="003748C6" w:rsidRPr="00DD64A6">
        <w:rPr>
          <w:lang w:val="fr-FR"/>
        </w:rPr>
        <w:t xml:space="preserve"> </w:t>
      </w:r>
      <w:r w:rsidR="004579DE" w:rsidRPr="00DD64A6">
        <w:rPr>
          <w:lang w:val="fr-FR"/>
        </w:rPr>
        <w:t>Il s</w:t>
      </w:r>
      <w:r w:rsidR="00DD64A6" w:rsidRPr="00DD64A6">
        <w:rPr>
          <w:lang w:val="fr-FR"/>
        </w:rPr>
        <w:t>’</w:t>
      </w:r>
      <w:r w:rsidR="004579DE" w:rsidRPr="00DD64A6">
        <w:rPr>
          <w:lang w:val="fr-FR"/>
        </w:rPr>
        <w:t>agit d</w:t>
      </w:r>
      <w:r w:rsidR="00DD64A6" w:rsidRPr="00DD64A6">
        <w:rPr>
          <w:lang w:val="fr-FR"/>
        </w:rPr>
        <w:t>’</w:t>
      </w:r>
      <w:r w:rsidR="003748C6" w:rsidRPr="00DD64A6">
        <w:rPr>
          <w:lang w:val="fr-FR"/>
        </w:rPr>
        <w:t xml:space="preserve">un centre </w:t>
      </w:r>
      <w:r w:rsidR="00A65D7D" w:rsidRPr="00DD64A6">
        <w:rPr>
          <w:lang w:val="fr-FR"/>
        </w:rPr>
        <w:t xml:space="preserve">de soins et </w:t>
      </w:r>
      <w:r w:rsidR="003748C6" w:rsidRPr="00DD64A6">
        <w:rPr>
          <w:lang w:val="fr-FR"/>
        </w:rPr>
        <w:t>d</w:t>
      </w:r>
      <w:r w:rsidR="00DD64A6" w:rsidRPr="00DD64A6">
        <w:rPr>
          <w:lang w:val="fr-FR"/>
        </w:rPr>
        <w:t>’</w:t>
      </w:r>
      <w:r w:rsidR="003748C6" w:rsidRPr="00DD64A6">
        <w:rPr>
          <w:lang w:val="fr-FR"/>
        </w:rPr>
        <w:t xml:space="preserve">imagerie médicale conventionné </w:t>
      </w:r>
      <w:r w:rsidR="00542411" w:rsidRPr="00DD64A6">
        <w:rPr>
          <w:lang w:val="fr-FR"/>
        </w:rPr>
        <w:t xml:space="preserve">par </w:t>
      </w:r>
      <w:r w:rsidR="003748C6" w:rsidRPr="00DD64A6">
        <w:rPr>
          <w:lang w:val="fr-FR"/>
        </w:rPr>
        <w:t>le service sanitaire national.</w:t>
      </w:r>
    </w:p>
    <w:p w:rsidR="003748C6" w:rsidRPr="00DD64A6" w:rsidRDefault="0036691A" w:rsidP="00DD64A6">
      <w:pPr>
        <w:pStyle w:val="ECHRPara"/>
        <w:keepNext/>
        <w:keepLines/>
        <w:rPr>
          <w:lang w:val="fr-FR"/>
        </w:rPr>
      </w:pPr>
      <w:r w:rsidRPr="00DD64A6">
        <w:rPr>
          <w:lang w:val="fr-FR"/>
        </w:rPr>
        <w:lastRenderedPageBreak/>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7</w:t>
      </w:r>
      <w:r w:rsidRPr="00DD64A6">
        <w:rPr>
          <w:lang w:val="fr-FR"/>
        </w:rPr>
        <w:fldChar w:fldCharType="end"/>
      </w:r>
      <w:r w:rsidR="00E77CB3" w:rsidRPr="00DD64A6">
        <w:rPr>
          <w:lang w:val="fr-FR"/>
        </w:rPr>
        <w:t>.  </w:t>
      </w:r>
      <w:r w:rsidR="00336B34" w:rsidRPr="00DD64A6">
        <w:rPr>
          <w:lang w:val="fr-FR"/>
        </w:rPr>
        <w:t xml:space="preserve">La </w:t>
      </w:r>
      <w:r w:rsidR="00484DC9" w:rsidRPr="00DD64A6">
        <w:rPr>
          <w:lang w:val="fr-FR"/>
        </w:rPr>
        <w:t xml:space="preserve">société </w:t>
      </w:r>
      <w:r w:rsidR="00336B34" w:rsidRPr="00DD64A6">
        <w:rPr>
          <w:lang w:val="fr-FR"/>
        </w:rPr>
        <w:t>requérante</w:t>
      </w:r>
      <w:r w:rsidR="003748C6" w:rsidRPr="00DD64A6">
        <w:rPr>
          <w:lang w:val="fr-FR"/>
        </w:rPr>
        <w:t xml:space="preserve"> </w:t>
      </w:r>
      <w:r w:rsidR="002F0B9F" w:rsidRPr="00DD64A6">
        <w:rPr>
          <w:lang w:val="fr-FR"/>
        </w:rPr>
        <w:t>fut constituée en 1991</w:t>
      </w:r>
      <w:r w:rsidR="00336B34" w:rsidRPr="00DD64A6">
        <w:rPr>
          <w:lang w:val="fr-FR"/>
        </w:rPr>
        <w:t>, à la</w:t>
      </w:r>
      <w:r w:rsidR="003748C6" w:rsidRPr="00DD64A6">
        <w:rPr>
          <w:lang w:val="fr-FR"/>
        </w:rPr>
        <w:t xml:space="preserve"> suite </w:t>
      </w:r>
      <w:r w:rsidR="00336B34" w:rsidRPr="00DD64A6">
        <w:rPr>
          <w:lang w:val="fr-FR"/>
        </w:rPr>
        <w:t>de</w:t>
      </w:r>
      <w:r w:rsidR="003748C6" w:rsidRPr="00DD64A6">
        <w:rPr>
          <w:lang w:val="fr-FR"/>
        </w:rPr>
        <w:t xml:space="preserve"> l</w:t>
      </w:r>
      <w:r w:rsidR="00DD64A6" w:rsidRPr="00DD64A6">
        <w:rPr>
          <w:lang w:val="fr-FR"/>
        </w:rPr>
        <w:t>’</w:t>
      </w:r>
      <w:r w:rsidR="003748C6" w:rsidRPr="00DD64A6">
        <w:rPr>
          <w:lang w:val="fr-FR"/>
        </w:rPr>
        <w:t>entrée en vigueur de la loi n</w:t>
      </w:r>
      <w:r w:rsidR="00E15F9A" w:rsidRPr="00DD64A6">
        <w:rPr>
          <w:vertAlign w:val="superscript"/>
          <w:lang w:val="fr-FR"/>
        </w:rPr>
        <w:t>o</w:t>
      </w:r>
      <w:r w:rsidR="003748C6" w:rsidRPr="00DD64A6">
        <w:rPr>
          <w:lang w:val="fr-FR"/>
        </w:rPr>
        <w:t xml:space="preserve"> 412 de 1991</w:t>
      </w:r>
      <w:r w:rsidR="00E50C97" w:rsidRPr="00DD64A6">
        <w:rPr>
          <w:lang w:val="fr-FR"/>
        </w:rPr>
        <w:t xml:space="preserve"> (« la loi n</w:t>
      </w:r>
      <w:r w:rsidR="00E15F9A" w:rsidRPr="00DD64A6">
        <w:rPr>
          <w:vertAlign w:val="superscript"/>
          <w:lang w:val="fr-FR"/>
        </w:rPr>
        <w:t>o</w:t>
      </w:r>
      <w:r w:rsidR="00E50C97" w:rsidRPr="00DD64A6">
        <w:rPr>
          <w:lang w:val="fr-FR"/>
        </w:rPr>
        <w:t xml:space="preserve"> 412 »)</w:t>
      </w:r>
      <w:r w:rsidR="003748C6" w:rsidRPr="00DD64A6">
        <w:rPr>
          <w:lang w:val="fr-FR"/>
        </w:rPr>
        <w:t xml:space="preserve">. Auparavant, </w:t>
      </w:r>
      <w:r w:rsidR="00484DC9" w:rsidRPr="00DD64A6">
        <w:rPr>
          <w:lang w:val="fr-FR"/>
        </w:rPr>
        <w:t xml:space="preserve">son </w:t>
      </w:r>
      <w:r w:rsidR="003748C6" w:rsidRPr="00DD64A6">
        <w:rPr>
          <w:lang w:val="fr-FR"/>
        </w:rPr>
        <w:t xml:space="preserve">activité était gérée à titre </w:t>
      </w:r>
      <w:r w:rsidR="001722FB" w:rsidRPr="00DD64A6">
        <w:rPr>
          <w:lang w:val="fr-FR"/>
        </w:rPr>
        <w:t xml:space="preserve">privé </w:t>
      </w:r>
      <w:r w:rsidR="00CE314D" w:rsidRPr="00DD64A6">
        <w:rPr>
          <w:lang w:val="fr-FR"/>
        </w:rPr>
        <w:t xml:space="preserve">par le docteur </w:t>
      </w:r>
      <w:proofErr w:type="spellStart"/>
      <w:r w:rsidR="00CE314D" w:rsidRPr="00DD64A6">
        <w:rPr>
          <w:lang w:val="fr-FR"/>
        </w:rPr>
        <w:t>Dem</w:t>
      </w:r>
      <w:r w:rsidR="00D316A6" w:rsidRPr="00DD64A6">
        <w:rPr>
          <w:lang w:val="fr-FR"/>
        </w:rPr>
        <w:t>arzio</w:t>
      </w:r>
      <w:proofErr w:type="spellEnd"/>
      <w:r w:rsidR="00276ED0" w:rsidRPr="00DD64A6">
        <w:rPr>
          <w:lang w:val="fr-FR"/>
        </w:rPr>
        <w:t>,</w:t>
      </w:r>
      <w:r w:rsidR="003748C6" w:rsidRPr="00DD64A6">
        <w:rPr>
          <w:lang w:val="fr-FR"/>
        </w:rPr>
        <w:t xml:space="preserve"> </w:t>
      </w:r>
      <w:r w:rsidR="00542411" w:rsidRPr="00DD64A6">
        <w:rPr>
          <w:lang w:val="fr-FR"/>
        </w:rPr>
        <w:t>lequel</w:t>
      </w:r>
      <w:r w:rsidR="003748C6" w:rsidRPr="00DD64A6">
        <w:rPr>
          <w:lang w:val="fr-FR"/>
        </w:rPr>
        <w:t xml:space="preserve"> </w:t>
      </w:r>
      <w:r w:rsidR="001722FB" w:rsidRPr="00DD64A6">
        <w:rPr>
          <w:lang w:val="fr-FR"/>
        </w:rPr>
        <w:t>exerçait également</w:t>
      </w:r>
      <w:r w:rsidR="003748C6" w:rsidRPr="00DD64A6">
        <w:rPr>
          <w:lang w:val="fr-FR"/>
        </w:rPr>
        <w:t xml:space="preserve"> en tant que médecin auprès du service sanitaire national.</w:t>
      </w:r>
    </w:p>
    <w:p w:rsidR="00E15F9A" w:rsidRPr="00DD64A6" w:rsidRDefault="003748C6"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8</w:t>
      </w:r>
      <w:r w:rsidRPr="00DD64A6">
        <w:rPr>
          <w:lang w:val="fr-FR"/>
        </w:rPr>
        <w:fldChar w:fldCharType="end"/>
      </w:r>
      <w:r w:rsidRPr="00DD64A6">
        <w:rPr>
          <w:lang w:val="fr-FR"/>
        </w:rPr>
        <w:t>.  L</w:t>
      </w:r>
      <w:r w:rsidR="00DD64A6" w:rsidRPr="00DD64A6">
        <w:rPr>
          <w:lang w:val="fr-FR"/>
        </w:rPr>
        <w:t>’</w:t>
      </w:r>
      <w:r w:rsidR="00CF216E" w:rsidRPr="00DD64A6">
        <w:rPr>
          <w:lang w:val="fr-FR"/>
        </w:rPr>
        <w:t xml:space="preserve">article 4 de </w:t>
      </w:r>
      <w:r w:rsidR="00E50C97" w:rsidRPr="00DD64A6">
        <w:rPr>
          <w:lang w:val="fr-FR"/>
        </w:rPr>
        <w:t xml:space="preserve">la </w:t>
      </w:r>
      <w:r w:rsidRPr="00DD64A6">
        <w:rPr>
          <w:lang w:val="fr-FR"/>
        </w:rPr>
        <w:t>loi n</w:t>
      </w:r>
      <w:r w:rsidR="00E15F9A" w:rsidRPr="00DD64A6">
        <w:rPr>
          <w:vertAlign w:val="superscript"/>
          <w:lang w:val="fr-FR"/>
        </w:rPr>
        <w:t>o</w:t>
      </w:r>
      <w:r w:rsidRPr="00DD64A6">
        <w:rPr>
          <w:lang w:val="fr-FR"/>
        </w:rPr>
        <w:t xml:space="preserve"> 412 </w:t>
      </w:r>
      <w:r w:rsidR="00542411" w:rsidRPr="00DD64A6">
        <w:rPr>
          <w:lang w:val="fr-FR"/>
        </w:rPr>
        <w:t xml:space="preserve">ayant </w:t>
      </w:r>
      <w:r w:rsidR="007D18E8" w:rsidRPr="00DD64A6">
        <w:rPr>
          <w:lang w:val="fr-FR"/>
        </w:rPr>
        <w:t xml:space="preserve">introduit une incompatibilité entre </w:t>
      </w:r>
      <w:r w:rsidR="00484DC9" w:rsidRPr="00DD64A6">
        <w:rPr>
          <w:lang w:val="fr-FR"/>
        </w:rPr>
        <w:t xml:space="preserve">un </w:t>
      </w:r>
      <w:r w:rsidR="00542411" w:rsidRPr="00DD64A6">
        <w:rPr>
          <w:lang w:val="fr-FR"/>
        </w:rPr>
        <w:t>emploi auprès</w:t>
      </w:r>
      <w:r w:rsidR="007D18E8" w:rsidRPr="00DD64A6">
        <w:rPr>
          <w:lang w:val="fr-FR"/>
        </w:rPr>
        <w:t xml:space="preserve"> du service sanitaire national et toute autre activité salarié</w:t>
      </w:r>
      <w:r w:rsidR="00542411" w:rsidRPr="00DD64A6">
        <w:rPr>
          <w:lang w:val="fr-FR"/>
        </w:rPr>
        <w:t>e,</w:t>
      </w:r>
      <w:r w:rsidR="007D18E8" w:rsidRPr="00DD64A6">
        <w:rPr>
          <w:lang w:val="fr-FR"/>
        </w:rPr>
        <w:t xml:space="preserve"> ainsi que toute autre relation de travail, y compris conventionnée, avec le service sanitaire national</w:t>
      </w:r>
      <w:r w:rsidR="00542411" w:rsidRPr="00DD64A6">
        <w:rPr>
          <w:lang w:val="fr-FR"/>
        </w:rPr>
        <w:t>,</w:t>
      </w:r>
      <w:r w:rsidR="00CE314D" w:rsidRPr="00DD64A6">
        <w:rPr>
          <w:lang w:val="fr-FR"/>
        </w:rPr>
        <w:t xml:space="preserve"> le docteur </w:t>
      </w:r>
      <w:proofErr w:type="spellStart"/>
      <w:r w:rsidR="00CE314D" w:rsidRPr="00DD64A6">
        <w:rPr>
          <w:lang w:val="fr-FR"/>
        </w:rPr>
        <w:t>Dem</w:t>
      </w:r>
      <w:r w:rsidR="007D18E8" w:rsidRPr="00DD64A6">
        <w:rPr>
          <w:lang w:val="fr-FR"/>
        </w:rPr>
        <w:t>arzio</w:t>
      </w:r>
      <w:proofErr w:type="spellEnd"/>
      <w:r w:rsidR="007D18E8" w:rsidRPr="00DD64A6">
        <w:rPr>
          <w:lang w:val="fr-FR"/>
        </w:rPr>
        <w:t xml:space="preserve"> </w:t>
      </w:r>
      <w:r w:rsidR="00CB3345" w:rsidRPr="00DD64A6">
        <w:rPr>
          <w:lang w:val="fr-FR"/>
        </w:rPr>
        <w:t>fonda</w:t>
      </w:r>
      <w:r w:rsidR="00484DC9" w:rsidRPr="00DD64A6">
        <w:rPr>
          <w:lang w:val="fr-FR"/>
        </w:rPr>
        <w:t>,</w:t>
      </w:r>
      <w:r w:rsidR="00676D4F" w:rsidRPr="00DD64A6">
        <w:rPr>
          <w:lang w:val="fr-FR"/>
        </w:rPr>
        <w:t xml:space="preserve"> </w:t>
      </w:r>
      <w:r w:rsidR="00AF4B8D" w:rsidRPr="00DD64A6">
        <w:rPr>
          <w:lang w:val="fr-FR"/>
        </w:rPr>
        <w:t>avec d</w:t>
      </w:r>
      <w:r w:rsidR="00DD64A6" w:rsidRPr="00DD64A6">
        <w:rPr>
          <w:lang w:val="fr-FR"/>
        </w:rPr>
        <w:t>’</w:t>
      </w:r>
      <w:r w:rsidR="00AF4B8D" w:rsidRPr="00DD64A6">
        <w:rPr>
          <w:lang w:val="fr-FR"/>
        </w:rPr>
        <w:t>autres personnes</w:t>
      </w:r>
      <w:r w:rsidR="00484DC9" w:rsidRPr="00DD64A6">
        <w:rPr>
          <w:lang w:val="fr-FR"/>
        </w:rPr>
        <w:t>,</w:t>
      </w:r>
      <w:r w:rsidR="00AF4B8D" w:rsidRPr="00DD64A6">
        <w:rPr>
          <w:lang w:val="fr-FR"/>
        </w:rPr>
        <w:t xml:space="preserve"> </w:t>
      </w:r>
      <w:r w:rsidR="00676D4F" w:rsidRPr="00DD64A6">
        <w:rPr>
          <w:lang w:val="fr-FR"/>
        </w:rPr>
        <w:t>la société requérante</w:t>
      </w:r>
      <w:r w:rsidR="00A43DE0" w:rsidRPr="00DD64A6">
        <w:rPr>
          <w:lang w:val="fr-FR"/>
        </w:rPr>
        <w:t>.</w:t>
      </w:r>
      <w:r w:rsidR="0086457E" w:rsidRPr="00DD64A6">
        <w:rPr>
          <w:lang w:val="fr-FR"/>
        </w:rPr>
        <w:t xml:space="preserve"> Par </w:t>
      </w:r>
      <w:r w:rsidR="00E50C97" w:rsidRPr="00DD64A6">
        <w:rPr>
          <w:lang w:val="fr-FR"/>
        </w:rPr>
        <w:t xml:space="preserve">la </w:t>
      </w:r>
      <w:r w:rsidR="0086457E" w:rsidRPr="00DD64A6">
        <w:rPr>
          <w:lang w:val="fr-FR"/>
        </w:rPr>
        <w:t>décision n</w:t>
      </w:r>
      <w:r w:rsidR="00E15F9A" w:rsidRPr="00DD64A6">
        <w:rPr>
          <w:vertAlign w:val="superscript"/>
          <w:lang w:val="fr-FR"/>
        </w:rPr>
        <w:t>o</w:t>
      </w:r>
      <w:r w:rsidR="0086457E" w:rsidRPr="00DD64A6">
        <w:rPr>
          <w:lang w:val="fr-FR"/>
        </w:rPr>
        <w:t xml:space="preserve"> 784 du 10</w:t>
      </w:r>
      <w:r w:rsidR="005A3971" w:rsidRPr="00DD64A6">
        <w:rPr>
          <w:lang w:val="fr-FR"/>
        </w:rPr>
        <w:t> </w:t>
      </w:r>
      <w:r w:rsidR="0086457E" w:rsidRPr="00DD64A6">
        <w:rPr>
          <w:lang w:val="fr-FR"/>
        </w:rPr>
        <w:t>novembre</w:t>
      </w:r>
      <w:r w:rsidR="00DD64A6" w:rsidRPr="00DD64A6">
        <w:rPr>
          <w:lang w:val="fr-FR"/>
        </w:rPr>
        <w:t xml:space="preserve"> </w:t>
      </w:r>
      <w:r w:rsidR="0086457E" w:rsidRPr="00DD64A6">
        <w:rPr>
          <w:lang w:val="fr-FR"/>
        </w:rPr>
        <w:t xml:space="preserve">1992, le service sanitaire national transféra </w:t>
      </w:r>
      <w:r w:rsidR="00CB3345" w:rsidRPr="00DD64A6">
        <w:rPr>
          <w:lang w:val="fr-FR"/>
        </w:rPr>
        <w:t xml:space="preserve">à </w:t>
      </w:r>
      <w:r w:rsidR="00484DC9" w:rsidRPr="00DD64A6">
        <w:rPr>
          <w:lang w:val="fr-FR"/>
        </w:rPr>
        <w:t xml:space="preserve">cette </w:t>
      </w:r>
      <w:r w:rsidR="00CB3345" w:rsidRPr="00DD64A6">
        <w:rPr>
          <w:lang w:val="fr-FR"/>
        </w:rPr>
        <w:t xml:space="preserve">nouvelle société </w:t>
      </w:r>
      <w:r w:rsidR="0086457E" w:rsidRPr="00DD64A6">
        <w:rPr>
          <w:lang w:val="fr-FR"/>
        </w:rPr>
        <w:t>la convention</w:t>
      </w:r>
      <w:r w:rsidR="00CE314D" w:rsidRPr="00DD64A6">
        <w:rPr>
          <w:lang w:val="fr-FR"/>
        </w:rPr>
        <w:t xml:space="preserve"> </w:t>
      </w:r>
      <w:r w:rsidR="00CB3345" w:rsidRPr="00DD64A6">
        <w:rPr>
          <w:lang w:val="fr-FR"/>
        </w:rPr>
        <w:t>dont le</w:t>
      </w:r>
      <w:r w:rsidR="00CE314D" w:rsidRPr="00DD64A6">
        <w:rPr>
          <w:lang w:val="fr-FR"/>
        </w:rPr>
        <w:t xml:space="preserve"> docteur </w:t>
      </w:r>
      <w:proofErr w:type="spellStart"/>
      <w:r w:rsidR="00CE314D" w:rsidRPr="00DD64A6">
        <w:rPr>
          <w:lang w:val="fr-FR"/>
        </w:rPr>
        <w:t>Dem</w:t>
      </w:r>
      <w:r w:rsidR="00D316A6" w:rsidRPr="00DD64A6">
        <w:rPr>
          <w:lang w:val="fr-FR"/>
        </w:rPr>
        <w:t>arzio</w:t>
      </w:r>
      <w:proofErr w:type="spellEnd"/>
      <w:r w:rsidR="00D316A6" w:rsidRPr="00DD64A6">
        <w:rPr>
          <w:lang w:val="fr-FR"/>
        </w:rPr>
        <w:t xml:space="preserve"> </w:t>
      </w:r>
      <w:r w:rsidR="00CB3345" w:rsidRPr="00DD64A6">
        <w:rPr>
          <w:lang w:val="fr-FR"/>
        </w:rPr>
        <w:t>était titulaire</w:t>
      </w:r>
      <w:r w:rsidR="0086457E" w:rsidRPr="00DD64A6">
        <w:rPr>
          <w:lang w:val="fr-FR"/>
        </w:rPr>
        <w:t>.</w:t>
      </w:r>
    </w:p>
    <w:p w:rsidR="00E15F9A" w:rsidRPr="00DD64A6" w:rsidRDefault="00A43DE0"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9</w:t>
      </w:r>
      <w:r w:rsidRPr="00DD64A6">
        <w:rPr>
          <w:lang w:val="fr-FR"/>
        </w:rPr>
        <w:fldChar w:fldCharType="end"/>
      </w:r>
      <w:r w:rsidRPr="00DD64A6">
        <w:rPr>
          <w:lang w:val="fr-FR"/>
        </w:rPr>
        <w:t>.  </w:t>
      </w:r>
      <w:r w:rsidR="00676D4F" w:rsidRPr="00DD64A6">
        <w:rPr>
          <w:lang w:val="fr-FR"/>
        </w:rPr>
        <w:t>Le 1</w:t>
      </w:r>
      <w:r w:rsidR="007A3309" w:rsidRPr="00DD64A6">
        <w:rPr>
          <w:vertAlign w:val="superscript"/>
          <w:lang w:val="fr-FR"/>
        </w:rPr>
        <w:t>er</w:t>
      </w:r>
      <w:r w:rsidR="00676D4F" w:rsidRPr="00DD64A6">
        <w:rPr>
          <w:lang w:val="fr-FR"/>
        </w:rPr>
        <w:t xml:space="preserve"> </w:t>
      </w:r>
      <w:r w:rsidR="00135A8E" w:rsidRPr="00DD64A6">
        <w:rPr>
          <w:lang w:val="fr-FR"/>
        </w:rPr>
        <w:t>janvier</w:t>
      </w:r>
      <w:r w:rsidR="00676D4F" w:rsidRPr="00DD64A6">
        <w:rPr>
          <w:lang w:val="fr-FR"/>
        </w:rPr>
        <w:t xml:space="preserve"> 1993, celui-ci </w:t>
      </w:r>
      <w:r w:rsidR="00503795" w:rsidRPr="00DD64A6">
        <w:rPr>
          <w:lang w:val="fr-FR"/>
        </w:rPr>
        <w:t xml:space="preserve">céda ses </w:t>
      </w:r>
      <w:r w:rsidR="00542411" w:rsidRPr="00DD64A6">
        <w:rPr>
          <w:lang w:val="fr-FR"/>
        </w:rPr>
        <w:t>parts sociales à des tiers</w:t>
      </w:r>
      <w:r w:rsidRPr="00DD64A6">
        <w:rPr>
          <w:lang w:val="fr-FR"/>
        </w:rPr>
        <w:t xml:space="preserve"> dans le but de se consacrer exclusivement à son emploi salarié </w:t>
      </w:r>
      <w:r w:rsidR="00135A8E" w:rsidRPr="00DD64A6">
        <w:rPr>
          <w:lang w:val="fr-FR"/>
        </w:rPr>
        <w:t>auprès du</w:t>
      </w:r>
      <w:r w:rsidR="003F2513" w:rsidRPr="00DD64A6">
        <w:rPr>
          <w:lang w:val="fr-FR"/>
        </w:rPr>
        <w:t xml:space="preserve"> service sanitaire national</w:t>
      </w:r>
      <w:r w:rsidR="00CB3345" w:rsidRPr="00DD64A6">
        <w:rPr>
          <w:lang w:val="fr-FR"/>
        </w:rPr>
        <w:t>,</w:t>
      </w:r>
      <w:r w:rsidR="003F2513" w:rsidRPr="00DD64A6">
        <w:rPr>
          <w:lang w:val="fr-FR"/>
        </w:rPr>
        <w:t xml:space="preserve"> </w:t>
      </w:r>
      <w:r w:rsidR="00CB3345" w:rsidRPr="00DD64A6">
        <w:rPr>
          <w:lang w:val="fr-FR"/>
        </w:rPr>
        <w:t>conformément à</w:t>
      </w:r>
      <w:r w:rsidR="003F2513" w:rsidRPr="00DD64A6">
        <w:rPr>
          <w:lang w:val="fr-FR"/>
        </w:rPr>
        <w:t xml:space="preserve"> l</w:t>
      </w:r>
      <w:r w:rsidR="00DD64A6" w:rsidRPr="00DD64A6">
        <w:rPr>
          <w:lang w:val="fr-FR"/>
        </w:rPr>
        <w:t>’</w:t>
      </w:r>
      <w:r w:rsidR="003F2513" w:rsidRPr="00DD64A6">
        <w:rPr>
          <w:lang w:val="fr-FR"/>
        </w:rPr>
        <w:t>article 4 de la loi n</w:t>
      </w:r>
      <w:r w:rsidR="00E15F9A" w:rsidRPr="00DD64A6">
        <w:rPr>
          <w:vertAlign w:val="superscript"/>
          <w:lang w:val="fr-FR"/>
        </w:rPr>
        <w:t>o</w:t>
      </w:r>
      <w:r w:rsidR="003F2513" w:rsidRPr="00DD64A6">
        <w:rPr>
          <w:lang w:val="fr-FR"/>
        </w:rPr>
        <w:t xml:space="preserve"> 412.</w:t>
      </w:r>
    </w:p>
    <w:p w:rsidR="00E15F9A" w:rsidRPr="00DD64A6" w:rsidRDefault="00090F43"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10</w:t>
      </w:r>
      <w:r w:rsidRPr="00DD64A6">
        <w:rPr>
          <w:lang w:val="fr-FR"/>
        </w:rPr>
        <w:fldChar w:fldCharType="end"/>
      </w:r>
      <w:r w:rsidRPr="00DD64A6">
        <w:rPr>
          <w:lang w:val="fr-FR"/>
        </w:rPr>
        <w:t>.  </w:t>
      </w:r>
      <w:r w:rsidR="00676D4F" w:rsidRPr="00DD64A6">
        <w:rPr>
          <w:lang w:val="fr-FR"/>
        </w:rPr>
        <w:t xml:space="preserve">Par la décision </w:t>
      </w:r>
      <w:r w:rsidR="004545FA" w:rsidRPr="00DD64A6">
        <w:rPr>
          <w:lang w:val="fr-FR"/>
        </w:rPr>
        <w:t>n</w:t>
      </w:r>
      <w:r w:rsidR="00E15F9A" w:rsidRPr="00DD64A6">
        <w:rPr>
          <w:vertAlign w:val="superscript"/>
          <w:lang w:val="fr-FR"/>
        </w:rPr>
        <w:t>o</w:t>
      </w:r>
      <w:r w:rsidR="004545FA" w:rsidRPr="00DD64A6">
        <w:rPr>
          <w:lang w:val="fr-FR"/>
        </w:rPr>
        <w:t xml:space="preserve"> </w:t>
      </w:r>
      <w:r w:rsidR="00903EE1" w:rsidRPr="00DD64A6">
        <w:rPr>
          <w:lang w:val="fr-FR"/>
        </w:rPr>
        <w:t>383 du 8 avril 1993</w:t>
      </w:r>
      <w:r w:rsidR="00AC6B0E" w:rsidRPr="00DD64A6">
        <w:rPr>
          <w:lang w:val="fr-FR"/>
        </w:rPr>
        <w:t xml:space="preserve">, </w:t>
      </w:r>
      <w:r w:rsidR="00A43DE0" w:rsidRPr="00DD64A6">
        <w:rPr>
          <w:lang w:val="fr-FR"/>
        </w:rPr>
        <w:t>l</w:t>
      </w:r>
      <w:r w:rsidR="00DD64A6" w:rsidRPr="00DD64A6">
        <w:rPr>
          <w:lang w:val="fr-FR"/>
        </w:rPr>
        <w:t>’</w:t>
      </w:r>
      <w:r w:rsidR="00A43DE0" w:rsidRPr="00DD64A6">
        <w:rPr>
          <w:lang w:val="fr-FR"/>
        </w:rPr>
        <w:t>administration</w:t>
      </w:r>
      <w:r w:rsidR="0072337A" w:rsidRPr="00DD64A6">
        <w:rPr>
          <w:lang w:val="fr-FR"/>
        </w:rPr>
        <w:t xml:space="preserve"> </w:t>
      </w:r>
      <w:r w:rsidRPr="00DD64A6">
        <w:rPr>
          <w:lang w:val="fr-FR"/>
        </w:rPr>
        <w:t>pri</w:t>
      </w:r>
      <w:r w:rsidR="00E50C97" w:rsidRPr="00DD64A6">
        <w:rPr>
          <w:lang w:val="fr-FR"/>
        </w:rPr>
        <w:t>t</w:t>
      </w:r>
      <w:r w:rsidRPr="00DD64A6">
        <w:rPr>
          <w:lang w:val="fr-FR"/>
        </w:rPr>
        <w:t xml:space="preserve"> acte de ladite cession et</w:t>
      </w:r>
      <w:r w:rsidR="00135A8E" w:rsidRPr="00DD64A6">
        <w:rPr>
          <w:lang w:val="fr-FR"/>
        </w:rPr>
        <w:t xml:space="preserve">, constatant que </w:t>
      </w:r>
      <w:r w:rsidR="006D35F9" w:rsidRPr="00DD64A6">
        <w:rPr>
          <w:lang w:val="fr-FR"/>
        </w:rPr>
        <w:t xml:space="preserve">la condition de coresponsabilité </w:t>
      </w:r>
      <w:r w:rsidR="00CE314D" w:rsidRPr="00DD64A6">
        <w:rPr>
          <w:lang w:val="fr-FR"/>
        </w:rPr>
        <w:t xml:space="preserve">du docteur </w:t>
      </w:r>
      <w:proofErr w:type="spellStart"/>
      <w:r w:rsidR="00CE314D" w:rsidRPr="00DD64A6">
        <w:rPr>
          <w:lang w:val="fr-FR"/>
        </w:rPr>
        <w:t>Dem</w:t>
      </w:r>
      <w:r w:rsidR="00D102AC" w:rsidRPr="00DD64A6">
        <w:rPr>
          <w:lang w:val="fr-FR"/>
        </w:rPr>
        <w:t>arzio</w:t>
      </w:r>
      <w:proofErr w:type="spellEnd"/>
      <w:r w:rsidR="006D35F9" w:rsidRPr="00DD64A6">
        <w:rPr>
          <w:lang w:val="fr-FR"/>
        </w:rPr>
        <w:t xml:space="preserve"> faisait désormais défaut</w:t>
      </w:r>
      <w:r w:rsidR="00D102AC" w:rsidRPr="00DD64A6">
        <w:rPr>
          <w:lang w:val="fr-FR"/>
        </w:rPr>
        <w:t>,</w:t>
      </w:r>
      <w:r w:rsidRPr="00DD64A6">
        <w:rPr>
          <w:lang w:val="fr-FR"/>
        </w:rPr>
        <w:t xml:space="preserve"> </w:t>
      </w:r>
      <w:r w:rsidR="004545FA" w:rsidRPr="00DD64A6">
        <w:rPr>
          <w:lang w:val="fr-FR"/>
        </w:rPr>
        <w:t xml:space="preserve">révoqua la convention </w:t>
      </w:r>
      <w:r w:rsidR="00F57CD8" w:rsidRPr="00DD64A6">
        <w:rPr>
          <w:lang w:val="fr-FR"/>
        </w:rPr>
        <w:t>de</w:t>
      </w:r>
      <w:r w:rsidR="004545FA" w:rsidRPr="00DD64A6">
        <w:rPr>
          <w:lang w:val="fr-FR"/>
        </w:rPr>
        <w:t xml:space="preserve"> la société requérante.</w:t>
      </w:r>
      <w:r w:rsidR="003F2513" w:rsidRPr="00DD64A6">
        <w:rPr>
          <w:lang w:val="fr-FR"/>
        </w:rPr>
        <w:t xml:space="preserve"> L</w:t>
      </w:r>
      <w:r w:rsidR="00DD64A6" w:rsidRPr="00DD64A6">
        <w:rPr>
          <w:lang w:val="fr-FR"/>
        </w:rPr>
        <w:t>’</w:t>
      </w:r>
      <w:r w:rsidR="003F2513" w:rsidRPr="00DD64A6">
        <w:rPr>
          <w:lang w:val="fr-FR"/>
        </w:rPr>
        <w:t>adminis</w:t>
      </w:r>
      <w:r w:rsidR="00CB3345" w:rsidRPr="00DD64A6">
        <w:rPr>
          <w:lang w:val="fr-FR"/>
        </w:rPr>
        <w:t xml:space="preserve">tration appuya sa décision sur un </w:t>
      </w:r>
      <w:r w:rsidR="003F2513" w:rsidRPr="00DD64A6">
        <w:rPr>
          <w:lang w:val="fr-FR"/>
        </w:rPr>
        <w:t>avis du Conseil d</w:t>
      </w:r>
      <w:r w:rsidR="00DD64A6" w:rsidRPr="00DD64A6">
        <w:rPr>
          <w:lang w:val="fr-FR"/>
        </w:rPr>
        <w:t>’</w:t>
      </w:r>
      <w:r w:rsidR="00484DC9" w:rsidRPr="00DD64A6">
        <w:rPr>
          <w:lang w:val="fr-FR"/>
        </w:rPr>
        <w:t>É</w:t>
      </w:r>
      <w:r w:rsidR="003F2513" w:rsidRPr="00DD64A6">
        <w:rPr>
          <w:lang w:val="fr-FR"/>
        </w:rPr>
        <w:t xml:space="preserve">tat </w:t>
      </w:r>
      <w:r w:rsidR="00CB3345" w:rsidRPr="00DD64A6">
        <w:rPr>
          <w:lang w:val="fr-FR"/>
        </w:rPr>
        <w:t>(</w:t>
      </w:r>
      <w:r w:rsidR="003F2513" w:rsidRPr="00DD64A6">
        <w:rPr>
          <w:lang w:val="fr-FR"/>
        </w:rPr>
        <w:t>n</w:t>
      </w:r>
      <w:r w:rsidR="00E15F9A" w:rsidRPr="00DD64A6">
        <w:rPr>
          <w:vertAlign w:val="superscript"/>
          <w:lang w:val="fr-FR"/>
        </w:rPr>
        <w:t>o</w:t>
      </w:r>
      <w:r w:rsidR="003F2513" w:rsidRPr="00DD64A6">
        <w:rPr>
          <w:lang w:val="fr-FR"/>
        </w:rPr>
        <w:t> 2719/1992</w:t>
      </w:r>
      <w:r w:rsidR="00CB3345" w:rsidRPr="00DD64A6">
        <w:rPr>
          <w:lang w:val="fr-FR"/>
        </w:rPr>
        <w:t>)</w:t>
      </w:r>
      <w:r w:rsidR="00757E73" w:rsidRPr="00DD64A6">
        <w:rPr>
          <w:lang w:val="fr-FR"/>
        </w:rPr>
        <w:t xml:space="preserve"> </w:t>
      </w:r>
      <w:r w:rsidR="007B46A4" w:rsidRPr="00DD64A6">
        <w:rPr>
          <w:lang w:val="fr-FR"/>
        </w:rPr>
        <w:t>concernant</w:t>
      </w:r>
      <w:r w:rsidR="00F773CD" w:rsidRPr="00DD64A6">
        <w:rPr>
          <w:lang w:val="fr-FR"/>
        </w:rPr>
        <w:t xml:space="preserve"> le caractère obligatoire de la condition de coresponsabilité.</w:t>
      </w:r>
    </w:p>
    <w:p w:rsidR="00676D4F" w:rsidRPr="00DD64A6" w:rsidRDefault="00135A8E"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11</w:t>
      </w:r>
      <w:r w:rsidRPr="00DD64A6">
        <w:rPr>
          <w:lang w:val="fr-FR"/>
        </w:rPr>
        <w:fldChar w:fldCharType="end"/>
      </w:r>
      <w:r w:rsidRPr="00DD64A6">
        <w:rPr>
          <w:lang w:val="fr-FR"/>
        </w:rPr>
        <w:t xml:space="preserve">.  La </w:t>
      </w:r>
      <w:r w:rsidR="00484DC9" w:rsidRPr="00DD64A6">
        <w:rPr>
          <w:lang w:val="fr-FR"/>
        </w:rPr>
        <w:t xml:space="preserve">société </w:t>
      </w:r>
      <w:r w:rsidRPr="00DD64A6">
        <w:rPr>
          <w:lang w:val="fr-FR"/>
        </w:rPr>
        <w:t>requérante</w:t>
      </w:r>
      <w:r w:rsidR="004545FA" w:rsidRPr="00DD64A6">
        <w:rPr>
          <w:lang w:val="fr-FR"/>
        </w:rPr>
        <w:t xml:space="preserve"> attaqua ladite décision</w:t>
      </w:r>
      <w:r w:rsidRPr="00DD64A6">
        <w:rPr>
          <w:lang w:val="fr-FR"/>
        </w:rPr>
        <w:t xml:space="preserve"> </w:t>
      </w:r>
      <w:r w:rsidR="004545FA" w:rsidRPr="00DD64A6">
        <w:rPr>
          <w:lang w:val="fr-FR"/>
        </w:rPr>
        <w:t xml:space="preserve">devant le tribunal administratif </w:t>
      </w:r>
      <w:r w:rsidR="00D265CD" w:rsidRPr="00DD64A6">
        <w:rPr>
          <w:lang w:val="fr-FR"/>
        </w:rPr>
        <w:t>des Pouilles</w:t>
      </w:r>
      <w:r w:rsidR="00484DC9" w:rsidRPr="00DD64A6">
        <w:rPr>
          <w:lang w:val="fr-FR"/>
        </w:rPr>
        <w:t xml:space="preserve"> (« le tribunal administratif »)</w:t>
      </w:r>
      <w:r w:rsidR="00676D4F" w:rsidRPr="00DD64A6">
        <w:rPr>
          <w:lang w:val="fr-FR"/>
        </w:rPr>
        <w:t>.</w:t>
      </w:r>
    </w:p>
    <w:p w:rsidR="00757E73" w:rsidRPr="00DD64A6" w:rsidRDefault="00676D4F"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12</w:t>
      </w:r>
      <w:r w:rsidRPr="00DD64A6">
        <w:rPr>
          <w:lang w:val="fr-FR"/>
        </w:rPr>
        <w:fldChar w:fldCharType="end"/>
      </w:r>
      <w:r w:rsidRPr="00DD64A6">
        <w:rPr>
          <w:lang w:val="fr-FR"/>
        </w:rPr>
        <w:t>. P</w:t>
      </w:r>
      <w:r w:rsidR="004545FA" w:rsidRPr="00DD64A6">
        <w:rPr>
          <w:lang w:val="fr-FR"/>
        </w:rPr>
        <w:t xml:space="preserve">ar un </w:t>
      </w:r>
      <w:r w:rsidR="00CB3345" w:rsidRPr="00DD64A6">
        <w:rPr>
          <w:lang w:val="fr-FR"/>
        </w:rPr>
        <w:t>jugement</w:t>
      </w:r>
      <w:r w:rsidR="004545FA" w:rsidRPr="00DD64A6">
        <w:rPr>
          <w:lang w:val="fr-FR"/>
        </w:rPr>
        <w:t xml:space="preserve"> du </w:t>
      </w:r>
      <w:r w:rsidR="004B2DE0" w:rsidRPr="00DD64A6">
        <w:rPr>
          <w:lang w:val="fr-FR"/>
        </w:rPr>
        <w:t xml:space="preserve">21 octobre 1996, </w:t>
      </w:r>
      <w:r w:rsidRPr="00DD64A6">
        <w:rPr>
          <w:lang w:val="fr-FR"/>
        </w:rPr>
        <w:t xml:space="preserve">le tribunal administratif </w:t>
      </w:r>
      <w:r w:rsidR="004B2DE0" w:rsidRPr="00DD64A6">
        <w:rPr>
          <w:lang w:val="fr-FR"/>
        </w:rPr>
        <w:t xml:space="preserve">fit droit au recours </w:t>
      </w:r>
      <w:r w:rsidRPr="00DD64A6">
        <w:rPr>
          <w:lang w:val="fr-FR"/>
        </w:rPr>
        <w:t>de la requérant</w:t>
      </w:r>
      <w:r w:rsidR="00090F43" w:rsidRPr="00DD64A6">
        <w:rPr>
          <w:lang w:val="fr-FR"/>
        </w:rPr>
        <w:t>e</w:t>
      </w:r>
      <w:r w:rsidRPr="00DD64A6">
        <w:rPr>
          <w:lang w:val="fr-FR"/>
        </w:rPr>
        <w:t xml:space="preserve"> </w:t>
      </w:r>
      <w:r w:rsidR="004B2DE0" w:rsidRPr="00DD64A6">
        <w:rPr>
          <w:lang w:val="fr-FR"/>
        </w:rPr>
        <w:t>et annula la décision litigieuse</w:t>
      </w:r>
      <w:r w:rsidR="00F57CD8" w:rsidRPr="00DD64A6">
        <w:rPr>
          <w:lang w:val="fr-FR"/>
        </w:rPr>
        <w:t xml:space="preserve"> </w:t>
      </w:r>
      <w:r w:rsidR="00484DC9" w:rsidRPr="00DD64A6">
        <w:rPr>
          <w:lang w:val="fr-FR"/>
        </w:rPr>
        <w:t>au motif</w:t>
      </w:r>
      <w:r w:rsidR="00090F43" w:rsidRPr="00DD64A6">
        <w:rPr>
          <w:lang w:val="fr-FR"/>
        </w:rPr>
        <w:t xml:space="preserve"> </w:t>
      </w:r>
      <w:r w:rsidR="00253B93" w:rsidRPr="00DD64A6">
        <w:rPr>
          <w:lang w:val="fr-FR"/>
        </w:rPr>
        <w:t>qu</w:t>
      </w:r>
      <w:r w:rsidR="00DD64A6" w:rsidRPr="00DD64A6">
        <w:rPr>
          <w:lang w:val="fr-FR"/>
        </w:rPr>
        <w:t>’</w:t>
      </w:r>
      <w:r w:rsidR="00484DC9" w:rsidRPr="00DD64A6">
        <w:rPr>
          <w:lang w:val="fr-FR"/>
        </w:rPr>
        <w:t xml:space="preserve">elle était </w:t>
      </w:r>
      <w:r w:rsidR="00253B93" w:rsidRPr="00DD64A6">
        <w:rPr>
          <w:lang w:val="fr-FR"/>
        </w:rPr>
        <w:t>illégale</w:t>
      </w:r>
      <w:r w:rsidR="004B2DE0" w:rsidRPr="00DD64A6">
        <w:rPr>
          <w:lang w:val="fr-FR"/>
        </w:rPr>
        <w:t>.</w:t>
      </w:r>
      <w:r w:rsidRPr="00DD64A6">
        <w:rPr>
          <w:lang w:val="fr-FR"/>
        </w:rPr>
        <w:t xml:space="preserve"> </w:t>
      </w:r>
      <w:r w:rsidR="00484DC9" w:rsidRPr="00DD64A6">
        <w:rPr>
          <w:lang w:val="fr-FR"/>
        </w:rPr>
        <w:t>Il</w:t>
      </w:r>
      <w:r w:rsidR="003A368F" w:rsidRPr="00DD64A6">
        <w:rPr>
          <w:lang w:val="fr-FR"/>
        </w:rPr>
        <w:t xml:space="preserve"> </w:t>
      </w:r>
      <w:r w:rsidR="00484DC9" w:rsidRPr="00DD64A6">
        <w:rPr>
          <w:lang w:val="fr-FR"/>
        </w:rPr>
        <w:t xml:space="preserve">déclara </w:t>
      </w:r>
      <w:r w:rsidR="00253B93" w:rsidRPr="00DD64A6">
        <w:rPr>
          <w:lang w:val="fr-FR"/>
        </w:rPr>
        <w:t xml:space="preserve">notamment </w:t>
      </w:r>
      <w:r w:rsidR="003A368F" w:rsidRPr="00DD64A6">
        <w:rPr>
          <w:lang w:val="fr-FR"/>
        </w:rPr>
        <w:t>que l</w:t>
      </w:r>
      <w:r w:rsidR="00DD64A6" w:rsidRPr="00DD64A6">
        <w:rPr>
          <w:lang w:val="fr-FR"/>
        </w:rPr>
        <w:t>’</w:t>
      </w:r>
      <w:r w:rsidR="003A368F" w:rsidRPr="00DD64A6">
        <w:rPr>
          <w:lang w:val="fr-FR"/>
        </w:rPr>
        <w:t>administration</w:t>
      </w:r>
      <w:r w:rsidR="00CF216E" w:rsidRPr="00DD64A6">
        <w:rPr>
          <w:lang w:val="fr-FR"/>
        </w:rPr>
        <w:t xml:space="preserve"> avait interprété</w:t>
      </w:r>
      <w:r w:rsidR="00484DC9" w:rsidRPr="00DD64A6">
        <w:rPr>
          <w:lang w:val="fr-FR"/>
        </w:rPr>
        <w:t xml:space="preserve"> de manière erronée</w:t>
      </w:r>
      <w:r w:rsidR="00CF216E" w:rsidRPr="00DD64A6">
        <w:rPr>
          <w:lang w:val="fr-FR"/>
        </w:rPr>
        <w:t xml:space="preserve"> </w:t>
      </w:r>
      <w:r w:rsidR="00757E73" w:rsidRPr="00DD64A6">
        <w:rPr>
          <w:lang w:val="fr-FR"/>
        </w:rPr>
        <w:t>les dispositions de loi pertinentes en la matière</w:t>
      </w:r>
      <w:r w:rsidR="00CF216E" w:rsidRPr="00DD64A6">
        <w:rPr>
          <w:lang w:val="fr-FR"/>
        </w:rPr>
        <w:t>.</w:t>
      </w:r>
      <w:r w:rsidR="003F2513" w:rsidRPr="00DD64A6">
        <w:rPr>
          <w:lang w:val="fr-FR"/>
        </w:rPr>
        <w:t xml:space="preserve"> En effet, </w:t>
      </w:r>
      <w:r w:rsidR="00484DC9" w:rsidRPr="00DD64A6">
        <w:rPr>
          <w:lang w:val="fr-FR"/>
        </w:rPr>
        <w:t xml:space="preserve">selon </w:t>
      </w:r>
      <w:r w:rsidR="00ED55C1" w:rsidRPr="00DD64A6">
        <w:rPr>
          <w:lang w:val="fr-FR"/>
        </w:rPr>
        <w:t>lui,</w:t>
      </w:r>
      <w:r w:rsidR="00484DC9" w:rsidRPr="00DD64A6">
        <w:rPr>
          <w:lang w:val="fr-FR"/>
        </w:rPr>
        <w:t xml:space="preserve"> </w:t>
      </w:r>
      <w:r w:rsidR="008517D7" w:rsidRPr="00DD64A6">
        <w:rPr>
          <w:lang w:val="fr-FR"/>
        </w:rPr>
        <w:t xml:space="preserve">si </w:t>
      </w:r>
      <w:r w:rsidR="003F2513" w:rsidRPr="00DD64A6">
        <w:rPr>
          <w:lang w:val="fr-FR"/>
        </w:rPr>
        <w:t xml:space="preserve">la condition de coresponsabilité </w:t>
      </w:r>
      <w:r w:rsidR="008517D7" w:rsidRPr="00DD64A6">
        <w:rPr>
          <w:lang w:val="fr-FR"/>
        </w:rPr>
        <w:t xml:space="preserve">du titulaire de la convention </w:t>
      </w:r>
      <w:r w:rsidR="00757E73" w:rsidRPr="00DD64A6">
        <w:rPr>
          <w:lang w:val="fr-FR"/>
        </w:rPr>
        <w:t>est</w:t>
      </w:r>
      <w:r w:rsidR="008517D7" w:rsidRPr="00DD64A6">
        <w:rPr>
          <w:lang w:val="fr-FR"/>
        </w:rPr>
        <w:t xml:space="preserve"> obligatoire </w:t>
      </w:r>
      <w:r w:rsidR="00CB3345" w:rsidRPr="00DD64A6">
        <w:rPr>
          <w:lang w:val="fr-FR"/>
        </w:rPr>
        <w:t>lors</w:t>
      </w:r>
      <w:r w:rsidR="008517D7" w:rsidRPr="00DD64A6">
        <w:rPr>
          <w:lang w:val="fr-FR"/>
        </w:rPr>
        <w:t xml:space="preserve"> du transfert </w:t>
      </w:r>
      <w:r w:rsidR="00CB3345" w:rsidRPr="00DD64A6">
        <w:rPr>
          <w:lang w:val="fr-FR"/>
        </w:rPr>
        <w:t>d</w:t>
      </w:r>
      <w:r w:rsidR="00DD64A6" w:rsidRPr="00DD64A6">
        <w:rPr>
          <w:lang w:val="fr-FR"/>
        </w:rPr>
        <w:t>’</w:t>
      </w:r>
      <w:r w:rsidR="00CB3345" w:rsidRPr="00DD64A6">
        <w:rPr>
          <w:lang w:val="fr-FR"/>
        </w:rPr>
        <w:t xml:space="preserve">une </w:t>
      </w:r>
      <w:r w:rsidR="008517D7" w:rsidRPr="00DD64A6">
        <w:rPr>
          <w:lang w:val="fr-FR"/>
        </w:rPr>
        <w:t xml:space="preserve">convention à une société, </w:t>
      </w:r>
      <w:r w:rsidR="00757E73" w:rsidRPr="00DD64A6">
        <w:rPr>
          <w:lang w:val="fr-FR"/>
        </w:rPr>
        <w:t xml:space="preserve">la sortie dudit titulaire de la société par la suite ne constitue en aucun cas un </w:t>
      </w:r>
      <w:r w:rsidR="00ED55C1" w:rsidRPr="00DD64A6">
        <w:rPr>
          <w:lang w:val="fr-FR"/>
        </w:rPr>
        <w:t>motif de révocation de</w:t>
      </w:r>
      <w:r w:rsidR="00757E73" w:rsidRPr="00DD64A6">
        <w:rPr>
          <w:lang w:val="fr-FR"/>
        </w:rPr>
        <w:t xml:space="preserve"> la convention. D</w:t>
      </w:r>
      <w:r w:rsidR="00DD64A6" w:rsidRPr="00DD64A6">
        <w:rPr>
          <w:lang w:val="fr-FR"/>
        </w:rPr>
        <w:t>’</w:t>
      </w:r>
      <w:r w:rsidR="00757E73" w:rsidRPr="00DD64A6">
        <w:rPr>
          <w:lang w:val="fr-FR"/>
        </w:rPr>
        <w:t>autant plus qu</w:t>
      </w:r>
      <w:r w:rsidR="00ED55C1" w:rsidRPr="00DD64A6">
        <w:rPr>
          <w:lang w:val="fr-FR"/>
        </w:rPr>
        <w:t xml:space="preserve">e, </w:t>
      </w:r>
      <w:r w:rsidR="00757E73" w:rsidRPr="00DD64A6">
        <w:rPr>
          <w:lang w:val="fr-FR"/>
        </w:rPr>
        <w:t>en l</w:t>
      </w:r>
      <w:r w:rsidR="00DD64A6" w:rsidRPr="00DD64A6">
        <w:rPr>
          <w:lang w:val="fr-FR"/>
        </w:rPr>
        <w:t>’</w:t>
      </w:r>
      <w:r w:rsidR="00757E73" w:rsidRPr="00DD64A6">
        <w:rPr>
          <w:lang w:val="fr-FR"/>
        </w:rPr>
        <w:t>espèce</w:t>
      </w:r>
      <w:r w:rsidR="00ED55C1" w:rsidRPr="00DD64A6">
        <w:rPr>
          <w:lang w:val="fr-FR"/>
        </w:rPr>
        <w:t>,</w:t>
      </w:r>
      <w:r w:rsidR="00757E73" w:rsidRPr="00DD64A6">
        <w:rPr>
          <w:lang w:val="fr-FR"/>
        </w:rPr>
        <w:t xml:space="preserve"> la </w:t>
      </w:r>
      <w:r w:rsidR="00CB3345" w:rsidRPr="00DD64A6">
        <w:rPr>
          <w:lang w:val="fr-FR"/>
        </w:rPr>
        <w:t>démarche</w:t>
      </w:r>
      <w:r w:rsidR="00757E73" w:rsidRPr="00DD64A6">
        <w:rPr>
          <w:lang w:val="fr-FR"/>
        </w:rPr>
        <w:t xml:space="preserve"> du docteur </w:t>
      </w:r>
      <w:proofErr w:type="spellStart"/>
      <w:r w:rsidR="00757E73" w:rsidRPr="00DD64A6">
        <w:rPr>
          <w:lang w:val="fr-FR"/>
        </w:rPr>
        <w:t>De</w:t>
      </w:r>
      <w:r w:rsidR="00CE314D" w:rsidRPr="00DD64A6">
        <w:rPr>
          <w:lang w:val="fr-FR"/>
        </w:rPr>
        <w:t>mar</w:t>
      </w:r>
      <w:r w:rsidR="00757E73" w:rsidRPr="00DD64A6">
        <w:rPr>
          <w:lang w:val="fr-FR"/>
        </w:rPr>
        <w:t>zio</w:t>
      </w:r>
      <w:proofErr w:type="spellEnd"/>
      <w:r w:rsidR="00757E73" w:rsidRPr="00DD64A6">
        <w:rPr>
          <w:lang w:val="fr-FR"/>
        </w:rPr>
        <w:t xml:space="preserve"> </w:t>
      </w:r>
      <w:r w:rsidR="00CE314D" w:rsidRPr="00DD64A6">
        <w:rPr>
          <w:lang w:val="fr-FR"/>
        </w:rPr>
        <w:t>était conforme à</w:t>
      </w:r>
      <w:r w:rsidR="00757E73" w:rsidRPr="00DD64A6">
        <w:rPr>
          <w:lang w:val="fr-FR"/>
        </w:rPr>
        <w:t xml:space="preserve"> </w:t>
      </w:r>
      <w:r w:rsidR="00CE314D" w:rsidRPr="00DD64A6">
        <w:rPr>
          <w:lang w:val="fr-FR"/>
        </w:rPr>
        <w:t xml:space="preserve">la disposition contenue dans </w:t>
      </w:r>
      <w:r w:rsidR="00757E73" w:rsidRPr="00DD64A6">
        <w:rPr>
          <w:lang w:val="fr-FR"/>
        </w:rPr>
        <w:t>l</w:t>
      </w:r>
      <w:r w:rsidR="00DD64A6" w:rsidRPr="00DD64A6">
        <w:rPr>
          <w:lang w:val="fr-FR"/>
        </w:rPr>
        <w:t>’</w:t>
      </w:r>
      <w:r w:rsidR="00757E73" w:rsidRPr="00DD64A6">
        <w:rPr>
          <w:lang w:val="fr-FR"/>
        </w:rPr>
        <w:t>article</w:t>
      </w:r>
      <w:r w:rsidR="005A3971" w:rsidRPr="00DD64A6">
        <w:rPr>
          <w:lang w:val="fr-FR"/>
        </w:rPr>
        <w:t> </w:t>
      </w:r>
      <w:r w:rsidR="00757E73" w:rsidRPr="00DD64A6">
        <w:rPr>
          <w:lang w:val="fr-FR"/>
        </w:rPr>
        <w:t>4 de la loi n</w:t>
      </w:r>
      <w:r w:rsidR="00E15F9A" w:rsidRPr="00DD64A6">
        <w:rPr>
          <w:vertAlign w:val="superscript"/>
          <w:lang w:val="fr-FR"/>
        </w:rPr>
        <w:t>o</w:t>
      </w:r>
      <w:r w:rsidR="00757E73" w:rsidRPr="00DD64A6">
        <w:rPr>
          <w:lang w:val="fr-FR"/>
        </w:rPr>
        <w:t xml:space="preserve"> 412.</w:t>
      </w:r>
    </w:p>
    <w:p w:rsidR="00E15F9A" w:rsidRPr="00DD64A6" w:rsidRDefault="006D0409"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13</w:t>
      </w:r>
      <w:r w:rsidRPr="00DD64A6">
        <w:rPr>
          <w:lang w:val="fr-FR"/>
        </w:rPr>
        <w:fldChar w:fldCharType="end"/>
      </w:r>
      <w:r w:rsidRPr="00DD64A6">
        <w:rPr>
          <w:lang w:val="fr-FR"/>
        </w:rPr>
        <w:t>.  </w:t>
      </w:r>
      <w:r w:rsidR="004B2DE0" w:rsidRPr="00DD64A6">
        <w:rPr>
          <w:lang w:val="fr-FR"/>
        </w:rPr>
        <w:t xml:space="preserve">Par </w:t>
      </w:r>
      <w:r w:rsidR="00903EE1" w:rsidRPr="00DD64A6">
        <w:rPr>
          <w:lang w:val="fr-FR"/>
        </w:rPr>
        <w:t>la</w:t>
      </w:r>
      <w:r w:rsidR="004B2DE0" w:rsidRPr="00DD64A6">
        <w:rPr>
          <w:lang w:val="fr-FR"/>
        </w:rPr>
        <w:t xml:space="preserve"> </w:t>
      </w:r>
      <w:r w:rsidRPr="00DD64A6">
        <w:rPr>
          <w:lang w:val="fr-FR"/>
        </w:rPr>
        <w:t xml:space="preserve">décision </w:t>
      </w:r>
      <w:r w:rsidR="00903EE1" w:rsidRPr="00DD64A6">
        <w:rPr>
          <w:lang w:val="fr-FR"/>
        </w:rPr>
        <w:t>n</w:t>
      </w:r>
      <w:r w:rsidR="00E15F9A" w:rsidRPr="00DD64A6">
        <w:rPr>
          <w:vertAlign w:val="superscript"/>
          <w:lang w:val="fr-FR"/>
        </w:rPr>
        <w:t>o</w:t>
      </w:r>
      <w:r w:rsidR="00903EE1" w:rsidRPr="00DD64A6">
        <w:rPr>
          <w:lang w:val="fr-FR"/>
        </w:rPr>
        <w:t xml:space="preserve"> 1143 </w:t>
      </w:r>
      <w:r w:rsidRPr="00DD64A6">
        <w:rPr>
          <w:lang w:val="fr-FR"/>
        </w:rPr>
        <w:t>du 28 juin 1997, l</w:t>
      </w:r>
      <w:r w:rsidR="00DD64A6" w:rsidRPr="00DD64A6">
        <w:rPr>
          <w:lang w:val="fr-FR"/>
        </w:rPr>
        <w:t>’</w:t>
      </w:r>
      <w:r w:rsidRPr="00DD64A6">
        <w:rPr>
          <w:lang w:val="fr-FR"/>
        </w:rPr>
        <w:t>adminis</w:t>
      </w:r>
      <w:r w:rsidR="00F57CD8" w:rsidRPr="00DD64A6">
        <w:rPr>
          <w:lang w:val="fr-FR"/>
        </w:rPr>
        <w:t xml:space="preserve">tration </w:t>
      </w:r>
      <w:r w:rsidR="00CB3345" w:rsidRPr="00DD64A6">
        <w:rPr>
          <w:lang w:val="fr-FR"/>
        </w:rPr>
        <w:t xml:space="preserve">prit acte dudit jugement et </w:t>
      </w:r>
      <w:r w:rsidR="00F57CD8" w:rsidRPr="00DD64A6">
        <w:rPr>
          <w:lang w:val="fr-FR"/>
        </w:rPr>
        <w:t xml:space="preserve">rétablit la convention </w:t>
      </w:r>
      <w:r w:rsidR="00CB3345" w:rsidRPr="00DD64A6">
        <w:rPr>
          <w:lang w:val="fr-FR"/>
        </w:rPr>
        <w:t>avec</w:t>
      </w:r>
      <w:r w:rsidRPr="00DD64A6">
        <w:rPr>
          <w:lang w:val="fr-FR"/>
        </w:rPr>
        <w:t xml:space="preserve"> la</w:t>
      </w:r>
      <w:r w:rsidR="00474FC0" w:rsidRPr="00DD64A6">
        <w:rPr>
          <w:lang w:val="fr-FR"/>
        </w:rPr>
        <w:t xml:space="preserve"> société</w:t>
      </w:r>
      <w:r w:rsidRPr="00DD64A6">
        <w:rPr>
          <w:lang w:val="fr-FR"/>
        </w:rPr>
        <w:t xml:space="preserve"> requérante à compter du 1</w:t>
      </w:r>
      <w:r w:rsidRPr="00DD64A6">
        <w:rPr>
          <w:vertAlign w:val="superscript"/>
          <w:lang w:val="fr-FR"/>
        </w:rPr>
        <w:t>er</w:t>
      </w:r>
      <w:r w:rsidR="00297565" w:rsidRPr="00DD64A6">
        <w:rPr>
          <w:lang w:val="fr-FR"/>
        </w:rPr>
        <w:t> </w:t>
      </w:r>
      <w:r w:rsidRPr="00DD64A6">
        <w:rPr>
          <w:lang w:val="fr-FR"/>
        </w:rPr>
        <w:t>août 1997.</w:t>
      </w:r>
    </w:p>
    <w:p w:rsidR="00EB5457" w:rsidRPr="00DD64A6" w:rsidRDefault="00542411"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14</w:t>
      </w:r>
      <w:r w:rsidRPr="00DD64A6">
        <w:rPr>
          <w:lang w:val="fr-FR"/>
        </w:rPr>
        <w:fldChar w:fldCharType="end"/>
      </w:r>
      <w:r w:rsidR="00F57CD8" w:rsidRPr="00DD64A6">
        <w:rPr>
          <w:lang w:val="fr-FR"/>
        </w:rPr>
        <w:t xml:space="preserve">.  Le </w:t>
      </w:r>
      <w:r w:rsidR="00846E28" w:rsidRPr="00DD64A6">
        <w:rPr>
          <w:lang w:val="fr-FR"/>
        </w:rPr>
        <w:t xml:space="preserve">23 novembre 1998, la </w:t>
      </w:r>
      <w:r w:rsidR="00474FC0" w:rsidRPr="00DD64A6">
        <w:rPr>
          <w:lang w:val="fr-FR"/>
        </w:rPr>
        <w:t xml:space="preserve">société </w:t>
      </w:r>
      <w:r w:rsidR="00846E28" w:rsidRPr="00DD64A6">
        <w:rPr>
          <w:lang w:val="fr-FR"/>
        </w:rPr>
        <w:t xml:space="preserve">requérante assigna </w:t>
      </w:r>
      <w:r w:rsidR="00D316A6" w:rsidRPr="00DD64A6">
        <w:rPr>
          <w:lang w:val="fr-FR"/>
        </w:rPr>
        <w:t>le</w:t>
      </w:r>
      <w:r w:rsidR="009966E3" w:rsidRPr="00DD64A6">
        <w:rPr>
          <w:lang w:val="fr-FR"/>
        </w:rPr>
        <w:t xml:space="preserve"> service sanitaire national</w:t>
      </w:r>
      <w:r w:rsidR="00846E28" w:rsidRPr="00DD64A6">
        <w:rPr>
          <w:lang w:val="fr-FR"/>
        </w:rPr>
        <w:t xml:space="preserve"> devant le tribunal de Bari </w:t>
      </w:r>
      <w:r w:rsidR="00090F43" w:rsidRPr="00DD64A6">
        <w:rPr>
          <w:lang w:val="fr-FR"/>
        </w:rPr>
        <w:t xml:space="preserve">et </w:t>
      </w:r>
      <w:r w:rsidR="00253B93" w:rsidRPr="00DD64A6">
        <w:rPr>
          <w:lang w:val="fr-FR"/>
        </w:rPr>
        <w:t xml:space="preserve">demanda un dédommagement pour </w:t>
      </w:r>
      <w:r w:rsidR="009966E3" w:rsidRPr="00DD64A6">
        <w:rPr>
          <w:lang w:val="fr-FR"/>
        </w:rPr>
        <w:t>les pertes financières</w:t>
      </w:r>
      <w:r w:rsidR="00253B93" w:rsidRPr="00DD64A6">
        <w:rPr>
          <w:lang w:val="fr-FR"/>
        </w:rPr>
        <w:t xml:space="preserve"> </w:t>
      </w:r>
      <w:r w:rsidR="00474FC0" w:rsidRPr="00DD64A6">
        <w:rPr>
          <w:lang w:val="fr-FR"/>
        </w:rPr>
        <w:t>dues à</w:t>
      </w:r>
      <w:r w:rsidR="00AF4B8D" w:rsidRPr="00DD64A6">
        <w:rPr>
          <w:lang w:val="fr-FR"/>
        </w:rPr>
        <w:t xml:space="preserve"> la suspension de la convention</w:t>
      </w:r>
      <w:r w:rsidR="00DD64A6" w:rsidRPr="00DD64A6">
        <w:rPr>
          <w:lang w:val="fr-FR"/>
        </w:rPr>
        <w:t xml:space="preserve"> de 1993 à </w:t>
      </w:r>
      <w:r w:rsidR="009966E3" w:rsidRPr="00DD64A6">
        <w:rPr>
          <w:lang w:val="fr-FR"/>
        </w:rPr>
        <w:t>1997</w:t>
      </w:r>
      <w:r w:rsidR="00253B93" w:rsidRPr="00DD64A6">
        <w:rPr>
          <w:lang w:val="fr-FR"/>
        </w:rPr>
        <w:t>. Le tribunal</w:t>
      </w:r>
      <w:r w:rsidR="00474FC0" w:rsidRPr="00DD64A6">
        <w:rPr>
          <w:lang w:val="fr-FR"/>
        </w:rPr>
        <w:t>,</w:t>
      </w:r>
      <w:r w:rsidR="00253B93" w:rsidRPr="00DD64A6">
        <w:rPr>
          <w:lang w:val="fr-FR"/>
        </w:rPr>
        <w:t xml:space="preserve"> </w:t>
      </w:r>
      <w:r w:rsidR="00474FC0" w:rsidRPr="00DD64A6">
        <w:rPr>
          <w:lang w:val="fr-FR"/>
        </w:rPr>
        <w:t>estimant que l</w:t>
      </w:r>
      <w:r w:rsidR="00DD64A6" w:rsidRPr="00DD64A6">
        <w:rPr>
          <w:lang w:val="fr-FR"/>
        </w:rPr>
        <w:t>’</w:t>
      </w:r>
      <w:r w:rsidR="00474FC0" w:rsidRPr="00DD64A6">
        <w:rPr>
          <w:lang w:val="fr-FR"/>
        </w:rPr>
        <w:t xml:space="preserve">action judiciaire aurait dû être dirigée contre la région, </w:t>
      </w:r>
      <w:r w:rsidR="00EB5457" w:rsidRPr="00DD64A6">
        <w:rPr>
          <w:lang w:val="fr-FR"/>
        </w:rPr>
        <w:t>rejeta le recours.</w:t>
      </w:r>
    </w:p>
    <w:p w:rsidR="00E15F9A" w:rsidRPr="00DD64A6" w:rsidRDefault="00EB5457"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15</w:t>
      </w:r>
      <w:r w:rsidRPr="00DD64A6">
        <w:rPr>
          <w:lang w:val="fr-FR"/>
        </w:rPr>
        <w:fldChar w:fldCharType="end"/>
      </w:r>
      <w:r w:rsidRPr="00DD64A6">
        <w:rPr>
          <w:lang w:val="fr-FR"/>
        </w:rPr>
        <w:t>.  </w:t>
      </w:r>
      <w:r w:rsidR="00C932D9" w:rsidRPr="00DD64A6">
        <w:rPr>
          <w:lang w:val="fr-FR"/>
        </w:rPr>
        <w:t>En 2003, la</w:t>
      </w:r>
      <w:r w:rsidR="00253B93" w:rsidRPr="00DD64A6">
        <w:rPr>
          <w:lang w:val="fr-FR"/>
        </w:rPr>
        <w:t xml:space="preserve"> </w:t>
      </w:r>
      <w:r w:rsidR="001722FB" w:rsidRPr="00DD64A6">
        <w:rPr>
          <w:lang w:val="fr-FR"/>
        </w:rPr>
        <w:t xml:space="preserve">société </w:t>
      </w:r>
      <w:r w:rsidR="00253B93" w:rsidRPr="00DD64A6">
        <w:rPr>
          <w:lang w:val="fr-FR"/>
        </w:rPr>
        <w:t>requérant</w:t>
      </w:r>
      <w:r w:rsidRPr="00DD64A6">
        <w:rPr>
          <w:lang w:val="fr-FR"/>
        </w:rPr>
        <w:t>e</w:t>
      </w:r>
      <w:r w:rsidR="00253B93" w:rsidRPr="00DD64A6">
        <w:rPr>
          <w:lang w:val="fr-FR"/>
        </w:rPr>
        <w:t xml:space="preserve"> saisit le tribunal administratif </w:t>
      </w:r>
      <w:r w:rsidRPr="00DD64A6">
        <w:rPr>
          <w:lang w:val="fr-FR"/>
        </w:rPr>
        <w:t>d</w:t>
      </w:r>
      <w:r w:rsidR="00DD64A6" w:rsidRPr="00DD64A6">
        <w:rPr>
          <w:lang w:val="fr-FR"/>
        </w:rPr>
        <w:t>’</w:t>
      </w:r>
      <w:r w:rsidRPr="00DD64A6">
        <w:rPr>
          <w:lang w:val="fr-FR"/>
        </w:rPr>
        <w:t>une demande en réparation</w:t>
      </w:r>
      <w:r w:rsidR="00E97055" w:rsidRPr="00DD64A6">
        <w:rPr>
          <w:lang w:val="fr-FR"/>
        </w:rPr>
        <w:t xml:space="preserve"> dirigée contre la région</w:t>
      </w:r>
      <w:r w:rsidR="00087BB3" w:rsidRPr="00DD64A6">
        <w:rPr>
          <w:lang w:val="fr-FR"/>
        </w:rPr>
        <w:t>.</w:t>
      </w:r>
    </w:p>
    <w:p w:rsidR="00E15F9A" w:rsidRPr="00DD64A6" w:rsidRDefault="00087BB3" w:rsidP="00DD64A6">
      <w:pPr>
        <w:pStyle w:val="ECHRPara"/>
        <w:keepNext/>
        <w:keepLines/>
        <w:rPr>
          <w:lang w:val="fr-FR"/>
        </w:rPr>
      </w:pPr>
      <w:r w:rsidRPr="00DD64A6">
        <w:rPr>
          <w:lang w:val="fr-FR"/>
        </w:rPr>
        <w:lastRenderedPageBreak/>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16</w:t>
      </w:r>
      <w:r w:rsidRPr="00DD64A6">
        <w:rPr>
          <w:lang w:val="fr-FR"/>
        </w:rPr>
        <w:fldChar w:fldCharType="end"/>
      </w:r>
      <w:r w:rsidRPr="00DD64A6">
        <w:rPr>
          <w:lang w:val="fr-FR"/>
        </w:rPr>
        <w:t xml:space="preserve">.  Par un </w:t>
      </w:r>
      <w:r w:rsidR="00DB083B" w:rsidRPr="00DD64A6">
        <w:rPr>
          <w:lang w:val="fr-FR"/>
        </w:rPr>
        <w:t>jugement</w:t>
      </w:r>
      <w:r w:rsidRPr="00DD64A6">
        <w:rPr>
          <w:lang w:val="fr-FR"/>
        </w:rPr>
        <w:t xml:space="preserve"> du</w:t>
      </w:r>
      <w:r w:rsidR="00E97055" w:rsidRPr="00DD64A6">
        <w:rPr>
          <w:lang w:val="fr-FR"/>
        </w:rPr>
        <w:t xml:space="preserve"> 22 février 2006,</w:t>
      </w:r>
      <w:r w:rsidRPr="00DD64A6">
        <w:rPr>
          <w:lang w:val="fr-FR"/>
        </w:rPr>
        <w:t xml:space="preserve"> </w:t>
      </w:r>
      <w:r w:rsidR="00B54ABF" w:rsidRPr="00DD64A6">
        <w:rPr>
          <w:lang w:val="fr-FR"/>
        </w:rPr>
        <w:t xml:space="preserve">le tribunal administratif rejeta </w:t>
      </w:r>
      <w:r w:rsidR="001722FB" w:rsidRPr="00DD64A6">
        <w:rPr>
          <w:lang w:val="fr-FR"/>
        </w:rPr>
        <w:t>c</w:t>
      </w:r>
      <w:r w:rsidR="00B54ABF" w:rsidRPr="00DD64A6">
        <w:rPr>
          <w:lang w:val="fr-FR"/>
        </w:rPr>
        <w:t xml:space="preserve">e recours. </w:t>
      </w:r>
      <w:r w:rsidR="004B28B7" w:rsidRPr="00DD64A6">
        <w:rPr>
          <w:lang w:val="fr-FR"/>
        </w:rPr>
        <w:t>Examinant le</w:t>
      </w:r>
      <w:r w:rsidR="00B54ABF" w:rsidRPr="00DD64A6">
        <w:rPr>
          <w:lang w:val="fr-FR"/>
        </w:rPr>
        <w:t xml:space="preserve"> fon</w:t>
      </w:r>
      <w:r w:rsidR="005C3893" w:rsidRPr="00DD64A6">
        <w:rPr>
          <w:lang w:val="fr-FR"/>
        </w:rPr>
        <w:t>d de la demande</w:t>
      </w:r>
      <w:r w:rsidR="00D950F4" w:rsidRPr="00DD64A6">
        <w:rPr>
          <w:lang w:val="fr-FR"/>
        </w:rPr>
        <w:t xml:space="preserve"> de réparation</w:t>
      </w:r>
      <w:r w:rsidR="005C3893" w:rsidRPr="00DD64A6">
        <w:rPr>
          <w:lang w:val="fr-FR"/>
        </w:rPr>
        <w:t xml:space="preserve">, </w:t>
      </w:r>
      <w:r w:rsidR="001722FB" w:rsidRPr="00DD64A6">
        <w:rPr>
          <w:lang w:val="fr-FR"/>
        </w:rPr>
        <w:t>il estima</w:t>
      </w:r>
      <w:r w:rsidR="005C3893" w:rsidRPr="00DD64A6">
        <w:rPr>
          <w:lang w:val="fr-FR"/>
        </w:rPr>
        <w:t xml:space="preserve"> </w:t>
      </w:r>
      <w:r w:rsidR="00C932D9" w:rsidRPr="00DD64A6">
        <w:rPr>
          <w:lang w:val="fr-FR"/>
        </w:rPr>
        <w:t>que celle-ci</w:t>
      </w:r>
      <w:r w:rsidR="00E97055" w:rsidRPr="00DD64A6">
        <w:rPr>
          <w:lang w:val="fr-FR"/>
        </w:rPr>
        <w:t xml:space="preserve"> ne pouvait pas être accueillie </w:t>
      </w:r>
      <w:r w:rsidR="00666C17" w:rsidRPr="00DD64A6">
        <w:rPr>
          <w:lang w:val="fr-FR"/>
        </w:rPr>
        <w:t>car</w:t>
      </w:r>
      <w:r w:rsidR="001722FB" w:rsidRPr="00DD64A6">
        <w:rPr>
          <w:lang w:val="fr-FR"/>
        </w:rPr>
        <w:t>,</w:t>
      </w:r>
      <w:r w:rsidR="00666C17" w:rsidRPr="00DD64A6">
        <w:rPr>
          <w:lang w:val="fr-FR"/>
        </w:rPr>
        <w:t xml:space="preserve"> </w:t>
      </w:r>
      <w:r w:rsidR="001722FB" w:rsidRPr="00DD64A6">
        <w:rPr>
          <w:lang w:val="fr-FR"/>
        </w:rPr>
        <w:t>en l</w:t>
      </w:r>
      <w:r w:rsidR="00DD64A6" w:rsidRPr="00DD64A6">
        <w:rPr>
          <w:lang w:val="fr-FR"/>
        </w:rPr>
        <w:t>’</w:t>
      </w:r>
      <w:r w:rsidR="001722FB" w:rsidRPr="00DD64A6">
        <w:rPr>
          <w:lang w:val="fr-FR"/>
        </w:rPr>
        <w:t>absence de l</w:t>
      </w:r>
      <w:r w:rsidR="00DD64A6" w:rsidRPr="00DD64A6">
        <w:rPr>
          <w:lang w:val="fr-FR"/>
        </w:rPr>
        <w:t>’</w:t>
      </w:r>
      <w:r w:rsidR="001722FB" w:rsidRPr="00DD64A6">
        <w:rPr>
          <w:lang w:val="fr-FR"/>
        </w:rPr>
        <w:t>élément subjectif de l</w:t>
      </w:r>
      <w:r w:rsidR="00DD64A6" w:rsidRPr="00DD64A6">
        <w:rPr>
          <w:lang w:val="fr-FR"/>
        </w:rPr>
        <w:t>’</w:t>
      </w:r>
      <w:r w:rsidR="001722FB" w:rsidRPr="00DD64A6">
        <w:rPr>
          <w:lang w:val="fr-FR"/>
        </w:rPr>
        <w:t xml:space="preserve">action illégale, </w:t>
      </w:r>
      <w:r w:rsidR="00666C17" w:rsidRPr="00DD64A6">
        <w:rPr>
          <w:lang w:val="fr-FR"/>
        </w:rPr>
        <w:t>les conditions d</w:t>
      </w:r>
      <w:r w:rsidR="00DD64A6" w:rsidRPr="00DD64A6">
        <w:rPr>
          <w:lang w:val="fr-FR"/>
        </w:rPr>
        <w:t>’</w:t>
      </w:r>
      <w:r w:rsidR="00666C17" w:rsidRPr="00DD64A6">
        <w:rPr>
          <w:lang w:val="fr-FR"/>
        </w:rPr>
        <w:t xml:space="preserve">engagement de la responsabilité </w:t>
      </w:r>
      <w:r w:rsidR="00A65D7D" w:rsidRPr="00DD64A6">
        <w:rPr>
          <w:lang w:val="fr-FR"/>
        </w:rPr>
        <w:t>de l</w:t>
      </w:r>
      <w:r w:rsidR="00DD64A6" w:rsidRPr="00DD64A6">
        <w:rPr>
          <w:lang w:val="fr-FR"/>
        </w:rPr>
        <w:t>’</w:t>
      </w:r>
      <w:r w:rsidR="00A65D7D" w:rsidRPr="00DD64A6">
        <w:rPr>
          <w:lang w:val="fr-FR"/>
        </w:rPr>
        <w:t xml:space="preserve">administration </w:t>
      </w:r>
      <w:r w:rsidR="00666C17" w:rsidRPr="00DD64A6">
        <w:rPr>
          <w:lang w:val="fr-FR"/>
        </w:rPr>
        <w:t>n</w:t>
      </w:r>
      <w:r w:rsidR="00DD64A6" w:rsidRPr="00DD64A6">
        <w:rPr>
          <w:lang w:val="fr-FR"/>
        </w:rPr>
        <w:t>’</w:t>
      </w:r>
      <w:r w:rsidR="00666C17" w:rsidRPr="00DD64A6">
        <w:rPr>
          <w:lang w:val="fr-FR"/>
        </w:rPr>
        <w:t>étaient pas réunies</w:t>
      </w:r>
      <w:r w:rsidR="00D950F4" w:rsidRPr="00DD64A6">
        <w:rPr>
          <w:lang w:val="fr-FR"/>
        </w:rPr>
        <w:t xml:space="preserve">. </w:t>
      </w:r>
      <w:r w:rsidR="00B52D13" w:rsidRPr="00DD64A6">
        <w:rPr>
          <w:lang w:val="fr-FR"/>
        </w:rPr>
        <w:t>En effet</w:t>
      </w:r>
      <w:r w:rsidR="00CF216E" w:rsidRPr="00DD64A6">
        <w:rPr>
          <w:lang w:val="fr-FR"/>
        </w:rPr>
        <w:t xml:space="preserve">, </w:t>
      </w:r>
      <w:r w:rsidR="003C2B68" w:rsidRPr="00DD64A6">
        <w:rPr>
          <w:lang w:val="fr-FR"/>
        </w:rPr>
        <w:t xml:space="preserve">selon lui, </w:t>
      </w:r>
      <w:r w:rsidR="00CF216E" w:rsidRPr="00DD64A6">
        <w:rPr>
          <w:lang w:val="fr-FR"/>
        </w:rPr>
        <w:t>dans la mesure où l</w:t>
      </w:r>
      <w:r w:rsidR="00DD64A6" w:rsidRPr="00DD64A6">
        <w:rPr>
          <w:lang w:val="fr-FR"/>
        </w:rPr>
        <w:t>’</w:t>
      </w:r>
      <w:r w:rsidR="00DB083B" w:rsidRPr="00DD64A6">
        <w:rPr>
          <w:lang w:val="fr-FR"/>
        </w:rPr>
        <w:t>acte illégal</w:t>
      </w:r>
      <w:r w:rsidR="00CF216E" w:rsidRPr="00DD64A6">
        <w:rPr>
          <w:lang w:val="fr-FR"/>
        </w:rPr>
        <w:t xml:space="preserve"> avait été </w:t>
      </w:r>
      <w:r w:rsidR="003C2B68" w:rsidRPr="00DD64A6">
        <w:rPr>
          <w:lang w:val="fr-FR"/>
        </w:rPr>
        <w:t>pris à la suite d</w:t>
      </w:r>
      <w:r w:rsidR="00DD64A6" w:rsidRPr="00DD64A6">
        <w:rPr>
          <w:lang w:val="fr-FR"/>
        </w:rPr>
        <w:t>’</w:t>
      </w:r>
      <w:r w:rsidR="003C2B68" w:rsidRPr="00DD64A6">
        <w:rPr>
          <w:lang w:val="fr-FR"/>
        </w:rPr>
        <w:t xml:space="preserve">une </w:t>
      </w:r>
      <w:r w:rsidR="00B52D13" w:rsidRPr="00DD64A6">
        <w:rPr>
          <w:lang w:val="fr-FR"/>
        </w:rPr>
        <w:t xml:space="preserve">« erreur </w:t>
      </w:r>
      <w:r w:rsidR="00CF216E" w:rsidRPr="00DD64A6">
        <w:rPr>
          <w:lang w:val="fr-FR"/>
        </w:rPr>
        <w:t xml:space="preserve">excusable » </w:t>
      </w:r>
      <w:r w:rsidR="00DB083B" w:rsidRPr="00DD64A6">
        <w:rPr>
          <w:lang w:val="fr-FR"/>
        </w:rPr>
        <w:t>de l</w:t>
      </w:r>
      <w:r w:rsidR="00DD64A6" w:rsidRPr="00DD64A6">
        <w:rPr>
          <w:lang w:val="fr-FR"/>
        </w:rPr>
        <w:t>’</w:t>
      </w:r>
      <w:r w:rsidR="00DB083B" w:rsidRPr="00DD64A6">
        <w:rPr>
          <w:lang w:val="fr-FR"/>
        </w:rPr>
        <w:t>administration, compte tenu notamment de la nouveauté des dispositions législatives pertinentes</w:t>
      </w:r>
      <w:r w:rsidR="003C2B68" w:rsidRPr="00DD64A6">
        <w:rPr>
          <w:lang w:val="fr-FR"/>
        </w:rPr>
        <w:t xml:space="preserve"> en la matière</w:t>
      </w:r>
      <w:r w:rsidR="00DB083B" w:rsidRPr="00DD64A6">
        <w:rPr>
          <w:lang w:val="fr-FR"/>
        </w:rPr>
        <w:t>, de leur</w:t>
      </w:r>
      <w:r w:rsidR="00E174B9" w:rsidRPr="00DD64A6">
        <w:rPr>
          <w:lang w:val="fr-FR"/>
        </w:rPr>
        <w:t xml:space="preserve"> complexité et de leur</w:t>
      </w:r>
      <w:r w:rsidR="00A43DE0" w:rsidRPr="00DD64A6">
        <w:rPr>
          <w:lang w:val="fr-FR"/>
        </w:rPr>
        <w:t xml:space="preserve"> manque de clarté</w:t>
      </w:r>
      <w:r w:rsidR="00991E9F" w:rsidRPr="00DD64A6">
        <w:rPr>
          <w:lang w:val="fr-FR"/>
        </w:rPr>
        <w:t>,</w:t>
      </w:r>
      <w:r w:rsidR="00CC38F9" w:rsidRPr="00DD64A6">
        <w:rPr>
          <w:lang w:val="fr-FR"/>
        </w:rPr>
        <w:t xml:space="preserve"> ainsi que</w:t>
      </w:r>
      <w:r w:rsidR="00DB083B" w:rsidRPr="00DD64A6">
        <w:rPr>
          <w:lang w:val="fr-FR"/>
        </w:rPr>
        <w:t xml:space="preserve"> des difficultés </w:t>
      </w:r>
      <w:r w:rsidR="003C2B68" w:rsidRPr="00DD64A6">
        <w:rPr>
          <w:lang w:val="fr-FR"/>
        </w:rPr>
        <w:t>d</w:t>
      </w:r>
      <w:r w:rsidR="00DD64A6" w:rsidRPr="00DD64A6">
        <w:rPr>
          <w:lang w:val="fr-FR"/>
        </w:rPr>
        <w:t>’</w:t>
      </w:r>
      <w:r w:rsidR="003C2B68" w:rsidRPr="00DD64A6">
        <w:rPr>
          <w:lang w:val="fr-FR"/>
        </w:rPr>
        <w:t xml:space="preserve">interprétation </w:t>
      </w:r>
      <w:r w:rsidR="00A43DE0" w:rsidRPr="00DD64A6">
        <w:rPr>
          <w:lang w:val="fr-FR"/>
        </w:rPr>
        <w:t>et des divergences de la jurisprudence</w:t>
      </w:r>
      <w:r w:rsidR="00CC38F9" w:rsidRPr="00DD64A6">
        <w:rPr>
          <w:lang w:val="fr-FR"/>
        </w:rPr>
        <w:t xml:space="preserve"> du Conseil d</w:t>
      </w:r>
      <w:r w:rsidR="00DD64A6" w:rsidRPr="00DD64A6">
        <w:rPr>
          <w:lang w:val="fr-FR"/>
        </w:rPr>
        <w:t>’</w:t>
      </w:r>
      <w:r w:rsidR="003C2B68" w:rsidRPr="00DD64A6">
        <w:rPr>
          <w:lang w:val="fr-FR"/>
        </w:rPr>
        <w:t>É</w:t>
      </w:r>
      <w:r w:rsidR="00CC38F9" w:rsidRPr="00DD64A6">
        <w:rPr>
          <w:lang w:val="fr-FR"/>
        </w:rPr>
        <w:t>tat</w:t>
      </w:r>
      <w:r w:rsidR="00A43DE0" w:rsidRPr="00DD64A6">
        <w:rPr>
          <w:lang w:val="fr-FR"/>
        </w:rPr>
        <w:t xml:space="preserve"> en la matière</w:t>
      </w:r>
      <w:r w:rsidR="00DB083B" w:rsidRPr="00DD64A6">
        <w:rPr>
          <w:lang w:val="fr-FR"/>
        </w:rPr>
        <w:t xml:space="preserve">, on ne pouvait pas soutenir </w:t>
      </w:r>
      <w:r w:rsidR="002A7974" w:rsidRPr="00DD64A6">
        <w:rPr>
          <w:lang w:val="fr-FR"/>
        </w:rPr>
        <w:t>qu</w:t>
      </w:r>
      <w:r w:rsidR="00DD64A6" w:rsidRPr="00DD64A6">
        <w:rPr>
          <w:lang w:val="fr-FR"/>
        </w:rPr>
        <w:t>’</w:t>
      </w:r>
      <w:r w:rsidR="002A7974" w:rsidRPr="00DD64A6">
        <w:rPr>
          <w:lang w:val="fr-FR"/>
        </w:rPr>
        <w:t xml:space="preserve">il existait une </w:t>
      </w:r>
      <w:r w:rsidR="00DB083B" w:rsidRPr="00DD64A6">
        <w:rPr>
          <w:lang w:val="fr-FR"/>
        </w:rPr>
        <w:t>faute de</w:t>
      </w:r>
      <w:r w:rsidR="00CF216E" w:rsidRPr="00DD64A6">
        <w:rPr>
          <w:lang w:val="fr-FR"/>
        </w:rPr>
        <w:t xml:space="preserve"> l</w:t>
      </w:r>
      <w:r w:rsidR="00DD64A6" w:rsidRPr="00DD64A6">
        <w:rPr>
          <w:lang w:val="fr-FR"/>
        </w:rPr>
        <w:t>’</w:t>
      </w:r>
      <w:r w:rsidR="00CF216E" w:rsidRPr="00DD64A6">
        <w:rPr>
          <w:lang w:val="fr-FR"/>
        </w:rPr>
        <w:t>administration</w:t>
      </w:r>
      <w:r w:rsidR="00DB083B" w:rsidRPr="00DD64A6">
        <w:rPr>
          <w:lang w:val="fr-FR"/>
        </w:rPr>
        <w:t xml:space="preserve"> donnant lieu à un droit à réparation.</w:t>
      </w:r>
    </w:p>
    <w:p w:rsidR="006145C8" w:rsidRPr="00DD64A6" w:rsidRDefault="00DB083B"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17</w:t>
      </w:r>
      <w:r w:rsidRPr="00DD64A6">
        <w:rPr>
          <w:lang w:val="fr-FR"/>
        </w:rPr>
        <w:fldChar w:fldCharType="end"/>
      </w:r>
      <w:r w:rsidRPr="00DD64A6">
        <w:rPr>
          <w:lang w:val="fr-FR"/>
        </w:rPr>
        <w:t xml:space="preserve">.  La </w:t>
      </w:r>
      <w:r w:rsidR="002A7974" w:rsidRPr="00DD64A6">
        <w:rPr>
          <w:lang w:val="fr-FR"/>
        </w:rPr>
        <w:t xml:space="preserve">société </w:t>
      </w:r>
      <w:r w:rsidRPr="00DD64A6">
        <w:rPr>
          <w:lang w:val="fr-FR"/>
        </w:rPr>
        <w:t>requérante interjeta appel de ce jugement</w:t>
      </w:r>
      <w:r w:rsidR="002A7974" w:rsidRPr="00DD64A6">
        <w:rPr>
          <w:lang w:val="fr-FR"/>
        </w:rPr>
        <w:t>. Par un</w:t>
      </w:r>
      <w:r w:rsidRPr="00DD64A6">
        <w:rPr>
          <w:lang w:val="fr-FR"/>
        </w:rPr>
        <w:t xml:space="preserve"> </w:t>
      </w:r>
      <w:r w:rsidR="002A7974" w:rsidRPr="00DD64A6">
        <w:rPr>
          <w:lang w:val="fr-FR"/>
        </w:rPr>
        <w:t xml:space="preserve">arrêt du 29 octobre 2010, </w:t>
      </w:r>
      <w:r w:rsidRPr="00DD64A6">
        <w:rPr>
          <w:lang w:val="fr-FR"/>
        </w:rPr>
        <w:t>le Conseil d</w:t>
      </w:r>
      <w:r w:rsidR="00DD64A6" w:rsidRPr="00DD64A6">
        <w:rPr>
          <w:lang w:val="fr-FR"/>
        </w:rPr>
        <w:t>’</w:t>
      </w:r>
      <w:r w:rsidRPr="00DD64A6">
        <w:rPr>
          <w:lang w:val="fr-FR"/>
        </w:rPr>
        <w:t xml:space="preserve">État </w:t>
      </w:r>
      <w:r w:rsidR="002A7974" w:rsidRPr="00DD64A6">
        <w:rPr>
          <w:lang w:val="fr-FR"/>
        </w:rPr>
        <w:t>rejeta son recours</w:t>
      </w:r>
      <w:r w:rsidRPr="00DD64A6">
        <w:rPr>
          <w:lang w:val="fr-FR"/>
        </w:rPr>
        <w:t>.</w:t>
      </w:r>
    </w:p>
    <w:p w:rsidR="00E77CB3" w:rsidRPr="00DD64A6" w:rsidRDefault="0036691A" w:rsidP="00DD64A6">
      <w:pPr>
        <w:pStyle w:val="ECHRHeading1"/>
        <w:rPr>
          <w:lang w:val="fr-FR"/>
        </w:rPr>
      </w:pPr>
      <w:r w:rsidRPr="00DD64A6">
        <w:rPr>
          <w:lang w:val="fr-FR"/>
        </w:rPr>
        <w:t>I</w:t>
      </w:r>
      <w:r w:rsidR="00F74BF5" w:rsidRPr="00DD64A6">
        <w:rPr>
          <w:lang w:val="fr-FR"/>
        </w:rPr>
        <w:t>I</w:t>
      </w:r>
      <w:r w:rsidRPr="00DD64A6">
        <w:rPr>
          <w:lang w:val="fr-FR"/>
        </w:rPr>
        <w:t>.</w:t>
      </w:r>
      <w:proofErr w:type="gramStart"/>
      <w:r w:rsidR="00E77CB3" w:rsidRPr="00DD64A6">
        <w:rPr>
          <w:lang w:val="fr-FR"/>
        </w:rPr>
        <w:t>  SUR</w:t>
      </w:r>
      <w:proofErr w:type="gramEnd"/>
      <w:r w:rsidR="00E77CB3" w:rsidRPr="00DD64A6">
        <w:rPr>
          <w:lang w:val="fr-FR"/>
        </w:rPr>
        <w:t xml:space="preserve"> LA VIOLATION ALLÉGUÉE DE L</w:t>
      </w:r>
      <w:r w:rsidR="00DD64A6" w:rsidRPr="00DD64A6">
        <w:rPr>
          <w:lang w:val="fr-FR"/>
        </w:rPr>
        <w:t>’</w:t>
      </w:r>
      <w:r w:rsidR="00E77CB3" w:rsidRPr="00DD64A6">
        <w:rPr>
          <w:lang w:val="fr-FR"/>
        </w:rPr>
        <w:t xml:space="preserve">ARTICLE </w:t>
      </w:r>
      <w:r w:rsidR="00565A3C" w:rsidRPr="00DD64A6">
        <w:rPr>
          <w:lang w:val="fr-FR"/>
        </w:rPr>
        <w:t xml:space="preserve">1 </w:t>
      </w:r>
      <w:r w:rsidR="00AE2B1D" w:rsidRPr="00DD64A6">
        <w:rPr>
          <w:lang w:val="fr-FR"/>
        </w:rPr>
        <w:t>DU P</w:t>
      </w:r>
      <w:r w:rsidR="00565A3C" w:rsidRPr="00DD64A6">
        <w:rPr>
          <w:lang w:val="fr-FR"/>
        </w:rPr>
        <w:t>ROTOCOLE N</w:t>
      </w:r>
      <w:r w:rsidR="00E15F9A" w:rsidRPr="00DD64A6">
        <w:rPr>
          <w:vertAlign w:val="superscript"/>
          <w:lang w:val="fr-FR"/>
        </w:rPr>
        <w:t>o</w:t>
      </w:r>
      <w:r w:rsidR="00565A3C" w:rsidRPr="00DD64A6">
        <w:rPr>
          <w:lang w:val="fr-FR"/>
        </w:rPr>
        <w:t xml:space="preserve"> 1</w:t>
      </w:r>
    </w:p>
    <w:p w:rsidR="00E77CB3" w:rsidRPr="00DD64A6" w:rsidRDefault="00A54B07"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18</w:t>
      </w:r>
      <w:r w:rsidRPr="00DD64A6">
        <w:rPr>
          <w:lang w:val="fr-FR"/>
        </w:rPr>
        <w:fldChar w:fldCharType="end"/>
      </w:r>
      <w:r w:rsidRPr="00DD64A6">
        <w:rPr>
          <w:lang w:val="fr-FR"/>
        </w:rPr>
        <w:t>.  </w:t>
      </w:r>
      <w:r w:rsidR="0036691A" w:rsidRPr="00DD64A6">
        <w:rPr>
          <w:lang w:val="fr-FR"/>
        </w:rPr>
        <w:t xml:space="preserve">La </w:t>
      </w:r>
      <w:r w:rsidR="002A7974" w:rsidRPr="00DD64A6">
        <w:rPr>
          <w:lang w:val="fr-FR"/>
        </w:rPr>
        <w:t xml:space="preserve">société </w:t>
      </w:r>
      <w:r w:rsidR="0036691A" w:rsidRPr="00DD64A6">
        <w:rPr>
          <w:lang w:val="fr-FR"/>
        </w:rPr>
        <w:t>requérante</w:t>
      </w:r>
      <w:r w:rsidR="00E77CB3" w:rsidRPr="00DD64A6">
        <w:rPr>
          <w:lang w:val="fr-FR"/>
        </w:rPr>
        <w:t xml:space="preserve"> </w:t>
      </w:r>
      <w:r w:rsidR="002F70E2" w:rsidRPr="00DD64A6">
        <w:rPr>
          <w:lang w:val="fr-FR"/>
        </w:rPr>
        <w:t>se plaint d</w:t>
      </w:r>
      <w:r w:rsidR="00DD64A6" w:rsidRPr="00DD64A6">
        <w:rPr>
          <w:lang w:val="fr-FR"/>
        </w:rPr>
        <w:t>’</w:t>
      </w:r>
      <w:r w:rsidR="002F70E2" w:rsidRPr="00DD64A6">
        <w:rPr>
          <w:lang w:val="fr-FR"/>
        </w:rPr>
        <w:t xml:space="preserve">avoir subi une ingérence </w:t>
      </w:r>
      <w:r w:rsidR="002A7974" w:rsidRPr="00DD64A6">
        <w:rPr>
          <w:lang w:val="fr-FR"/>
        </w:rPr>
        <w:t>qu</w:t>
      </w:r>
      <w:r w:rsidR="00DD64A6" w:rsidRPr="00DD64A6">
        <w:rPr>
          <w:lang w:val="fr-FR"/>
        </w:rPr>
        <w:t>’</w:t>
      </w:r>
      <w:r w:rsidR="002A7974" w:rsidRPr="00DD64A6">
        <w:rPr>
          <w:lang w:val="fr-FR"/>
        </w:rPr>
        <w:t>elle qualifie d</w:t>
      </w:r>
      <w:r w:rsidR="00DD64A6" w:rsidRPr="00DD64A6">
        <w:rPr>
          <w:lang w:val="fr-FR"/>
        </w:rPr>
        <w:t>’</w:t>
      </w:r>
      <w:r w:rsidR="002F70E2" w:rsidRPr="00DD64A6">
        <w:rPr>
          <w:lang w:val="fr-FR"/>
        </w:rPr>
        <w:t>illégale</w:t>
      </w:r>
      <w:r w:rsidR="006C04BE" w:rsidRPr="00DD64A6">
        <w:rPr>
          <w:lang w:val="fr-FR"/>
        </w:rPr>
        <w:t xml:space="preserve"> dans</w:t>
      </w:r>
      <w:r w:rsidR="00C24FD6" w:rsidRPr="00DD64A6">
        <w:rPr>
          <w:lang w:val="fr-FR"/>
        </w:rPr>
        <w:t xml:space="preserve"> son droit au respect de ses biens</w:t>
      </w:r>
      <w:r w:rsidR="00E77CB3" w:rsidRPr="00DD64A6">
        <w:rPr>
          <w:lang w:val="fr-FR"/>
        </w:rPr>
        <w:t xml:space="preserve"> </w:t>
      </w:r>
      <w:r w:rsidR="00C24FD6" w:rsidRPr="00DD64A6">
        <w:rPr>
          <w:lang w:val="fr-FR"/>
        </w:rPr>
        <w:t>garanti</w:t>
      </w:r>
      <w:r w:rsidR="00E77CB3" w:rsidRPr="00DD64A6">
        <w:rPr>
          <w:lang w:val="fr-FR"/>
        </w:rPr>
        <w:t xml:space="preserve"> par l</w:t>
      </w:r>
      <w:r w:rsidR="00DD64A6" w:rsidRPr="00DD64A6">
        <w:rPr>
          <w:lang w:val="fr-FR"/>
        </w:rPr>
        <w:t>’</w:t>
      </w:r>
      <w:r w:rsidR="00E77CB3" w:rsidRPr="00DD64A6">
        <w:rPr>
          <w:lang w:val="fr-FR"/>
        </w:rPr>
        <w:t>article</w:t>
      </w:r>
      <w:r w:rsidR="002A7974" w:rsidRPr="00DD64A6">
        <w:rPr>
          <w:lang w:val="fr-FR"/>
        </w:rPr>
        <w:t> </w:t>
      </w:r>
      <w:r w:rsidR="00C24FD6" w:rsidRPr="00DD64A6">
        <w:rPr>
          <w:lang w:val="fr-FR"/>
        </w:rPr>
        <w:t>1 du Protocole n</w:t>
      </w:r>
      <w:r w:rsidR="00E15F9A" w:rsidRPr="00DD64A6">
        <w:rPr>
          <w:vertAlign w:val="superscript"/>
          <w:lang w:val="fr-FR"/>
        </w:rPr>
        <w:t>o</w:t>
      </w:r>
      <w:r w:rsidR="00C24FD6" w:rsidRPr="00DD64A6">
        <w:rPr>
          <w:lang w:val="fr-FR"/>
        </w:rPr>
        <w:t xml:space="preserve"> 1</w:t>
      </w:r>
      <w:r w:rsidR="002A7974" w:rsidRPr="00DD64A6">
        <w:rPr>
          <w:lang w:val="fr-FR"/>
        </w:rPr>
        <w:t xml:space="preserve"> à la Convention</w:t>
      </w:r>
      <w:r w:rsidR="00E77CB3" w:rsidRPr="00DD64A6">
        <w:rPr>
          <w:lang w:val="fr-FR"/>
        </w:rPr>
        <w:t>, ainsi libellé :</w:t>
      </w:r>
    </w:p>
    <w:p w:rsidR="00B36FAD" w:rsidRPr="00DD64A6" w:rsidRDefault="00B36FAD" w:rsidP="00DD64A6">
      <w:pPr>
        <w:pStyle w:val="ECHRParaQuote"/>
        <w:rPr>
          <w:lang w:val="fr-FR"/>
        </w:rPr>
      </w:pPr>
      <w:r w:rsidRPr="00DD64A6">
        <w:rPr>
          <w:lang w:val="fr-FR"/>
        </w:rPr>
        <w:t>« Toute personne physique ou morale a droit au respect de ses biens. Nul ne peut être privé de sa propriété que pour cause d</w:t>
      </w:r>
      <w:r w:rsidR="00DD64A6" w:rsidRPr="00DD64A6">
        <w:rPr>
          <w:lang w:val="fr-FR"/>
        </w:rPr>
        <w:t>’</w:t>
      </w:r>
      <w:r w:rsidRPr="00DD64A6">
        <w:rPr>
          <w:lang w:val="fr-FR"/>
        </w:rPr>
        <w:t>utilité publique et dans les conditions prévues par la loi et les principes généraux du droit international.</w:t>
      </w:r>
    </w:p>
    <w:p w:rsidR="00B36FAD" w:rsidRPr="00DD64A6" w:rsidRDefault="00B36FAD" w:rsidP="00DD64A6">
      <w:pPr>
        <w:pStyle w:val="ECHRParaQuote"/>
        <w:rPr>
          <w:lang w:val="fr-FR"/>
        </w:rPr>
      </w:pPr>
      <w:r w:rsidRPr="00DD64A6">
        <w:rPr>
          <w:lang w:val="fr-FR"/>
        </w:rPr>
        <w:t xml:space="preserve">Les dispositions précédentes ne portent pas atteinte au droit que possèdent les </w:t>
      </w:r>
      <w:r w:rsidR="004B28B7" w:rsidRPr="00DD64A6">
        <w:rPr>
          <w:lang w:val="fr-FR"/>
        </w:rPr>
        <w:t>É</w:t>
      </w:r>
      <w:r w:rsidRPr="00DD64A6">
        <w:rPr>
          <w:lang w:val="fr-FR"/>
        </w:rPr>
        <w:t>tats de mettre en vigueur les lois qu</w:t>
      </w:r>
      <w:r w:rsidR="00DD64A6" w:rsidRPr="00DD64A6">
        <w:rPr>
          <w:lang w:val="fr-FR"/>
        </w:rPr>
        <w:t>’</w:t>
      </w:r>
      <w:r w:rsidRPr="00DD64A6">
        <w:rPr>
          <w:lang w:val="fr-FR"/>
        </w:rPr>
        <w:t>ils jugent nécessaires pour réglementer l</w:t>
      </w:r>
      <w:r w:rsidR="00DD64A6" w:rsidRPr="00DD64A6">
        <w:rPr>
          <w:lang w:val="fr-FR"/>
        </w:rPr>
        <w:t>’</w:t>
      </w:r>
      <w:r w:rsidRPr="00DD64A6">
        <w:rPr>
          <w:lang w:val="fr-FR"/>
        </w:rPr>
        <w:t>usage des biens conformément à l</w:t>
      </w:r>
      <w:r w:rsidR="00DD64A6" w:rsidRPr="00DD64A6">
        <w:rPr>
          <w:lang w:val="fr-FR"/>
        </w:rPr>
        <w:t>’</w:t>
      </w:r>
      <w:r w:rsidRPr="00DD64A6">
        <w:rPr>
          <w:lang w:val="fr-FR"/>
        </w:rPr>
        <w:t>intérêt général ou pour assurer le paiement des impôts ou d</w:t>
      </w:r>
      <w:r w:rsidR="00DD64A6" w:rsidRPr="00DD64A6">
        <w:rPr>
          <w:lang w:val="fr-FR"/>
        </w:rPr>
        <w:t>’</w:t>
      </w:r>
      <w:r w:rsidRPr="00DD64A6">
        <w:rPr>
          <w:lang w:val="fr-FR"/>
        </w:rPr>
        <w:t>autres contributions ou des amendes. »</w:t>
      </w:r>
    </w:p>
    <w:p w:rsidR="00E77CB3" w:rsidRPr="00DD64A6" w:rsidRDefault="00E77CB3" w:rsidP="00DD64A6">
      <w:pPr>
        <w:pStyle w:val="ECHRHeading2"/>
        <w:rPr>
          <w:lang w:val="fr-FR"/>
        </w:rPr>
      </w:pPr>
      <w:r w:rsidRPr="00DD64A6">
        <w:rPr>
          <w:lang w:val="fr-FR"/>
        </w:rPr>
        <w:t>A.</w:t>
      </w:r>
      <w:proofErr w:type="gramStart"/>
      <w:r w:rsidRPr="00DD64A6">
        <w:rPr>
          <w:lang w:val="fr-FR"/>
        </w:rPr>
        <w:t>  Sur</w:t>
      </w:r>
      <w:proofErr w:type="gramEnd"/>
      <w:r w:rsidRPr="00DD64A6">
        <w:rPr>
          <w:lang w:val="fr-FR"/>
        </w:rPr>
        <w:t xml:space="preserve"> la recevabilité</w:t>
      </w:r>
    </w:p>
    <w:p w:rsidR="00553E3F"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19</w:t>
      </w:r>
      <w:r w:rsidRPr="00DD64A6">
        <w:rPr>
          <w:lang w:val="fr-FR"/>
        </w:rPr>
        <w:fldChar w:fldCharType="end"/>
      </w:r>
      <w:r w:rsidR="00E77CB3" w:rsidRPr="00DD64A6">
        <w:rPr>
          <w:lang w:val="fr-FR"/>
        </w:rPr>
        <w:t>.  </w:t>
      </w:r>
      <w:r w:rsidRPr="00DD64A6">
        <w:rPr>
          <w:lang w:val="fr-FR"/>
        </w:rPr>
        <w:t>Constatant que la requête n</w:t>
      </w:r>
      <w:r w:rsidR="00DD64A6" w:rsidRPr="00DD64A6">
        <w:rPr>
          <w:lang w:val="fr-FR"/>
        </w:rPr>
        <w:t>’</w:t>
      </w:r>
      <w:r w:rsidRPr="00DD64A6">
        <w:rPr>
          <w:lang w:val="fr-FR"/>
        </w:rPr>
        <w:t>est pas manifestement mal fondée au sens de l</w:t>
      </w:r>
      <w:r w:rsidR="00DD64A6" w:rsidRPr="00DD64A6">
        <w:rPr>
          <w:lang w:val="fr-FR"/>
        </w:rPr>
        <w:t>’</w:t>
      </w:r>
      <w:r w:rsidRPr="00DD64A6">
        <w:rPr>
          <w:lang w:val="fr-FR"/>
        </w:rPr>
        <w:t>article 35 § 3 a) de la Convention et qu</w:t>
      </w:r>
      <w:r w:rsidR="00DD64A6" w:rsidRPr="00DD64A6">
        <w:rPr>
          <w:lang w:val="fr-FR"/>
        </w:rPr>
        <w:t>’</w:t>
      </w:r>
      <w:r w:rsidRPr="00DD64A6">
        <w:rPr>
          <w:lang w:val="fr-FR"/>
        </w:rPr>
        <w:t>elle ne se heurte par ailleurs à aucun autre motif d</w:t>
      </w:r>
      <w:r w:rsidR="00DD64A6" w:rsidRPr="00DD64A6">
        <w:rPr>
          <w:lang w:val="fr-FR"/>
        </w:rPr>
        <w:t>’</w:t>
      </w:r>
      <w:r w:rsidRPr="00DD64A6">
        <w:rPr>
          <w:lang w:val="fr-FR"/>
        </w:rPr>
        <w:t>irrecevabilité, la Cour la déclare recevable</w:t>
      </w:r>
      <w:r w:rsidR="00C24FD6" w:rsidRPr="00DD64A6">
        <w:rPr>
          <w:lang w:val="fr-FR"/>
        </w:rPr>
        <w:t>.</w:t>
      </w:r>
    </w:p>
    <w:p w:rsidR="00E77CB3" w:rsidRPr="00DD64A6" w:rsidRDefault="00E77CB3" w:rsidP="00DD64A6">
      <w:pPr>
        <w:pStyle w:val="ECHRHeading2"/>
        <w:rPr>
          <w:lang w:val="fr-FR"/>
        </w:rPr>
      </w:pPr>
      <w:r w:rsidRPr="00DD64A6">
        <w:rPr>
          <w:lang w:val="fr-FR"/>
        </w:rPr>
        <w:t>B.</w:t>
      </w:r>
      <w:proofErr w:type="gramStart"/>
      <w:r w:rsidRPr="00DD64A6">
        <w:rPr>
          <w:lang w:val="fr-FR"/>
        </w:rPr>
        <w:t>  Sur</w:t>
      </w:r>
      <w:proofErr w:type="gramEnd"/>
      <w:r w:rsidRPr="00DD64A6">
        <w:rPr>
          <w:lang w:val="fr-FR"/>
        </w:rPr>
        <w:t xml:space="preserve"> le fond</w:t>
      </w:r>
    </w:p>
    <w:p w:rsidR="0002525C" w:rsidRPr="00DD64A6" w:rsidRDefault="0002525C" w:rsidP="00DD64A6">
      <w:pPr>
        <w:pStyle w:val="ECHRHeading3"/>
        <w:rPr>
          <w:lang w:val="fr-FR"/>
        </w:rPr>
      </w:pPr>
      <w:r w:rsidRPr="00DD64A6">
        <w:rPr>
          <w:lang w:val="fr-FR"/>
        </w:rPr>
        <w:t>1.  Arguments des parties</w:t>
      </w:r>
    </w:p>
    <w:p w:rsidR="00E2703B"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20</w:t>
      </w:r>
      <w:r w:rsidRPr="00DD64A6">
        <w:rPr>
          <w:lang w:val="fr-FR"/>
        </w:rPr>
        <w:fldChar w:fldCharType="end"/>
      </w:r>
      <w:r w:rsidR="00E77CB3" w:rsidRPr="00DD64A6">
        <w:rPr>
          <w:lang w:val="fr-FR"/>
        </w:rPr>
        <w:t>.  </w:t>
      </w:r>
      <w:r w:rsidRPr="00DD64A6">
        <w:rPr>
          <w:lang w:val="fr-FR"/>
        </w:rPr>
        <w:t xml:space="preserve">La </w:t>
      </w:r>
      <w:r w:rsidR="00F54594" w:rsidRPr="00DD64A6">
        <w:rPr>
          <w:lang w:val="fr-FR"/>
        </w:rPr>
        <w:t xml:space="preserve">société </w:t>
      </w:r>
      <w:r w:rsidRPr="00DD64A6">
        <w:rPr>
          <w:lang w:val="fr-FR"/>
        </w:rPr>
        <w:t>requérante</w:t>
      </w:r>
      <w:r w:rsidR="00E77CB3" w:rsidRPr="00DD64A6">
        <w:rPr>
          <w:lang w:val="fr-FR"/>
        </w:rPr>
        <w:t xml:space="preserve"> </w:t>
      </w:r>
      <w:r w:rsidR="002A7974" w:rsidRPr="00DD64A6">
        <w:rPr>
          <w:lang w:val="fr-FR"/>
        </w:rPr>
        <w:t xml:space="preserve">déclare </w:t>
      </w:r>
      <w:r w:rsidR="00562614" w:rsidRPr="00DD64A6">
        <w:rPr>
          <w:lang w:val="fr-FR"/>
        </w:rPr>
        <w:t xml:space="preserve">avoir subi de </w:t>
      </w:r>
      <w:r w:rsidR="007A6C8A" w:rsidRPr="00DD64A6">
        <w:rPr>
          <w:lang w:val="fr-FR"/>
        </w:rPr>
        <w:t xml:space="preserve">très </w:t>
      </w:r>
      <w:r w:rsidR="007946CB" w:rsidRPr="00DD64A6">
        <w:rPr>
          <w:lang w:val="fr-FR"/>
        </w:rPr>
        <w:t>importantes</w:t>
      </w:r>
      <w:r w:rsidR="00562614" w:rsidRPr="00DD64A6">
        <w:rPr>
          <w:lang w:val="fr-FR"/>
        </w:rPr>
        <w:t xml:space="preserve"> pertes financières</w:t>
      </w:r>
      <w:r w:rsidR="00D01713" w:rsidRPr="00DD64A6">
        <w:rPr>
          <w:lang w:val="fr-FR"/>
        </w:rPr>
        <w:t xml:space="preserve"> en raison de l</w:t>
      </w:r>
      <w:r w:rsidR="00DD64A6" w:rsidRPr="00DD64A6">
        <w:rPr>
          <w:lang w:val="fr-FR"/>
        </w:rPr>
        <w:t>’</w:t>
      </w:r>
      <w:r w:rsidR="00D01713" w:rsidRPr="00DD64A6">
        <w:rPr>
          <w:lang w:val="fr-FR"/>
        </w:rPr>
        <w:t xml:space="preserve">action </w:t>
      </w:r>
      <w:r w:rsidR="002A7974" w:rsidRPr="00DD64A6">
        <w:rPr>
          <w:lang w:val="fr-FR"/>
        </w:rPr>
        <w:t xml:space="preserve">selon elle </w:t>
      </w:r>
      <w:r w:rsidR="00D01713" w:rsidRPr="00DD64A6">
        <w:rPr>
          <w:lang w:val="fr-FR"/>
        </w:rPr>
        <w:t>illégale de l</w:t>
      </w:r>
      <w:r w:rsidR="00DD64A6" w:rsidRPr="00DD64A6">
        <w:rPr>
          <w:lang w:val="fr-FR"/>
        </w:rPr>
        <w:t>’</w:t>
      </w:r>
      <w:r w:rsidR="00D01713" w:rsidRPr="00DD64A6">
        <w:rPr>
          <w:lang w:val="fr-FR"/>
        </w:rPr>
        <w:t>administration et se plaint de l</w:t>
      </w:r>
      <w:r w:rsidR="00DD64A6" w:rsidRPr="00DD64A6">
        <w:rPr>
          <w:lang w:val="fr-FR"/>
        </w:rPr>
        <w:t>’</w:t>
      </w:r>
      <w:r w:rsidR="00D01713" w:rsidRPr="00DD64A6">
        <w:rPr>
          <w:lang w:val="fr-FR"/>
        </w:rPr>
        <w:t>impossibilité d</w:t>
      </w:r>
      <w:r w:rsidR="00DD64A6" w:rsidRPr="00DD64A6">
        <w:rPr>
          <w:lang w:val="fr-FR"/>
        </w:rPr>
        <w:t>’</w:t>
      </w:r>
      <w:r w:rsidR="00D01713" w:rsidRPr="00DD64A6">
        <w:rPr>
          <w:lang w:val="fr-FR"/>
        </w:rPr>
        <w:t>obtenir une réparation</w:t>
      </w:r>
      <w:r w:rsidR="00F54594" w:rsidRPr="00DD64A6">
        <w:rPr>
          <w:lang w:val="fr-FR"/>
        </w:rPr>
        <w:t xml:space="preserve"> à cet égard</w:t>
      </w:r>
      <w:r w:rsidR="00D01713" w:rsidRPr="00DD64A6">
        <w:rPr>
          <w:lang w:val="fr-FR"/>
        </w:rPr>
        <w:t xml:space="preserve">. </w:t>
      </w:r>
      <w:r w:rsidR="00F54594" w:rsidRPr="00DD64A6">
        <w:rPr>
          <w:lang w:val="fr-FR"/>
        </w:rPr>
        <w:t>Elle soutient e</w:t>
      </w:r>
      <w:r w:rsidR="00AA18F7" w:rsidRPr="00DD64A6">
        <w:rPr>
          <w:lang w:val="fr-FR"/>
        </w:rPr>
        <w:t>n particulier</w:t>
      </w:r>
      <w:r w:rsidR="00F54594" w:rsidRPr="00DD64A6">
        <w:rPr>
          <w:lang w:val="fr-FR"/>
        </w:rPr>
        <w:t xml:space="preserve"> que</w:t>
      </w:r>
      <w:r w:rsidR="00AA18F7" w:rsidRPr="00DD64A6">
        <w:rPr>
          <w:lang w:val="fr-FR"/>
        </w:rPr>
        <w:t xml:space="preserve"> la </w:t>
      </w:r>
      <w:r w:rsidR="007438D8" w:rsidRPr="00DD64A6">
        <w:rPr>
          <w:lang w:val="fr-FR"/>
        </w:rPr>
        <w:t>révocation</w:t>
      </w:r>
      <w:r w:rsidR="00AA18F7" w:rsidRPr="00DD64A6">
        <w:rPr>
          <w:lang w:val="fr-FR"/>
        </w:rPr>
        <w:t xml:space="preserve"> de la convention </w:t>
      </w:r>
      <w:r w:rsidR="00A65D7D" w:rsidRPr="00DD64A6">
        <w:rPr>
          <w:lang w:val="fr-FR"/>
        </w:rPr>
        <w:t>par</w:t>
      </w:r>
      <w:r w:rsidR="00AA18F7" w:rsidRPr="00DD64A6">
        <w:rPr>
          <w:lang w:val="fr-FR"/>
        </w:rPr>
        <w:t xml:space="preserve"> le service sanitaire national aurait engendré une cessation </w:t>
      </w:r>
      <w:r w:rsidR="007438D8" w:rsidRPr="00DD64A6">
        <w:rPr>
          <w:lang w:val="fr-FR"/>
        </w:rPr>
        <w:t xml:space="preserve">presque </w:t>
      </w:r>
      <w:r w:rsidR="00AA18F7" w:rsidRPr="00DD64A6">
        <w:rPr>
          <w:lang w:val="fr-FR"/>
        </w:rPr>
        <w:t xml:space="preserve">totale </w:t>
      </w:r>
      <w:r w:rsidR="007438D8" w:rsidRPr="00DD64A6">
        <w:rPr>
          <w:lang w:val="fr-FR"/>
        </w:rPr>
        <w:t>de</w:t>
      </w:r>
      <w:r w:rsidR="00AA18F7" w:rsidRPr="00DD64A6">
        <w:rPr>
          <w:lang w:val="fr-FR"/>
        </w:rPr>
        <w:t xml:space="preserve"> son activité pendant </w:t>
      </w:r>
      <w:r w:rsidR="00F54594" w:rsidRPr="00DD64A6">
        <w:rPr>
          <w:lang w:val="fr-FR"/>
        </w:rPr>
        <w:lastRenderedPageBreak/>
        <w:t>45</w:t>
      </w:r>
      <w:r w:rsidR="00B52D13" w:rsidRPr="00DD64A6">
        <w:rPr>
          <w:lang w:val="fr-FR"/>
        </w:rPr>
        <w:t xml:space="preserve"> mois</w:t>
      </w:r>
      <w:r w:rsidR="007A6C8A" w:rsidRPr="00DD64A6">
        <w:rPr>
          <w:lang w:val="fr-FR"/>
        </w:rPr>
        <w:t>. De plus, la reprise de l</w:t>
      </w:r>
      <w:r w:rsidR="00DD64A6" w:rsidRPr="00DD64A6">
        <w:rPr>
          <w:lang w:val="fr-FR"/>
        </w:rPr>
        <w:t>’</w:t>
      </w:r>
      <w:r w:rsidR="007A6C8A" w:rsidRPr="00DD64A6">
        <w:rPr>
          <w:lang w:val="fr-FR"/>
        </w:rPr>
        <w:t>activité</w:t>
      </w:r>
      <w:r w:rsidR="00DC5B6D" w:rsidRPr="00DD64A6">
        <w:rPr>
          <w:lang w:val="fr-FR"/>
        </w:rPr>
        <w:t xml:space="preserve"> en 1997</w:t>
      </w:r>
      <w:r w:rsidR="007A6C8A" w:rsidRPr="00DD64A6">
        <w:rPr>
          <w:lang w:val="fr-FR"/>
        </w:rPr>
        <w:t xml:space="preserve"> aurait été pénalisée par la création d</w:t>
      </w:r>
      <w:r w:rsidR="00DD64A6" w:rsidRPr="00DD64A6">
        <w:rPr>
          <w:lang w:val="fr-FR"/>
        </w:rPr>
        <w:t>’</w:t>
      </w:r>
      <w:r w:rsidR="007A6C8A" w:rsidRPr="00DD64A6">
        <w:rPr>
          <w:lang w:val="fr-FR"/>
        </w:rPr>
        <w:t>un centre d</w:t>
      </w:r>
      <w:r w:rsidR="00DD64A6" w:rsidRPr="00DD64A6">
        <w:rPr>
          <w:lang w:val="fr-FR"/>
        </w:rPr>
        <w:t>’</w:t>
      </w:r>
      <w:r w:rsidR="007A6C8A" w:rsidRPr="00DD64A6">
        <w:rPr>
          <w:lang w:val="fr-FR"/>
        </w:rPr>
        <w:t>imagerie médicale concurrent et par la modification par le service sanitaire national des barèmes de remboursement des prestations.</w:t>
      </w:r>
    </w:p>
    <w:p w:rsidR="00E15F9A" w:rsidRPr="00DD64A6" w:rsidRDefault="007946CB"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21</w:t>
      </w:r>
      <w:r w:rsidRPr="00DD64A6">
        <w:rPr>
          <w:lang w:val="fr-FR"/>
        </w:rPr>
        <w:fldChar w:fldCharType="end"/>
      </w:r>
      <w:r w:rsidRPr="00DD64A6">
        <w:rPr>
          <w:lang w:val="fr-FR"/>
        </w:rPr>
        <w:t xml:space="preserve">.  La </w:t>
      </w:r>
      <w:r w:rsidR="00F54594" w:rsidRPr="00DD64A6">
        <w:rPr>
          <w:lang w:val="fr-FR"/>
        </w:rPr>
        <w:t xml:space="preserve">société </w:t>
      </w:r>
      <w:r w:rsidRPr="00DD64A6">
        <w:rPr>
          <w:lang w:val="fr-FR"/>
        </w:rPr>
        <w:t xml:space="preserve">requérante </w:t>
      </w:r>
      <w:r w:rsidR="00F54594" w:rsidRPr="00DD64A6">
        <w:rPr>
          <w:lang w:val="fr-FR"/>
        </w:rPr>
        <w:t>estime qu</w:t>
      </w:r>
      <w:r w:rsidR="00DD64A6" w:rsidRPr="00DD64A6">
        <w:rPr>
          <w:lang w:val="fr-FR"/>
        </w:rPr>
        <w:t>’</w:t>
      </w:r>
      <w:r w:rsidR="00F54594" w:rsidRPr="00DD64A6">
        <w:rPr>
          <w:lang w:val="fr-FR"/>
        </w:rPr>
        <w:t xml:space="preserve">il est </w:t>
      </w:r>
      <w:r w:rsidRPr="00DD64A6">
        <w:rPr>
          <w:lang w:val="fr-FR"/>
        </w:rPr>
        <w:t>inacceptable que l</w:t>
      </w:r>
      <w:r w:rsidR="00DD64A6" w:rsidRPr="00DD64A6">
        <w:rPr>
          <w:lang w:val="fr-FR"/>
        </w:rPr>
        <w:t>’</w:t>
      </w:r>
      <w:r w:rsidRPr="00DD64A6">
        <w:rPr>
          <w:lang w:val="fr-FR"/>
        </w:rPr>
        <w:t>État utilise la notion d</w:t>
      </w:r>
      <w:r w:rsidR="00DD64A6" w:rsidRPr="00DD64A6">
        <w:rPr>
          <w:lang w:val="fr-FR"/>
        </w:rPr>
        <w:t>’</w:t>
      </w:r>
      <w:r w:rsidR="00FE3D7F" w:rsidRPr="00DD64A6">
        <w:rPr>
          <w:lang w:val="fr-FR"/>
        </w:rPr>
        <w:t>« </w:t>
      </w:r>
      <w:r w:rsidRPr="00DD64A6">
        <w:rPr>
          <w:lang w:val="fr-FR"/>
        </w:rPr>
        <w:t>erreur excusable</w:t>
      </w:r>
      <w:r w:rsidR="00FE3D7F" w:rsidRPr="00DD64A6">
        <w:rPr>
          <w:lang w:val="fr-FR"/>
        </w:rPr>
        <w:t> »</w:t>
      </w:r>
      <w:r w:rsidRPr="00DD64A6">
        <w:rPr>
          <w:lang w:val="fr-FR"/>
        </w:rPr>
        <w:t xml:space="preserve"> </w:t>
      </w:r>
      <w:r w:rsidR="00DC5B6D" w:rsidRPr="00DD64A6">
        <w:rPr>
          <w:lang w:val="fr-FR"/>
        </w:rPr>
        <w:t>pour se dégager de sa responsabilité.</w:t>
      </w:r>
    </w:p>
    <w:p w:rsidR="00E15F9A"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22</w:t>
      </w:r>
      <w:r w:rsidRPr="00DD64A6">
        <w:rPr>
          <w:lang w:val="fr-FR"/>
        </w:rPr>
        <w:fldChar w:fldCharType="end"/>
      </w:r>
      <w:r w:rsidR="00E77CB3" w:rsidRPr="00DD64A6">
        <w:rPr>
          <w:lang w:val="fr-FR"/>
        </w:rPr>
        <w:t xml:space="preserve">.  Le Gouvernement </w:t>
      </w:r>
      <w:r w:rsidR="00E53635" w:rsidRPr="00DD64A6">
        <w:rPr>
          <w:lang w:val="fr-FR"/>
        </w:rPr>
        <w:t xml:space="preserve">argue </w:t>
      </w:r>
      <w:r w:rsidR="00E2703B" w:rsidRPr="00DD64A6">
        <w:rPr>
          <w:lang w:val="fr-FR"/>
        </w:rPr>
        <w:t xml:space="preserve">que </w:t>
      </w:r>
      <w:r w:rsidR="00655D8A" w:rsidRPr="00DD64A6">
        <w:rPr>
          <w:lang w:val="fr-FR"/>
        </w:rPr>
        <w:t>l</w:t>
      </w:r>
      <w:r w:rsidR="00DD64A6" w:rsidRPr="00DD64A6">
        <w:rPr>
          <w:lang w:val="fr-FR"/>
        </w:rPr>
        <w:t>’</w:t>
      </w:r>
      <w:r w:rsidR="00655D8A" w:rsidRPr="00DD64A6">
        <w:rPr>
          <w:lang w:val="fr-FR"/>
        </w:rPr>
        <w:t>ingérence dans le droit de propriété de la requérante était prévu</w:t>
      </w:r>
      <w:r w:rsidR="000E0270" w:rsidRPr="00DD64A6">
        <w:rPr>
          <w:lang w:val="fr-FR"/>
        </w:rPr>
        <w:t>e</w:t>
      </w:r>
      <w:r w:rsidR="00655D8A" w:rsidRPr="00DD64A6">
        <w:rPr>
          <w:lang w:val="fr-FR"/>
        </w:rPr>
        <w:t xml:space="preserve"> par la loi, </w:t>
      </w:r>
      <w:r w:rsidR="0078216F" w:rsidRPr="00DD64A6">
        <w:rPr>
          <w:lang w:val="fr-FR"/>
        </w:rPr>
        <w:t>mais il admet cependant</w:t>
      </w:r>
      <w:r w:rsidR="00A65D7D" w:rsidRPr="00DD64A6">
        <w:rPr>
          <w:lang w:val="fr-FR"/>
        </w:rPr>
        <w:t xml:space="preserve"> une erreur d</w:t>
      </w:r>
      <w:r w:rsidR="00DD64A6" w:rsidRPr="00DD64A6">
        <w:rPr>
          <w:lang w:val="fr-FR"/>
        </w:rPr>
        <w:t>’</w:t>
      </w:r>
      <w:r w:rsidR="00A65D7D" w:rsidRPr="00DD64A6">
        <w:rPr>
          <w:lang w:val="fr-FR"/>
        </w:rPr>
        <w:t>application de la part de l</w:t>
      </w:r>
      <w:r w:rsidR="00DD64A6" w:rsidRPr="00DD64A6">
        <w:rPr>
          <w:lang w:val="fr-FR"/>
        </w:rPr>
        <w:t>’</w:t>
      </w:r>
      <w:r w:rsidR="00A65D7D" w:rsidRPr="00DD64A6">
        <w:rPr>
          <w:lang w:val="fr-FR"/>
        </w:rPr>
        <w:t>administration</w:t>
      </w:r>
      <w:r w:rsidR="000E0270" w:rsidRPr="00DD64A6">
        <w:rPr>
          <w:lang w:val="fr-FR"/>
        </w:rPr>
        <w:t>.</w:t>
      </w:r>
    </w:p>
    <w:p w:rsidR="00F42C63" w:rsidRPr="00DD64A6" w:rsidRDefault="002F70E2"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23</w:t>
      </w:r>
      <w:r w:rsidRPr="00DD64A6">
        <w:rPr>
          <w:lang w:val="fr-FR"/>
        </w:rPr>
        <w:fldChar w:fldCharType="end"/>
      </w:r>
      <w:r w:rsidRPr="00DD64A6">
        <w:rPr>
          <w:lang w:val="fr-FR"/>
        </w:rPr>
        <w:t>.  </w:t>
      </w:r>
      <w:r w:rsidR="00F773CD" w:rsidRPr="00DD64A6">
        <w:rPr>
          <w:lang w:val="fr-FR"/>
        </w:rPr>
        <w:t xml:space="preserve">Il </w:t>
      </w:r>
      <w:r w:rsidR="00E53635" w:rsidRPr="00DD64A6">
        <w:rPr>
          <w:lang w:val="fr-FR"/>
        </w:rPr>
        <w:t>expose</w:t>
      </w:r>
      <w:r w:rsidR="00F773CD" w:rsidRPr="00DD64A6">
        <w:rPr>
          <w:lang w:val="fr-FR"/>
        </w:rPr>
        <w:t xml:space="preserve"> que l</w:t>
      </w:r>
      <w:r w:rsidR="002F5AEE" w:rsidRPr="00DD64A6">
        <w:rPr>
          <w:lang w:val="fr-FR"/>
        </w:rPr>
        <w:t xml:space="preserve">adite erreur </w:t>
      </w:r>
      <w:r w:rsidR="00F773CD" w:rsidRPr="00DD64A6">
        <w:rPr>
          <w:lang w:val="fr-FR"/>
        </w:rPr>
        <w:t>était</w:t>
      </w:r>
      <w:r w:rsidR="0028330C" w:rsidRPr="00DD64A6">
        <w:rPr>
          <w:lang w:val="fr-FR"/>
        </w:rPr>
        <w:t xml:space="preserve"> </w:t>
      </w:r>
      <w:r w:rsidR="00F42C63" w:rsidRPr="00DD64A6">
        <w:rPr>
          <w:lang w:val="fr-FR"/>
        </w:rPr>
        <w:t xml:space="preserve">excusable </w:t>
      </w:r>
      <w:r w:rsidR="00E53635" w:rsidRPr="00DD64A6">
        <w:rPr>
          <w:lang w:val="fr-FR"/>
        </w:rPr>
        <w:t>au motif qu</w:t>
      </w:r>
      <w:r w:rsidR="00DD64A6" w:rsidRPr="00DD64A6">
        <w:rPr>
          <w:lang w:val="fr-FR"/>
        </w:rPr>
        <w:t>’</w:t>
      </w:r>
      <w:r w:rsidR="00F773CD" w:rsidRPr="00DD64A6">
        <w:rPr>
          <w:lang w:val="fr-FR"/>
        </w:rPr>
        <w:t xml:space="preserve">elle </w:t>
      </w:r>
      <w:r w:rsidR="00F42C63" w:rsidRPr="00DD64A6">
        <w:rPr>
          <w:lang w:val="fr-FR"/>
        </w:rPr>
        <w:t>se fondai</w:t>
      </w:r>
      <w:r w:rsidR="005B44D5" w:rsidRPr="00DD64A6">
        <w:rPr>
          <w:lang w:val="fr-FR"/>
        </w:rPr>
        <w:t xml:space="preserve">t sur un avis de la haute juridiction administrative </w:t>
      </w:r>
      <w:r w:rsidR="00F42C63" w:rsidRPr="00DD64A6">
        <w:rPr>
          <w:lang w:val="fr-FR"/>
        </w:rPr>
        <w:t xml:space="preserve">et </w:t>
      </w:r>
      <w:r w:rsidR="00E53635" w:rsidRPr="00DD64A6">
        <w:rPr>
          <w:lang w:val="fr-FR"/>
        </w:rPr>
        <w:t>qu</w:t>
      </w:r>
      <w:r w:rsidR="00DD64A6" w:rsidRPr="00DD64A6">
        <w:rPr>
          <w:lang w:val="fr-FR"/>
        </w:rPr>
        <w:t>’</w:t>
      </w:r>
      <w:r w:rsidR="00E53635" w:rsidRPr="00DD64A6">
        <w:rPr>
          <w:lang w:val="fr-FR"/>
        </w:rPr>
        <w:t xml:space="preserve">elle </w:t>
      </w:r>
      <w:r w:rsidR="00F773CD" w:rsidRPr="00DD64A6">
        <w:rPr>
          <w:lang w:val="fr-FR"/>
        </w:rPr>
        <w:t>était</w:t>
      </w:r>
      <w:r w:rsidRPr="00DD64A6">
        <w:rPr>
          <w:lang w:val="fr-FR"/>
        </w:rPr>
        <w:t xml:space="preserve"> justifiée par les difficultés </w:t>
      </w:r>
      <w:r w:rsidR="00B52D13" w:rsidRPr="00DD64A6">
        <w:rPr>
          <w:lang w:val="fr-FR"/>
        </w:rPr>
        <w:t xml:space="preserve">objectives </w:t>
      </w:r>
      <w:r w:rsidRPr="00DD64A6">
        <w:rPr>
          <w:lang w:val="fr-FR"/>
        </w:rPr>
        <w:t>liées à l</w:t>
      </w:r>
      <w:r w:rsidR="00DD64A6" w:rsidRPr="00DD64A6">
        <w:rPr>
          <w:lang w:val="fr-FR"/>
        </w:rPr>
        <w:t>’</w:t>
      </w:r>
      <w:r w:rsidR="00F773CD" w:rsidRPr="00DD64A6">
        <w:rPr>
          <w:lang w:val="fr-FR"/>
        </w:rPr>
        <w:t xml:space="preserve">interprétation de la loi </w:t>
      </w:r>
      <w:r w:rsidRPr="00DD64A6">
        <w:rPr>
          <w:lang w:val="fr-FR"/>
        </w:rPr>
        <w:t xml:space="preserve">applicable </w:t>
      </w:r>
      <w:r w:rsidR="00F773CD" w:rsidRPr="00DD64A6">
        <w:rPr>
          <w:lang w:val="fr-FR"/>
        </w:rPr>
        <w:t xml:space="preserve">en raison notamment de </w:t>
      </w:r>
      <w:r w:rsidR="0078216F" w:rsidRPr="00DD64A6">
        <w:rPr>
          <w:lang w:val="fr-FR"/>
        </w:rPr>
        <w:t>l</w:t>
      </w:r>
      <w:r w:rsidR="00F773CD" w:rsidRPr="00DD64A6">
        <w:rPr>
          <w:lang w:val="fr-FR"/>
        </w:rPr>
        <w:t>a nouveauté</w:t>
      </w:r>
      <w:r w:rsidR="0078216F" w:rsidRPr="00DD64A6">
        <w:rPr>
          <w:lang w:val="fr-FR"/>
        </w:rPr>
        <w:t xml:space="preserve"> de celle-ci</w:t>
      </w:r>
      <w:r w:rsidR="00F773CD" w:rsidRPr="00DD64A6">
        <w:rPr>
          <w:lang w:val="fr-FR"/>
        </w:rPr>
        <w:t xml:space="preserve">. </w:t>
      </w:r>
      <w:r w:rsidR="0078216F" w:rsidRPr="00DD64A6">
        <w:rPr>
          <w:lang w:val="fr-FR"/>
        </w:rPr>
        <w:t>Il indique que, d</w:t>
      </w:r>
      <w:r w:rsidR="00F773CD" w:rsidRPr="00DD64A6">
        <w:rPr>
          <w:lang w:val="fr-FR"/>
        </w:rPr>
        <w:t>e plus, l</w:t>
      </w:r>
      <w:r w:rsidR="00DD64A6" w:rsidRPr="00DD64A6">
        <w:rPr>
          <w:lang w:val="fr-FR"/>
        </w:rPr>
        <w:t>’</w:t>
      </w:r>
      <w:r w:rsidR="00F773CD" w:rsidRPr="00DD64A6">
        <w:rPr>
          <w:lang w:val="fr-FR"/>
        </w:rPr>
        <w:t xml:space="preserve">administration a réagi très rapidement </w:t>
      </w:r>
      <w:r w:rsidR="00B52D13" w:rsidRPr="00DD64A6">
        <w:rPr>
          <w:lang w:val="fr-FR"/>
        </w:rPr>
        <w:t xml:space="preserve">en faveur de la requérante </w:t>
      </w:r>
      <w:r w:rsidR="00F773CD" w:rsidRPr="00DD64A6">
        <w:rPr>
          <w:lang w:val="fr-FR"/>
        </w:rPr>
        <w:t xml:space="preserve">en rétablissant la convention litigieuse aussitôt après le passage en force de chose jugée du jugement du tribunal administratif. Dès lors, </w:t>
      </w:r>
      <w:r w:rsidR="00FA605C" w:rsidRPr="00DD64A6">
        <w:rPr>
          <w:lang w:val="fr-FR"/>
        </w:rPr>
        <w:t xml:space="preserve">selon lui, </w:t>
      </w:r>
      <w:r w:rsidR="00F773CD" w:rsidRPr="00DD64A6">
        <w:rPr>
          <w:lang w:val="fr-FR"/>
        </w:rPr>
        <w:t xml:space="preserve">aucune </w:t>
      </w:r>
      <w:r w:rsidR="00F42C63" w:rsidRPr="00DD64A6">
        <w:rPr>
          <w:lang w:val="fr-FR"/>
        </w:rPr>
        <w:t xml:space="preserve">responsabilité </w:t>
      </w:r>
      <w:r w:rsidR="00FE3D7F" w:rsidRPr="00DD64A6">
        <w:rPr>
          <w:lang w:val="fr-FR"/>
        </w:rPr>
        <w:t>de l</w:t>
      </w:r>
      <w:r w:rsidR="00DD64A6" w:rsidRPr="00DD64A6">
        <w:rPr>
          <w:lang w:val="fr-FR"/>
        </w:rPr>
        <w:t>’</w:t>
      </w:r>
      <w:r w:rsidR="00FE3D7F" w:rsidRPr="00DD64A6">
        <w:rPr>
          <w:lang w:val="fr-FR"/>
        </w:rPr>
        <w:t xml:space="preserve">administration ne serait </w:t>
      </w:r>
      <w:r w:rsidR="00F773CD" w:rsidRPr="00DD64A6">
        <w:rPr>
          <w:lang w:val="fr-FR"/>
        </w:rPr>
        <w:t>envisageable en l</w:t>
      </w:r>
      <w:r w:rsidR="00DD64A6" w:rsidRPr="00DD64A6">
        <w:rPr>
          <w:lang w:val="fr-FR"/>
        </w:rPr>
        <w:t>’</w:t>
      </w:r>
      <w:r w:rsidR="00F773CD" w:rsidRPr="00DD64A6">
        <w:rPr>
          <w:lang w:val="fr-FR"/>
        </w:rPr>
        <w:t>espèce</w:t>
      </w:r>
      <w:r w:rsidR="00F42C63" w:rsidRPr="00DD64A6">
        <w:rPr>
          <w:lang w:val="fr-FR"/>
        </w:rPr>
        <w:t>.</w:t>
      </w:r>
    </w:p>
    <w:p w:rsidR="00E15F9A" w:rsidRPr="00DD64A6" w:rsidRDefault="00EE2083"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24</w:t>
      </w:r>
      <w:r w:rsidRPr="00DD64A6">
        <w:rPr>
          <w:lang w:val="fr-FR"/>
        </w:rPr>
        <w:fldChar w:fldCharType="end"/>
      </w:r>
      <w:r w:rsidRPr="00DD64A6">
        <w:rPr>
          <w:lang w:val="fr-FR"/>
        </w:rPr>
        <w:t>.  </w:t>
      </w:r>
      <w:r w:rsidR="00FA605C" w:rsidRPr="00DD64A6">
        <w:rPr>
          <w:lang w:val="fr-FR"/>
        </w:rPr>
        <w:t>Le Gouvernement soutient</w:t>
      </w:r>
      <w:r w:rsidR="00F773CD" w:rsidRPr="00DD64A6">
        <w:rPr>
          <w:lang w:val="fr-FR"/>
        </w:rPr>
        <w:t xml:space="preserve"> par ailleurs</w:t>
      </w:r>
      <w:r w:rsidR="00807ADE" w:rsidRPr="00DD64A6">
        <w:rPr>
          <w:lang w:val="fr-FR"/>
        </w:rPr>
        <w:t xml:space="preserve"> </w:t>
      </w:r>
      <w:r w:rsidR="000E0270" w:rsidRPr="00DD64A6">
        <w:rPr>
          <w:lang w:val="fr-FR"/>
        </w:rPr>
        <w:t xml:space="preserve">que le préjudice subi par la requérante correspond à un manque à gagner tout à fait compatible avec le </w:t>
      </w:r>
      <w:r w:rsidR="00722BB1" w:rsidRPr="00DD64A6">
        <w:rPr>
          <w:lang w:val="fr-FR"/>
        </w:rPr>
        <w:t xml:space="preserve">risque </w:t>
      </w:r>
      <w:r w:rsidR="000E0270" w:rsidRPr="00DD64A6">
        <w:rPr>
          <w:lang w:val="fr-FR"/>
        </w:rPr>
        <w:t>d</w:t>
      </w:r>
      <w:r w:rsidR="00DD64A6" w:rsidRPr="00DD64A6">
        <w:rPr>
          <w:lang w:val="fr-FR"/>
        </w:rPr>
        <w:t>’</w:t>
      </w:r>
      <w:r w:rsidR="000E0270" w:rsidRPr="00DD64A6">
        <w:rPr>
          <w:lang w:val="fr-FR"/>
        </w:rPr>
        <w:t xml:space="preserve">entreprise </w:t>
      </w:r>
      <w:r w:rsidR="00722BB1" w:rsidRPr="00DD64A6">
        <w:rPr>
          <w:lang w:val="fr-FR"/>
        </w:rPr>
        <w:t xml:space="preserve">normal </w:t>
      </w:r>
      <w:r w:rsidR="000E0270" w:rsidRPr="00DD64A6">
        <w:rPr>
          <w:lang w:val="fr-FR"/>
        </w:rPr>
        <w:t xml:space="preserve">auquel </w:t>
      </w:r>
      <w:r w:rsidR="00F773CD" w:rsidRPr="00DD64A6">
        <w:rPr>
          <w:lang w:val="fr-FR"/>
        </w:rPr>
        <w:t>elle</w:t>
      </w:r>
      <w:r w:rsidR="000E0270" w:rsidRPr="00DD64A6">
        <w:rPr>
          <w:lang w:val="fr-FR"/>
        </w:rPr>
        <w:t xml:space="preserve"> </w:t>
      </w:r>
      <w:r w:rsidR="00D01596" w:rsidRPr="00DD64A6">
        <w:rPr>
          <w:lang w:val="fr-FR"/>
        </w:rPr>
        <w:t>était</w:t>
      </w:r>
      <w:r w:rsidR="000E0270" w:rsidRPr="00DD64A6">
        <w:rPr>
          <w:lang w:val="fr-FR"/>
        </w:rPr>
        <w:t xml:space="preserve"> exposé</w:t>
      </w:r>
      <w:r w:rsidR="00D01596" w:rsidRPr="00DD64A6">
        <w:rPr>
          <w:lang w:val="fr-FR"/>
        </w:rPr>
        <w:t>e</w:t>
      </w:r>
      <w:r w:rsidR="000E0270" w:rsidRPr="00DD64A6">
        <w:rPr>
          <w:lang w:val="fr-FR"/>
        </w:rPr>
        <w:t xml:space="preserve"> du fait de son activité</w:t>
      </w:r>
      <w:r w:rsidR="00F773CD" w:rsidRPr="00DD64A6">
        <w:rPr>
          <w:lang w:val="fr-FR"/>
        </w:rPr>
        <w:t xml:space="preserve"> commerciale</w:t>
      </w:r>
      <w:r w:rsidR="000E0270" w:rsidRPr="00DD64A6">
        <w:rPr>
          <w:lang w:val="fr-FR"/>
        </w:rPr>
        <w:t xml:space="preserve">. </w:t>
      </w:r>
      <w:r w:rsidR="00807ADE" w:rsidRPr="00DD64A6">
        <w:rPr>
          <w:lang w:val="fr-FR"/>
        </w:rPr>
        <w:t xml:space="preserve">Il </w:t>
      </w:r>
      <w:r w:rsidR="00722BB1" w:rsidRPr="00DD64A6">
        <w:rPr>
          <w:lang w:val="fr-FR"/>
        </w:rPr>
        <w:t xml:space="preserve">considère que ce manque à gagner </w:t>
      </w:r>
      <w:r w:rsidR="00807ADE" w:rsidRPr="00DD64A6">
        <w:rPr>
          <w:lang w:val="fr-FR"/>
        </w:rPr>
        <w:t xml:space="preserve">ne saurait donc être considéré </w:t>
      </w:r>
      <w:r w:rsidR="00B52D13" w:rsidRPr="00DD64A6">
        <w:rPr>
          <w:lang w:val="fr-FR"/>
        </w:rPr>
        <w:t xml:space="preserve">comme </w:t>
      </w:r>
      <w:r w:rsidR="00807ADE" w:rsidRPr="00DD64A6">
        <w:rPr>
          <w:lang w:val="fr-FR"/>
        </w:rPr>
        <w:t xml:space="preserve">une </w:t>
      </w:r>
      <w:r w:rsidR="00B52D13" w:rsidRPr="00DD64A6">
        <w:rPr>
          <w:lang w:val="fr-FR"/>
        </w:rPr>
        <w:t>« </w:t>
      </w:r>
      <w:r w:rsidR="00807ADE" w:rsidRPr="00DD64A6">
        <w:rPr>
          <w:lang w:val="fr-FR"/>
        </w:rPr>
        <w:t>charge excessive</w:t>
      </w:r>
      <w:r w:rsidR="00B52D13" w:rsidRPr="00DD64A6">
        <w:rPr>
          <w:lang w:val="fr-FR"/>
        </w:rPr>
        <w:t> » imposée à</w:t>
      </w:r>
      <w:r w:rsidR="00CB4C7F" w:rsidRPr="00DD64A6">
        <w:rPr>
          <w:lang w:val="fr-FR"/>
        </w:rPr>
        <w:t xml:space="preserve"> la requérante</w:t>
      </w:r>
      <w:r w:rsidR="00807ADE" w:rsidRPr="00DD64A6">
        <w:rPr>
          <w:lang w:val="fr-FR"/>
        </w:rPr>
        <w:t>.</w:t>
      </w:r>
    </w:p>
    <w:p w:rsidR="000F63DB" w:rsidRPr="00DD64A6" w:rsidRDefault="00FF61B1"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25</w:t>
      </w:r>
      <w:r w:rsidRPr="00DD64A6">
        <w:rPr>
          <w:lang w:val="fr-FR"/>
        </w:rPr>
        <w:fldChar w:fldCharType="end"/>
      </w:r>
      <w:r w:rsidRPr="00DD64A6">
        <w:rPr>
          <w:lang w:val="fr-FR"/>
        </w:rPr>
        <w:t>.  </w:t>
      </w:r>
      <w:r w:rsidR="00722BB1" w:rsidRPr="00DD64A6">
        <w:rPr>
          <w:lang w:val="fr-FR"/>
        </w:rPr>
        <w:t>À</w:t>
      </w:r>
      <w:r w:rsidR="000F63DB" w:rsidRPr="00DD64A6">
        <w:rPr>
          <w:lang w:val="fr-FR"/>
        </w:rPr>
        <w:t xml:space="preserve"> cet égard, il </w:t>
      </w:r>
      <w:r w:rsidR="00CD0F96" w:rsidRPr="00DD64A6">
        <w:rPr>
          <w:lang w:val="fr-FR"/>
        </w:rPr>
        <w:t>expose</w:t>
      </w:r>
      <w:r w:rsidR="000F63DB" w:rsidRPr="00DD64A6">
        <w:rPr>
          <w:lang w:val="fr-FR"/>
        </w:rPr>
        <w:t xml:space="preserve"> </w:t>
      </w:r>
      <w:r w:rsidR="00210E60" w:rsidRPr="00DD64A6">
        <w:rPr>
          <w:lang w:val="fr-FR"/>
        </w:rPr>
        <w:t>en outre</w:t>
      </w:r>
      <w:r w:rsidR="000F63DB" w:rsidRPr="00DD64A6">
        <w:rPr>
          <w:lang w:val="fr-FR"/>
        </w:rPr>
        <w:t xml:space="preserve"> que l</w:t>
      </w:r>
      <w:r w:rsidR="00DD64A6" w:rsidRPr="00DD64A6">
        <w:rPr>
          <w:lang w:val="fr-FR"/>
        </w:rPr>
        <w:t>’</w:t>
      </w:r>
      <w:r w:rsidR="000F63DB" w:rsidRPr="00DD64A6">
        <w:rPr>
          <w:lang w:val="fr-FR"/>
        </w:rPr>
        <w:t xml:space="preserve">annulation de la convention a eu pour </w:t>
      </w:r>
      <w:r w:rsidRPr="00DD64A6">
        <w:rPr>
          <w:lang w:val="fr-FR"/>
        </w:rPr>
        <w:t xml:space="preserve">seul </w:t>
      </w:r>
      <w:r w:rsidR="000F63DB" w:rsidRPr="00DD64A6">
        <w:rPr>
          <w:lang w:val="fr-FR"/>
        </w:rPr>
        <w:t xml:space="preserve">effet de priver le centre médical des patients </w:t>
      </w:r>
      <w:r w:rsidR="00CD0F96" w:rsidRPr="00DD64A6">
        <w:rPr>
          <w:lang w:val="fr-FR"/>
        </w:rPr>
        <w:t>du</w:t>
      </w:r>
      <w:r w:rsidR="000F63DB" w:rsidRPr="00DD64A6">
        <w:rPr>
          <w:lang w:val="fr-FR"/>
        </w:rPr>
        <w:t xml:space="preserve"> service sanitaire national. Or, </w:t>
      </w:r>
      <w:r w:rsidR="00CD0F96" w:rsidRPr="00DD64A6">
        <w:rPr>
          <w:lang w:val="fr-FR"/>
        </w:rPr>
        <w:t xml:space="preserve">à ses yeux, </w:t>
      </w:r>
      <w:r w:rsidR="000F63DB" w:rsidRPr="00DD64A6">
        <w:rPr>
          <w:lang w:val="fr-FR"/>
        </w:rPr>
        <w:t xml:space="preserve">bien que </w:t>
      </w:r>
      <w:r w:rsidR="00CD0F96" w:rsidRPr="00DD64A6">
        <w:rPr>
          <w:lang w:val="fr-FR"/>
        </w:rPr>
        <w:t xml:space="preserve">la prise en charge de ces patients </w:t>
      </w:r>
      <w:proofErr w:type="gramStart"/>
      <w:r w:rsidR="00F21003" w:rsidRPr="00DD64A6">
        <w:rPr>
          <w:lang w:val="fr-FR"/>
        </w:rPr>
        <w:t>représent</w:t>
      </w:r>
      <w:r w:rsidR="00CD0F96" w:rsidRPr="00DD64A6">
        <w:rPr>
          <w:lang w:val="fr-FR"/>
        </w:rPr>
        <w:t>ai</w:t>
      </w:r>
      <w:r w:rsidR="00F21003" w:rsidRPr="00DD64A6">
        <w:rPr>
          <w:lang w:val="fr-FR"/>
        </w:rPr>
        <w:t>t</w:t>
      </w:r>
      <w:proofErr w:type="gramEnd"/>
      <w:r w:rsidR="00F21003" w:rsidRPr="00DD64A6">
        <w:rPr>
          <w:lang w:val="fr-FR"/>
        </w:rPr>
        <w:t xml:space="preserve"> une partie importante de l</w:t>
      </w:r>
      <w:r w:rsidR="00DD64A6" w:rsidRPr="00DD64A6">
        <w:rPr>
          <w:lang w:val="fr-FR"/>
        </w:rPr>
        <w:t>’</w:t>
      </w:r>
      <w:r w:rsidR="00F21003" w:rsidRPr="00DD64A6">
        <w:rPr>
          <w:lang w:val="fr-FR"/>
        </w:rPr>
        <w:t xml:space="preserve">activité </w:t>
      </w:r>
      <w:r w:rsidR="00CD0F96" w:rsidRPr="00DD64A6">
        <w:rPr>
          <w:lang w:val="fr-FR"/>
        </w:rPr>
        <w:t>de la société requérante</w:t>
      </w:r>
      <w:r w:rsidR="00F21003" w:rsidRPr="00DD64A6">
        <w:rPr>
          <w:lang w:val="fr-FR"/>
        </w:rPr>
        <w:t xml:space="preserve">, </w:t>
      </w:r>
      <w:r w:rsidR="00CD0F96" w:rsidRPr="00DD64A6">
        <w:rPr>
          <w:lang w:val="fr-FR"/>
        </w:rPr>
        <w:t xml:space="preserve">la perte de ces patients </w:t>
      </w:r>
      <w:r w:rsidR="00F21003" w:rsidRPr="00DD64A6">
        <w:rPr>
          <w:lang w:val="fr-FR"/>
        </w:rPr>
        <w:t>n</w:t>
      </w:r>
      <w:r w:rsidR="00DD64A6" w:rsidRPr="00DD64A6">
        <w:rPr>
          <w:lang w:val="fr-FR"/>
        </w:rPr>
        <w:t>’</w:t>
      </w:r>
      <w:r w:rsidR="00F21003" w:rsidRPr="00DD64A6">
        <w:rPr>
          <w:lang w:val="fr-FR"/>
        </w:rPr>
        <w:t xml:space="preserve">a pas </w:t>
      </w:r>
      <w:r w:rsidR="00210E60" w:rsidRPr="00DD64A6">
        <w:rPr>
          <w:lang w:val="fr-FR"/>
        </w:rPr>
        <w:t>entra</w:t>
      </w:r>
      <w:r w:rsidR="00CD0F96" w:rsidRPr="00DD64A6">
        <w:rPr>
          <w:lang w:val="fr-FR"/>
        </w:rPr>
        <w:t>î</w:t>
      </w:r>
      <w:r w:rsidR="00210E60" w:rsidRPr="00DD64A6">
        <w:rPr>
          <w:lang w:val="fr-FR"/>
        </w:rPr>
        <w:t>né</w:t>
      </w:r>
      <w:r w:rsidR="00F21003" w:rsidRPr="00DD64A6">
        <w:rPr>
          <w:lang w:val="fr-FR"/>
        </w:rPr>
        <w:t xml:space="preserve"> pour autant </w:t>
      </w:r>
      <w:r w:rsidR="000F63DB" w:rsidRPr="00DD64A6">
        <w:rPr>
          <w:lang w:val="fr-FR"/>
        </w:rPr>
        <w:t xml:space="preserve">la cessation </w:t>
      </w:r>
      <w:r w:rsidR="00F21003" w:rsidRPr="00DD64A6">
        <w:rPr>
          <w:lang w:val="fr-FR"/>
        </w:rPr>
        <w:t>de toute activité.</w:t>
      </w:r>
    </w:p>
    <w:p w:rsidR="00450787" w:rsidRPr="00DD64A6" w:rsidRDefault="00FF61B1"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26</w:t>
      </w:r>
      <w:r w:rsidRPr="00DD64A6">
        <w:rPr>
          <w:lang w:val="fr-FR"/>
        </w:rPr>
        <w:fldChar w:fldCharType="end"/>
      </w:r>
      <w:r w:rsidRPr="00DD64A6">
        <w:rPr>
          <w:lang w:val="fr-FR"/>
        </w:rPr>
        <w:t>.  </w:t>
      </w:r>
      <w:r w:rsidR="00F21003" w:rsidRPr="00DD64A6">
        <w:rPr>
          <w:lang w:val="fr-FR"/>
        </w:rPr>
        <w:t xml:space="preserve">Enfin, le Gouvernement </w:t>
      </w:r>
      <w:r w:rsidR="00CD0F96" w:rsidRPr="00DD64A6">
        <w:rPr>
          <w:lang w:val="fr-FR"/>
        </w:rPr>
        <w:t>indique</w:t>
      </w:r>
      <w:r w:rsidR="00F21003" w:rsidRPr="00DD64A6">
        <w:rPr>
          <w:lang w:val="fr-FR"/>
        </w:rPr>
        <w:t xml:space="preserve"> que la </w:t>
      </w:r>
      <w:r w:rsidRPr="00DD64A6">
        <w:rPr>
          <w:lang w:val="fr-FR"/>
        </w:rPr>
        <w:t>conclusion</w:t>
      </w:r>
      <w:r w:rsidR="00F21003" w:rsidRPr="00DD64A6">
        <w:rPr>
          <w:lang w:val="fr-FR"/>
        </w:rPr>
        <w:t xml:space="preserve"> de convention</w:t>
      </w:r>
      <w:r w:rsidRPr="00DD64A6">
        <w:rPr>
          <w:lang w:val="fr-FR"/>
        </w:rPr>
        <w:t>s</w:t>
      </w:r>
      <w:r w:rsidR="00F21003" w:rsidRPr="00DD64A6">
        <w:rPr>
          <w:lang w:val="fr-FR"/>
        </w:rPr>
        <w:t xml:space="preserve"> </w:t>
      </w:r>
      <w:r w:rsidR="00DB5971" w:rsidRPr="00DD64A6">
        <w:rPr>
          <w:lang w:val="fr-FR"/>
        </w:rPr>
        <w:t>entre le</w:t>
      </w:r>
      <w:r w:rsidR="00210E60" w:rsidRPr="00DD64A6">
        <w:rPr>
          <w:lang w:val="fr-FR"/>
        </w:rPr>
        <w:t xml:space="preserve"> service sanitaire national et l</w:t>
      </w:r>
      <w:r w:rsidR="00DB5971" w:rsidRPr="00DD64A6">
        <w:rPr>
          <w:lang w:val="fr-FR"/>
        </w:rPr>
        <w:t xml:space="preserve">es </w:t>
      </w:r>
      <w:r w:rsidRPr="00DD64A6">
        <w:rPr>
          <w:lang w:val="fr-FR"/>
        </w:rPr>
        <w:t>structures médicales privées</w:t>
      </w:r>
      <w:r w:rsidR="00DB5971" w:rsidRPr="00DD64A6">
        <w:rPr>
          <w:lang w:val="fr-FR"/>
        </w:rPr>
        <w:t xml:space="preserve"> </w:t>
      </w:r>
      <w:r w:rsidRPr="00DD64A6">
        <w:rPr>
          <w:lang w:val="fr-FR"/>
        </w:rPr>
        <w:t xml:space="preserve">est un moyen de </w:t>
      </w:r>
      <w:r w:rsidR="00EB71B6" w:rsidRPr="00DD64A6">
        <w:rPr>
          <w:lang w:val="fr-FR"/>
        </w:rPr>
        <w:t>servir</w:t>
      </w:r>
      <w:r w:rsidRPr="00DD64A6">
        <w:rPr>
          <w:lang w:val="fr-FR"/>
        </w:rPr>
        <w:t xml:space="preserve"> l</w:t>
      </w:r>
      <w:r w:rsidR="00DD64A6" w:rsidRPr="00DD64A6">
        <w:rPr>
          <w:lang w:val="fr-FR"/>
        </w:rPr>
        <w:t>’</w:t>
      </w:r>
      <w:r w:rsidRPr="00DD64A6">
        <w:rPr>
          <w:lang w:val="fr-FR"/>
        </w:rPr>
        <w:t>intérêt</w:t>
      </w:r>
      <w:r w:rsidR="00F21003" w:rsidRPr="00DD64A6">
        <w:rPr>
          <w:lang w:val="fr-FR"/>
        </w:rPr>
        <w:t xml:space="preserve"> </w:t>
      </w:r>
      <w:r w:rsidRPr="00DD64A6">
        <w:rPr>
          <w:lang w:val="fr-FR"/>
        </w:rPr>
        <w:t>public</w:t>
      </w:r>
      <w:r w:rsidR="00395CE4" w:rsidRPr="00DD64A6">
        <w:rPr>
          <w:lang w:val="fr-FR"/>
        </w:rPr>
        <w:t xml:space="preserve"> de la communauté</w:t>
      </w:r>
      <w:r w:rsidR="00450787" w:rsidRPr="00DD64A6">
        <w:rPr>
          <w:lang w:val="fr-FR"/>
        </w:rPr>
        <w:t xml:space="preserve">, prioritaire par rapport aux </w:t>
      </w:r>
      <w:r w:rsidR="0066412C" w:rsidRPr="00DD64A6">
        <w:rPr>
          <w:lang w:val="fr-FR"/>
        </w:rPr>
        <w:t>intérêts</w:t>
      </w:r>
      <w:r w:rsidR="00450787" w:rsidRPr="00DD64A6">
        <w:rPr>
          <w:lang w:val="fr-FR"/>
        </w:rPr>
        <w:t xml:space="preserve"> </w:t>
      </w:r>
      <w:r w:rsidR="0066412C" w:rsidRPr="00DD64A6">
        <w:rPr>
          <w:lang w:val="fr-FR"/>
        </w:rPr>
        <w:t xml:space="preserve">et aux espérances de profit </w:t>
      </w:r>
      <w:r w:rsidR="00210E60" w:rsidRPr="00DD64A6">
        <w:rPr>
          <w:lang w:val="fr-FR"/>
        </w:rPr>
        <w:t>des organismes privés</w:t>
      </w:r>
      <w:r w:rsidR="00450787" w:rsidRPr="00DD64A6">
        <w:rPr>
          <w:lang w:val="fr-FR"/>
        </w:rPr>
        <w:t>.</w:t>
      </w:r>
    </w:p>
    <w:p w:rsidR="0002525C" w:rsidRPr="00DD64A6" w:rsidRDefault="0002525C" w:rsidP="00DD64A6">
      <w:pPr>
        <w:pStyle w:val="ECHRHeading3"/>
        <w:rPr>
          <w:lang w:val="fr-FR"/>
        </w:rPr>
      </w:pPr>
      <w:r w:rsidRPr="00DD64A6">
        <w:rPr>
          <w:lang w:val="fr-FR"/>
        </w:rPr>
        <w:t>2.  Appréciation de la Cour</w:t>
      </w:r>
    </w:p>
    <w:p w:rsidR="00E15F9A"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27</w:t>
      </w:r>
      <w:r w:rsidRPr="00DD64A6">
        <w:rPr>
          <w:lang w:val="fr-FR"/>
        </w:rPr>
        <w:fldChar w:fldCharType="end"/>
      </w:r>
      <w:r w:rsidR="00B36FAD" w:rsidRPr="00DD64A6">
        <w:rPr>
          <w:lang w:val="fr-FR"/>
        </w:rPr>
        <w:t>. </w:t>
      </w:r>
      <w:r w:rsidR="00D57910" w:rsidRPr="00DD64A6">
        <w:rPr>
          <w:lang w:val="fr-FR"/>
        </w:rPr>
        <w:t xml:space="preserve">La Cour rappelle que </w:t>
      </w:r>
      <w:r w:rsidR="0086457E" w:rsidRPr="00DD64A6">
        <w:rPr>
          <w:lang w:val="fr-FR"/>
        </w:rPr>
        <w:t>la notion de « biens » de l</w:t>
      </w:r>
      <w:r w:rsidR="00DD64A6" w:rsidRPr="00DD64A6">
        <w:rPr>
          <w:lang w:val="fr-FR"/>
        </w:rPr>
        <w:t>’</w:t>
      </w:r>
      <w:r w:rsidR="0086457E" w:rsidRPr="00DD64A6">
        <w:rPr>
          <w:lang w:val="fr-FR"/>
        </w:rPr>
        <w:t xml:space="preserve">article 1 </w:t>
      </w:r>
      <w:r w:rsidR="00DD64A6" w:rsidRPr="00DD64A6">
        <w:rPr>
          <w:lang w:val="fr-FR"/>
        </w:rPr>
        <w:t>du Protocole </w:t>
      </w:r>
      <w:r w:rsidR="0086457E" w:rsidRPr="00DD64A6">
        <w:rPr>
          <w:lang w:val="fr-FR"/>
        </w:rPr>
        <w:t>n</w:t>
      </w:r>
      <w:r w:rsidR="00E15F9A" w:rsidRPr="00DD64A6">
        <w:rPr>
          <w:vertAlign w:val="superscript"/>
          <w:lang w:val="fr-FR"/>
        </w:rPr>
        <w:t>o</w:t>
      </w:r>
      <w:r w:rsidR="0086457E" w:rsidRPr="00DD64A6">
        <w:rPr>
          <w:lang w:val="fr-FR"/>
        </w:rPr>
        <w:t xml:space="preserve"> 1 </w:t>
      </w:r>
      <w:r w:rsidR="00CD0F96" w:rsidRPr="00DD64A6">
        <w:rPr>
          <w:lang w:val="fr-FR"/>
        </w:rPr>
        <w:t xml:space="preserve">à la Convention </w:t>
      </w:r>
      <w:r w:rsidR="0086457E" w:rsidRPr="00DD64A6">
        <w:rPr>
          <w:lang w:val="fr-FR"/>
        </w:rPr>
        <w:t>a une portée autonome qui ne se limite certainement pas à la propriété de biens corporels</w:t>
      </w:r>
      <w:r w:rsidR="00CD0F96" w:rsidRPr="00DD64A6">
        <w:rPr>
          <w:lang w:val="fr-FR"/>
        </w:rPr>
        <w:t> </w:t>
      </w:r>
      <w:r w:rsidR="0086457E" w:rsidRPr="00DD64A6">
        <w:rPr>
          <w:lang w:val="fr-FR"/>
        </w:rPr>
        <w:t xml:space="preserve">: certains autres droits et intérêts constituant des actifs </w:t>
      </w:r>
      <w:r w:rsidR="00DD64A6" w:rsidRPr="00DD64A6">
        <w:rPr>
          <w:lang w:val="fr-FR"/>
        </w:rPr>
        <w:t>peuvent aussi passer pour des « droits de propriété </w:t>
      </w:r>
      <w:r w:rsidR="0086457E" w:rsidRPr="00DD64A6">
        <w:rPr>
          <w:lang w:val="fr-FR"/>
        </w:rPr>
        <w:t>» et donc pour des «</w:t>
      </w:r>
      <w:r w:rsidR="00DD64A6" w:rsidRPr="00DD64A6">
        <w:rPr>
          <w:lang w:val="fr-FR"/>
        </w:rPr>
        <w:t> biens </w:t>
      </w:r>
      <w:r w:rsidR="0086457E" w:rsidRPr="00DD64A6">
        <w:rPr>
          <w:lang w:val="fr-FR"/>
        </w:rPr>
        <w:t>» aux fins de cette disposition (</w:t>
      </w:r>
      <w:proofErr w:type="spellStart"/>
      <w:r w:rsidR="0086457E" w:rsidRPr="00DD64A6">
        <w:rPr>
          <w:i/>
          <w:lang w:val="fr-FR"/>
        </w:rPr>
        <w:t>Gasus</w:t>
      </w:r>
      <w:proofErr w:type="spellEnd"/>
      <w:r w:rsidR="0086457E" w:rsidRPr="00DD64A6">
        <w:rPr>
          <w:i/>
          <w:lang w:val="fr-FR"/>
        </w:rPr>
        <w:t xml:space="preserve"> </w:t>
      </w:r>
      <w:proofErr w:type="spellStart"/>
      <w:r w:rsidR="0086457E" w:rsidRPr="00DD64A6">
        <w:rPr>
          <w:i/>
          <w:lang w:val="fr-FR"/>
        </w:rPr>
        <w:t>Dosier</w:t>
      </w:r>
      <w:proofErr w:type="spellEnd"/>
      <w:r w:rsidR="007D6B69" w:rsidRPr="00DD64A6">
        <w:rPr>
          <w:i/>
          <w:lang w:val="fr-FR"/>
        </w:rPr>
        <w:t xml:space="preserve"> </w:t>
      </w:r>
      <w:r w:rsidR="0086457E" w:rsidRPr="00DD64A6">
        <w:rPr>
          <w:i/>
          <w:lang w:val="fr-FR"/>
        </w:rPr>
        <w:t xml:space="preserve">- </w:t>
      </w:r>
      <w:proofErr w:type="spellStart"/>
      <w:r w:rsidR="0086457E" w:rsidRPr="00DD64A6">
        <w:rPr>
          <w:i/>
          <w:lang w:val="fr-FR"/>
        </w:rPr>
        <w:t>und</w:t>
      </w:r>
      <w:proofErr w:type="spellEnd"/>
      <w:r w:rsidR="0086457E" w:rsidRPr="00DD64A6">
        <w:rPr>
          <w:i/>
          <w:lang w:val="fr-FR"/>
        </w:rPr>
        <w:t xml:space="preserve"> </w:t>
      </w:r>
      <w:proofErr w:type="spellStart"/>
      <w:r w:rsidR="0086457E" w:rsidRPr="00DD64A6">
        <w:rPr>
          <w:i/>
          <w:lang w:val="fr-FR"/>
        </w:rPr>
        <w:t>Fördertechnik</w:t>
      </w:r>
      <w:proofErr w:type="spellEnd"/>
      <w:r w:rsidR="0086457E" w:rsidRPr="00DD64A6">
        <w:rPr>
          <w:i/>
          <w:lang w:val="fr-FR"/>
        </w:rPr>
        <w:t xml:space="preserve"> </w:t>
      </w:r>
      <w:proofErr w:type="spellStart"/>
      <w:r w:rsidR="0086457E" w:rsidRPr="00DD64A6">
        <w:rPr>
          <w:i/>
          <w:lang w:val="fr-FR"/>
        </w:rPr>
        <w:t>GmbH</w:t>
      </w:r>
      <w:proofErr w:type="spellEnd"/>
      <w:r w:rsidR="0086457E" w:rsidRPr="00DD64A6">
        <w:rPr>
          <w:i/>
          <w:lang w:val="fr-FR"/>
        </w:rPr>
        <w:t xml:space="preserve"> c. Pays-Bas</w:t>
      </w:r>
      <w:r w:rsidR="007D6B69" w:rsidRPr="00DD64A6">
        <w:rPr>
          <w:i/>
          <w:lang w:val="fr-FR"/>
        </w:rPr>
        <w:t>,</w:t>
      </w:r>
      <w:r w:rsidR="0086457E" w:rsidRPr="00DD64A6">
        <w:rPr>
          <w:lang w:val="fr-FR"/>
        </w:rPr>
        <w:t xml:space="preserve"> 23 février 1995, </w:t>
      </w:r>
      <w:r w:rsidR="007D6B69" w:rsidRPr="00DD64A6">
        <w:rPr>
          <w:lang w:val="fr-FR"/>
        </w:rPr>
        <w:t xml:space="preserve">§ 53 </w:t>
      </w:r>
      <w:r w:rsidR="0086457E" w:rsidRPr="00DD64A6">
        <w:rPr>
          <w:lang w:val="fr-FR"/>
        </w:rPr>
        <w:t>série A n</w:t>
      </w:r>
      <w:r w:rsidR="00E15F9A" w:rsidRPr="00DD64A6">
        <w:rPr>
          <w:vertAlign w:val="superscript"/>
          <w:lang w:val="fr-FR"/>
        </w:rPr>
        <w:t>o</w:t>
      </w:r>
      <w:r w:rsidR="007D6B69" w:rsidRPr="00DD64A6">
        <w:rPr>
          <w:lang w:val="fr-FR"/>
        </w:rPr>
        <w:t xml:space="preserve"> 306-B</w:t>
      </w:r>
      <w:r w:rsidR="0086457E" w:rsidRPr="00DD64A6">
        <w:rPr>
          <w:lang w:val="fr-FR"/>
        </w:rPr>
        <w:t>).</w:t>
      </w:r>
    </w:p>
    <w:p w:rsidR="00E15F9A" w:rsidRPr="00DD64A6" w:rsidRDefault="0066412C"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28</w:t>
      </w:r>
      <w:r w:rsidRPr="00DD64A6">
        <w:rPr>
          <w:lang w:val="fr-FR"/>
        </w:rPr>
        <w:fldChar w:fldCharType="end"/>
      </w:r>
      <w:r w:rsidRPr="00DD64A6">
        <w:rPr>
          <w:lang w:val="fr-FR"/>
        </w:rPr>
        <w:t>.  </w:t>
      </w:r>
      <w:proofErr w:type="gramStart"/>
      <w:r w:rsidR="00170305" w:rsidRPr="00DD64A6">
        <w:rPr>
          <w:lang w:val="fr-FR"/>
        </w:rPr>
        <w:t>Par ailleurs,</w:t>
      </w:r>
      <w:r w:rsidR="0086457E" w:rsidRPr="00DD64A6">
        <w:rPr>
          <w:lang w:val="fr-FR"/>
        </w:rPr>
        <w:t xml:space="preserve"> </w:t>
      </w:r>
      <w:r w:rsidR="00DD64A6" w:rsidRPr="00DD64A6">
        <w:rPr>
          <w:lang w:val="fr-FR"/>
        </w:rPr>
        <w:t>des « biens </w:t>
      </w:r>
      <w:r w:rsidR="000C7A18" w:rsidRPr="00DD64A6">
        <w:rPr>
          <w:lang w:val="fr-FR"/>
        </w:rPr>
        <w:t>» au sens de l</w:t>
      </w:r>
      <w:r w:rsidR="00DD64A6" w:rsidRPr="00DD64A6">
        <w:rPr>
          <w:lang w:val="fr-FR"/>
        </w:rPr>
        <w:t>’</w:t>
      </w:r>
      <w:r w:rsidR="000C7A18" w:rsidRPr="00DD64A6">
        <w:rPr>
          <w:lang w:val="fr-FR"/>
        </w:rPr>
        <w:t>article 1 du Protocole n</w:t>
      </w:r>
      <w:r w:rsidR="00E15F9A" w:rsidRPr="00DD64A6">
        <w:rPr>
          <w:vertAlign w:val="superscript"/>
          <w:lang w:val="fr-FR"/>
        </w:rPr>
        <w:t>o</w:t>
      </w:r>
      <w:r w:rsidR="000C7A18" w:rsidRPr="00DD64A6">
        <w:rPr>
          <w:lang w:val="fr-FR"/>
        </w:rPr>
        <w:t xml:space="preserve"> 1 </w:t>
      </w:r>
      <w:r w:rsidR="00CD0F96" w:rsidRPr="00DD64A6">
        <w:rPr>
          <w:lang w:val="fr-FR"/>
        </w:rPr>
        <w:t xml:space="preserve">à la Convention </w:t>
      </w:r>
      <w:r w:rsidR="000C7A18" w:rsidRPr="00DD64A6">
        <w:rPr>
          <w:lang w:val="fr-FR"/>
        </w:rPr>
        <w:t xml:space="preserve">peuvent </w:t>
      </w:r>
      <w:r w:rsidR="00DD64A6" w:rsidRPr="00DD64A6">
        <w:rPr>
          <w:lang w:val="fr-FR"/>
        </w:rPr>
        <w:t>être soit des « biens existants </w:t>
      </w:r>
      <w:r w:rsidR="000C7A18" w:rsidRPr="00DD64A6">
        <w:rPr>
          <w:lang w:val="fr-FR"/>
        </w:rPr>
        <w:t>» (</w:t>
      </w:r>
      <w:r w:rsidR="000C7A18" w:rsidRPr="00DD64A6">
        <w:rPr>
          <w:i/>
          <w:lang w:val="fr-FR"/>
        </w:rPr>
        <w:t xml:space="preserve">Van der </w:t>
      </w:r>
      <w:proofErr w:type="spellStart"/>
      <w:r w:rsidR="000C7A18" w:rsidRPr="00DD64A6">
        <w:rPr>
          <w:i/>
          <w:lang w:val="fr-FR"/>
        </w:rPr>
        <w:t>Mussele</w:t>
      </w:r>
      <w:proofErr w:type="spellEnd"/>
      <w:r w:rsidR="000C7A18" w:rsidRPr="00DD64A6">
        <w:rPr>
          <w:i/>
          <w:lang w:val="fr-FR"/>
        </w:rPr>
        <w:t xml:space="preserve"> c.</w:t>
      </w:r>
      <w:r w:rsidR="007D6B69" w:rsidRPr="00DD64A6">
        <w:rPr>
          <w:i/>
          <w:lang w:val="fr-FR"/>
        </w:rPr>
        <w:t> </w:t>
      </w:r>
      <w:r w:rsidR="004B28B7" w:rsidRPr="00DD64A6">
        <w:rPr>
          <w:i/>
          <w:lang w:val="fr-FR"/>
        </w:rPr>
        <w:t>Belgique</w:t>
      </w:r>
      <w:r w:rsidR="004B28B7" w:rsidRPr="00DD64A6">
        <w:rPr>
          <w:lang w:val="fr-FR"/>
        </w:rPr>
        <w:t xml:space="preserve">, </w:t>
      </w:r>
      <w:r w:rsidR="000C7A18" w:rsidRPr="00DD64A6">
        <w:rPr>
          <w:lang w:val="fr-FR"/>
        </w:rPr>
        <w:t xml:space="preserve">23 novembre 1983, </w:t>
      </w:r>
      <w:r w:rsidR="007D6B69" w:rsidRPr="00DD64A6">
        <w:rPr>
          <w:lang w:val="fr-FR"/>
        </w:rPr>
        <w:t xml:space="preserve">§ 48 </w:t>
      </w:r>
      <w:r w:rsidR="000C7A18" w:rsidRPr="00DD64A6">
        <w:rPr>
          <w:lang w:val="fr-FR"/>
        </w:rPr>
        <w:t>série A n</w:t>
      </w:r>
      <w:r w:rsidR="00E15F9A" w:rsidRPr="00DD64A6">
        <w:rPr>
          <w:vertAlign w:val="superscript"/>
          <w:lang w:val="fr-FR"/>
        </w:rPr>
        <w:t>o</w:t>
      </w:r>
      <w:r w:rsidR="000C7A18" w:rsidRPr="00DD64A6">
        <w:rPr>
          <w:lang w:val="fr-FR"/>
        </w:rPr>
        <w:t xml:space="preserve"> 70 </w:t>
      </w:r>
      <w:r w:rsidR="00CD0F96" w:rsidRPr="00DD64A6">
        <w:rPr>
          <w:lang w:val="fr-FR"/>
        </w:rPr>
        <w:t>et</w:t>
      </w:r>
      <w:r w:rsidR="00F1187A" w:rsidRPr="00DD64A6">
        <w:rPr>
          <w:i/>
          <w:lang w:val="fr-FR"/>
        </w:rPr>
        <w:t xml:space="preserve"> </w:t>
      </w:r>
      <w:proofErr w:type="spellStart"/>
      <w:r w:rsidR="00F1187A" w:rsidRPr="00DD64A6">
        <w:rPr>
          <w:i/>
          <w:lang w:val="fr-FR"/>
        </w:rPr>
        <w:t>Malhous</w:t>
      </w:r>
      <w:proofErr w:type="spellEnd"/>
      <w:r w:rsidR="00F1187A" w:rsidRPr="00DD64A6">
        <w:rPr>
          <w:i/>
          <w:lang w:val="fr-FR"/>
        </w:rPr>
        <w:t xml:space="preserve"> </w:t>
      </w:r>
      <w:r w:rsidR="00F1187A" w:rsidRPr="00DD64A6">
        <w:rPr>
          <w:i/>
          <w:lang w:val="fr-FR"/>
        </w:rPr>
        <w:lastRenderedPageBreak/>
        <w:t xml:space="preserve">c. République tchèque </w:t>
      </w:r>
      <w:r w:rsidR="00F1187A" w:rsidRPr="00DD64A6">
        <w:rPr>
          <w:lang w:val="fr-FR"/>
        </w:rPr>
        <w:t>(déc.) [GC], n</w:t>
      </w:r>
      <w:r w:rsidR="00F1187A" w:rsidRPr="00DD64A6">
        <w:rPr>
          <w:vertAlign w:val="superscript"/>
          <w:lang w:val="fr-FR"/>
        </w:rPr>
        <w:t>o</w:t>
      </w:r>
      <w:r w:rsidR="00F1187A" w:rsidRPr="00DD64A6">
        <w:rPr>
          <w:lang w:val="fr-FR"/>
        </w:rPr>
        <w:t xml:space="preserve"> 33071/96, CEDH 2000</w:t>
      </w:r>
      <w:r w:rsidR="00F1187A" w:rsidRPr="00DD64A6">
        <w:rPr>
          <w:lang w:val="fr-FR"/>
        </w:rPr>
        <w:noBreakHyphen/>
        <w:t>XII</w:t>
      </w:r>
      <w:r w:rsidR="000C7A18" w:rsidRPr="00DD64A6">
        <w:rPr>
          <w:lang w:val="fr-FR"/>
        </w:rPr>
        <w:t>), soit des valeurs patrimoniales, y compris des créances, pour lesquelles un requérant peut prétendre avoir au</w:t>
      </w:r>
      <w:r w:rsidR="00DD64A6" w:rsidRPr="00DD64A6">
        <w:rPr>
          <w:lang w:val="fr-FR"/>
        </w:rPr>
        <w:t xml:space="preserve"> moins une « espérance légitime </w:t>
      </w:r>
      <w:r w:rsidR="000C7A18" w:rsidRPr="00DD64A6">
        <w:rPr>
          <w:lang w:val="fr-FR"/>
        </w:rPr>
        <w:t xml:space="preserve">» de les voir concrétiser (voir, par exemple, </w:t>
      </w:r>
      <w:proofErr w:type="spellStart"/>
      <w:r w:rsidR="00833C21" w:rsidRPr="00DD64A6">
        <w:rPr>
          <w:i/>
          <w:lang w:val="fr-FR"/>
        </w:rPr>
        <w:t>Pressos</w:t>
      </w:r>
      <w:proofErr w:type="spellEnd"/>
      <w:r w:rsidR="00833C21" w:rsidRPr="00DD64A6">
        <w:rPr>
          <w:i/>
          <w:lang w:val="fr-FR"/>
        </w:rPr>
        <w:t xml:space="preserve"> </w:t>
      </w:r>
      <w:proofErr w:type="spellStart"/>
      <w:r w:rsidR="00833C21" w:rsidRPr="00DD64A6">
        <w:rPr>
          <w:i/>
          <w:lang w:val="fr-FR"/>
        </w:rPr>
        <w:t>Com</w:t>
      </w:r>
      <w:r w:rsidR="00DD64A6" w:rsidRPr="00DD64A6">
        <w:rPr>
          <w:i/>
          <w:lang w:val="fr-FR"/>
        </w:rPr>
        <w:t>pania</w:t>
      </w:r>
      <w:proofErr w:type="spellEnd"/>
      <w:r w:rsidR="00DD64A6" w:rsidRPr="00DD64A6">
        <w:rPr>
          <w:i/>
          <w:lang w:val="fr-FR"/>
        </w:rPr>
        <w:t xml:space="preserve"> </w:t>
      </w:r>
      <w:proofErr w:type="spellStart"/>
      <w:r w:rsidR="00DD64A6" w:rsidRPr="00DD64A6">
        <w:rPr>
          <w:i/>
          <w:lang w:val="fr-FR"/>
        </w:rPr>
        <w:t>Naviera</w:t>
      </w:r>
      <w:proofErr w:type="spellEnd"/>
      <w:r w:rsidR="00DD64A6" w:rsidRPr="00DD64A6">
        <w:rPr>
          <w:i/>
          <w:lang w:val="fr-FR"/>
        </w:rPr>
        <w:t xml:space="preserve"> S.A. et autres c. </w:t>
      </w:r>
      <w:r w:rsidR="00833C21" w:rsidRPr="00DD64A6">
        <w:rPr>
          <w:i/>
          <w:lang w:val="fr-FR"/>
        </w:rPr>
        <w:t>Belgique</w:t>
      </w:r>
      <w:r w:rsidR="00833C21" w:rsidRPr="00DD64A6">
        <w:rPr>
          <w:lang w:val="fr-FR"/>
        </w:rPr>
        <w:t>, 20 novembre 1995, § 31, série A n</w:t>
      </w:r>
      <w:r w:rsidR="00833C21" w:rsidRPr="00DD64A6">
        <w:rPr>
          <w:rFonts w:cs="Times New Roman"/>
          <w:vertAlign w:val="superscript"/>
          <w:lang w:val="fr-FR"/>
        </w:rPr>
        <w:t>o</w:t>
      </w:r>
      <w:r w:rsidR="00833C21" w:rsidRPr="00DD64A6">
        <w:rPr>
          <w:lang w:val="fr-FR"/>
        </w:rPr>
        <w:t xml:space="preserve"> 332</w:t>
      </w:r>
      <w:r w:rsidR="000C7A18" w:rsidRPr="00DD64A6">
        <w:rPr>
          <w:lang w:val="fr-FR"/>
        </w:rPr>
        <w:t xml:space="preserve">, </w:t>
      </w:r>
      <w:r w:rsidR="006C04BE" w:rsidRPr="00DD64A6">
        <w:rPr>
          <w:lang w:val="fr-FR"/>
        </w:rPr>
        <w:t xml:space="preserve">et </w:t>
      </w:r>
      <w:proofErr w:type="spellStart"/>
      <w:r w:rsidR="00DD64A6" w:rsidRPr="00DD64A6">
        <w:rPr>
          <w:i/>
          <w:lang w:val="fr-FR"/>
        </w:rPr>
        <w:t>Eleftherios</w:t>
      </w:r>
      <w:proofErr w:type="spellEnd"/>
      <w:r w:rsidR="00DD64A6" w:rsidRPr="00DD64A6">
        <w:rPr>
          <w:i/>
          <w:lang w:val="fr-FR"/>
        </w:rPr>
        <w:t> </w:t>
      </w:r>
      <w:r w:rsidR="006C04BE" w:rsidRPr="00DD64A6">
        <w:rPr>
          <w:i/>
          <w:lang w:val="fr-FR"/>
        </w:rPr>
        <w:t>G.</w:t>
      </w:r>
      <w:r w:rsidR="004F5DE1" w:rsidRPr="00DD64A6">
        <w:rPr>
          <w:i/>
          <w:lang w:val="fr-FR"/>
        </w:rPr>
        <w:t> </w:t>
      </w:r>
      <w:proofErr w:type="spellStart"/>
      <w:r w:rsidR="006C04BE" w:rsidRPr="00DD64A6">
        <w:rPr>
          <w:i/>
          <w:lang w:val="fr-FR"/>
        </w:rPr>
        <w:t>Kokkinakis</w:t>
      </w:r>
      <w:proofErr w:type="spellEnd"/>
      <w:r w:rsidR="006C04BE" w:rsidRPr="00DD64A6">
        <w:rPr>
          <w:i/>
          <w:lang w:val="fr-FR"/>
        </w:rPr>
        <w:t xml:space="preserve"> - </w:t>
      </w:r>
      <w:proofErr w:type="spellStart"/>
      <w:r w:rsidR="006C04BE" w:rsidRPr="00DD64A6">
        <w:rPr>
          <w:i/>
          <w:lang w:val="fr-FR"/>
        </w:rPr>
        <w:t>Dilos</w:t>
      </w:r>
      <w:proofErr w:type="spellEnd"/>
      <w:r w:rsidR="006C04BE" w:rsidRPr="00DD64A6">
        <w:rPr>
          <w:i/>
          <w:lang w:val="fr-FR"/>
        </w:rPr>
        <w:t xml:space="preserve"> </w:t>
      </w:r>
      <w:proofErr w:type="spellStart"/>
      <w:r w:rsidR="006C04BE" w:rsidRPr="00DD64A6">
        <w:rPr>
          <w:i/>
          <w:lang w:val="fr-FR"/>
        </w:rPr>
        <w:t>Kykloforiaki</w:t>
      </w:r>
      <w:proofErr w:type="spellEnd"/>
      <w:r w:rsidR="006C04BE" w:rsidRPr="00DD64A6">
        <w:rPr>
          <w:i/>
          <w:lang w:val="fr-FR"/>
        </w:rPr>
        <w:t xml:space="preserve"> A.T.E. c. Grèce</w:t>
      </w:r>
      <w:r w:rsidR="006C04BE" w:rsidRPr="00DD64A6">
        <w:rPr>
          <w:snapToGrid w:val="0"/>
          <w:lang w:val="fr-FR"/>
        </w:rPr>
        <w:t>, n</w:t>
      </w:r>
      <w:r w:rsidR="006C04BE" w:rsidRPr="00DD64A6">
        <w:rPr>
          <w:snapToGrid w:val="0"/>
          <w:vertAlign w:val="superscript"/>
          <w:lang w:val="fr-FR"/>
        </w:rPr>
        <w:t>o</w:t>
      </w:r>
      <w:r w:rsidR="006C04BE" w:rsidRPr="00DD64A6">
        <w:rPr>
          <w:snapToGrid w:val="0"/>
          <w:lang w:val="fr-FR"/>
        </w:rPr>
        <w:t xml:space="preserve"> 45826/11</w:t>
      </w:r>
      <w:r w:rsidR="006C04BE" w:rsidRPr="00DD64A6">
        <w:rPr>
          <w:lang w:val="fr-FR"/>
        </w:rPr>
        <w:t>, §</w:t>
      </w:r>
      <w:r w:rsidR="005A3971" w:rsidRPr="00DD64A6">
        <w:rPr>
          <w:lang w:val="fr-FR"/>
        </w:rPr>
        <w:t> </w:t>
      </w:r>
      <w:r w:rsidR="006C04BE" w:rsidRPr="00DD64A6">
        <w:rPr>
          <w:lang w:val="fr-FR"/>
        </w:rPr>
        <w:t>42, 20</w:t>
      </w:r>
      <w:r w:rsidR="00CD0F96" w:rsidRPr="00DD64A6">
        <w:rPr>
          <w:lang w:val="fr-FR"/>
        </w:rPr>
        <w:t> </w:t>
      </w:r>
      <w:r w:rsidR="006C04BE" w:rsidRPr="00DD64A6">
        <w:rPr>
          <w:lang w:val="fr-FR"/>
        </w:rPr>
        <w:t>octobre 2016)</w:t>
      </w:r>
      <w:r w:rsidR="000C7A18" w:rsidRPr="00DD64A6">
        <w:rPr>
          <w:lang w:val="fr-FR"/>
        </w:rPr>
        <w:t>.</w:t>
      </w:r>
      <w:proofErr w:type="gramEnd"/>
    </w:p>
    <w:p w:rsidR="00E15F9A" w:rsidRPr="00DD64A6" w:rsidRDefault="000F63DB"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29</w:t>
      </w:r>
      <w:r w:rsidRPr="00DD64A6">
        <w:rPr>
          <w:lang w:val="fr-FR"/>
        </w:rPr>
        <w:fldChar w:fldCharType="end"/>
      </w:r>
      <w:r w:rsidRPr="00DD64A6">
        <w:rPr>
          <w:lang w:val="fr-FR"/>
        </w:rPr>
        <w:t>.  </w:t>
      </w:r>
      <w:r w:rsidR="00B52D13" w:rsidRPr="00DD64A6">
        <w:rPr>
          <w:lang w:val="fr-FR"/>
        </w:rPr>
        <w:t>En outre, l</w:t>
      </w:r>
      <w:r w:rsidR="00DD64A6" w:rsidRPr="00DD64A6">
        <w:rPr>
          <w:lang w:val="fr-FR"/>
        </w:rPr>
        <w:t>’</w:t>
      </w:r>
      <w:r w:rsidR="00D57910" w:rsidRPr="00DD64A6">
        <w:rPr>
          <w:lang w:val="fr-FR"/>
        </w:rPr>
        <w:t>article 1 du Protocole n</w:t>
      </w:r>
      <w:r w:rsidR="00E15F9A" w:rsidRPr="00DD64A6">
        <w:rPr>
          <w:vertAlign w:val="superscript"/>
          <w:lang w:val="fr-FR"/>
        </w:rPr>
        <w:t>o</w:t>
      </w:r>
      <w:r w:rsidR="00D57910" w:rsidRPr="00DD64A6">
        <w:rPr>
          <w:lang w:val="fr-FR"/>
        </w:rPr>
        <w:t xml:space="preserve"> 1</w:t>
      </w:r>
      <w:r w:rsidR="000B75E6" w:rsidRPr="00DD64A6">
        <w:rPr>
          <w:lang w:val="fr-FR"/>
        </w:rPr>
        <w:t xml:space="preserve"> à la Convention</w:t>
      </w:r>
      <w:r w:rsidR="00D57910" w:rsidRPr="00DD64A6">
        <w:rPr>
          <w:lang w:val="fr-FR"/>
        </w:rPr>
        <w:t xml:space="preserve"> exige, avant tout et surtout, qu</w:t>
      </w:r>
      <w:r w:rsidR="00DD64A6" w:rsidRPr="00DD64A6">
        <w:rPr>
          <w:lang w:val="fr-FR"/>
        </w:rPr>
        <w:t>’</w:t>
      </w:r>
      <w:r w:rsidR="00D57910" w:rsidRPr="00DD64A6">
        <w:rPr>
          <w:lang w:val="fr-FR"/>
        </w:rPr>
        <w:t>une ingérence de l</w:t>
      </w:r>
      <w:r w:rsidR="00DD64A6" w:rsidRPr="00DD64A6">
        <w:rPr>
          <w:lang w:val="fr-FR"/>
        </w:rPr>
        <w:t>’</w:t>
      </w:r>
      <w:r w:rsidR="00D57910" w:rsidRPr="00DD64A6">
        <w:rPr>
          <w:lang w:val="fr-FR"/>
        </w:rPr>
        <w:t>autorité publique dans la jouissance du droit au respect des biens soit légale. La prééminence du droit, l</w:t>
      </w:r>
      <w:r w:rsidR="00DD64A6" w:rsidRPr="00DD64A6">
        <w:rPr>
          <w:lang w:val="fr-FR"/>
        </w:rPr>
        <w:t>’</w:t>
      </w:r>
      <w:r w:rsidR="00D57910" w:rsidRPr="00DD64A6">
        <w:rPr>
          <w:lang w:val="fr-FR"/>
        </w:rPr>
        <w:t>un des principes fondamentaux d</w:t>
      </w:r>
      <w:r w:rsidR="00DD64A6" w:rsidRPr="00DD64A6">
        <w:rPr>
          <w:lang w:val="fr-FR"/>
        </w:rPr>
        <w:t>’</w:t>
      </w:r>
      <w:r w:rsidR="00D57910" w:rsidRPr="00DD64A6">
        <w:rPr>
          <w:lang w:val="fr-FR"/>
        </w:rPr>
        <w:t>une société démocratique, est inhérente à l</w:t>
      </w:r>
      <w:r w:rsidR="00DD64A6" w:rsidRPr="00DD64A6">
        <w:rPr>
          <w:lang w:val="fr-FR"/>
        </w:rPr>
        <w:t>’</w:t>
      </w:r>
      <w:r w:rsidR="00D57910" w:rsidRPr="00DD64A6">
        <w:rPr>
          <w:lang w:val="fr-FR"/>
        </w:rPr>
        <w:t>ensemble des articles de la Convention (</w:t>
      </w:r>
      <w:proofErr w:type="spellStart"/>
      <w:r w:rsidR="00833C21" w:rsidRPr="00DD64A6">
        <w:rPr>
          <w:i/>
          <w:lang w:val="fr-FR"/>
        </w:rPr>
        <w:t>Iatridis</w:t>
      </w:r>
      <w:proofErr w:type="spellEnd"/>
      <w:r w:rsidR="00833C21" w:rsidRPr="00DD64A6">
        <w:rPr>
          <w:i/>
          <w:lang w:val="fr-FR"/>
        </w:rPr>
        <w:t xml:space="preserve"> c. Grèce</w:t>
      </w:r>
      <w:r w:rsidR="00833C21" w:rsidRPr="00DD64A6">
        <w:rPr>
          <w:lang w:val="fr-FR"/>
        </w:rPr>
        <w:t xml:space="preserve"> [GC], n</w:t>
      </w:r>
      <w:r w:rsidR="00833C21" w:rsidRPr="00DD64A6">
        <w:rPr>
          <w:vertAlign w:val="superscript"/>
          <w:lang w:val="fr-FR"/>
        </w:rPr>
        <w:t>o</w:t>
      </w:r>
      <w:r w:rsidR="000B75E6" w:rsidRPr="00DD64A6">
        <w:rPr>
          <w:lang w:val="fr-FR"/>
        </w:rPr>
        <w:t> </w:t>
      </w:r>
      <w:r w:rsidR="00833C21" w:rsidRPr="00DD64A6">
        <w:rPr>
          <w:lang w:val="fr-FR"/>
        </w:rPr>
        <w:t>31107/96, § 58, CEDH 1999</w:t>
      </w:r>
      <w:r w:rsidR="00833C21" w:rsidRPr="00DD64A6">
        <w:rPr>
          <w:lang w:val="fr-FR"/>
        </w:rPr>
        <w:noBreakHyphen/>
        <w:t>II</w:t>
      </w:r>
      <w:r w:rsidR="00D57910" w:rsidRPr="00DD64A6">
        <w:rPr>
          <w:lang w:val="fr-FR"/>
        </w:rPr>
        <w:t>).</w:t>
      </w:r>
    </w:p>
    <w:p w:rsidR="00382796" w:rsidRPr="00DD64A6" w:rsidRDefault="00990DA6"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30</w:t>
      </w:r>
      <w:r w:rsidRPr="00DD64A6">
        <w:rPr>
          <w:lang w:val="fr-FR"/>
        </w:rPr>
        <w:fldChar w:fldCharType="end"/>
      </w:r>
      <w:r w:rsidRPr="00DD64A6">
        <w:rPr>
          <w:lang w:val="fr-FR"/>
        </w:rPr>
        <w:t>.  </w:t>
      </w:r>
      <w:r w:rsidR="0086457E" w:rsidRPr="00DD64A6">
        <w:rPr>
          <w:lang w:val="fr-FR"/>
        </w:rPr>
        <w:t xml:space="preserve">Dans la </w:t>
      </w:r>
      <w:r w:rsidRPr="00DD64A6">
        <w:rPr>
          <w:lang w:val="fr-FR"/>
        </w:rPr>
        <w:t>présente</w:t>
      </w:r>
      <w:r w:rsidR="0086457E" w:rsidRPr="00DD64A6">
        <w:rPr>
          <w:lang w:val="fr-FR"/>
        </w:rPr>
        <w:t xml:space="preserve"> affaire, il n</w:t>
      </w:r>
      <w:r w:rsidR="00DD64A6" w:rsidRPr="00DD64A6">
        <w:rPr>
          <w:lang w:val="fr-FR"/>
        </w:rPr>
        <w:t>’</w:t>
      </w:r>
      <w:r w:rsidR="0086457E" w:rsidRPr="00DD64A6">
        <w:rPr>
          <w:lang w:val="fr-FR"/>
        </w:rPr>
        <w:t xml:space="preserve">est pas contesté </w:t>
      </w:r>
      <w:r w:rsidRPr="00DD64A6">
        <w:rPr>
          <w:lang w:val="fr-FR"/>
        </w:rPr>
        <w:t>qu</w:t>
      </w:r>
      <w:r w:rsidR="00DD64A6" w:rsidRPr="00DD64A6">
        <w:rPr>
          <w:lang w:val="fr-FR"/>
        </w:rPr>
        <w:t>’</w:t>
      </w:r>
      <w:r w:rsidRPr="00DD64A6">
        <w:rPr>
          <w:lang w:val="fr-FR"/>
        </w:rPr>
        <w:t xml:space="preserve">il y a eu une ingérence dans le droit au respect des biens de la requérante. </w:t>
      </w:r>
      <w:r w:rsidR="00C0466E" w:rsidRPr="00DD64A6">
        <w:rPr>
          <w:lang w:val="fr-FR"/>
        </w:rPr>
        <w:t>Le Gouvernement estime que ladite ingérence était prévue par la loi.</w:t>
      </w:r>
    </w:p>
    <w:p w:rsidR="00E15F9A" w:rsidRPr="00DD64A6" w:rsidRDefault="00382796"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31</w:t>
      </w:r>
      <w:r w:rsidRPr="00DD64A6">
        <w:rPr>
          <w:lang w:val="fr-FR"/>
        </w:rPr>
        <w:fldChar w:fldCharType="end"/>
      </w:r>
      <w:r w:rsidRPr="00DD64A6">
        <w:rPr>
          <w:lang w:val="fr-FR"/>
        </w:rPr>
        <w:t>.  </w:t>
      </w:r>
      <w:r w:rsidR="006C3780" w:rsidRPr="00DD64A6">
        <w:rPr>
          <w:lang w:val="fr-FR"/>
        </w:rPr>
        <w:t>À</w:t>
      </w:r>
      <w:r w:rsidRPr="00DD64A6">
        <w:rPr>
          <w:lang w:val="fr-FR"/>
        </w:rPr>
        <w:t xml:space="preserve"> cet égard, </w:t>
      </w:r>
      <w:r w:rsidR="00D265CD" w:rsidRPr="00DD64A6">
        <w:rPr>
          <w:lang w:val="fr-FR"/>
        </w:rPr>
        <w:t>la</w:t>
      </w:r>
      <w:r w:rsidRPr="00DD64A6">
        <w:rPr>
          <w:lang w:val="fr-FR"/>
        </w:rPr>
        <w:t xml:space="preserve"> </w:t>
      </w:r>
      <w:r w:rsidR="0010662A" w:rsidRPr="00DD64A6">
        <w:rPr>
          <w:lang w:val="fr-FR"/>
        </w:rPr>
        <w:t xml:space="preserve">Cour observe que </w:t>
      </w:r>
      <w:r w:rsidRPr="00DD64A6">
        <w:rPr>
          <w:lang w:val="fr-FR"/>
        </w:rPr>
        <w:t xml:space="preserve">la </w:t>
      </w:r>
      <w:r w:rsidR="002F70E2" w:rsidRPr="00DD64A6">
        <w:rPr>
          <w:lang w:val="fr-FR"/>
        </w:rPr>
        <w:t>décision du service sanitaire national de révoquer</w:t>
      </w:r>
      <w:r w:rsidRPr="00DD64A6">
        <w:rPr>
          <w:lang w:val="fr-FR"/>
        </w:rPr>
        <w:t xml:space="preserve"> la convention</w:t>
      </w:r>
      <w:r w:rsidR="00C0466E" w:rsidRPr="00DD64A6">
        <w:rPr>
          <w:lang w:val="fr-FR"/>
        </w:rPr>
        <w:t xml:space="preserve"> </w:t>
      </w:r>
      <w:r w:rsidR="00D265CD" w:rsidRPr="00DD64A6">
        <w:rPr>
          <w:lang w:val="fr-FR"/>
        </w:rPr>
        <w:t>dont la</w:t>
      </w:r>
      <w:r w:rsidR="006C3780" w:rsidRPr="00DD64A6">
        <w:rPr>
          <w:lang w:val="fr-FR"/>
        </w:rPr>
        <w:t xml:space="preserve"> société</w:t>
      </w:r>
      <w:r w:rsidR="00D265CD" w:rsidRPr="00DD64A6">
        <w:rPr>
          <w:lang w:val="fr-FR"/>
        </w:rPr>
        <w:t xml:space="preserve"> requérante était bénéficiaire a été déclarée illégale par</w:t>
      </w:r>
      <w:r w:rsidR="002407F5" w:rsidRPr="00DD64A6">
        <w:rPr>
          <w:lang w:val="fr-FR"/>
        </w:rPr>
        <w:t xml:space="preserve"> un jugement définitif du</w:t>
      </w:r>
      <w:r w:rsidR="00D265CD" w:rsidRPr="00DD64A6">
        <w:rPr>
          <w:lang w:val="fr-FR"/>
        </w:rPr>
        <w:t xml:space="preserve"> tribunal administratif, lequel </w:t>
      </w:r>
      <w:r w:rsidR="00830BAD" w:rsidRPr="00DD64A6">
        <w:rPr>
          <w:lang w:val="fr-FR"/>
        </w:rPr>
        <w:t xml:space="preserve">a estimé </w:t>
      </w:r>
      <w:r w:rsidR="00D265CD" w:rsidRPr="00DD64A6">
        <w:rPr>
          <w:lang w:val="fr-FR"/>
        </w:rPr>
        <w:t>que l</w:t>
      </w:r>
      <w:r w:rsidR="00DD64A6" w:rsidRPr="00DD64A6">
        <w:rPr>
          <w:lang w:val="fr-FR"/>
        </w:rPr>
        <w:t>’</w:t>
      </w:r>
      <w:r w:rsidR="00D265CD" w:rsidRPr="00DD64A6">
        <w:rPr>
          <w:lang w:val="fr-FR"/>
        </w:rPr>
        <w:t xml:space="preserve">administration avait interprété </w:t>
      </w:r>
      <w:r w:rsidR="00830BAD" w:rsidRPr="00DD64A6">
        <w:rPr>
          <w:lang w:val="fr-FR"/>
        </w:rPr>
        <w:t xml:space="preserve">de manière erronée </w:t>
      </w:r>
      <w:r w:rsidR="00D265CD" w:rsidRPr="00DD64A6">
        <w:rPr>
          <w:lang w:val="fr-FR"/>
        </w:rPr>
        <w:t xml:space="preserve">les dispositions de loi pertinentes. </w:t>
      </w:r>
      <w:r w:rsidR="00830BAD" w:rsidRPr="00DD64A6">
        <w:rPr>
          <w:lang w:val="fr-FR"/>
        </w:rPr>
        <w:t>Elle note que, m</w:t>
      </w:r>
      <w:r w:rsidR="002F70E2" w:rsidRPr="00DD64A6">
        <w:rPr>
          <w:lang w:val="fr-FR"/>
        </w:rPr>
        <w:t xml:space="preserve">algré </w:t>
      </w:r>
      <w:r w:rsidR="00830BAD" w:rsidRPr="00DD64A6">
        <w:rPr>
          <w:lang w:val="fr-FR"/>
        </w:rPr>
        <w:t>cette décision</w:t>
      </w:r>
      <w:r w:rsidR="002F70E2" w:rsidRPr="00DD64A6">
        <w:rPr>
          <w:lang w:val="fr-FR"/>
        </w:rPr>
        <w:t xml:space="preserve">, </w:t>
      </w:r>
      <w:r w:rsidR="00830BAD" w:rsidRPr="00DD64A6">
        <w:rPr>
          <w:lang w:val="fr-FR"/>
        </w:rPr>
        <w:t>l</w:t>
      </w:r>
      <w:r w:rsidR="00DD64A6" w:rsidRPr="00DD64A6">
        <w:rPr>
          <w:lang w:val="fr-FR"/>
        </w:rPr>
        <w:t>’</w:t>
      </w:r>
      <w:r w:rsidR="00830BAD" w:rsidRPr="00DD64A6">
        <w:rPr>
          <w:lang w:val="fr-FR"/>
        </w:rPr>
        <w:t>intéressée</w:t>
      </w:r>
      <w:r w:rsidR="002F70E2" w:rsidRPr="00DD64A6">
        <w:rPr>
          <w:lang w:val="fr-FR"/>
        </w:rPr>
        <w:t xml:space="preserve"> n</w:t>
      </w:r>
      <w:r w:rsidR="00DD64A6" w:rsidRPr="00DD64A6">
        <w:rPr>
          <w:lang w:val="fr-FR"/>
        </w:rPr>
        <w:t>’</w:t>
      </w:r>
      <w:r w:rsidR="002F70E2" w:rsidRPr="00DD64A6">
        <w:rPr>
          <w:lang w:val="fr-FR"/>
        </w:rPr>
        <w:t xml:space="preserve">a pu obtenir </w:t>
      </w:r>
      <w:r w:rsidR="00F84156" w:rsidRPr="00DD64A6">
        <w:rPr>
          <w:lang w:val="fr-FR"/>
        </w:rPr>
        <w:t>aucun</w:t>
      </w:r>
      <w:r w:rsidR="00830BAD" w:rsidRPr="00DD64A6">
        <w:rPr>
          <w:lang w:val="fr-FR"/>
        </w:rPr>
        <w:t xml:space="preserve">e </w:t>
      </w:r>
      <w:r w:rsidR="002F70E2" w:rsidRPr="00DD64A6">
        <w:rPr>
          <w:lang w:val="fr-FR"/>
        </w:rPr>
        <w:t>réparation.</w:t>
      </w:r>
    </w:p>
    <w:p w:rsidR="0010662A" w:rsidRPr="00DD64A6" w:rsidRDefault="00280B0B"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32</w:t>
      </w:r>
      <w:r w:rsidRPr="00DD64A6">
        <w:rPr>
          <w:lang w:val="fr-FR"/>
        </w:rPr>
        <w:fldChar w:fldCharType="end"/>
      </w:r>
      <w:r w:rsidRPr="00DD64A6">
        <w:rPr>
          <w:lang w:val="fr-FR"/>
        </w:rPr>
        <w:t>.  La Cour</w:t>
      </w:r>
      <w:r w:rsidR="00D265CD" w:rsidRPr="00DD64A6">
        <w:rPr>
          <w:lang w:val="fr-FR"/>
        </w:rPr>
        <w:t xml:space="preserve"> considère que cette constatation</w:t>
      </w:r>
      <w:r w:rsidRPr="00DD64A6">
        <w:rPr>
          <w:lang w:val="fr-FR"/>
        </w:rPr>
        <w:t>, qui n</w:t>
      </w:r>
      <w:r w:rsidR="00DD64A6" w:rsidRPr="00DD64A6">
        <w:rPr>
          <w:lang w:val="fr-FR"/>
        </w:rPr>
        <w:t>’</w:t>
      </w:r>
      <w:r w:rsidRPr="00DD64A6">
        <w:rPr>
          <w:lang w:val="fr-FR"/>
        </w:rPr>
        <w:t xml:space="preserve">a </w:t>
      </w:r>
      <w:r w:rsidR="00C0466E" w:rsidRPr="00DD64A6">
        <w:rPr>
          <w:lang w:val="fr-FR"/>
        </w:rPr>
        <w:t xml:space="preserve">pas </w:t>
      </w:r>
      <w:r w:rsidRPr="00DD64A6">
        <w:rPr>
          <w:lang w:val="fr-FR"/>
        </w:rPr>
        <w:t>été contestée par les autorités compétentes</w:t>
      </w:r>
      <w:r w:rsidR="00830BAD" w:rsidRPr="00DD64A6">
        <w:rPr>
          <w:lang w:val="fr-FR"/>
        </w:rPr>
        <w:t xml:space="preserve"> en l</w:t>
      </w:r>
      <w:r w:rsidR="00DD64A6" w:rsidRPr="00DD64A6">
        <w:rPr>
          <w:lang w:val="fr-FR"/>
        </w:rPr>
        <w:t>’</w:t>
      </w:r>
      <w:r w:rsidR="00830BAD" w:rsidRPr="00DD64A6">
        <w:rPr>
          <w:lang w:val="fr-FR"/>
        </w:rPr>
        <w:t>espèce</w:t>
      </w:r>
      <w:r w:rsidRPr="00DD64A6">
        <w:rPr>
          <w:lang w:val="fr-FR"/>
        </w:rPr>
        <w:t xml:space="preserve">, </w:t>
      </w:r>
      <w:r w:rsidR="00D265CD" w:rsidRPr="00DD64A6">
        <w:rPr>
          <w:lang w:val="fr-FR"/>
        </w:rPr>
        <w:t>suffit pour réfuter l</w:t>
      </w:r>
      <w:r w:rsidR="00DD64A6" w:rsidRPr="00DD64A6">
        <w:rPr>
          <w:lang w:val="fr-FR"/>
        </w:rPr>
        <w:t>’</w:t>
      </w:r>
      <w:r w:rsidR="00D265CD" w:rsidRPr="00DD64A6">
        <w:rPr>
          <w:lang w:val="fr-FR"/>
        </w:rPr>
        <w:t>argument du Gouvernement</w:t>
      </w:r>
      <w:r w:rsidRPr="00DD64A6">
        <w:rPr>
          <w:lang w:val="fr-FR"/>
        </w:rPr>
        <w:t xml:space="preserve"> selon lequel l</w:t>
      </w:r>
      <w:r w:rsidR="00DD64A6" w:rsidRPr="00DD64A6">
        <w:rPr>
          <w:lang w:val="fr-FR"/>
        </w:rPr>
        <w:t>’</w:t>
      </w:r>
      <w:r w:rsidRPr="00DD64A6">
        <w:rPr>
          <w:lang w:val="fr-FR"/>
        </w:rPr>
        <w:t>ingérence dans le droit au respect des biens de la</w:t>
      </w:r>
      <w:r w:rsidR="00830BAD" w:rsidRPr="00DD64A6">
        <w:rPr>
          <w:lang w:val="fr-FR"/>
        </w:rPr>
        <w:t xml:space="preserve"> société</w:t>
      </w:r>
      <w:r w:rsidRPr="00DD64A6">
        <w:rPr>
          <w:lang w:val="fr-FR"/>
        </w:rPr>
        <w:t xml:space="preserve"> requérante était prévue par la loi</w:t>
      </w:r>
      <w:r w:rsidR="00D265CD" w:rsidRPr="00DD64A6">
        <w:rPr>
          <w:lang w:val="fr-FR"/>
        </w:rPr>
        <w:t>.</w:t>
      </w:r>
    </w:p>
    <w:p w:rsidR="00E15F9A" w:rsidRPr="00DD64A6" w:rsidRDefault="00D265CD"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33</w:t>
      </w:r>
      <w:r w:rsidRPr="00DD64A6">
        <w:rPr>
          <w:lang w:val="fr-FR"/>
        </w:rPr>
        <w:fldChar w:fldCharType="end"/>
      </w:r>
      <w:r w:rsidRPr="00DD64A6">
        <w:rPr>
          <w:lang w:val="fr-FR"/>
        </w:rPr>
        <w:t xml:space="preserve">.  Par ailleurs, le </w:t>
      </w:r>
      <w:r w:rsidR="00395CE4" w:rsidRPr="00DD64A6">
        <w:rPr>
          <w:lang w:val="fr-FR"/>
        </w:rPr>
        <w:t>caractère excusable de l</w:t>
      </w:r>
      <w:r w:rsidR="00DD64A6" w:rsidRPr="00DD64A6">
        <w:rPr>
          <w:lang w:val="fr-FR"/>
        </w:rPr>
        <w:t>’</w:t>
      </w:r>
      <w:r w:rsidR="00395CE4" w:rsidRPr="00DD64A6">
        <w:rPr>
          <w:lang w:val="fr-FR"/>
        </w:rPr>
        <w:t>erreur commise par l</w:t>
      </w:r>
      <w:r w:rsidR="00DD64A6" w:rsidRPr="00DD64A6">
        <w:rPr>
          <w:lang w:val="fr-FR"/>
        </w:rPr>
        <w:t>’</w:t>
      </w:r>
      <w:r w:rsidRPr="00DD64A6">
        <w:rPr>
          <w:lang w:val="fr-FR"/>
        </w:rPr>
        <w:t>administration</w:t>
      </w:r>
      <w:r w:rsidR="002407F5" w:rsidRPr="00DD64A6">
        <w:rPr>
          <w:lang w:val="fr-FR"/>
        </w:rPr>
        <w:t>,</w:t>
      </w:r>
      <w:r w:rsidRPr="00DD64A6">
        <w:rPr>
          <w:lang w:val="fr-FR"/>
        </w:rPr>
        <w:t xml:space="preserve"> mis en avant</w:t>
      </w:r>
      <w:r w:rsidR="00181097" w:rsidRPr="00DD64A6">
        <w:rPr>
          <w:lang w:val="fr-FR"/>
        </w:rPr>
        <w:t xml:space="preserve"> par le Gouvernement</w:t>
      </w:r>
      <w:r w:rsidR="002407F5" w:rsidRPr="00DD64A6">
        <w:rPr>
          <w:lang w:val="fr-FR"/>
        </w:rPr>
        <w:t xml:space="preserve"> dans ses observations,</w:t>
      </w:r>
      <w:r w:rsidR="009401F7" w:rsidRPr="00DD64A6">
        <w:rPr>
          <w:lang w:val="fr-FR"/>
        </w:rPr>
        <w:t xml:space="preserve"> </w:t>
      </w:r>
      <w:r w:rsidR="002407F5" w:rsidRPr="00DD64A6">
        <w:rPr>
          <w:lang w:val="fr-FR"/>
        </w:rPr>
        <w:t xml:space="preserve">ne saurait </w:t>
      </w:r>
      <w:r w:rsidR="009401F7" w:rsidRPr="00DD64A6">
        <w:rPr>
          <w:lang w:val="fr-FR"/>
        </w:rPr>
        <w:t xml:space="preserve">justifier </w:t>
      </w:r>
      <w:r w:rsidR="00280B0B" w:rsidRPr="00DD64A6">
        <w:rPr>
          <w:lang w:val="fr-FR"/>
        </w:rPr>
        <w:t xml:space="preserve">en soi </w:t>
      </w:r>
      <w:r w:rsidR="009401F7" w:rsidRPr="00DD64A6">
        <w:rPr>
          <w:lang w:val="fr-FR"/>
        </w:rPr>
        <w:t>l</w:t>
      </w:r>
      <w:r w:rsidR="00DD64A6" w:rsidRPr="00DD64A6">
        <w:rPr>
          <w:lang w:val="fr-FR"/>
        </w:rPr>
        <w:t>’</w:t>
      </w:r>
      <w:r w:rsidR="009401F7" w:rsidRPr="00DD64A6">
        <w:rPr>
          <w:lang w:val="fr-FR"/>
        </w:rPr>
        <w:t>ingérence</w:t>
      </w:r>
      <w:r w:rsidR="002F70E2" w:rsidRPr="00DD64A6">
        <w:rPr>
          <w:lang w:val="fr-FR"/>
        </w:rPr>
        <w:t xml:space="preserve"> litigieuse</w:t>
      </w:r>
      <w:r w:rsidR="00181097" w:rsidRPr="00DD64A6">
        <w:rPr>
          <w:lang w:val="fr-FR"/>
        </w:rPr>
        <w:t>.</w:t>
      </w:r>
      <w:r w:rsidR="001F1933" w:rsidRPr="00DD64A6">
        <w:rPr>
          <w:lang w:val="fr-FR"/>
        </w:rPr>
        <w:t xml:space="preserve"> </w:t>
      </w:r>
      <w:r w:rsidR="00181097" w:rsidRPr="00DD64A6">
        <w:rPr>
          <w:lang w:val="fr-FR"/>
        </w:rPr>
        <w:t>En effet,</w:t>
      </w:r>
      <w:r w:rsidR="006D2A29" w:rsidRPr="00DD64A6">
        <w:rPr>
          <w:lang w:val="fr-FR"/>
        </w:rPr>
        <w:t xml:space="preserve"> </w:t>
      </w:r>
      <w:r w:rsidR="00280B0B" w:rsidRPr="00DD64A6">
        <w:rPr>
          <w:lang w:val="fr-FR"/>
        </w:rPr>
        <w:t xml:space="preserve">la </w:t>
      </w:r>
      <w:r w:rsidR="001F1933" w:rsidRPr="00DD64A6">
        <w:rPr>
          <w:lang w:val="fr-FR"/>
        </w:rPr>
        <w:t>Cour c</w:t>
      </w:r>
      <w:r w:rsidR="009401F7" w:rsidRPr="00DD64A6">
        <w:rPr>
          <w:lang w:val="fr-FR"/>
        </w:rPr>
        <w:t xml:space="preserve">onsidère </w:t>
      </w:r>
      <w:r w:rsidR="00280B0B" w:rsidRPr="00DD64A6">
        <w:rPr>
          <w:lang w:val="fr-FR"/>
        </w:rPr>
        <w:t>tout d</w:t>
      </w:r>
      <w:r w:rsidR="00DD64A6" w:rsidRPr="00DD64A6">
        <w:rPr>
          <w:lang w:val="fr-FR"/>
        </w:rPr>
        <w:t>’</w:t>
      </w:r>
      <w:r w:rsidR="00280B0B" w:rsidRPr="00DD64A6">
        <w:rPr>
          <w:lang w:val="fr-FR"/>
        </w:rPr>
        <w:t xml:space="preserve">abord </w:t>
      </w:r>
      <w:r w:rsidR="001F1933" w:rsidRPr="00DD64A6">
        <w:rPr>
          <w:lang w:val="fr-FR"/>
        </w:rPr>
        <w:t>qu</w:t>
      </w:r>
      <w:r w:rsidR="00DD64A6" w:rsidRPr="00DD64A6">
        <w:rPr>
          <w:lang w:val="fr-FR"/>
        </w:rPr>
        <w:t>’</w:t>
      </w:r>
      <w:r w:rsidR="001F1933" w:rsidRPr="00DD64A6">
        <w:rPr>
          <w:lang w:val="fr-FR"/>
        </w:rPr>
        <w:t>il ne saurait revenir à la requérante de supporter la charge d</w:t>
      </w:r>
      <w:r w:rsidR="00DD64A6" w:rsidRPr="00DD64A6">
        <w:rPr>
          <w:lang w:val="fr-FR"/>
        </w:rPr>
        <w:t>’</w:t>
      </w:r>
      <w:r w:rsidR="001F1933" w:rsidRPr="00DD64A6">
        <w:rPr>
          <w:lang w:val="fr-FR"/>
        </w:rPr>
        <w:t xml:space="preserve">éventuelles </w:t>
      </w:r>
      <w:r w:rsidR="009401F7" w:rsidRPr="00DD64A6">
        <w:rPr>
          <w:lang w:val="fr-FR"/>
        </w:rPr>
        <w:t>erreur</w:t>
      </w:r>
      <w:r w:rsidR="002407F5" w:rsidRPr="00DD64A6">
        <w:rPr>
          <w:lang w:val="fr-FR"/>
        </w:rPr>
        <w:t>s ou carences</w:t>
      </w:r>
      <w:r w:rsidR="009401F7" w:rsidRPr="00DD64A6">
        <w:rPr>
          <w:lang w:val="fr-FR"/>
        </w:rPr>
        <w:t xml:space="preserve"> </w:t>
      </w:r>
      <w:r w:rsidR="002407F5" w:rsidRPr="00DD64A6">
        <w:rPr>
          <w:lang w:val="fr-FR"/>
        </w:rPr>
        <w:t>des</w:t>
      </w:r>
      <w:r w:rsidR="00A43C1D" w:rsidRPr="00DD64A6">
        <w:rPr>
          <w:lang w:val="fr-FR"/>
        </w:rPr>
        <w:t xml:space="preserve"> </w:t>
      </w:r>
      <w:r w:rsidR="009401F7" w:rsidRPr="00DD64A6">
        <w:rPr>
          <w:lang w:val="fr-FR"/>
        </w:rPr>
        <w:t>autorités (</w:t>
      </w:r>
      <w:r w:rsidR="00830BAD" w:rsidRPr="00DD64A6">
        <w:rPr>
          <w:lang w:val="fr-FR"/>
        </w:rPr>
        <w:t xml:space="preserve">voir, </w:t>
      </w:r>
      <w:r w:rsidR="009401F7" w:rsidRPr="00DD64A6">
        <w:rPr>
          <w:i/>
          <w:lang w:val="fr-FR"/>
        </w:rPr>
        <w:t>mutatis mutandis</w:t>
      </w:r>
      <w:r w:rsidR="009401F7" w:rsidRPr="00DD64A6">
        <w:rPr>
          <w:lang w:val="fr-FR"/>
        </w:rPr>
        <w:t xml:space="preserve">, </w:t>
      </w:r>
      <w:proofErr w:type="spellStart"/>
      <w:r w:rsidR="00A43C1D" w:rsidRPr="00DD64A6">
        <w:rPr>
          <w:i/>
          <w:lang w:val="fr-FR"/>
        </w:rPr>
        <w:t>Gashi</w:t>
      </w:r>
      <w:proofErr w:type="spellEnd"/>
      <w:r w:rsidR="00A43C1D" w:rsidRPr="00DD64A6">
        <w:rPr>
          <w:i/>
          <w:lang w:val="fr-FR"/>
        </w:rPr>
        <w:t xml:space="preserve"> c. Croatie</w:t>
      </w:r>
      <w:r w:rsidR="00A43C1D" w:rsidRPr="00DD64A6">
        <w:rPr>
          <w:lang w:val="fr-FR"/>
        </w:rPr>
        <w:t>, n</w:t>
      </w:r>
      <w:r w:rsidR="00A43C1D" w:rsidRPr="00DD64A6">
        <w:rPr>
          <w:vertAlign w:val="superscript"/>
          <w:lang w:val="fr-FR"/>
        </w:rPr>
        <w:t>o</w:t>
      </w:r>
      <w:r w:rsidR="002407F5" w:rsidRPr="00DD64A6">
        <w:rPr>
          <w:lang w:val="fr-FR"/>
        </w:rPr>
        <w:t> </w:t>
      </w:r>
      <w:r w:rsidR="00A43C1D" w:rsidRPr="00DD64A6">
        <w:rPr>
          <w:lang w:val="fr-FR"/>
        </w:rPr>
        <w:t xml:space="preserve">32457/05, § 40, 13 décembre 2007). De plus, </w:t>
      </w:r>
      <w:r w:rsidR="00D2293A" w:rsidRPr="00DD64A6">
        <w:rPr>
          <w:lang w:val="fr-FR"/>
        </w:rPr>
        <w:t>dans la mesure où l</w:t>
      </w:r>
      <w:r w:rsidR="00DD64A6" w:rsidRPr="00DD64A6">
        <w:rPr>
          <w:lang w:val="fr-FR"/>
        </w:rPr>
        <w:t>’</w:t>
      </w:r>
      <w:r w:rsidR="00D2293A" w:rsidRPr="00DD64A6">
        <w:rPr>
          <w:lang w:val="fr-FR"/>
        </w:rPr>
        <w:t xml:space="preserve">erreur </w:t>
      </w:r>
      <w:r w:rsidR="0051407B" w:rsidRPr="00DD64A6">
        <w:rPr>
          <w:lang w:val="fr-FR"/>
        </w:rPr>
        <w:t>de l</w:t>
      </w:r>
      <w:r w:rsidR="00DD64A6" w:rsidRPr="00DD64A6">
        <w:rPr>
          <w:lang w:val="fr-FR"/>
        </w:rPr>
        <w:t>’</w:t>
      </w:r>
      <w:r w:rsidR="0051407B" w:rsidRPr="00DD64A6">
        <w:rPr>
          <w:lang w:val="fr-FR"/>
        </w:rPr>
        <w:t xml:space="preserve">administration </w:t>
      </w:r>
      <w:r w:rsidR="00D2293A" w:rsidRPr="00DD64A6">
        <w:rPr>
          <w:lang w:val="fr-FR"/>
        </w:rPr>
        <w:t xml:space="preserve">aurait été </w:t>
      </w:r>
      <w:r w:rsidR="0051407B" w:rsidRPr="00DD64A6">
        <w:rPr>
          <w:lang w:val="fr-FR"/>
        </w:rPr>
        <w:t>engendrée par le</w:t>
      </w:r>
      <w:r w:rsidR="007B5BEB" w:rsidRPr="00DD64A6">
        <w:rPr>
          <w:lang w:val="fr-FR"/>
        </w:rPr>
        <w:t xml:space="preserve"> manque de clarté de</w:t>
      </w:r>
      <w:r w:rsidR="00D2293A" w:rsidRPr="00DD64A6">
        <w:rPr>
          <w:lang w:val="fr-FR"/>
        </w:rPr>
        <w:t xml:space="preserve"> loi</w:t>
      </w:r>
      <w:r w:rsidR="0051407B" w:rsidRPr="00DD64A6">
        <w:rPr>
          <w:lang w:val="fr-FR"/>
        </w:rPr>
        <w:t xml:space="preserve"> applicable, </w:t>
      </w:r>
      <w:r w:rsidR="00A43C1D" w:rsidRPr="00DD64A6">
        <w:rPr>
          <w:lang w:val="fr-FR"/>
        </w:rPr>
        <w:t>elle rappelle</w:t>
      </w:r>
      <w:r w:rsidR="00833C21" w:rsidRPr="00DD64A6">
        <w:rPr>
          <w:lang w:val="fr-FR"/>
        </w:rPr>
        <w:t xml:space="preserve"> </w:t>
      </w:r>
      <w:r w:rsidR="00A43C1D" w:rsidRPr="00DD64A6">
        <w:rPr>
          <w:lang w:val="fr-FR"/>
        </w:rPr>
        <w:t xml:space="preserve">que le principe de légalité </w:t>
      </w:r>
      <w:r w:rsidR="00E555A6" w:rsidRPr="00DD64A6">
        <w:rPr>
          <w:lang w:val="fr-FR"/>
        </w:rPr>
        <w:t xml:space="preserve">présuppose </w:t>
      </w:r>
      <w:r w:rsidR="00A43C1D" w:rsidRPr="00DD64A6">
        <w:rPr>
          <w:lang w:val="fr-FR"/>
        </w:rPr>
        <w:t>l</w:t>
      </w:r>
      <w:r w:rsidR="00DD64A6" w:rsidRPr="00DD64A6">
        <w:rPr>
          <w:lang w:val="fr-FR"/>
        </w:rPr>
        <w:t>’</w:t>
      </w:r>
      <w:r w:rsidR="00A43C1D" w:rsidRPr="00DD64A6">
        <w:rPr>
          <w:lang w:val="fr-FR"/>
        </w:rPr>
        <w:t>existence de normes de droit interne suffisamment acces</w:t>
      </w:r>
      <w:r w:rsidR="00A829FD" w:rsidRPr="00DD64A6">
        <w:rPr>
          <w:lang w:val="fr-FR"/>
        </w:rPr>
        <w:t>sibles, précises et prévisibles (</w:t>
      </w:r>
      <w:r w:rsidR="00A829FD" w:rsidRPr="00DD64A6">
        <w:rPr>
          <w:i/>
          <w:lang w:val="fr-FR"/>
        </w:rPr>
        <w:t>Carbonara et Ventura c. Italie</w:t>
      </w:r>
      <w:r w:rsidR="00A829FD" w:rsidRPr="00DD64A6">
        <w:rPr>
          <w:lang w:val="fr-FR"/>
        </w:rPr>
        <w:t>, n</w:t>
      </w:r>
      <w:r w:rsidR="00E15F9A" w:rsidRPr="00DD64A6">
        <w:rPr>
          <w:vertAlign w:val="superscript"/>
          <w:lang w:val="fr-FR"/>
        </w:rPr>
        <w:t>o</w:t>
      </w:r>
      <w:r w:rsidR="00DD64A6" w:rsidRPr="00DD64A6">
        <w:rPr>
          <w:lang w:val="fr-FR"/>
        </w:rPr>
        <w:t xml:space="preserve"> 24638/94, § 64, CEDH </w:t>
      </w:r>
      <w:r w:rsidR="00A829FD" w:rsidRPr="00DD64A6">
        <w:rPr>
          <w:lang w:val="fr-FR"/>
        </w:rPr>
        <w:t>2000</w:t>
      </w:r>
      <w:r w:rsidR="00F1187A" w:rsidRPr="00DD64A6">
        <w:rPr>
          <w:lang w:val="fr-FR"/>
        </w:rPr>
        <w:noBreakHyphen/>
      </w:r>
      <w:r w:rsidR="00A829FD" w:rsidRPr="00DD64A6">
        <w:rPr>
          <w:lang w:val="fr-FR"/>
        </w:rPr>
        <w:t>VI).</w:t>
      </w:r>
    </w:p>
    <w:p w:rsidR="00A43C1D" w:rsidRPr="00DD64A6" w:rsidRDefault="00CE7927" w:rsidP="00DD64A6">
      <w:pPr>
        <w:pStyle w:val="ECHRPara"/>
        <w:rPr>
          <w:i/>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34</w:t>
      </w:r>
      <w:r w:rsidRPr="00DD64A6">
        <w:rPr>
          <w:lang w:val="fr-FR"/>
        </w:rPr>
        <w:fldChar w:fldCharType="end"/>
      </w:r>
      <w:r w:rsidRPr="00DD64A6">
        <w:rPr>
          <w:lang w:val="fr-FR"/>
        </w:rPr>
        <w:t>.  Enfin, la Cour observe au passage que la reconnaissance par les autorités nationales du caractère illégal de l</w:t>
      </w:r>
      <w:r w:rsidR="00DD64A6" w:rsidRPr="00DD64A6">
        <w:rPr>
          <w:lang w:val="fr-FR"/>
        </w:rPr>
        <w:t>’</w:t>
      </w:r>
      <w:r w:rsidRPr="00DD64A6">
        <w:rPr>
          <w:lang w:val="fr-FR"/>
        </w:rPr>
        <w:t xml:space="preserve">ingérence </w:t>
      </w:r>
      <w:r w:rsidR="008E4F52" w:rsidRPr="00DD64A6">
        <w:rPr>
          <w:lang w:val="fr-FR"/>
        </w:rPr>
        <w:t>litigieuse</w:t>
      </w:r>
      <w:r w:rsidRPr="00DD64A6">
        <w:rPr>
          <w:lang w:val="fr-FR"/>
        </w:rPr>
        <w:t xml:space="preserve"> se saurait suffire, en l</w:t>
      </w:r>
      <w:r w:rsidR="00DD64A6" w:rsidRPr="00DD64A6">
        <w:rPr>
          <w:lang w:val="fr-FR"/>
        </w:rPr>
        <w:t>’</w:t>
      </w:r>
      <w:r w:rsidRPr="00DD64A6">
        <w:rPr>
          <w:lang w:val="fr-FR"/>
        </w:rPr>
        <w:t>absence de toute réparation du préjudice</w:t>
      </w:r>
      <w:r w:rsidR="006C04BE" w:rsidRPr="00DD64A6">
        <w:rPr>
          <w:lang w:val="fr-FR"/>
        </w:rPr>
        <w:t xml:space="preserve"> subi</w:t>
      </w:r>
      <w:r w:rsidRPr="00DD64A6">
        <w:rPr>
          <w:lang w:val="fr-FR"/>
        </w:rPr>
        <w:t>, à redresser la violation alléguée de la Convention (</w:t>
      </w:r>
      <w:r w:rsidR="00107625" w:rsidRPr="00DD64A6">
        <w:rPr>
          <w:lang w:val="fr-FR"/>
        </w:rPr>
        <w:t xml:space="preserve">voir, </w:t>
      </w:r>
      <w:r w:rsidRPr="00DD64A6">
        <w:rPr>
          <w:lang w:val="fr-FR"/>
        </w:rPr>
        <w:t>parmi beaucoup d</w:t>
      </w:r>
      <w:r w:rsidR="00DD64A6" w:rsidRPr="00DD64A6">
        <w:rPr>
          <w:lang w:val="fr-FR"/>
        </w:rPr>
        <w:t>’</w:t>
      </w:r>
      <w:r w:rsidRPr="00DD64A6">
        <w:rPr>
          <w:lang w:val="fr-FR"/>
        </w:rPr>
        <w:t xml:space="preserve">autres, </w:t>
      </w:r>
      <w:proofErr w:type="spellStart"/>
      <w:r w:rsidRPr="00DD64A6">
        <w:rPr>
          <w:i/>
          <w:lang w:val="fr-FR"/>
        </w:rPr>
        <w:t>Scordino</w:t>
      </w:r>
      <w:proofErr w:type="spellEnd"/>
      <w:r w:rsidRPr="00DD64A6">
        <w:rPr>
          <w:i/>
          <w:lang w:val="fr-FR"/>
        </w:rPr>
        <w:t xml:space="preserve"> c. Italie (n</w:t>
      </w:r>
      <w:r w:rsidRPr="00DD64A6">
        <w:rPr>
          <w:rFonts w:cs="Times New Roman"/>
          <w:i/>
          <w:vertAlign w:val="superscript"/>
          <w:lang w:val="fr-FR"/>
        </w:rPr>
        <w:t>o</w:t>
      </w:r>
      <w:r w:rsidRPr="00DD64A6">
        <w:rPr>
          <w:i/>
          <w:lang w:val="fr-FR"/>
        </w:rPr>
        <w:t> 1)</w:t>
      </w:r>
      <w:r w:rsidRPr="00DD64A6">
        <w:rPr>
          <w:lang w:val="fr-FR"/>
        </w:rPr>
        <w:t xml:space="preserve"> [GC], n</w:t>
      </w:r>
      <w:r w:rsidRPr="00DD64A6">
        <w:rPr>
          <w:szCs w:val="24"/>
          <w:vertAlign w:val="superscript"/>
          <w:lang w:val="fr-FR"/>
        </w:rPr>
        <w:t>o</w:t>
      </w:r>
      <w:r w:rsidRPr="00DD64A6">
        <w:rPr>
          <w:lang w:val="fr-FR"/>
        </w:rPr>
        <w:t xml:space="preserve"> 36813/97, § 178, CEDH 2006</w:t>
      </w:r>
      <w:r w:rsidRPr="00DD64A6">
        <w:rPr>
          <w:lang w:val="fr-FR"/>
        </w:rPr>
        <w:noBreakHyphen/>
        <w:t>V</w:t>
      </w:r>
      <w:r w:rsidR="00CB7A33" w:rsidRPr="00DD64A6">
        <w:rPr>
          <w:lang w:val="fr-FR"/>
        </w:rPr>
        <w:t xml:space="preserve">, et </w:t>
      </w:r>
      <w:r w:rsidR="00CB7A33" w:rsidRPr="00DD64A6">
        <w:rPr>
          <w:i/>
          <w:lang w:val="fr-FR"/>
        </w:rPr>
        <w:t>Vella c.</w:t>
      </w:r>
      <w:r w:rsidR="005A3971" w:rsidRPr="00DD64A6">
        <w:rPr>
          <w:i/>
          <w:lang w:val="fr-FR"/>
        </w:rPr>
        <w:t> </w:t>
      </w:r>
      <w:r w:rsidR="00CB7A33" w:rsidRPr="00DD64A6">
        <w:rPr>
          <w:i/>
          <w:lang w:val="fr-FR"/>
        </w:rPr>
        <w:t>Malte</w:t>
      </w:r>
      <w:r w:rsidR="00CB7A33" w:rsidRPr="00DD64A6">
        <w:rPr>
          <w:lang w:val="fr-FR"/>
        </w:rPr>
        <w:t>, n</w:t>
      </w:r>
      <w:r w:rsidR="00CB7A33" w:rsidRPr="00DD64A6">
        <w:rPr>
          <w:vertAlign w:val="superscript"/>
          <w:lang w:val="fr-FR"/>
        </w:rPr>
        <w:t>o</w:t>
      </w:r>
      <w:r w:rsidR="00F84156" w:rsidRPr="00DD64A6">
        <w:rPr>
          <w:lang w:val="fr-FR"/>
        </w:rPr>
        <w:t> </w:t>
      </w:r>
      <w:r w:rsidR="00CB7A33" w:rsidRPr="00DD64A6">
        <w:rPr>
          <w:lang w:val="fr-FR"/>
        </w:rPr>
        <w:t>69122/10</w:t>
      </w:r>
      <w:r w:rsidR="00CB7A33" w:rsidRPr="00DD64A6">
        <w:rPr>
          <w:snapToGrid w:val="0"/>
          <w:lang w:val="fr-FR"/>
        </w:rPr>
        <w:t xml:space="preserve">, § 47, 11 </w:t>
      </w:r>
      <w:r w:rsidR="00CB7A33" w:rsidRPr="00DD64A6">
        <w:rPr>
          <w:lang w:val="fr-FR"/>
        </w:rPr>
        <w:t>février</w:t>
      </w:r>
      <w:r w:rsidR="00CB7A33" w:rsidRPr="00DD64A6">
        <w:rPr>
          <w:snapToGrid w:val="0"/>
          <w:lang w:val="fr-FR"/>
        </w:rPr>
        <w:t xml:space="preserve"> 2014</w:t>
      </w:r>
      <w:r w:rsidRPr="00DD64A6">
        <w:rPr>
          <w:lang w:val="fr-FR"/>
        </w:rPr>
        <w:t>).</w:t>
      </w:r>
    </w:p>
    <w:p w:rsidR="009401F7" w:rsidRPr="00DD64A6" w:rsidRDefault="009401F7" w:rsidP="00DD64A6">
      <w:pPr>
        <w:pStyle w:val="ECHRPara"/>
        <w:keepNext/>
        <w:keepLines/>
        <w:rPr>
          <w:lang w:val="fr-FR"/>
        </w:rPr>
      </w:pPr>
      <w:r w:rsidRPr="00DD64A6">
        <w:rPr>
          <w:lang w:val="fr-FR"/>
        </w:rPr>
        <w:lastRenderedPageBreak/>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35</w:t>
      </w:r>
      <w:r w:rsidRPr="00DD64A6">
        <w:rPr>
          <w:lang w:val="fr-FR"/>
        </w:rPr>
        <w:fldChar w:fldCharType="end"/>
      </w:r>
      <w:r w:rsidRPr="00DD64A6">
        <w:rPr>
          <w:lang w:val="fr-FR"/>
        </w:rPr>
        <w:t>.  </w:t>
      </w:r>
      <w:r w:rsidR="00107625" w:rsidRPr="00DD64A6">
        <w:rPr>
          <w:lang w:val="fr-FR"/>
        </w:rPr>
        <w:t>Eu égard à</w:t>
      </w:r>
      <w:r w:rsidR="0051407B" w:rsidRPr="00DD64A6">
        <w:rPr>
          <w:lang w:val="fr-FR"/>
        </w:rPr>
        <w:t xml:space="preserve"> ce que précède, l</w:t>
      </w:r>
      <w:r w:rsidR="009171DA" w:rsidRPr="00DD64A6">
        <w:rPr>
          <w:lang w:val="fr-FR"/>
        </w:rPr>
        <w:t>a Cour estime que l</w:t>
      </w:r>
      <w:r w:rsidR="00DD64A6" w:rsidRPr="00DD64A6">
        <w:rPr>
          <w:lang w:val="fr-FR"/>
        </w:rPr>
        <w:t>’</w:t>
      </w:r>
      <w:r w:rsidR="009171DA" w:rsidRPr="00DD64A6">
        <w:rPr>
          <w:lang w:val="fr-FR"/>
        </w:rPr>
        <w:t xml:space="preserve">ingérence litigieuse </w:t>
      </w:r>
      <w:r w:rsidR="00833C21" w:rsidRPr="00DD64A6">
        <w:rPr>
          <w:lang w:val="fr-FR"/>
        </w:rPr>
        <w:t>était</w:t>
      </w:r>
      <w:r w:rsidR="009171DA" w:rsidRPr="00DD64A6">
        <w:rPr>
          <w:lang w:val="fr-FR"/>
        </w:rPr>
        <w:t xml:space="preserve"> manifestement illégale sur le plan du droit interne et, par conséquent, incompatible avec le droit au respect des biens d</w:t>
      </w:r>
      <w:r w:rsidR="0051407B" w:rsidRPr="00DD64A6">
        <w:rPr>
          <w:lang w:val="fr-FR"/>
        </w:rPr>
        <w:t>e la</w:t>
      </w:r>
      <w:r w:rsidR="009171DA" w:rsidRPr="00DD64A6">
        <w:rPr>
          <w:lang w:val="fr-FR"/>
        </w:rPr>
        <w:t xml:space="preserve"> </w:t>
      </w:r>
      <w:r w:rsidR="00107625" w:rsidRPr="00DD64A6">
        <w:rPr>
          <w:lang w:val="fr-FR"/>
        </w:rPr>
        <w:t xml:space="preserve">société </w:t>
      </w:r>
      <w:r w:rsidR="009171DA" w:rsidRPr="00DD64A6">
        <w:rPr>
          <w:lang w:val="fr-FR"/>
        </w:rPr>
        <w:t>requérant</w:t>
      </w:r>
      <w:r w:rsidR="0051407B" w:rsidRPr="00DD64A6">
        <w:rPr>
          <w:lang w:val="fr-FR"/>
        </w:rPr>
        <w:t>e</w:t>
      </w:r>
      <w:r w:rsidR="009171DA" w:rsidRPr="00DD64A6">
        <w:rPr>
          <w:lang w:val="fr-FR"/>
        </w:rPr>
        <w:t>. Une telle conclusion la dispense de rechercher si un juste équilibre a été maintenu entre les exigences de l</w:t>
      </w:r>
      <w:r w:rsidR="00DD64A6" w:rsidRPr="00DD64A6">
        <w:rPr>
          <w:lang w:val="fr-FR"/>
        </w:rPr>
        <w:t>’</w:t>
      </w:r>
      <w:r w:rsidR="009171DA" w:rsidRPr="00DD64A6">
        <w:rPr>
          <w:lang w:val="fr-FR"/>
        </w:rPr>
        <w:t>intérêt général de la communauté et les impératifs de la sauvegarde des droits individuels.</w:t>
      </w:r>
    </w:p>
    <w:p w:rsidR="00AE2B1D" w:rsidRPr="00DD64A6" w:rsidRDefault="009401F7"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36</w:t>
      </w:r>
      <w:r w:rsidRPr="00DD64A6">
        <w:rPr>
          <w:lang w:val="fr-FR"/>
        </w:rPr>
        <w:fldChar w:fldCharType="end"/>
      </w:r>
      <w:r w:rsidRPr="00DD64A6">
        <w:rPr>
          <w:lang w:val="fr-FR"/>
        </w:rPr>
        <w:t>.  </w:t>
      </w:r>
      <w:r w:rsidR="009171DA" w:rsidRPr="00DD64A6">
        <w:rPr>
          <w:lang w:val="fr-FR"/>
        </w:rPr>
        <w:t>Dès lors, il y a eu violation de l</w:t>
      </w:r>
      <w:r w:rsidR="00DD64A6" w:rsidRPr="00DD64A6">
        <w:rPr>
          <w:lang w:val="fr-FR"/>
        </w:rPr>
        <w:t>’</w:t>
      </w:r>
      <w:r w:rsidR="009171DA" w:rsidRPr="00DD64A6">
        <w:rPr>
          <w:lang w:val="fr-FR"/>
        </w:rPr>
        <w:t>article 1 du Protocole n</w:t>
      </w:r>
      <w:r w:rsidR="00E15F9A" w:rsidRPr="00DD64A6">
        <w:rPr>
          <w:vertAlign w:val="superscript"/>
          <w:lang w:val="fr-FR"/>
        </w:rPr>
        <w:t>o</w:t>
      </w:r>
      <w:r w:rsidR="009171DA" w:rsidRPr="00DD64A6">
        <w:rPr>
          <w:lang w:val="fr-FR"/>
        </w:rPr>
        <w:t xml:space="preserve"> 1</w:t>
      </w:r>
      <w:r w:rsidR="00107625" w:rsidRPr="00DD64A6">
        <w:rPr>
          <w:lang w:val="fr-FR"/>
        </w:rPr>
        <w:t xml:space="preserve"> à la Convention</w:t>
      </w:r>
      <w:r w:rsidR="009171DA" w:rsidRPr="00DD64A6">
        <w:rPr>
          <w:lang w:val="fr-FR"/>
        </w:rPr>
        <w:t>.</w:t>
      </w:r>
    </w:p>
    <w:p w:rsidR="00E77CB3" w:rsidRPr="00DD64A6" w:rsidRDefault="00970CA4" w:rsidP="00DD64A6">
      <w:pPr>
        <w:pStyle w:val="ECHRHeading1"/>
        <w:rPr>
          <w:lang w:val="fr-FR"/>
        </w:rPr>
      </w:pPr>
      <w:r w:rsidRPr="00DD64A6">
        <w:rPr>
          <w:lang w:val="fr-FR"/>
        </w:rPr>
        <w:t>II</w:t>
      </w:r>
      <w:r w:rsidR="00F74BF5" w:rsidRPr="00DD64A6">
        <w:rPr>
          <w:lang w:val="fr-FR"/>
        </w:rPr>
        <w:t>I</w:t>
      </w:r>
      <w:r w:rsidR="00E77CB3" w:rsidRPr="00DD64A6">
        <w:rPr>
          <w:lang w:val="fr-FR"/>
        </w:rPr>
        <w:t>.</w:t>
      </w:r>
      <w:proofErr w:type="gramStart"/>
      <w:r w:rsidR="00E77CB3" w:rsidRPr="00DD64A6">
        <w:rPr>
          <w:lang w:val="fr-FR"/>
        </w:rPr>
        <w:t>  SUR</w:t>
      </w:r>
      <w:proofErr w:type="gramEnd"/>
      <w:r w:rsidR="00E77CB3" w:rsidRPr="00DD64A6">
        <w:rPr>
          <w:lang w:val="fr-FR"/>
        </w:rPr>
        <w:t xml:space="preserve"> L</w:t>
      </w:r>
      <w:r w:rsidR="00DD64A6" w:rsidRPr="00DD64A6">
        <w:rPr>
          <w:lang w:val="fr-FR"/>
        </w:rPr>
        <w:t>’</w:t>
      </w:r>
      <w:r w:rsidR="00E77CB3" w:rsidRPr="00DD64A6">
        <w:rPr>
          <w:lang w:val="fr-FR"/>
        </w:rPr>
        <w:t>APPLICATION DE L</w:t>
      </w:r>
      <w:r w:rsidR="00DD64A6" w:rsidRPr="00DD64A6">
        <w:rPr>
          <w:lang w:val="fr-FR"/>
        </w:rPr>
        <w:t>’</w:t>
      </w:r>
      <w:r w:rsidR="00E77CB3" w:rsidRPr="00DD64A6">
        <w:rPr>
          <w:lang w:val="fr-FR"/>
        </w:rPr>
        <w:t>ARTICLE 41 DE LA CONVENTION</w:t>
      </w:r>
    </w:p>
    <w:p w:rsidR="00E77CB3" w:rsidRPr="00DD64A6" w:rsidRDefault="0036691A"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37</w:t>
      </w:r>
      <w:r w:rsidRPr="00DD64A6">
        <w:rPr>
          <w:lang w:val="fr-FR"/>
        </w:rPr>
        <w:fldChar w:fldCharType="end"/>
      </w:r>
      <w:r w:rsidR="00E77CB3" w:rsidRPr="00DD64A6">
        <w:rPr>
          <w:lang w:val="fr-FR"/>
        </w:rPr>
        <w:t>.  Aux termes de l</w:t>
      </w:r>
      <w:r w:rsidR="00DD64A6" w:rsidRPr="00DD64A6">
        <w:rPr>
          <w:lang w:val="fr-FR"/>
        </w:rPr>
        <w:t>’</w:t>
      </w:r>
      <w:r w:rsidR="00E77CB3" w:rsidRPr="00DD64A6">
        <w:rPr>
          <w:lang w:val="fr-FR"/>
        </w:rPr>
        <w:t>article 41 de la Convention,</w:t>
      </w:r>
    </w:p>
    <w:p w:rsidR="00204B18" w:rsidRPr="00DD64A6" w:rsidRDefault="00E77CB3" w:rsidP="00DD64A6">
      <w:pPr>
        <w:pStyle w:val="ECHRParaQuote"/>
        <w:keepNext/>
        <w:keepLines/>
        <w:rPr>
          <w:lang w:val="fr-FR"/>
        </w:rPr>
      </w:pPr>
      <w:r w:rsidRPr="00DD64A6">
        <w:rPr>
          <w:lang w:val="fr-FR"/>
        </w:rPr>
        <w:t>« Si la Cour déclare qu</w:t>
      </w:r>
      <w:r w:rsidR="00DD64A6" w:rsidRPr="00DD64A6">
        <w:rPr>
          <w:lang w:val="fr-FR"/>
        </w:rPr>
        <w:t>’</w:t>
      </w:r>
      <w:r w:rsidRPr="00DD64A6">
        <w:rPr>
          <w:lang w:val="fr-FR"/>
        </w:rPr>
        <w:t>il y a eu violation de la Convention ou de ses Protocoles, et si le droit interne de la Haute Partie contractante ne permet d</w:t>
      </w:r>
      <w:r w:rsidR="00DD64A6" w:rsidRPr="00DD64A6">
        <w:rPr>
          <w:lang w:val="fr-FR"/>
        </w:rPr>
        <w:t>’</w:t>
      </w:r>
      <w:r w:rsidRPr="00DD64A6">
        <w:rPr>
          <w:lang w:val="fr-FR"/>
        </w:rPr>
        <w:t>effacer qu</w:t>
      </w:r>
      <w:r w:rsidR="00DD64A6" w:rsidRPr="00DD64A6">
        <w:rPr>
          <w:lang w:val="fr-FR"/>
        </w:rPr>
        <w:t>’</w:t>
      </w:r>
      <w:r w:rsidRPr="00DD64A6">
        <w:rPr>
          <w:lang w:val="fr-FR"/>
        </w:rPr>
        <w:t>imparfaitement les conséquences de cette violation, la Cour accorde à la partie lésée, s</w:t>
      </w:r>
      <w:r w:rsidR="00DD64A6" w:rsidRPr="00DD64A6">
        <w:rPr>
          <w:lang w:val="fr-FR"/>
        </w:rPr>
        <w:t>’</w:t>
      </w:r>
      <w:r w:rsidRPr="00DD64A6">
        <w:rPr>
          <w:lang w:val="fr-FR"/>
        </w:rPr>
        <w:t>il y a lieu, une satisfaction équitable. »</w:t>
      </w:r>
    </w:p>
    <w:p w:rsidR="00C24FD6" w:rsidRPr="00DD64A6" w:rsidRDefault="00C24FD6" w:rsidP="00DD64A6">
      <w:pPr>
        <w:pStyle w:val="ECHRHeading2"/>
        <w:rPr>
          <w:lang w:val="fr-FR"/>
        </w:rPr>
      </w:pPr>
      <w:r w:rsidRPr="00DD64A6">
        <w:rPr>
          <w:lang w:val="fr-FR"/>
        </w:rPr>
        <w:t>A.</w:t>
      </w:r>
      <w:proofErr w:type="gramStart"/>
      <w:r w:rsidRPr="00DD64A6">
        <w:rPr>
          <w:lang w:val="fr-FR"/>
        </w:rPr>
        <w:t>  Dommage</w:t>
      </w:r>
      <w:proofErr w:type="gramEnd"/>
    </w:p>
    <w:p w:rsidR="007B6870" w:rsidRPr="00DD64A6" w:rsidRDefault="00C24FD6" w:rsidP="00DD64A6">
      <w:pPr>
        <w:pStyle w:val="ECHRPara"/>
        <w:rPr>
          <w:lang w:val="fr-FR"/>
        </w:rPr>
      </w:pPr>
      <w:r w:rsidRPr="00DD64A6">
        <w:fldChar w:fldCharType="begin"/>
      </w:r>
      <w:r w:rsidRPr="00DD64A6">
        <w:rPr>
          <w:lang w:val="fr-FR"/>
        </w:rPr>
        <w:instrText xml:space="preserve"> SEQ level0 \*arabic </w:instrText>
      </w:r>
      <w:r w:rsidRPr="00DD64A6">
        <w:fldChar w:fldCharType="separate"/>
      </w:r>
      <w:r w:rsidR="00DD64A6" w:rsidRPr="00DD64A6">
        <w:rPr>
          <w:noProof/>
          <w:lang w:val="fr-FR"/>
        </w:rPr>
        <w:t>38</w:t>
      </w:r>
      <w:r w:rsidRPr="00DD64A6">
        <w:fldChar w:fldCharType="end"/>
      </w:r>
      <w:r w:rsidRPr="00DD64A6">
        <w:rPr>
          <w:lang w:val="fr-FR"/>
        </w:rPr>
        <w:t>.</w:t>
      </w:r>
      <w:r w:rsidR="00931D17" w:rsidRPr="00DD64A6">
        <w:rPr>
          <w:lang w:val="fr-FR"/>
        </w:rPr>
        <w:t xml:space="preserve"> </w:t>
      </w:r>
      <w:r w:rsidR="00297565" w:rsidRPr="00DD64A6">
        <w:rPr>
          <w:lang w:val="fr-FR"/>
        </w:rPr>
        <w:t xml:space="preserve">La </w:t>
      </w:r>
      <w:r w:rsidR="00107625" w:rsidRPr="00DD64A6">
        <w:rPr>
          <w:lang w:val="fr-FR"/>
        </w:rPr>
        <w:t xml:space="preserve">société </w:t>
      </w:r>
      <w:r w:rsidR="00297565" w:rsidRPr="00DD64A6">
        <w:rPr>
          <w:lang w:val="fr-FR"/>
        </w:rPr>
        <w:t>requérante réclame 3 38</w:t>
      </w:r>
      <w:r w:rsidR="00296764" w:rsidRPr="00DD64A6">
        <w:rPr>
          <w:lang w:val="fr-FR"/>
        </w:rPr>
        <w:t>3 </w:t>
      </w:r>
      <w:r w:rsidR="000D56E5" w:rsidRPr="00DD64A6">
        <w:rPr>
          <w:lang w:val="fr-FR"/>
        </w:rPr>
        <w:t>787 euros (EUR) au titre du préjudice matériel</w:t>
      </w:r>
      <w:r w:rsidR="00107625" w:rsidRPr="00DD64A6">
        <w:rPr>
          <w:lang w:val="fr-FR"/>
        </w:rPr>
        <w:t xml:space="preserve"> qu</w:t>
      </w:r>
      <w:r w:rsidR="00DD64A6" w:rsidRPr="00DD64A6">
        <w:rPr>
          <w:lang w:val="fr-FR"/>
        </w:rPr>
        <w:t>’</w:t>
      </w:r>
      <w:r w:rsidR="00107625" w:rsidRPr="00DD64A6">
        <w:rPr>
          <w:lang w:val="fr-FR"/>
        </w:rPr>
        <w:t>elle estime avoir subi</w:t>
      </w:r>
      <w:r w:rsidR="000D56E5" w:rsidRPr="00DD64A6">
        <w:rPr>
          <w:lang w:val="fr-FR"/>
        </w:rPr>
        <w:t xml:space="preserve">. </w:t>
      </w:r>
      <w:proofErr w:type="gramStart"/>
      <w:r w:rsidR="00D20101" w:rsidRPr="00DD64A6">
        <w:rPr>
          <w:lang w:val="fr-FR"/>
        </w:rPr>
        <w:t>C</w:t>
      </w:r>
      <w:r w:rsidR="001837C0" w:rsidRPr="00DD64A6">
        <w:rPr>
          <w:lang w:val="fr-FR"/>
        </w:rPr>
        <w:t xml:space="preserve">ette somme </w:t>
      </w:r>
      <w:r w:rsidR="000D56E5" w:rsidRPr="00DD64A6">
        <w:rPr>
          <w:lang w:val="fr-FR"/>
        </w:rPr>
        <w:t>correspond</w:t>
      </w:r>
      <w:r w:rsidR="00D20101" w:rsidRPr="00DD64A6">
        <w:rPr>
          <w:lang w:val="fr-FR"/>
        </w:rPr>
        <w:t xml:space="preserve"> notamment</w:t>
      </w:r>
      <w:r w:rsidR="00107625" w:rsidRPr="00DD64A6">
        <w:rPr>
          <w:lang w:val="fr-FR"/>
        </w:rPr>
        <w:t>, selon elle,</w:t>
      </w:r>
      <w:r w:rsidR="000D56E5" w:rsidRPr="00DD64A6">
        <w:rPr>
          <w:lang w:val="fr-FR"/>
        </w:rPr>
        <w:t xml:space="preserve"> </w:t>
      </w:r>
      <w:r w:rsidR="007B6870" w:rsidRPr="00DD64A6">
        <w:rPr>
          <w:lang w:val="fr-FR"/>
        </w:rPr>
        <w:t>au coût du matériel de radiologie</w:t>
      </w:r>
      <w:r w:rsidR="00297565" w:rsidRPr="00DD64A6">
        <w:rPr>
          <w:lang w:val="fr-FR"/>
        </w:rPr>
        <w:t xml:space="preserve"> qui aurait été</w:t>
      </w:r>
      <w:r w:rsidR="007B6870" w:rsidRPr="00DD64A6">
        <w:rPr>
          <w:lang w:val="fr-FR"/>
        </w:rPr>
        <w:t xml:space="preserve"> inutilisé </w:t>
      </w:r>
      <w:r w:rsidR="001F7463" w:rsidRPr="00DD64A6">
        <w:rPr>
          <w:lang w:val="fr-FR"/>
        </w:rPr>
        <w:t xml:space="preserve">en raison de </w:t>
      </w:r>
      <w:r w:rsidR="00B22546" w:rsidRPr="00DD64A6">
        <w:rPr>
          <w:lang w:val="fr-FR"/>
        </w:rPr>
        <w:t>la révocation</w:t>
      </w:r>
      <w:r w:rsidR="001F7463" w:rsidRPr="00DD64A6">
        <w:rPr>
          <w:lang w:val="fr-FR"/>
        </w:rPr>
        <w:t xml:space="preserve"> de la convention</w:t>
      </w:r>
      <w:r w:rsidR="00D25A87" w:rsidRPr="00DD64A6">
        <w:rPr>
          <w:lang w:val="fr-FR"/>
        </w:rPr>
        <w:t xml:space="preserve"> (24 </w:t>
      </w:r>
      <w:r w:rsidR="00297565" w:rsidRPr="00DD64A6">
        <w:rPr>
          <w:lang w:val="fr-FR"/>
        </w:rPr>
        <w:t>523,</w:t>
      </w:r>
      <w:r w:rsidR="007B6870" w:rsidRPr="00DD64A6">
        <w:rPr>
          <w:lang w:val="fr-FR"/>
        </w:rPr>
        <w:t xml:space="preserve">05 EUR), </w:t>
      </w:r>
      <w:r w:rsidR="001837C0" w:rsidRPr="00DD64A6">
        <w:rPr>
          <w:lang w:val="fr-FR"/>
        </w:rPr>
        <w:t>aux</w:t>
      </w:r>
      <w:r w:rsidR="000D56E5" w:rsidRPr="00DD64A6">
        <w:rPr>
          <w:lang w:val="fr-FR"/>
        </w:rPr>
        <w:t xml:space="preserve"> frais de </w:t>
      </w:r>
      <w:r w:rsidR="001F7463" w:rsidRPr="00DD64A6">
        <w:rPr>
          <w:lang w:val="fr-FR"/>
        </w:rPr>
        <w:t xml:space="preserve">gestion et </w:t>
      </w:r>
      <w:r w:rsidR="00B22546" w:rsidRPr="00DD64A6">
        <w:rPr>
          <w:lang w:val="fr-FR"/>
        </w:rPr>
        <w:t xml:space="preserve">de </w:t>
      </w:r>
      <w:r w:rsidR="005B0FF9" w:rsidRPr="00DD64A6">
        <w:rPr>
          <w:lang w:val="fr-FR"/>
        </w:rPr>
        <w:t>maintenance</w:t>
      </w:r>
      <w:r w:rsidR="000D56E5" w:rsidRPr="00DD64A6">
        <w:rPr>
          <w:lang w:val="fr-FR"/>
        </w:rPr>
        <w:t xml:space="preserve"> du centre </w:t>
      </w:r>
      <w:r w:rsidR="005B0FF9" w:rsidRPr="00DD64A6">
        <w:rPr>
          <w:lang w:val="fr-FR"/>
        </w:rPr>
        <w:t>médical durant</w:t>
      </w:r>
      <w:r w:rsidR="000D56E5" w:rsidRPr="00DD64A6">
        <w:rPr>
          <w:lang w:val="fr-FR"/>
        </w:rPr>
        <w:t xml:space="preserve"> la période </w:t>
      </w:r>
      <w:r w:rsidR="005B0FF9" w:rsidRPr="00DD64A6">
        <w:rPr>
          <w:lang w:val="fr-FR"/>
        </w:rPr>
        <w:t>allant de janvier 1993 à août 1</w:t>
      </w:r>
      <w:r w:rsidR="000D56E5" w:rsidRPr="00DD64A6">
        <w:rPr>
          <w:lang w:val="fr-FR"/>
        </w:rPr>
        <w:t>997</w:t>
      </w:r>
      <w:r w:rsidR="00D20101" w:rsidRPr="00DD64A6">
        <w:rPr>
          <w:lang w:val="fr-FR"/>
        </w:rPr>
        <w:t xml:space="preserve"> (</w:t>
      </w:r>
      <w:r w:rsidR="00940110" w:rsidRPr="00DD64A6">
        <w:rPr>
          <w:lang w:val="fr-FR"/>
        </w:rPr>
        <w:t>68</w:t>
      </w:r>
      <w:r w:rsidR="0098574A" w:rsidRPr="00DD64A6">
        <w:rPr>
          <w:lang w:val="fr-FR"/>
        </w:rPr>
        <w:t> </w:t>
      </w:r>
      <w:r w:rsidR="00297565" w:rsidRPr="00DD64A6">
        <w:rPr>
          <w:lang w:val="fr-FR"/>
        </w:rPr>
        <w:t>286,</w:t>
      </w:r>
      <w:r w:rsidR="00940110" w:rsidRPr="00DD64A6">
        <w:rPr>
          <w:lang w:val="fr-FR"/>
        </w:rPr>
        <w:t xml:space="preserve">23 </w:t>
      </w:r>
      <w:r w:rsidR="005B0FF9" w:rsidRPr="00DD64A6">
        <w:rPr>
          <w:lang w:val="fr-FR"/>
        </w:rPr>
        <w:t>EUR</w:t>
      </w:r>
      <w:r w:rsidR="00D20101" w:rsidRPr="00DD64A6">
        <w:rPr>
          <w:lang w:val="fr-FR"/>
        </w:rPr>
        <w:t>)</w:t>
      </w:r>
      <w:r w:rsidR="00940110" w:rsidRPr="00DD64A6">
        <w:rPr>
          <w:lang w:val="fr-FR"/>
        </w:rPr>
        <w:t xml:space="preserve">, </w:t>
      </w:r>
      <w:r w:rsidR="005B0FF9" w:rsidRPr="00DD64A6">
        <w:rPr>
          <w:lang w:val="fr-FR"/>
        </w:rPr>
        <w:t xml:space="preserve">au manque à gagner </w:t>
      </w:r>
      <w:r w:rsidR="00D67795" w:rsidRPr="00DD64A6">
        <w:rPr>
          <w:lang w:val="fr-FR"/>
        </w:rPr>
        <w:t xml:space="preserve">du centre </w:t>
      </w:r>
      <w:r w:rsidR="005B0FF9" w:rsidRPr="00DD64A6">
        <w:rPr>
          <w:lang w:val="fr-FR"/>
        </w:rPr>
        <w:t xml:space="preserve">pendant </w:t>
      </w:r>
      <w:r w:rsidR="00FE3D7F" w:rsidRPr="00DD64A6">
        <w:rPr>
          <w:lang w:val="fr-FR"/>
        </w:rPr>
        <w:t>cette</w:t>
      </w:r>
      <w:r w:rsidR="005B0FF9" w:rsidRPr="00DD64A6">
        <w:rPr>
          <w:lang w:val="fr-FR"/>
        </w:rPr>
        <w:t xml:space="preserve"> même période</w:t>
      </w:r>
      <w:r w:rsidR="00D20101" w:rsidRPr="00DD64A6">
        <w:rPr>
          <w:lang w:val="fr-FR"/>
        </w:rPr>
        <w:t xml:space="preserve"> (</w:t>
      </w:r>
      <w:r w:rsidR="0098574A" w:rsidRPr="00DD64A6">
        <w:rPr>
          <w:lang w:val="fr-FR"/>
        </w:rPr>
        <w:t>608 </w:t>
      </w:r>
      <w:r w:rsidR="00297565" w:rsidRPr="00DD64A6">
        <w:rPr>
          <w:lang w:val="fr-FR"/>
        </w:rPr>
        <w:t>168,</w:t>
      </w:r>
      <w:r w:rsidR="005B0FF9" w:rsidRPr="00DD64A6">
        <w:rPr>
          <w:lang w:val="fr-FR"/>
        </w:rPr>
        <w:t>30 EUR</w:t>
      </w:r>
      <w:r w:rsidR="00D20101" w:rsidRPr="00DD64A6">
        <w:rPr>
          <w:lang w:val="fr-FR"/>
        </w:rPr>
        <w:t>)</w:t>
      </w:r>
      <w:r w:rsidR="005B0FF9" w:rsidRPr="00DD64A6">
        <w:rPr>
          <w:lang w:val="fr-FR"/>
        </w:rPr>
        <w:t xml:space="preserve">, </w:t>
      </w:r>
      <w:r w:rsidR="007B6870" w:rsidRPr="00DD64A6">
        <w:rPr>
          <w:lang w:val="fr-FR"/>
        </w:rPr>
        <w:t>ainsi qu</w:t>
      </w:r>
      <w:r w:rsidR="00DD64A6" w:rsidRPr="00DD64A6">
        <w:rPr>
          <w:lang w:val="fr-FR"/>
        </w:rPr>
        <w:t>’</w:t>
      </w:r>
      <w:r w:rsidR="00D53809" w:rsidRPr="00DD64A6">
        <w:rPr>
          <w:lang w:val="fr-FR"/>
        </w:rPr>
        <w:t xml:space="preserve">aux pertes </w:t>
      </w:r>
      <w:r w:rsidR="0068499B" w:rsidRPr="00DD64A6">
        <w:rPr>
          <w:lang w:val="fr-FR"/>
        </w:rPr>
        <w:t>subies</w:t>
      </w:r>
      <w:r w:rsidR="00D53809" w:rsidRPr="00DD64A6">
        <w:rPr>
          <w:lang w:val="fr-FR"/>
        </w:rPr>
        <w:t xml:space="preserve"> postérieurement à</w:t>
      </w:r>
      <w:r w:rsidR="005B0FF9" w:rsidRPr="00DD64A6">
        <w:rPr>
          <w:lang w:val="fr-FR"/>
        </w:rPr>
        <w:t xml:space="preserve"> la reprise de </w:t>
      </w:r>
      <w:r w:rsidR="001837C0" w:rsidRPr="00DD64A6">
        <w:rPr>
          <w:lang w:val="fr-FR"/>
        </w:rPr>
        <w:t>l</w:t>
      </w:r>
      <w:r w:rsidR="00DD64A6" w:rsidRPr="00DD64A6">
        <w:rPr>
          <w:lang w:val="fr-FR"/>
        </w:rPr>
        <w:t>’</w:t>
      </w:r>
      <w:r w:rsidR="005B0FF9" w:rsidRPr="00DD64A6">
        <w:rPr>
          <w:lang w:val="fr-FR"/>
        </w:rPr>
        <w:t xml:space="preserve">activité du fait </w:t>
      </w:r>
      <w:r w:rsidR="00D53809" w:rsidRPr="00DD64A6">
        <w:rPr>
          <w:lang w:val="fr-FR"/>
        </w:rPr>
        <w:t>du positionnement sur le marché d</w:t>
      </w:r>
      <w:r w:rsidR="00DD64A6" w:rsidRPr="00DD64A6">
        <w:rPr>
          <w:lang w:val="fr-FR"/>
        </w:rPr>
        <w:t>’</w:t>
      </w:r>
      <w:r w:rsidR="00D53809" w:rsidRPr="00DD64A6">
        <w:rPr>
          <w:lang w:val="fr-FR"/>
        </w:rPr>
        <w:t>un</w:t>
      </w:r>
      <w:r w:rsidR="005B0FF9" w:rsidRPr="00DD64A6">
        <w:rPr>
          <w:lang w:val="fr-FR"/>
        </w:rPr>
        <w:t xml:space="preserve"> centre médical conventionné</w:t>
      </w:r>
      <w:r w:rsidR="00D53809" w:rsidRPr="00DD64A6">
        <w:rPr>
          <w:lang w:val="fr-FR"/>
        </w:rPr>
        <w:t xml:space="preserve"> concurrent</w:t>
      </w:r>
      <w:r w:rsidR="00D20101" w:rsidRPr="00DD64A6">
        <w:rPr>
          <w:lang w:val="fr-FR"/>
        </w:rPr>
        <w:t xml:space="preserve"> (2 682 809</w:t>
      </w:r>
      <w:r w:rsidR="00297565" w:rsidRPr="00DD64A6">
        <w:rPr>
          <w:lang w:val="fr-FR"/>
        </w:rPr>
        <w:t>,</w:t>
      </w:r>
      <w:r w:rsidR="00135A5B" w:rsidRPr="00DD64A6">
        <w:rPr>
          <w:lang w:val="fr-FR"/>
        </w:rPr>
        <w:t>80</w:t>
      </w:r>
      <w:r w:rsidR="00107625" w:rsidRPr="00DD64A6">
        <w:rPr>
          <w:lang w:val="fr-FR"/>
        </w:rPr>
        <w:t> </w:t>
      </w:r>
      <w:r w:rsidR="00D20101" w:rsidRPr="00DD64A6">
        <w:rPr>
          <w:lang w:val="fr-FR"/>
        </w:rPr>
        <w:t>EUR)</w:t>
      </w:r>
      <w:r w:rsidR="007B6870" w:rsidRPr="00DD64A6">
        <w:rPr>
          <w:lang w:val="fr-FR"/>
        </w:rPr>
        <w:t>.</w:t>
      </w:r>
      <w:proofErr w:type="gramEnd"/>
    </w:p>
    <w:p w:rsidR="00297565" w:rsidRPr="00DD64A6" w:rsidRDefault="00DA534C"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39</w:t>
      </w:r>
      <w:r w:rsidRPr="00DD64A6">
        <w:rPr>
          <w:lang w:val="fr-FR"/>
        </w:rPr>
        <w:fldChar w:fldCharType="end"/>
      </w:r>
      <w:r w:rsidRPr="00DD64A6">
        <w:rPr>
          <w:lang w:val="fr-FR"/>
        </w:rPr>
        <w:t xml:space="preserve">.  La </w:t>
      </w:r>
      <w:r w:rsidR="00107625" w:rsidRPr="00DD64A6">
        <w:rPr>
          <w:lang w:val="fr-FR"/>
        </w:rPr>
        <w:t xml:space="preserve">société </w:t>
      </w:r>
      <w:r w:rsidRPr="00DD64A6">
        <w:rPr>
          <w:lang w:val="fr-FR"/>
        </w:rPr>
        <w:t>requérante demande en outre 80 000 EUR pour le préjudice moral</w:t>
      </w:r>
      <w:r w:rsidR="007B6870" w:rsidRPr="00DD64A6">
        <w:rPr>
          <w:lang w:val="fr-FR"/>
        </w:rPr>
        <w:t xml:space="preserve"> </w:t>
      </w:r>
      <w:r w:rsidR="00107625" w:rsidRPr="00DD64A6">
        <w:rPr>
          <w:lang w:val="fr-FR"/>
        </w:rPr>
        <w:t>qu</w:t>
      </w:r>
      <w:r w:rsidR="00DD64A6" w:rsidRPr="00DD64A6">
        <w:rPr>
          <w:lang w:val="fr-FR"/>
        </w:rPr>
        <w:t>’</w:t>
      </w:r>
      <w:r w:rsidR="00107625" w:rsidRPr="00DD64A6">
        <w:rPr>
          <w:lang w:val="fr-FR"/>
        </w:rPr>
        <w:t xml:space="preserve">elle dit avoir </w:t>
      </w:r>
      <w:r w:rsidR="007B6870" w:rsidRPr="00DD64A6">
        <w:rPr>
          <w:lang w:val="fr-FR"/>
        </w:rPr>
        <w:t>subi</w:t>
      </w:r>
      <w:r w:rsidR="00297565" w:rsidRPr="00DD64A6">
        <w:rPr>
          <w:lang w:val="fr-FR"/>
        </w:rPr>
        <w:t>.</w:t>
      </w:r>
    </w:p>
    <w:p w:rsidR="00135A5B" w:rsidRPr="00DD64A6" w:rsidRDefault="00DA534C"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40</w:t>
      </w:r>
      <w:r w:rsidRPr="00DD64A6">
        <w:rPr>
          <w:lang w:val="fr-FR"/>
        </w:rPr>
        <w:fldChar w:fldCharType="end"/>
      </w:r>
      <w:r w:rsidRPr="00DD64A6">
        <w:rPr>
          <w:lang w:val="fr-FR"/>
        </w:rPr>
        <w:t xml:space="preserve">.  Le Gouvernement </w:t>
      </w:r>
      <w:r w:rsidR="00DB1DD5" w:rsidRPr="00DD64A6">
        <w:rPr>
          <w:lang w:val="fr-FR"/>
        </w:rPr>
        <w:t>s</w:t>
      </w:r>
      <w:r w:rsidR="00DD64A6" w:rsidRPr="00DD64A6">
        <w:rPr>
          <w:lang w:val="fr-FR"/>
        </w:rPr>
        <w:t>’</w:t>
      </w:r>
      <w:r w:rsidRPr="00DD64A6">
        <w:rPr>
          <w:lang w:val="fr-FR"/>
        </w:rPr>
        <w:t xml:space="preserve">oppose </w:t>
      </w:r>
      <w:r w:rsidR="00DB1DD5" w:rsidRPr="00DD64A6">
        <w:rPr>
          <w:lang w:val="fr-FR"/>
        </w:rPr>
        <w:t>aux prétentions de la requérante</w:t>
      </w:r>
      <w:r w:rsidR="009E7E01" w:rsidRPr="00DD64A6">
        <w:rPr>
          <w:lang w:val="fr-FR"/>
        </w:rPr>
        <w:t xml:space="preserve"> et </w:t>
      </w:r>
      <w:r w:rsidR="00107625" w:rsidRPr="00DD64A6">
        <w:rPr>
          <w:lang w:val="fr-FR"/>
        </w:rPr>
        <w:t xml:space="preserve">estime </w:t>
      </w:r>
      <w:r w:rsidR="009E7E01" w:rsidRPr="00DD64A6">
        <w:rPr>
          <w:lang w:val="fr-FR"/>
        </w:rPr>
        <w:t>notamment q</w:t>
      </w:r>
      <w:r w:rsidR="00297565" w:rsidRPr="00DD64A6">
        <w:rPr>
          <w:lang w:val="fr-FR"/>
        </w:rPr>
        <w:t>ue le remboursement d</w:t>
      </w:r>
      <w:r w:rsidR="00DD64A6" w:rsidRPr="00DD64A6">
        <w:rPr>
          <w:lang w:val="fr-FR"/>
        </w:rPr>
        <w:t>’</w:t>
      </w:r>
      <w:r w:rsidR="00297565" w:rsidRPr="00DD64A6">
        <w:rPr>
          <w:lang w:val="fr-FR"/>
        </w:rPr>
        <w:t>un quelconque manque à gagner</w:t>
      </w:r>
      <w:r w:rsidR="00025746" w:rsidRPr="00DD64A6">
        <w:rPr>
          <w:lang w:val="fr-FR"/>
        </w:rPr>
        <w:t xml:space="preserve"> aurait pour effet de rompre le juste équilibre entre les intérêts supérieurs de l</w:t>
      </w:r>
      <w:r w:rsidR="00B22546" w:rsidRPr="00DD64A6">
        <w:rPr>
          <w:lang w:val="fr-FR"/>
        </w:rPr>
        <w:t>a communauté et la sauvegarde du</w:t>
      </w:r>
      <w:r w:rsidR="00025746" w:rsidRPr="00DD64A6">
        <w:rPr>
          <w:lang w:val="fr-FR"/>
        </w:rPr>
        <w:t xml:space="preserve"> droit de </w:t>
      </w:r>
      <w:r w:rsidR="00297565" w:rsidRPr="00DD64A6">
        <w:rPr>
          <w:lang w:val="fr-FR"/>
        </w:rPr>
        <w:t xml:space="preserve">la </w:t>
      </w:r>
      <w:r w:rsidR="00107625" w:rsidRPr="00DD64A6">
        <w:rPr>
          <w:lang w:val="fr-FR"/>
        </w:rPr>
        <w:t xml:space="preserve">société </w:t>
      </w:r>
      <w:r w:rsidR="00297565" w:rsidRPr="00DD64A6">
        <w:rPr>
          <w:lang w:val="fr-FR"/>
        </w:rPr>
        <w:t>requérante</w:t>
      </w:r>
      <w:r w:rsidR="00025746" w:rsidRPr="00DD64A6">
        <w:rPr>
          <w:lang w:val="fr-FR"/>
        </w:rPr>
        <w:t xml:space="preserve"> de tirer profit de son activité.</w:t>
      </w:r>
    </w:p>
    <w:p w:rsidR="00204B18" w:rsidRPr="00DD64A6" w:rsidRDefault="00204B18"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41</w:t>
      </w:r>
      <w:r w:rsidRPr="00DD64A6">
        <w:rPr>
          <w:lang w:val="fr-FR"/>
        </w:rPr>
        <w:fldChar w:fldCharType="end"/>
      </w:r>
      <w:r w:rsidRPr="00DD64A6">
        <w:rPr>
          <w:lang w:val="fr-FR"/>
        </w:rPr>
        <w:t>.  La Cour rappelle qu</w:t>
      </w:r>
      <w:r w:rsidR="00DD64A6" w:rsidRPr="00DD64A6">
        <w:rPr>
          <w:lang w:val="fr-FR"/>
        </w:rPr>
        <w:t>’</w:t>
      </w:r>
      <w:r w:rsidRPr="00DD64A6">
        <w:rPr>
          <w:lang w:val="fr-FR"/>
        </w:rPr>
        <w:t>un arrêt constatant une violation entraîne pour l</w:t>
      </w:r>
      <w:r w:rsidR="00DD64A6" w:rsidRPr="00DD64A6">
        <w:rPr>
          <w:lang w:val="fr-FR"/>
        </w:rPr>
        <w:t>’</w:t>
      </w:r>
      <w:r w:rsidR="00FE3D7F" w:rsidRPr="00DD64A6">
        <w:rPr>
          <w:lang w:val="fr-FR"/>
        </w:rPr>
        <w:t>État</w:t>
      </w:r>
      <w:r w:rsidRPr="00DD64A6">
        <w:rPr>
          <w:lang w:val="fr-FR"/>
        </w:rPr>
        <w:t xml:space="preserve"> défendeur l</w:t>
      </w:r>
      <w:r w:rsidR="00DD64A6" w:rsidRPr="00DD64A6">
        <w:rPr>
          <w:lang w:val="fr-FR"/>
        </w:rPr>
        <w:t>’</w:t>
      </w:r>
      <w:r w:rsidRPr="00DD64A6">
        <w:rPr>
          <w:lang w:val="fr-FR"/>
        </w:rPr>
        <w:t>obligation juridique de mettre un terme à la violation et d</w:t>
      </w:r>
      <w:r w:rsidR="00DD64A6" w:rsidRPr="00DD64A6">
        <w:rPr>
          <w:lang w:val="fr-FR"/>
        </w:rPr>
        <w:t>’</w:t>
      </w:r>
      <w:r w:rsidRPr="00DD64A6">
        <w:rPr>
          <w:lang w:val="fr-FR"/>
        </w:rPr>
        <w:t>en effacer les conséquences de manière à rétablir autant que faire se peut la situation antérieure à celle-ci (</w:t>
      </w:r>
      <w:proofErr w:type="spellStart"/>
      <w:r w:rsidRPr="00DD64A6">
        <w:rPr>
          <w:i/>
          <w:lang w:val="fr-FR"/>
        </w:rPr>
        <w:t>Iatridis</w:t>
      </w:r>
      <w:proofErr w:type="spellEnd"/>
      <w:r w:rsidRPr="00DD64A6">
        <w:rPr>
          <w:i/>
          <w:lang w:val="fr-FR"/>
        </w:rPr>
        <w:t xml:space="preserve"> c. Grèce </w:t>
      </w:r>
      <w:r w:rsidRPr="00DD64A6">
        <w:rPr>
          <w:lang w:val="fr-FR"/>
        </w:rPr>
        <w:t>(satisfaction équitable) [GC], n</w:t>
      </w:r>
      <w:r w:rsidR="00E15F9A" w:rsidRPr="00DD64A6">
        <w:rPr>
          <w:vertAlign w:val="superscript"/>
          <w:lang w:val="fr-FR"/>
        </w:rPr>
        <w:t>o</w:t>
      </w:r>
      <w:r w:rsidRPr="00DD64A6">
        <w:rPr>
          <w:lang w:val="fr-FR"/>
        </w:rPr>
        <w:t xml:space="preserve"> 31107/96, § 32, CEDH 2000-XI</w:t>
      </w:r>
      <w:r w:rsidR="00107625" w:rsidRPr="00DD64A6">
        <w:rPr>
          <w:lang w:val="fr-FR"/>
        </w:rPr>
        <w:t>,</w:t>
      </w:r>
      <w:r w:rsidRPr="00DD64A6">
        <w:rPr>
          <w:lang w:val="fr-FR"/>
        </w:rPr>
        <w:t xml:space="preserve"> et </w:t>
      </w:r>
      <w:proofErr w:type="spellStart"/>
      <w:r w:rsidRPr="00DD64A6">
        <w:rPr>
          <w:i/>
          <w:lang w:val="fr-FR"/>
        </w:rPr>
        <w:t>Katsaros</w:t>
      </w:r>
      <w:proofErr w:type="spellEnd"/>
      <w:r w:rsidRPr="00DD64A6">
        <w:rPr>
          <w:i/>
          <w:lang w:val="fr-FR"/>
        </w:rPr>
        <w:t xml:space="preserve"> c. Grèce </w:t>
      </w:r>
      <w:r w:rsidRPr="00DD64A6">
        <w:rPr>
          <w:lang w:val="fr-FR"/>
        </w:rPr>
        <w:t>(satisfaction équitable), n</w:t>
      </w:r>
      <w:r w:rsidR="00E15F9A" w:rsidRPr="00DD64A6">
        <w:rPr>
          <w:vertAlign w:val="superscript"/>
          <w:lang w:val="fr-FR"/>
        </w:rPr>
        <w:t>o</w:t>
      </w:r>
      <w:r w:rsidRPr="00DD64A6">
        <w:rPr>
          <w:lang w:val="fr-FR"/>
        </w:rPr>
        <w:t xml:space="preserve"> 51473/99, § 17, 13 novembre 2003). En outre, la Cour rappelle que seuls les préjudices causés par les violations de la Convention qu</w:t>
      </w:r>
      <w:r w:rsidR="00DD64A6" w:rsidRPr="00DD64A6">
        <w:rPr>
          <w:lang w:val="fr-FR"/>
        </w:rPr>
        <w:t>’</w:t>
      </w:r>
      <w:r w:rsidRPr="00DD64A6">
        <w:rPr>
          <w:lang w:val="fr-FR"/>
        </w:rPr>
        <w:t>elle a constatées sont susceptibles de donner lieu à l</w:t>
      </w:r>
      <w:r w:rsidR="00DD64A6" w:rsidRPr="00DD64A6">
        <w:rPr>
          <w:lang w:val="fr-FR"/>
        </w:rPr>
        <w:t>’</w:t>
      </w:r>
      <w:r w:rsidRPr="00DD64A6">
        <w:rPr>
          <w:lang w:val="fr-FR"/>
        </w:rPr>
        <w:t>allocation d</w:t>
      </w:r>
      <w:r w:rsidR="00DD64A6" w:rsidRPr="00DD64A6">
        <w:rPr>
          <w:lang w:val="fr-FR"/>
        </w:rPr>
        <w:t>’</w:t>
      </w:r>
      <w:r w:rsidRPr="00DD64A6">
        <w:rPr>
          <w:lang w:val="fr-FR"/>
        </w:rPr>
        <w:t xml:space="preserve">une </w:t>
      </w:r>
      <w:r w:rsidRPr="00DD64A6">
        <w:rPr>
          <w:lang w:val="fr-FR"/>
        </w:rPr>
        <w:lastRenderedPageBreak/>
        <w:t>satisfaction équitable (</w:t>
      </w:r>
      <w:proofErr w:type="spellStart"/>
      <w:r w:rsidRPr="00DD64A6">
        <w:rPr>
          <w:i/>
          <w:lang w:val="fr-FR"/>
        </w:rPr>
        <w:t>Motais</w:t>
      </w:r>
      <w:proofErr w:type="spellEnd"/>
      <w:r w:rsidRPr="00DD64A6">
        <w:rPr>
          <w:i/>
          <w:lang w:val="fr-FR"/>
        </w:rPr>
        <w:t xml:space="preserve"> de Narbonne c. France </w:t>
      </w:r>
      <w:r w:rsidRPr="00DD64A6">
        <w:rPr>
          <w:lang w:val="fr-FR"/>
        </w:rPr>
        <w:t>(satisfaction équitable), n</w:t>
      </w:r>
      <w:r w:rsidR="00E15F9A" w:rsidRPr="00DD64A6">
        <w:rPr>
          <w:vertAlign w:val="superscript"/>
          <w:lang w:val="fr-FR"/>
        </w:rPr>
        <w:t>o</w:t>
      </w:r>
      <w:r w:rsidR="00F7289F" w:rsidRPr="00DD64A6">
        <w:rPr>
          <w:lang w:val="fr-FR"/>
        </w:rPr>
        <w:t> </w:t>
      </w:r>
      <w:r w:rsidRPr="00DD64A6">
        <w:rPr>
          <w:lang w:val="fr-FR"/>
        </w:rPr>
        <w:t>48161/99, § 19, 27 mai 2003).</w:t>
      </w:r>
    </w:p>
    <w:p w:rsidR="003F2513" w:rsidRPr="00DD64A6" w:rsidRDefault="00204B18" w:rsidP="00DD64A6">
      <w:pPr>
        <w:pStyle w:val="ECHRPara"/>
        <w:rPr>
          <w:lang w:val="fr-FR"/>
        </w:rPr>
      </w:pPr>
      <w:r w:rsidRPr="00DD64A6">
        <w:rPr>
          <w:lang w:val="pt-PT"/>
        </w:rPr>
        <w:fldChar w:fldCharType="begin"/>
      </w:r>
      <w:r w:rsidRPr="00DD64A6">
        <w:rPr>
          <w:lang w:val="pt-PT"/>
        </w:rPr>
        <w:instrText xml:space="preserve"> SEQ level0 \*arabic </w:instrText>
      </w:r>
      <w:r w:rsidRPr="00DD64A6">
        <w:rPr>
          <w:lang w:val="pt-PT"/>
        </w:rPr>
        <w:fldChar w:fldCharType="separate"/>
      </w:r>
      <w:r w:rsidR="00DD64A6" w:rsidRPr="00DD64A6">
        <w:rPr>
          <w:noProof/>
          <w:lang w:val="pt-PT"/>
        </w:rPr>
        <w:t>42</w:t>
      </w:r>
      <w:r w:rsidRPr="00DD64A6">
        <w:rPr>
          <w:lang w:val="pt-PT"/>
        </w:rPr>
        <w:fldChar w:fldCharType="end"/>
      </w:r>
      <w:r w:rsidRPr="00DD64A6">
        <w:rPr>
          <w:lang w:val="fr-FR"/>
        </w:rPr>
        <w:t xml:space="preserve">.  Dans la </w:t>
      </w:r>
      <w:r w:rsidR="00AC7483" w:rsidRPr="00DD64A6">
        <w:rPr>
          <w:lang w:val="fr-FR"/>
        </w:rPr>
        <w:t>présente</w:t>
      </w:r>
      <w:r w:rsidRPr="00DD64A6">
        <w:rPr>
          <w:lang w:val="fr-FR"/>
        </w:rPr>
        <w:t xml:space="preserve"> affaire, la Cour </w:t>
      </w:r>
      <w:r w:rsidR="008A4483" w:rsidRPr="00DD64A6">
        <w:rPr>
          <w:lang w:val="fr-FR"/>
        </w:rPr>
        <w:t>a conclu à la violation de l</w:t>
      </w:r>
      <w:r w:rsidR="00DD64A6" w:rsidRPr="00DD64A6">
        <w:rPr>
          <w:lang w:val="fr-FR"/>
        </w:rPr>
        <w:t>’</w:t>
      </w:r>
      <w:r w:rsidR="008A4483" w:rsidRPr="00DD64A6">
        <w:rPr>
          <w:lang w:val="fr-FR"/>
        </w:rPr>
        <w:t>article</w:t>
      </w:r>
      <w:r w:rsidR="005A3971" w:rsidRPr="00DD64A6">
        <w:rPr>
          <w:lang w:val="fr-FR"/>
        </w:rPr>
        <w:t> </w:t>
      </w:r>
      <w:r w:rsidR="008A4483" w:rsidRPr="00DD64A6">
        <w:rPr>
          <w:lang w:val="fr-FR"/>
        </w:rPr>
        <w:t>1 du Protocole n</w:t>
      </w:r>
      <w:r w:rsidR="00E15F9A" w:rsidRPr="00DD64A6">
        <w:rPr>
          <w:vertAlign w:val="superscript"/>
          <w:lang w:val="fr-FR"/>
        </w:rPr>
        <w:t>o</w:t>
      </w:r>
      <w:r w:rsidR="008A4483" w:rsidRPr="00DD64A6">
        <w:rPr>
          <w:lang w:val="fr-FR"/>
        </w:rPr>
        <w:t xml:space="preserve"> 1 </w:t>
      </w:r>
      <w:r w:rsidR="00107625" w:rsidRPr="00DD64A6">
        <w:rPr>
          <w:lang w:val="fr-FR"/>
        </w:rPr>
        <w:t xml:space="preserve">de la Convention </w:t>
      </w:r>
      <w:r w:rsidR="008A4483" w:rsidRPr="00DD64A6">
        <w:rPr>
          <w:lang w:val="fr-FR"/>
        </w:rPr>
        <w:t xml:space="preserve">en raison de </w:t>
      </w:r>
      <w:r w:rsidR="00FE3D7F" w:rsidRPr="00DD64A6">
        <w:rPr>
          <w:lang w:val="fr-FR"/>
        </w:rPr>
        <w:t>l</w:t>
      </w:r>
      <w:r w:rsidR="00DD64A6" w:rsidRPr="00DD64A6">
        <w:rPr>
          <w:lang w:val="fr-FR"/>
        </w:rPr>
        <w:t>’</w:t>
      </w:r>
      <w:r w:rsidR="00FE3D7F" w:rsidRPr="00DD64A6">
        <w:rPr>
          <w:lang w:val="fr-FR"/>
        </w:rPr>
        <w:t>annulation</w:t>
      </w:r>
      <w:r w:rsidR="007B6870" w:rsidRPr="00DD64A6">
        <w:rPr>
          <w:lang w:val="fr-FR"/>
        </w:rPr>
        <w:t xml:space="preserve"> illé</w:t>
      </w:r>
      <w:r w:rsidR="008A4483" w:rsidRPr="00DD64A6">
        <w:rPr>
          <w:lang w:val="fr-FR"/>
        </w:rPr>
        <w:t xml:space="preserve">gale de </w:t>
      </w:r>
      <w:r w:rsidR="00135A5B" w:rsidRPr="00DD64A6">
        <w:rPr>
          <w:lang w:val="fr-FR"/>
        </w:rPr>
        <w:t xml:space="preserve">la convention </w:t>
      </w:r>
      <w:r w:rsidR="00956014" w:rsidRPr="00DD64A6">
        <w:rPr>
          <w:lang w:val="fr-FR"/>
        </w:rPr>
        <w:t>par</w:t>
      </w:r>
      <w:r w:rsidR="00135A5B" w:rsidRPr="00DD64A6">
        <w:rPr>
          <w:lang w:val="fr-FR"/>
        </w:rPr>
        <w:t xml:space="preserve"> le service sanitaire national</w:t>
      </w:r>
      <w:r w:rsidR="00D25A87" w:rsidRPr="00DD64A6">
        <w:rPr>
          <w:lang w:val="fr-FR"/>
        </w:rPr>
        <w:t xml:space="preserve"> pendant quatre ans environ, </w:t>
      </w:r>
      <w:r w:rsidR="00107625" w:rsidRPr="00DD64A6">
        <w:rPr>
          <w:lang w:val="fr-FR"/>
        </w:rPr>
        <w:t>annulation qui n</w:t>
      </w:r>
      <w:r w:rsidR="00DD64A6" w:rsidRPr="00DD64A6">
        <w:rPr>
          <w:lang w:val="fr-FR"/>
        </w:rPr>
        <w:t>’</w:t>
      </w:r>
      <w:r w:rsidR="00107625" w:rsidRPr="00DD64A6">
        <w:rPr>
          <w:lang w:val="fr-FR"/>
        </w:rPr>
        <w:t xml:space="preserve">a </w:t>
      </w:r>
      <w:r w:rsidR="00D25A87" w:rsidRPr="00DD64A6">
        <w:rPr>
          <w:lang w:val="fr-FR"/>
        </w:rPr>
        <w:t xml:space="preserve">aucunement </w:t>
      </w:r>
      <w:r w:rsidR="00107625" w:rsidRPr="00DD64A6">
        <w:rPr>
          <w:lang w:val="fr-FR"/>
        </w:rPr>
        <w:t xml:space="preserve">été </w:t>
      </w:r>
      <w:r w:rsidR="00D25A87" w:rsidRPr="00DD64A6">
        <w:rPr>
          <w:lang w:val="fr-FR"/>
        </w:rPr>
        <w:t xml:space="preserve">réparée au niveau national. Elle observe que </w:t>
      </w:r>
      <w:r w:rsidR="004B6E57" w:rsidRPr="00DD64A6">
        <w:rPr>
          <w:lang w:val="fr-FR"/>
        </w:rPr>
        <w:t>celle-ci</w:t>
      </w:r>
      <w:r w:rsidR="00D25A87" w:rsidRPr="00DD64A6">
        <w:rPr>
          <w:lang w:val="fr-FR"/>
        </w:rPr>
        <w:t xml:space="preserve"> a</w:t>
      </w:r>
      <w:r w:rsidR="00135A5B" w:rsidRPr="00DD64A6">
        <w:rPr>
          <w:lang w:val="fr-FR"/>
        </w:rPr>
        <w:t xml:space="preserve"> </w:t>
      </w:r>
      <w:r w:rsidR="00D25A87" w:rsidRPr="00DD64A6">
        <w:rPr>
          <w:lang w:val="fr-FR"/>
        </w:rPr>
        <w:t xml:space="preserve">sans doute </w:t>
      </w:r>
      <w:r w:rsidR="00135A5B" w:rsidRPr="00DD64A6">
        <w:rPr>
          <w:lang w:val="fr-FR"/>
        </w:rPr>
        <w:t>engendré une limitation importante de l</w:t>
      </w:r>
      <w:r w:rsidR="00DD64A6" w:rsidRPr="00DD64A6">
        <w:rPr>
          <w:lang w:val="fr-FR"/>
        </w:rPr>
        <w:t>’</w:t>
      </w:r>
      <w:r w:rsidR="00135A5B" w:rsidRPr="00DD64A6">
        <w:rPr>
          <w:lang w:val="fr-FR"/>
        </w:rPr>
        <w:t xml:space="preserve">activité de la </w:t>
      </w:r>
      <w:r w:rsidR="005A07A3" w:rsidRPr="00DD64A6">
        <w:rPr>
          <w:lang w:val="fr-FR"/>
        </w:rPr>
        <w:t xml:space="preserve">société </w:t>
      </w:r>
      <w:r w:rsidR="00135A5B" w:rsidRPr="00DD64A6">
        <w:rPr>
          <w:lang w:val="fr-FR"/>
        </w:rPr>
        <w:t>requérante</w:t>
      </w:r>
      <w:r w:rsidR="00B22546" w:rsidRPr="00DD64A6">
        <w:rPr>
          <w:lang w:val="fr-FR"/>
        </w:rPr>
        <w:t>, bien qu</w:t>
      </w:r>
      <w:r w:rsidR="00DD64A6" w:rsidRPr="00DD64A6">
        <w:rPr>
          <w:lang w:val="fr-FR"/>
        </w:rPr>
        <w:t>’</w:t>
      </w:r>
      <w:r w:rsidR="00B22546" w:rsidRPr="00DD64A6">
        <w:rPr>
          <w:lang w:val="fr-FR"/>
        </w:rPr>
        <w:t>elle n</w:t>
      </w:r>
      <w:r w:rsidR="00DD64A6" w:rsidRPr="00DD64A6">
        <w:rPr>
          <w:lang w:val="fr-FR"/>
        </w:rPr>
        <w:t>’</w:t>
      </w:r>
      <w:r w:rsidR="00B22546" w:rsidRPr="00DD64A6">
        <w:rPr>
          <w:lang w:val="fr-FR"/>
        </w:rPr>
        <w:t>ait</w:t>
      </w:r>
      <w:r w:rsidR="00D25A87" w:rsidRPr="00DD64A6">
        <w:rPr>
          <w:lang w:val="fr-FR"/>
        </w:rPr>
        <w:t xml:space="preserve"> pas entra</w:t>
      </w:r>
      <w:r w:rsidR="005A07A3" w:rsidRPr="00DD64A6">
        <w:rPr>
          <w:lang w:val="fr-FR"/>
        </w:rPr>
        <w:t>î</w:t>
      </w:r>
      <w:r w:rsidR="00D25A87" w:rsidRPr="00DD64A6">
        <w:rPr>
          <w:lang w:val="fr-FR"/>
        </w:rPr>
        <w:t>n</w:t>
      </w:r>
      <w:r w:rsidR="00297565" w:rsidRPr="00DD64A6">
        <w:rPr>
          <w:lang w:val="fr-FR"/>
        </w:rPr>
        <w:t>é la fermeture du centre médical</w:t>
      </w:r>
      <w:r w:rsidR="00956014" w:rsidRPr="00DD64A6">
        <w:rPr>
          <w:lang w:val="fr-FR"/>
        </w:rPr>
        <w:t xml:space="preserve"> (paragraphes 19 et 24 ci-dessus)</w:t>
      </w:r>
      <w:r w:rsidR="00D25A87" w:rsidRPr="00DD64A6">
        <w:rPr>
          <w:lang w:val="fr-FR"/>
        </w:rPr>
        <w:t>.</w:t>
      </w:r>
    </w:p>
    <w:p w:rsidR="000002E9" w:rsidRPr="00DD64A6" w:rsidRDefault="008D4DD4"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43</w:t>
      </w:r>
      <w:r w:rsidRPr="00DD64A6">
        <w:rPr>
          <w:lang w:val="fr-FR"/>
        </w:rPr>
        <w:fldChar w:fldCharType="end"/>
      </w:r>
      <w:r w:rsidRPr="00DD64A6">
        <w:rPr>
          <w:lang w:val="fr-FR"/>
        </w:rPr>
        <w:t>.  </w:t>
      </w:r>
      <w:r w:rsidR="008D309A" w:rsidRPr="00DD64A6">
        <w:rPr>
          <w:lang w:val="fr-FR"/>
        </w:rPr>
        <w:t>Or l</w:t>
      </w:r>
      <w:r w:rsidR="00135A5B" w:rsidRPr="00DD64A6">
        <w:rPr>
          <w:lang w:val="fr-FR"/>
        </w:rPr>
        <w:t xml:space="preserve">a </w:t>
      </w:r>
      <w:r w:rsidR="004B6E57" w:rsidRPr="00DD64A6">
        <w:rPr>
          <w:lang w:val="fr-FR"/>
        </w:rPr>
        <w:t xml:space="preserve">société </w:t>
      </w:r>
      <w:r w:rsidR="00135A5B" w:rsidRPr="00DD64A6">
        <w:rPr>
          <w:lang w:val="fr-FR"/>
        </w:rPr>
        <w:t>requérante n</w:t>
      </w:r>
      <w:r w:rsidR="00DD64A6" w:rsidRPr="00DD64A6">
        <w:rPr>
          <w:lang w:val="fr-FR"/>
        </w:rPr>
        <w:t>’</w:t>
      </w:r>
      <w:r w:rsidR="00135A5B" w:rsidRPr="00DD64A6">
        <w:rPr>
          <w:lang w:val="fr-FR"/>
        </w:rPr>
        <w:t>a pas prouvé dans que</w:t>
      </w:r>
      <w:r w:rsidR="00324FAC" w:rsidRPr="00DD64A6">
        <w:rPr>
          <w:lang w:val="fr-FR"/>
        </w:rPr>
        <w:t>l</w:t>
      </w:r>
      <w:r w:rsidR="00135A5B" w:rsidRPr="00DD64A6">
        <w:rPr>
          <w:lang w:val="fr-FR"/>
        </w:rPr>
        <w:t>le mesure son activité a</w:t>
      </w:r>
      <w:r w:rsidR="006E12C1" w:rsidRPr="00DD64A6">
        <w:rPr>
          <w:lang w:val="fr-FR"/>
        </w:rPr>
        <w:t>vait</w:t>
      </w:r>
      <w:r w:rsidR="00135A5B" w:rsidRPr="00DD64A6">
        <w:rPr>
          <w:lang w:val="fr-FR"/>
        </w:rPr>
        <w:t xml:space="preserve"> été </w:t>
      </w:r>
      <w:r w:rsidR="008D309A" w:rsidRPr="00DD64A6">
        <w:rPr>
          <w:lang w:val="fr-FR"/>
        </w:rPr>
        <w:t>réduite</w:t>
      </w:r>
      <w:r w:rsidR="00135A5B" w:rsidRPr="00DD64A6">
        <w:rPr>
          <w:lang w:val="fr-FR"/>
        </w:rPr>
        <w:t xml:space="preserve"> pendant la </w:t>
      </w:r>
      <w:r w:rsidR="008D309A" w:rsidRPr="00DD64A6">
        <w:rPr>
          <w:lang w:val="fr-FR"/>
        </w:rPr>
        <w:t>période</w:t>
      </w:r>
      <w:r w:rsidR="00135A5B" w:rsidRPr="00DD64A6">
        <w:rPr>
          <w:lang w:val="fr-FR"/>
        </w:rPr>
        <w:t xml:space="preserve"> </w:t>
      </w:r>
      <w:r w:rsidR="008D309A" w:rsidRPr="00DD64A6">
        <w:rPr>
          <w:lang w:val="fr-FR"/>
        </w:rPr>
        <w:t xml:space="preserve">durant laquelle la convention </w:t>
      </w:r>
      <w:r w:rsidR="006E12C1" w:rsidRPr="00DD64A6">
        <w:rPr>
          <w:lang w:val="fr-FR"/>
        </w:rPr>
        <w:t>avait été</w:t>
      </w:r>
      <w:r w:rsidR="008D309A" w:rsidRPr="00DD64A6">
        <w:rPr>
          <w:lang w:val="fr-FR"/>
        </w:rPr>
        <w:t xml:space="preserve"> </w:t>
      </w:r>
      <w:r w:rsidR="0063286A" w:rsidRPr="00DD64A6">
        <w:rPr>
          <w:lang w:val="fr-FR"/>
        </w:rPr>
        <w:t>révoquée</w:t>
      </w:r>
      <w:r w:rsidR="00B22546" w:rsidRPr="00DD64A6">
        <w:rPr>
          <w:lang w:val="fr-FR"/>
        </w:rPr>
        <w:t xml:space="preserve"> et quel type de soins elle a</w:t>
      </w:r>
      <w:r w:rsidR="006E12C1" w:rsidRPr="00DD64A6">
        <w:rPr>
          <w:lang w:val="fr-FR"/>
        </w:rPr>
        <w:t>vait</w:t>
      </w:r>
      <w:r w:rsidR="00B22546" w:rsidRPr="00DD64A6">
        <w:rPr>
          <w:lang w:val="fr-FR"/>
        </w:rPr>
        <w:t xml:space="preserve"> pu continuer à dispenser</w:t>
      </w:r>
      <w:r w:rsidR="00135A5B" w:rsidRPr="00DD64A6">
        <w:rPr>
          <w:lang w:val="fr-FR"/>
        </w:rPr>
        <w:t>. Par ailleurs, elle n</w:t>
      </w:r>
      <w:r w:rsidR="00DD64A6" w:rsidRPr="00DD64A6">
        <w:rPr>
          <w:lang w:val="fr-FR"/>
        </w:rPr>
        <w:t>’</w:t>
      </w:r>
      <w:r w:rsidR="00135A5B" w:rsidRPr="00DD64A6">
        <w:rPr>
          <w:lang w:val="fr-FR"/>
        </w:rPr>
        <w:t xml:space="preserve">a pas </w:t>
      </w:r>
      <w:r w:rsidR="006E12C1" w:rsidRPr="00DD64A6">
        <w:rPr>
          <w:lang w:val="fr-FR"/>
        </w:rPr>
        <w:t xml:space="preserve">non plus </w:t>
      </w:r>
      <w:r w:rsidR="00542F4F" w:rsidRPr="00DD64A6">
        <w:rPr>
          <w:lang w:val="fr-FR"/>
        </w:rPr>
        <w:t>prouvé</w:t>
      </w:r>
      <w:r w:rsidR="00135A5B" w:rsidRPr="00DD64A6">
        <w:rPr>
          <w:lang w:val="fr-FR"/>
        </w:rPr>
        <w:t xml:space="preserve"> </w:t>
      </w:r>
      <w:r w:rsidR="006E12C1" w:rsidRPr="00DD64A6">
        <w:rPr>
          <w:lang w:val="fr-FR"/>
        </w:rPr>
        <w:t>que</w:t>
      </w:r>
      <w:r w:rsidR="00542F4F" w:rsidRPr="00DD64A6">
        <w:rPr>
          <w:lang w:val="fr-FR"/>
        </w:rPr>
        <w:t xml:space="preserve"> les frais de </w:t>
      </w:r>
      <w:r w:rsidR="00324FAC" w:rsidRPr="00DD64A6">
        <w:rPr>
          <w:lang w:val="fr-FR"/>
        </w:rPr>
        <w:t xml:space="preserve">maintenance et de gestion du centre </w:t>
      </w:r>
      <w:r w:rsidR="00542F4F" w:rsidRPr="00DD64A6">
        <w:rPr>
          <w:lang w:val="fr-FR"/>
        </w:rPr>
        <w:t xml:space="preserve">étaient </w:t>
      </w:r>
      <w:r w:rsidR="00297565" w:rsidRPr="00DD64A6">
        <w:rPr>
          <w:lang w:val="fr-FR"/>
        </w:rPr>
        <w:t xml:space="preserve">devenus </w:t>
      </w:r>
      <w:r w:rsidR="00542F4F" w:rsidRPr="00DD64A6">
        <w:rPr>
          <w:lang w:val="fr-FR"/>
        </w:rPr>
        <w:t xml:space="preserve">manifestement </w:t>
      </w:r>
      <w:r w:rsidR="00ED19A4" w:rsidRPr="00DD64A6">
        <w:rPr>
          <w:lang w:val="fr-FR"/>
        </w:rPr>
        <w:t>disproportionnés</w:t>
      </w:r>
      <w:r w:rsidR="00542F4F" w:rsidRPr="00DD64A6">
        <w:rPr>
          <w:lang w:val="fr-FR"/>
        </w:rPr>
        <w:t xml:space="preserve"> par rapport au volume</w:t>
      </w:r>
      <w:r w:rsidR="00ED19A4" w:rsidRPr="00DD64A6">
        <w:rPr>
          <w:lang w:val="fr-FR"/>
        </w:rPr>
        <w:t xml:space="preserve"> et au type </w:t>
      </w:r>
      <w:r w:rsidR="00542F4F" w:rsidRPr="00DD64A6">
        <w:rPr>
          <w:lang w:val="fr-FR"/>
        </w:rPr>
        <w:t>d</w:t>
      </w:r>
      <w:r w:rsidR="00DD64A6" w:rsidRPr="00DD64A6">
        <w:rPr>
          <w:lang w:val="fr-FR"/>
        </w:rPr>
        <w:t>’</w:t>
      </w:r>
      <w:r w:rsidR="00542F4F" w:rsidRPr="00DD64A6">
        <w:rPr>
          <w:lang w:val="fr-FR"/>
        </w:rPr>
        <w:t xml:space="preserve">activité </w:t>
      </w:r>
      <w:r w:rsidR="00ED19A4" w:rsidRPr="00DD64A6">
        <w:rPr>
          <w:lang w:val="fr-FR"/>
        </w:rPr>
        <w:t xml:space="preserve">exercée pendant ladite période. Par conséquent, la Cour </w:t>
      </w:r>
      <w:r w:rsidR="00297565" w:rsidRPr="00DD64A6">
        <w:rPr>
          <w:lang w:val="fr-FR"/>
        </w:rPr>
        <w:t xml:space="preserve">ne fait pas </w:t>
      </w:r>
      <w:proofErr w:type="gramStart"/>
      <w:r w:rsidR="00297565" w:rsidRPr="00DD64A6">
        <w:rPr>
          <w:lang w:val="fr-FR"/>
        </w:rPr>
        <w:t>droit</w:t>
      </w:r>
      <w:proofErr w:type="gramEnd"/>
      <w:r w:rsidR="00297565" w:rsidRPr="00DD64A6">
        <w:rPr>
          <w:lang w:val="fr-FR"/>
        </w:rPr>
        <w:t xml:space="preserve"> aux demandes de la </w:t>
      </w:r>
      <w:r w:rsidR="004E188C" w:rsidRPr="00DD64A6">
        <w:rPr>
          <w:lang w:val="fr-FR"/>
        </w:rPr>
        <w:t xml:space="preserve">société </w:t>
      </w:r>
      <w:r w:rsidR="00297565" w:rsidRPr="00DD64A6">
        <w:rPr>
          <w:lang w:val="fr-FR"/>
        </w:rPr>
        <w:t xml:space="preserve">requérante liées au remboursement du prix du matériel de radiologie et </w:t>
      </w:r>
      <w:r w:rsidR="00BA731D" w:rsidRPr="00DD64A6">
        <w:rPr>
          <w:lang w:val="fr-FR"/>
        </w:rPr>
        <w:t>aux</w:t>
      </w:r>
      <w:r w:rsidR="00297565" w:rsidRPr="00DD64A6">
        <w:rPr>
          <w:lang w:val="fr-FR"/>
        </w:rPr>
        <w:t xml:space="preserve"> frais de gestion et de maintenance du centre médical</w:t>
      </w:r>
      <w:r w:rsidR="00181E19" w:rsidRPr="00DD64A6">
        <w:rPr>
          <w:lang w:val="fr-FR"/>
        </w:rPr>
        <w:t>,</w:t>
      </w:r>
      <w:r w:rsidR="00297565" w:rsidRPr="00DD64A6">
        <w:rPr>
          <w:lang w:val="fr-FR"/>
        </w:rPr>
        <w:t xml:space="preserve"> </w:t>
      </w:r>
      <w:r w:rsidR="00B74986" w:rsidRPr="00DD64A6">
        <w:rPr>
          <w:lang w:val="fr-FR"/>
        </w:rPr>
        <w:t xml:space="preserve">puisque </w:t>
      </w:r>
      <w:r w:rsidR="00ED19A4" w:rsidRPr="00DD64A6">
        <w:rPr>
          <w:lang w:val="fr-FR"/>
        </w:rPr>
        <w:t xml:space="preserve">le lien de causalité </w:t>
      </w:r>
      <w:r w:rsidR="00B74986" w:rsidRPr="00DD64A6">
        <w:rPr>
          <w:lang w:val="fr-FR"/>
        </w:rPr>
        <w:t>avec l</w:t>
      </w:r>
      <w:r w:rsidR="00ED19A4" w:rsidRPr="00DD64A6">
        <w:rPr>
          <w:lang w:val="fr-FR"/>
        </w:rPr>
        <w:t xml:space="preserve">a violation </w:t>
      </w:r>
      <w:r w:rsidRPr="00DD64A6">
        <w:rPr>
          <w:lang w:val="fr-FR"/>
        </w:rPr>
        <w:t xml:space="preserve">constatée </w:t>
      </w:r>
      <w:r w:rsidR="00B74986" w:rsidRPr="00DD64A6">
        <w:rPr>
          <w:lang w:val="fr-FR"/>
        </w:rPr>
        <w:t>n</w:t>
      </w:r>
      <w:r w:rsidR="00DD64A6" w:rsidRPr="00DD64A6">
        <w:rPr>
          <w:lang w:val="fr-FR"/>
        </w:rPr>
        <w:t>’</w:t>
      </w:r>
      <w:r w:rsidR="00B74986" w:rsidRPr="00DD64A6">
        <w:rPr>
          <w:lang w:val="fr-FR"/>
        </w:rPr>
        <w:t>a</w:t>
      </w:r>
      <w:r w:rsidR="00ED19A4" w:rsidRPr="00DD64A6">
        <w:rPr>
          <w:lang w:val="fr-FR"/>
        </w:rPr>
        <w:t xml:space="preserve"> pas </w:t>
      </w:r>
      <w:r w:rsidRPr="00DD64A6">
        <w:rPr>
          <w:lang w:val="fr-FR"/>
        </w:rPr>
        <w:t xml:space="preserve">été </w:t>
      </w:r>
      <w:r w:rsidR="00ED19A4" w:rsidRPr="00DD64A6">
        <w:rPr>
          <w:lang w:val="fr-FR"/>
        </w:rPr>
        <w:t>établi</w:t>
      </w:r>
      <w:r w:rsidR="00B74986" w:rsidRPr="00DD64A6">
        <w:rPr>
          <w:lang w:val="fr-FR"/>
        </w:rPr>
        <w:t>.</w:t>
      </w:r>
    </w:p>
    <w:p w:rsidR="006875EF" w:rsidRPr="00DD64A6" w:rsidRDefault="00ED19A4"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44</w:t>
      </w:r>
      <w:r w:rsidRPr="00DD64A6">
        <w:rPr>
          <w:lang w:val="fr-FR"/>
        </w:rPr>
        <w:fldChar w:fldCharType="end"/>
      </w:r>
      <w:r w:rsidRPr="00DD64A6">
        <w:rPr>
          <w:lang w:val="fr-FR"/>
        </w:rPr>
        <w:t>.  </w:t>
      </w:r>
      <w:r w:rsidR="00AF1BD3" w:rsidRPr="00DD64A6">
        <w:rPr>
          <w:lang w:val="fr-FR"/>
        </w:rPr>
        <w:t>Concern</w:t>
      </w:r>
      <w:r w:rsidR="008B3047" w:rsidRPr="00DD64A6">
        <w:rPr>
          <w:lang w:val="fr-FR"/>
        </w:rPr>
        <w:t>ant les</w:t>
      </w:r>
      <w:r w:rsidR="00BC6554" w:rsidRPr="00DD64A6">
        <w:rPr>
          <w:lang w:val="fr-FR"/>
        </w:rPr>
        <w:t xml:space="preserve"> demande</w:t>
      </w:r>
      <w:r w:rsidR="008B3047" w:rsidRPr="00DD64A6">
        <w:rPr>
          <w:lang w:val="fr-FR"/>
        </w:rPr>
        <w:t>s</w:t>
      </w:r>
      <w:r w:rsidR="00BC6554" w:rsidRPr="00DD64A6">
        <w:rPr>
          <w:lang w:val="fr-FR"/>
        </w:rPr>
        <w:t xml:space="preserve"> de la requérante</w:t>
      </w:r>
      <w:r w:rsidR="00AF1BD3" w:rsidRPr="00DD64A6">
        <w:rPr>
          <w:lang w:val="fr-FR"/>
        </w:rPr>
        <w:t xml:space="preserve"> </w:t>
      </w:r>
      <w:r w:rsidR="00BD6958" w:rsidRPr="00DD64A6">
        <w:rPr>
          <w:lang w:val="fr-FR"/>
        </w:rPr>
        <w:t>ayant trait au manque à gagner</w:t>
      </w:r>
      <w:r w:rsidR="00DC5E46" w:rsidRPr="00DD64A6">
        <w:rPr>
          <w:lang w:val="fr-FR"/>
        </w:rPr>
        <w:t xml:space="preserve">, la Cour estime </w:t>
      </w:r>
      <w:r w:rsidR="006875EF" w:rsidRPr="00DD64A6">
        <w:rPr>
          <w:lang w:val="fr-FR"/>
        </w:rPr>
        <w:t xml:space="preserve">que la </w:t>
      </w:r>
      <w:r w:rsidR="004E188C" w:rsidRPr="00DD64A6">
        <w:rPr>
          <w:lang w:val="fr-FR"/>
        </w:rPr>
        <w:t xml:space="preserve">société </w:t>
      </w:r>
      <w:r w:rsidR="006875EF" w:rsidRPr="00DD64A6">
        <w:rPr>
          <w:lang w:val="fr-FR"/>
        </w:rPr>
        <w:t>requérante a effectivement subi un préjudice à ce titre du fait de l</w:t>
      </w:r>
      <w:r w:rsidR="00DD64A6" w:rsidRPr="00DD64A6">
        <w:rPr>
          <w:lang w:val="fr-FR"/>
        </w:rPr>
        <w:t>’</w:t>
      </w:r>
      <w:r w:rsidR="006875EF" w:rsidRPr="00DD64A6">
        <w:rPr>
          <w:lang w:val="fr-FR"/>
        </w:rPr>
        <w:t xml:space="preserve">impossibilité </w:t>
      </w:r>
      <w:r w:rsidR="004E188C" w:rsidRPr="00DD64A6">
        <w:rPr>
          <w:lang w:val="fr-FR"/>
        </w:rPr>
        <w:t xml:space="preserve">pour elle, </w:t>
      </w:r>
      <w:r w:rsidR="006875EF" w:rsidRPr="00DD64A6">
        <w:rPr>
          <w:lang w:val="fr-FR"/>
        </w:rPr>
        <w:t>pendant presque quatre ans</w:t>
      </w:r>
      <w:r w:rsidR="004E188C" w:rsidRPr="00DD64A6">
        <w:rPr>
          <w:lang w:val="fr-FR"/>
        </w:rPr>
        <w:t>,</w:t>
      </w:r>
      <w:r w:rsidR="006875EF" w:rsidRPr="00DD64A6">
        <w:rPr>
          <w:lang w:val="fr-FR"/>
        </w:rPr>
        <w:t xml:space="preserve"> d</w:t>
      </w:r>
      <w:r w:rsidR="00DD64A6" w:rsidRPr="00DD64A6">
        <w:rPr>
          <w:lang w:val="fr-FR"/>
        </w:rPr>
        <w:t>’</w:t>
      </w:r>
      <w:r w:rsidR="006875EF" w:rsidRPr="00DD64A6">
        <w:rPr>
          <w:lang w:val="fr-FR"/>
        </w:rPr>
        <w:t>exercer son activité conventionnée par le service sanitaire national.</w:t>
      </w:r>
    </w:p>
    <w:p w:rsidR="006875EF" w:rsidRPr="00DD64A6" w:rsidRDefault="00A81615" w:rsidP="00DD64A6">
      <w:pPr>
        <w:pStyle w:val="ECHRPara"/>
        <w:rPr>
          <w:snapToGrid w:val="0"/>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45</w:t>
      </w:r>
      <w:r w:rsidRPr="00DD64A6">
        <w:rPr>
          <w:lang w:val="fr-FR"/>
        </w:rPr>
        <w:fldChar w:fldCharType="end"/>
      </w:r>
      <w:r w:rsidRPr="00DD64A6">
        <w:rPr>
          <w:lang w:val="fr-FR"/>
        </w:rPr>
        <w:t>.  </w:t>
      </w:r>
      <w:r w:rsidR="00C71708" w:rsidRPr="00DD64A6">
        <w:rPr>
          <w:lang w:val="fr-FR"/>
        </w:rPr>
        <w:t xml:space="preserve">La Cour </w:t>
      </w:r>
      <w:r w:rsidR="006875EF" w:rsidRPr="00DD64A6">
        <w:rPr>
          <w:lang w:val="fr-FR"/>
        </w:rPr>
        <w:t>considère cependant qu</w:t>
      </w:r>
      <w:r w:rsidR="00DD64A6" w:rsidRPr="00DD64A6">
        <w:rPr>
          <w:lang w:val="fr-FR"/>
        </w:rPr>
        <w:t>’</w:t>
      </w:r>
      <w:r w:rsidR="006875EF" w:rsidRPr="00DD64A6">
        <w:rPr>
          <w:lang w:val="fr-FR"/>
        </w:rPr>
        <w:t xml:space="preserve">elle ne saurait spéculer sur le montant des profits que la </w:t>
      </w:r>
      <w:r w:rsidR="00C71708" w:rsidRPr="00DD64A6">
        <w:rPr>
          <w:lang w:val="fr-FR"/>
        </w:rPr>
        <w:t xml:space="preserve">société </w:t>
      </w:r>
      <w:r w:rsidR="006875EF" w:rsidRPr="00DD64A6">
        <w:rPr>
          <w:lang w:val="fr-FR"/>
        </w:rPr>
        <w:t xml:space="preserve">requérante aurait pu </w:t>
      </w:r>
      <w:r w:rsidR="00C71708" w:rsidRPr="00DD64A6">
        <w:rPr>
          <w:lang w:val="fr-FR"/>
        </w:rPr>
        <w:t xml:space="preserve">réaliser </w:t>
      </w:r>
      <w:r w:rsidR="006875EF" w:rsidRPr="00DD64A6">
        <w:rPr>
          <w:lang w:val="fr-FR"/>
        </w:rPr>
        <w:t>si la convention n</w:t>
      </w:r>
      <w:r w:rsidR="00DD64A6" w:rsidRPr="00DD64A6">
        <w:rPr>
          <w:lang w:val="fr-FR"/>
        </w:rPr>
        <w:t>’</w:t>
      </w:r>
      <w:r w:rsidR="006875EF" w:rsidRPr="00DD64A6">
        <w:rPr>
          <w:lang w:val="fr-FR"/>
        </w:rPr>
        <w:t>avait pas été suspendue. De plus, elle souligne l</w:t>
      </w:r>
      <w:r w:rsidR="00DD64A6" w:rsidRPr="00DD64A6">
        <w:rPr>
          <w:lang w:val="fr-FR"/>
        </w:rPr>
        <w:t>’</w:t>
      </w:r>
      <w:r w:rsidR="006875EF" w:rsidRPr="00DD64A6">
        <w:rPr>
          <w:lang w:val="fr-FR"/>
        </w:rPr>
        <w:t xml:space="preserve">impossibilité de quantifier précisément, sur la base des arguments et des justificatifs avancés par la </w:t>
      </w:r>
      <w:r w:rsidR="00C71708" w:rsidRPr="00DD64A6">
        <w:rPr>
          <w:lang w:val="fr-FR"/>
        </w:rPr>
        <w:t xml:space="preserve">société </w:t>
      </w:r>
      <w:r w:rsidR="006875EF" w:rsidRPr="00DD64A6">
        <w:rPr>
          <w:lang w:val="fr-FR"/>
        </w:rPr>
        <w:t>requérante à l</w:t>
      </w:r>
      <w:r w:rsidR="00DD64A6" w:rsidRPr="00DD64A6">
        <w:rPr>
          <w:lang w:val="fr-FR"/>
        </w:rPr>
        <w:t>’</w:t>
      </w:r>
      <w:r w:rsidR="006875EF" w:rsidRPr="00DD64A6">
        <w:rPr>
          <w:lang w:val="fr-FR"/>
        </w:rPr>
        <w:t>appui de sa demande de satisfaction équitable, le manque à gagner ainsi subi. La Cour rappelle à cet égard que l</w:t>
      </w:r>
      <w:r w:rsidR="00DD64A6" w:rsidRPr="00DD64A6">
        <w:rPr>
          <w:lang w:val="fr-FR"/>
        </w:rPr>
        <w:t>’</w:t>
      </w:r>
      <w:r w:rsidR="006875EF" w:rsidRPr="00DD64A6">
        <w:rPr>
          <w:lang w:val="fr-FR"/>
        </w:rPr>
        <w:t>existence d</w:t>
      </w:r>
      <w:r w:rsidR="00DD64A6" w:rsidRPr="00DD64A6">
        <w:rPr>
          <w:lang w:val="fr-FR"/>
        </w:rPr>
        <w:t>’</w:t>
      </w:r>
      <w:r w:rsidR="006875EF" w:rsidRPr="00DD64A6">
        <w:rPr>
          <w:lang w:val="fr-FR"/>
        </w:rPr>
        <w:t>un manque à gagner (</w:t>
      </w:r>
      <w:proofErr w:type="spellStart"/>
      <w:r w:rsidR="006875EF" w:rsidRPr="00DD64A6">
        <w:rPr>
          <w:i/>
          <w:lang w:val="fr-FR"/>
        </w:rPr>
        <w:t>lucrum</w:t>
      </w:r>
      <w:proofErr w:type="spellEnd"/>
      <w:r w:rsidR="006875EF" w:rsidRPr="00DD64A6">
        <w:rPr>
          <w:i/>
          <w:lang w:val="fr-FR"/>
        </w:rPr>
        <w:t xml:space="preserve"> </w:t>
      </w:r>
      <w:proofErr w:type="spellStart"/>
      <w:r w:rsidR="006875EF" w:rsidRPr="00DD64A6">
        <w:rPr>
          <w:i/>
          <w:lang w:val="fr-FR"/>
        </w:rPr>
        <w:t>cessans</w:t>
      </w:r>
      <w:proofErr w:type="spellEnd"/>
      <w:r w:rsidR="006875EF" w:rsidRPr="00DD64A6">
        <w:rPr>
          <w:lang w:val="fr-FR"/>
        </w:rPr>
        <w:t xml:space="preserve">) doit être établie avec certitude et ne doit pas se fonder uniquement sur des </w:t>
      </w:r>
      <w:r w:rsidR="00317780" w:rsidRPr="00DD64A6">
        <w:rPr>
          <w:lang w:val="fr-FR"/>
        </w:rPr>
        <w:t>conjectures ou des probabilités</w:t>
      </w:r>
      <w:r w:rsidR="006875EF" w:rsidRPr="00DD64A6">
        <w:rPr>
          <w:lang w:val="fr-FR"/>
        </w:rPr>
        <w:t xml:space="preserve"> (</w:t>
      </w:r>
      <w:r w:rsidRPr="00DD64A6">
        <w:rPr>
          <w:i/>
          <w:lang w:val="fr-FR"/>
        </w:rPr>
        <w:t xml:space="preserve">Centro Europa 7 </w:t>
      </w:r>
      <w:proofErr w:type="spellStart"/>
      <w:r w:rsidRPr="00DD64A6">
        <w:rPr>
          <w:i/>
          <w:lang w:val="fr-FR"/>
        </w:rPr>
        <w:t>S.r.l</w:t>
      </w:r>
      <w:proofErr w:type="spellEnd"/>
      <w:r w:rsidRPr="00DD64A6">
        <w:rPr>
          <w:i/>
          <w:lang w:val="fr-FR"/>
        </w:rPr>
        <w:t xml:space="preserve">. et Di Stefano c. Italie </w:t>
      </w:r>
      <w:r w:rsidRPr="00DD64A6">
        <w:rPr>
          <w:lang w:val="fr-FR"/>
        </w:rPr>
        <w:t>[GC], n</w:t>
      </w:r>
      <w:r w:rsidRPr="00DD64A6">
        <w:rPr>
          <w:vertAlign w:val="superscript"/>
          <w:lang w:val="fr-FR"/>
        </w:rPr>
        <w:t>o</w:t>
      </w:r>
      <w:r w:rsidR="00C71708" w:rsidRPr="00DD64A6">
        <w:rPr>
          <w:lang w:val="fr-FR"/>
        </w:rPr>
        <w:t> </w:t>
      </w:r>
      <w:r w:rsidRPr="00DD64A6">
        <w:rPr>
          <w:lang w:val="fr-FR"/>
        </w:rPr>
        <w:t xml:space="preserve">38433/09, § </w:t>
      </w:r>
      <w:r w:rsidR="00A312C0" w:rsidRPr="00DD64A6">
        <w:rPr>
          <w:lang w:val="fr-FR"/>
        </w:rPr>
        <w:t>219</w:t>
      </w:r>
      <w:r w:rsidRPr="00DD64A6">
        <w:rPr>
          <w:lang w:val="fr-FR"/>
        </w:rPr>
        <w:t xml:space="preserve">, </w:t>
      </w:r>
      <w:r w:rsidRPr="00DD64A6">
        <w:rPr>
          <w:snapToGrid w:val="0"/>
          <w:lang w:val="fr-FR"/>
        </w:rPr>
        <w:t>CEDH 2012).</w:t>
      </w:r>
    </w:p>
    <w:p w:rsidR="005F1436" w:rsidRPr="00DD64A6" w:rsidRDefault="006875EF"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46</w:t>
      </w:r>
      <w:r w:rsidRPr="00DD64A6">
        <w:rPr>
          <w:lang w:val="fr-FR"/>
        </w:rPr>
        <w:fldChar w:fldCharType="end"/>
      </w:r>
      <w:r w:rsidRPr="00DD64A6">
        <w:rPr>
          <w:lang w:val="fr-FR"/>
        </w:rPr>
        <w:t>.  </w:t>
      </w:r>
      <w:r w:rsidR="001E6A19" w:rsidRPr="00DD64A6">
        <w:rPr>
          <w:lang w:val="fr-FR"/>
        </w:rPr>
        <w:t xml:space="preserve">Dans ces conditions, la Cour estime </w:t>
      </w:r>
      <w:proofErr w:type="gramStart"/>
      <w:r w:rsidR="001E6A19" w:rsidRPr="00DD64A6">
        <w:rPr>
          <w:lang w:val="fr-FR"/>
        </w:rPr>
        <w:t>approprié</w:t>
      </w:r>
      <w:proofErr w:type="gramEnd"/>
      <w:r w:rsidR="001E6A19" w:rsidRPr="00DD64A6">
        <w:rPr>
          <w:lang w:val="fr-FR"/>
        </w:rPr>
        <w:t xml:space="preserve"> de fixer une somme forfaitaire en réparation</w:t>
      </w:r>
      <w:r w:rsidR="00925228" w:rsidRPr="00DD64A6">
        <w:rPr>
          <w:lang w:val="fr-FR"/>
        </w:rPr>
        <w:t xml:space="preserve"> </w:t>
      </w:r>
      <w:r w:rsidR="001E6A19" w:rsidRPr="00DD64A6">
        <w:rPr>
          <w:lang w:val="fr-FR"/>
        </w:rPr>
        <w:t xml:space="preserve">du manque à gagner lié </w:t>
      </w:r>
      <w:r w:rsidR="00317780" w:rsidRPr="00DD64A6">
        <w:rPr>
          <w:lang w:val="fr-FR"/>
        </w:rPr>
        <w:t>à</w:t>
      </w:r>
      <w:r w:rsidR="00894B10" w:rsidRPr="00DD64A6">
        <w:rPr>
          <w:lang w:val="fr-FR"/>
        </w:rPr>
        <w:t xml:space="preserve"> l</w:t>
      </w:r>
      <w:r w:rsidR="00DD64A6" w:rsidRPr="00DD64A6">
        <w:rPr>
          <w:lang w:val="fr-FR"/>
        </w:rPr>
        <w:t>’</w:t>
      </w:r>
      <w:r w:rsidR="00894B10" w:rsidRPr="00DD64A6">
        <w:rPr>
          <w:lang w:val="fr-FR"/>
        </w:rPr>
        <w:t>impossibilité</w:t>
      </w:r>
      <w:r w:rsidR="00317780" w:rsidRPr="00DD64A6">
        <w:rPr>
          <w:lang w:val="fr-FR"/>
        </w:rPr>
        <w:t xml:space="preserve"> pour la </w:t>
      </w:r>
      <w:r w:rsidR="00C71708" w:rsidRPr="00DD64A6">
        <w:rPr>
          <w:lang w:val="fr-FR"/>
        </w:rPr>
        <w:t xml:space="preserve">société </w:t>
      </w:r>
      <w:r w:rsidR="00317780" w:rsidRPr="00DD64A6">
        <w:rPr>
          <w:lang w:val="fr-FR"/>
        </w:rPr>
        <w:t>requérante</w:t>
      </w:r>
      <w:r w:rsidR="00894B10" w:rsidRPr="00DD64A6">
        <w:rPr>
          <w:lang w:val="fr-FR"/>
        </w:rPr>
        <w:t xml:space="preserve"> de se prévaloir de la convention </w:t>
      </w:r>
      <w:r w:rsidR="00E96D44" w:rsidRPr="00DD64A6">
        <w:rPr>
          <w:lang w:val="fr-FR"/>
        </w:rPr>
        <w:t xml:space="preserve">avec </w:t>
      </w:r>
      <w:r w:rsidR="00894B10" w:rsidRPr="00DD64A6">
        <w:rPr>
          <w:lang w:val="fr-FR"/>
        </w:rPr>
        <w:t xml:space="preserve">le service sanitaire national </w:t>
      </w:r>
      <w:r w:rsidR="00410990" w:rsidRPr="00DD64A6">
        <w:rPr>
          <w:lang w:val="fr-FR"/>
        </w:rPr>
        <w:t>entre</w:t>
      </w:r>
      <w:r w:rsidR="00894B10" w:rsidRPr="00DD64A6">
        <w:rPr>
          <w:lang w:val="fr-FR"/>
        </w:rPr>
        <w:t xml:space="preserve"> 1993 </w:t>
      </w:r>
      <w:r w:rsidR="00410990" w:rsidRPr="00DD64A6">
        <w:rPr>
          <w:lang w:val="fr-FR"/>
        </w:rPr>
        <w:t>et</w:t>
      </w:r>
      <w:r w:rsidR="00894B10" w:rsidRPr="00DD64A6">
        <w:rPr>
          <w:lang w:val="fr-FR"/>
        </w:rPr>
        <w:t xml:space="preserve"> 1997</w:t>
      </w:r>
      <w:r w:rsidR="00245240" w:rsidRPr="00DD64A6">
        <w:rPr>
          <w:lang w:val="fr-FR"/>
        </w:rPr>
        <w:t>.</w:t>
      </w:r>
    </w:p>
    <w:p w:rsidR="00E15F9A" w:rsidRPr="00DD64A6" w:rsidRDefault="00424A72"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47</w:t>
      </w:r>
      <w:r w:rsidRPr="00DD64A6">
        <w:rPr>
          <w:lang w:val="fr-FR"/>
        </w:rPr>
        <w:fldChar w:fldCharType="end"/>
      </w:r>
      <w:r w:rsidRPr="00DD64A6">
        <w:rPr>
          <w:lang w:val="fr-FR"/>
        </w:rPr>
        <w:t>.  </w:t>
      </w:r>
      <w:r w:rsidR="00925228" w:rsidRPr="00DD64A6">
        <w:rPr>
          <w:lang w:val="fr-FR"/>
        </w:rPr>
        <w:t>En outre</w:t>
      </w:r>
      <w:r w:rsidRPr="00DD64A6">
        <w:rPr>
          <w:lang w:val="fr-FR"/>
        </w:rPr>
        <w:t xml:space="preserve">, la Cour estime que </w:t>
      </w:r>
      <w:r w:rsidR="00894B10" w:rsidRPr="00DD64A6">
        <w:rPr>
          <w:lang w:val="fr-FR"/>
        </w:rPr>
        <w:t>l</w:t>
      </w:r>
      <w:r w:rsidR="00DD64A6" w:rsidRPr="00DD64A6">
        <w:rPr>
          <w:lang w:val="fr-FR"/>
        </w:rPr>
        <w:t>’</w:t>
      </w:r>
      <w:r w:rsidR="00894B10" w:rsidRPr="00DD64A6">
        <w:rPr>
          <w:lang w:val="fr-FR"/>
        </w:rPr>
        <w:t xml:space="preserve">ingérence manifestement illégale dans le droit au respect des biens de la </w:t>
      </w:r>
      <w:r w:rsidR="00C71708" w:rsidRPr="00DD64A6">
        <w:rPr>
          <w:lang w:val="fr-FR"/>
        </w:rPr>
        <w:t xml:space="preserve">société </w:t>
      </w:r>
      <w:r w:rsidR="00894B10" w:rsidRPr="00DD64A6">
        <w:rPr>
          <w:lang w:val="fr-FR"/>
        </w:rPr>
        <w:t xml:space="preserve">requérante </w:t>
      </w:r>
      <w:r w:rsidRPr="00DD64A6">
        <w:rPr>
          <w:lang w:val="fr-FR"/>
        </w:rPr>
        <w:t xml:space="preserve">a inévitablement causé à </w:t>
      </w:r>
      <w:r w:rsidR="00894B10" w:rsidRPr="00DD64A6">
        <w:rPr>
          <w:lang w:val="fr-FR"/>
        </w:rPr>
        <w:t>celle-ci</w:t>
      </w:r>
      <w:r w:rsidR="003B3FD4" w:rsidRPr="00DD64A6">
        <w:rPr>
          <w:lang w:val="fr-FR"/>
        </w:rPr>
        <w:t xml:space="preserve"> un dommage moral en raison de l</w:t>
      </w:r>
      <w:r w:rsidR="00DD64A6" w:rsidRPr="00DD64A6">
        <w:rPr>
          <w:lang w:val="fr-FR"/>
        </w:rPr>
        <w:t>’</w:t>
      </w:r>
      <w:r w:rsidRPr="00DD64A6">
        <w:rPr>
          <w:lang w:val="fr-FR"/>
        </w:rPr>
        <w:t>incertitude prolongée dans la conduite des affaires et des sentiments d</w:t>
      </w:r>
      <w:r w:rsidR="00DD64A6" w:rsidRPr="00DD64A6">
        <w:rPr>
          <w:lang w:val="fr-FR"/>
        </w:rPr>
        <w:t>’</w:t>
      </w:r>
      <w:r w:rsidRPr="00DD64A6">
        <w:rPr>
          <w:lang w:val="fr-FR"/>
        </w:rPr>
        <w:t>impuissance et de frustration</w:t>
      </w:r>
      <w:r w:rsidR="003B3FD4" w:rsidRPr="00DD64A6">
        <w:rPr>
          <w:lang w:val="fr-FR"/>
        </w:rPr>
        <w:t xml:space="preserve">, </w:t>
      </w:r>
      <w:r w:rsidR="00410990" w:rsidRPr="00DD64A6">
        <w:rPr>
          <w:lang w:val="fr-FR"/>
        </w:rPr>
        <w:t>ainsi</w:t>
      </w:r>
      <w:r w:rsidRPr="00DD64A6">
        <w:rPr>
          <w:lang w:val="fr-FR"/>
        </w:rPr>
        <w:t xml:space="preserve"> </w:t>
      </w:r>
      <w:r w:rsidR="00410990" w:rsidRPr="00DD64A6">
        <w:rPr>
          <w:lang w:val="fr-FR"/>
        </w:rPr>
        <w:t>qu</w:t>
      </w:r>
      <w:r w:rsidR="00DD64A6" w:rsidRPr="00DD64A6">
        <w:rPr>
          <w:lang w:val="fr-FR"/>
        </w:rPr>
        <w:t>’</w:t>
      </w:r>
      <w:r w:rsidRPr="00DD64A6">
        <w:rPr>
          <w:lang w:val="fr-FR"/>
        </w:rPr>
        <w:t>une atteinte à la réputation de l</w:t>
      </w:r>
      <w:r w:rsidR="00DD64A6" w:rsidRPr="00DD64A6">
        <w:rPr>
          <w:lang w:val="fr-FR"/>
        </w:rPr>
        <w:t>’</w:t>
      </w:r>
      <w:r w:rsidRPr="00DD64A6">
        <w:rPr>
          <w:lang w:val="fr-FR"/>
        </w:rPr>
        <w:t>entreprise (</w:t>
      </w:r>
      <w:proofErr w:type="spellStart"/>
      <w:r w:rsidRPr="00DD64A6">
        <w:rPr>
          <w:i/>
          <w:lang w:val="fr-FR"/>
        </w:rPr>
        <w:t>Comingersoll</w:t>
      </w:r>
      <w:proofErr w:type="spellEnd"/>
      <w:r w:rsidRPr="00DD64A6">
        <w:rPr>
          <w:i/>
          <w:lang w:val="fr-FR"/>
        </w:rPr>
        <w:t xml:space="preserve"> S.A. c.</w:t>
      </w:r>
      <w:r w:rsidR="005A3971" w:rsidRPr="00DD64A6">
        <w:rPr>
          <w:i/>
          <w:lang w:val="fr-FR"/>
        </w:rPr>
        <w:t> </w:t>
      </w:r>
      <w:r w:rsidRPr="00DD64A6">
        <w:rPr>
          <w:i/>
          <w:lang w:val="fr-FR"/>
        </w:rPr>
        <w:t>Portugal</w:t>
      </w:r>
      <w:r w:rsidRPr="00DD64A6">
        <w:rPr>
          <w:lang w:val="fr-FR"/>
        </w:rPr>
        <w:t xml:space="preserve"> [GC], n</w:t>
      </w:r>
      <w:r w:rsidR="00E15F9A" w:rsidRPr="00DD64A6">
        <w:rPr>
          <w:vertAlign w:val="superscript"/>
          <w:lang w:val="fr-FR"/>
        </w:rPr>
        <w:t>o</w:t>
      </w:r>
      <w:r w:rsidRPr="00DD64A6">
        <w:rPr>
          <w:lang w:val="fr-FR"/>
        </w:rPr>
        <w:t xml:space="preserve"> 35</w:t>
      </w:r>
      <w:r w:rsidR="00894B10" w:rsidRPr="00DD64A6">
        <w:rPr>
          <w:lang w:val="fr-FR"/>
        </w:rPr>
        <w:t>382/97, § 35, CEDH 2000-IV)</w:t>
      </w:r>
      <w:r w:rsidR="00324FAC" w:rsidRPr="00DD64A6">
        <w:rPr>
          <w:lang w:val="fr-FR"/>
        </w:rPr>
        <w:t>.</w:t>
      </w:r>
    </w:p>
    <w:p w:rsidR="00E15F9A" w:rsidRPr="00DD64A6" w:rsidRDefault="00C603CD" w:rsidP="00DD64A6">
      <w:pPr>
        <w:pStyle w:val="ECHRPara"/>
        <w:rPr>
          <w:lang w:val="fr-FR"/>
        </w:rPr>
      </w:pPr>
      <w:r w:rsidRPr="00DD64A6">
        <w:rPr>
          <w:lang w:val="fr-FR"/>
        </w:rPr>
        <w:lastRenderedPageBreak/>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48</w:t>
      </w:r>
      <w:r w:rsidRPr="00DD64A6">
        <w:rPr>
          <w:lang w:val="fr-FR"/>
        </w:rPr>
        <w:fldChar w:fldCharType="end"/>
      </w:r>
      <w:r w:rsidRPr="00DD64A6">
        <w:rPr>
          <w:lang w:val="fr-FR"/>
        </w:rPr>
        <w:t>.  </w:t>
      </w:r>
      <w:r w:rsidR="0068499B" w:rsidRPr="00DD64A6">
        <w:rPr>
          <w:lang w:val="fr-FR"/>
        </w:rPr>
        <w:t>Statuant en équité sur la base de l</w:t>
      </w:r>
      <w:r w:rsidR="00DD64A6" w:rsidRPr="00DD64A6">
        <w:rPr>
          <w:lang w:val="fr-FR"/>
        </w:rPr>
        <w:t>’</w:t>
      </w:r>
      <w:r w:rsidR="0068499B" w:rsidRPr="00DD64A6">
        <w:rPr>
          <w:lang w:val="fr-FR"/>
        </w:rPr>
        <w:t xml:space="preserve">ensemble des informations </w:t>
      </w:r>
      <w:r w:rsidR="00C71708" w:rsidRPr="00DD64A6">
        <w:rPr>
          <w:lang w:val="fr-FR"/>
        </w:rPr>
        <w:t>dont elle dispose</w:t>
      </w:r>
      <w:r w:rsidR="0068499B" w:rsidRPr="00DD64A6">
        <w:rPr>
          <w:lang w:val="fr-FR"/>
        </w:rPr>
        <w:t xml:space="preserve">, la Cour </w:t>
      </w:r>
      <w:r w:rsidR="007D20FE" w:rsidRPr="00DD64A6">
        <w:rPr>
          <w:lang w:val="fr-FR"/>
        </w:rPr>
        <w:t>estime raisonnable d</w:t>
      </w:r>
      <w:r w:rsidR="00DD64A6" w:rsidRPr="00DD64A6">
        <w:rPr>
          <w:lang w:val="fr-FR"/>
        </w:rPr>
        <w:t>’</w:t>
      </w:r>
      <w:r w:rsidR="007D20FE" w:rsidRPr="00DD64A6">
        <w:rPr>
          <w:lang w:val="fr-FR"/>
        </w:rPr>
        <w:t>accorder à la</w:t>
      </w:r>
      <w:r w:rsidR="00C71708" w:rsidRPr="00DD64A6">
        <w:rPr>
          <w:lang w:val="fr-FR"/>
        </w:rPr>
        <w:t xml:space="preserve"> société</w:t>
      </w:r>
      <w:r w:rsidR="007D20FE" w:rsidRPr="00DD64A6">
        <w:rPr>
          <w:lang w:val="fr-FR"/>
        </w:rPr>
        <w:t xml:space="preserve"> requérante une somme globale de </w:t>
      </w:r>
      <w:r w:rsidR="008C34F0" w:rsidRPr="00DD64A6">
        <w:rPr>
          <w:lang w:val="fr-FR"/>
        </w:rPr>
        <w:t>394 </w:t>
      </w:r>
      <w:r w:rsidR="00181E19" w:rsidRPr="00DD64A6">
        <w:rPr>
          <w:lang w:val="fr-FR"/>
        </w:rPr>
        <w:t xml:space="preserve">000 </w:t>
      </w:r>
      <w:r w:rsidR="007D20FE" w:rsidRPr="00DD64A6">
        <w:rPr>
          <w:lang w:val="fr-FR"/>
        </w:rPr>
        <w:t>EUR, tous préjudices confondus, plus tout montant pouvant être dû à titre d</w:t>
      </w:r>
      <w:r w:rsidR="00DD64A6" w:rsidRPr="00DD64A6">
        <w:rPr>
          <w:lang w:val="fr-FR"/>
        </w:rPr>
        <w:t>’</w:t>
      </w:r>
      <w:r w:rsidR="007D20FE" w:rsidRPr="00DD64A6">
        <w:rPr>
          <w:lang w:val="fr-FR"/>
        </w:rPr>
        <w:t>impôt sur cette somme.</w:t>
      </w:r>
    </w:p>
    <w:p w:rsidR="00C24FD6" w:rsidRPr="00DD64A6" w:rsidRDefault="00C24FD6" w:rsidP="00DD64A6">
      <w:pPr>
        <w:pStyle w:val="ECHRHeading2"/>
        <w:rPr>
          <w:lang w:val="fr-FR"/>
        </w:rPr>
      </w:pPr>
      <w:r w:rsidRPr="00DD64A6">
        <w:rPr>
          <w:lang w:val="fr-FR"/>
        </w:rPr>
        <w:t>B.</w:t>
      </w:r>
      <w:proofErr w:type="gramStart"/>
      <w:r w:rsidRPr="00DD64A6">
        <w:rPr>
          <w:lang w:val="fr-FR"/>
        </w:rPr>
        <w:t>  Frais</w:t>
      </w:r>
      <w:proofErr w:type="gramEnd"/>
      <w:r w:rsidRPr="00DD64A6">
        <w:rPr>
          <w:lang w:val="fr-FR"/>
        </w:rPr>
        <w:t xml:space="preserve"> et dépens</w:t>
      </w:r>
    </w:p>
    <w:p w:rsidR="00FD36B9" w:rsidRPr="00DD64A6" w:rsidRDefault="00FD36B9"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49</w:t>
      </w:r>
      <w:r w:rsidRPr="00DD64A6">
        <w:rPr>
          <w:lang w:val="fr-FR"/>
        </w:rPr>
        <w:fldChar w:fldCharType="end"/>
      </w:r>
      <w:r w:rsidRPr="00DD64A6">
        <w:rPr>
          <w:lang w:val="fr-FR"/>
        </w:rPr>
        <w:t xml:space="preserve">.  La </w:t>
      </w:r>
      <w:r w:rsidR="00C71708" w:rsidRPr="00DD64A6">
        <w:rPr>
          <w:lang w:val="fr-FR"/>
        </w:rPr>
        <w:t xml:space="preserve">société </w:t>
      </w:r>
      <w:r w:rsidRPr="00DD64A6">
        <w:rPr>
          <w:lang w:val="fr-FR"/>
        </w:rPr>
        <w:t xml:space="preserve">requérante demande 10 000 EUR pour les frais de procédure </w:t>
      </w:r>
      <w:r w:rsidR="00C71708" w:rsidRPr="00DD64A6">
        <w:rPr>
          <w:lang w:val="fr-FR"/>
        </w:rPr>
        <w:t>qu</w:t>
      </w:r>
      <w:r w:rsidR="00DD64A6" w:rsidRPr="00DD64A6">
        <w:rPr>
          <w:lang w:val="fr-FR"/>
        </w:rPr>
        <w:t>’</w:t>
      </w:r>
      <w:r w:rsidR="00C71708" w:rsidRPr="00DD64A6">
        <w:rPr>
          <w:lang w:val="fr-FR"/>
        </w:rPr>
        <w:t xml:space="preserve">elle dit avoir engagés </w:t>
      </w:r>
      <w:r w:rsidRPr="00DD64A6">
        <w:rPr>
          <w:lang w:val="fr-FR"/>
        </w:rPr>
        <w:t>devant la Cour.</w:t>
      </w:r>
    </w:p>
    <w:p w:rsidR="00FD36B9" w:rsidRPr="00DD64A6" w:rsidRDefault="00FD36B9"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50</w:t>
      </w:r>
      <w:r w:rsidRPr="00DD64A6">
        <w:rPr>
          <w:lang w:val="fr-FR"/>
        </w:rPr>
        <w:fldChar w:fldCharType="end"/>
      </w:r>
      <w:r w:rsidRPr="00DD64A6">
        <w:rPr>
          <w:lang w:val="fr-FR"/>
        </w:rPr>
        <w:t>.  Le Gouvernement n</w:t>
      </w:r>
      <w:r w:rsidR="00DD64A6" w:rsidRPr="00DD64A6">
        <w:rPr>
          <w:lang w:val="fr-FR"/>
        </w:rPr>
        <w:t>’</w:t>
      </w:r>
      <w:r w:rsidRPr="00DD64A6">
        <w:rPr>
          <w:lang w:val="fr-FR"/>
        </w:rPr>
        <w:t>a pas présenté d</w:t>
      </w:r>
      <w:r w:rsidR="00DD64A6" w:rsidRPr="00DD64A6">
        <w:rPr>
          <w:lang w:val="fr-FR"/>
        </w:rPr>
        <w:t>’</w:t>
      </w:r>
      <w:r w:rsidRPr="00DD64A6">
        <w:rPr>
          <w:lang w:val="fr-FR"/>
        </w:rPr>
        <w:t>observations à cet égard.</w:t>
      </w:r>
    </w:p>
    <w:p w:rsidR="00C24FD6" w:rsidRPr="00DD64A6" w:rsidRDefault="00FD36B9" w:rsidP="00DD64A6">
      <w:pPr>
        <w:pStyle w:val="ECHRPara"/>
        <w:rPr>
          <w:lang w:val="fr-FR"/>
        </w:rPr>
      </w:pPr>
      <w:r w:rsidRPr="00DD64A6">
        <w:rPr>
          <w:lang w:val="fr-FR"/>
        </w:rPr>
        <w:fldChar w:fldCharType="begin"/>
      </w:r>
      <w:r w:rsidRPr="00DD64A6">
        <w:rPr>
          <w:lang w:val="fr-FR"/>
        </w:rPr>
        <w:instrText xml:space="preserve"> SEQ level0 \*arabic </w:instrText>
      </w:r>
      <w:r w:rsidRPr="00DD64A6">
        <w:rPr>
          <w:lang w:val="fr-FR"/>
        </w:rPr>
        <w:fldChar w:fldCharType="separate"/>
      </w:r>
      <w:r w:rsidR="00DD64A6" w:rsidRPr="00DD64A6">
        <w:rPr>
          <w:noProof/>
          <w:lang w:val="fr-FR"/>
        </w:rPr>
        <w:t>51</w:t>
      </w:r>
      <w:r w:rsidRPr="00DD64A6">
        <w:rPr>
          <w:lang w:val="fr-FR"/>
        </w:rPr>
        <w:fldChar w:fldCharType="end"/>
      </w:r>
      <w:r w:rsidRPr="00DD64A6">
        <w:rPr>
          <w:lang w:val="fr-FR"/>
        </w:rPr>
        <w:t>.  Selon la jurisprudence de la Cour, un requérant ne peut obtenir le remboursement de ses frais et dépens que dans la mesure où se trouvent établis leur réalité, leur nécessité et le caractère raisonnable de leur taux. La Cour relève que la requérante n</w:t>
      </w:r>
      <w:r w:rsidR="00DD64A6" w:rsidRPr="00DD64A6">
        <w:rPr>
          <w:lang w:val="fr-FR"/>
        </w:rPr>
        <w:t>’</w:t>
      </w:r>
      <w:r w:rsidRPr="00DD64A6">
        <w:rPr>
          <w:lang w:val="fr-FR"/>
        </w:rPr>
        <w:t>a pas fourni de justificatifs à l</w:t>
      </w:r>
      <w:r w:rsidR="00DD64A6" w:rsidRPr="00DD64A6">
        <w:rPr>
          <w:lang w:val="fr-FR"/>
        </w:rPr>
        <w:t>’</w:t>
      </w:r>
      <w:r w:rsidRPr="00DD64A6">
        <w:rPr>
          <w:lang w:val="fr-FR"/>
        </w:rPr>
        <w:t>appui de sa demande et décide de ne rien allouer à ce titre.</w:t>
      </w:r>
    </w:p>
    <w:p w:rsidR="00C24FD6" w:rsidRPr="00DD64A6" w:rsidRDefault="00C24FD6" w:rsidP="00DD64A6">
      <w:pPr>
        <w:pStyle w:val="ECHRHeading2"/>
        <w:rPr>
          <w:lang w:val="fr-FR"/>
        </w:rPr>
      </w:pPr>
      <w:r w:rsidRPr="00DD64A6">
        <w:rPr>
          <w:lang w:val="fr-FR"/>
        </w:rPr>
        <w:t>C.</w:t>
      </w:r>
      <w:proofErr w:type="gramStart"/>
      <w:r w:rsidRPr="00DD64A6">
        <w:rPr>
          <w:lang w:val="fr-FR"/>
        </w:rPr>
        <w:t>  Intérêts</w:t>
      </w:r>
      <w:proofErr w:type="gramEnd"/>
      <w:r w:rsidRPr="00DD64A6">
        <w:rPr>
          <w:lang w:val="fr-FR"/>
        </w:rPr>
        <w:t xml:space="preserve"> moratoires</w:t>
      </w:r>
    </w:p>
    <w:p w:rsidR="00C24FD6" w:rsidRPr="00DD64A6" w:rsidRDefault="00C24FD6" w:rsidP="00DD64A6">
      <w:pPr>
        <w:pStyle w:val="ECHRPara"/>
        <w:rPr>
          <w:lang w:val="fr-FR"/>
        </w:rPr>
      </w:pPr>
      <w:r w:rsidRPr="00DD64A6">
        <w:fldChar w:fldCharType="begin"/>
      </w:r>
      <w:r w:rsidRPr="00DD64A6">
        <w:rPr>
          <w:lang w:val="fr-FR"/>
        </w:rPr>
        <w:instrText xml:space="preserve"> SEQ level0 \*arabic </w:instrText>
      </w:r>
      <w:r w:rsidRPr="00DD64A6">
        <w:fldChar w:fldCharType="separate"/>
      </w:r>
      <w:r w:rsidR="00DD64A6" w:rsidRPr="00DD64A6">
        <w:rPr>
          <w:noProof/>
          <w:lang w:val="fr-FR"/>
        </w:rPr>
        <w:t>52</w:t>
      </w:r>
      <w:r w:rsidRPr="00DD64A6">
        <w:fldChar w:fldCharType="end"/>
      </w:r>
      <w:r w:rsidRPr="00DD64A6">
        <w:rPr>
          <w:lang w:val="fr-FR"/>
        </w:rPr>
        <w:t>.  La Cour juge approprié de calquer le taux des intérêts moratoires sur le taux d</w:t>
      </w:r>
      <w:r w:rsidR="00DD64A6" w:rsidRPr="00DD64A6">
        <w:rPr>
          <w:lang w:val="fr-FR"/>
        </w:rPr>
        <w:t>’</w:t>
      </w:r>
      <w:r w:rsidRPr="00DD64A6">
        <w:rPr>
          <w:lang w:val="fr-FR"/>
        </w:rPr>
        <w:t>intérêt de la facilité de prêt marginal de la Banque centrale européenne majoré de trois points de pourcentage.</w:t>
      </w:r>
    </w:p>
    <w:p w:rsidR="00E77CB3" w:rsidRPr="00DD64A6" w:rsidRDefault="00E77CB3" w:rsidP="00DD64A6">
      <w:pPr>
        <w:pStyle w:val="ECHRTitle1"/>
        <w:rPr>
          <w:lang w:val="fr-FR"/>
        </w:rPr>
      </w:pPr>
      <w:r w:rsidRPr="00DD64A6">
        <w:rPr>
          <w:lang w:val="fr-FR"/>
        </w:rPr>
        <w:t>PAR CES MOTIFS, LA COUR</w:t>
      </w:r>
      <w:r w:rsidR="0036691A" w:rsidRPr="00DD64A6">
        <w:rPr>
          <w:lang w:val="fr-FR"/>
        </w:rPr>
        <w:t>, À L</w:t>
      </w:r>
      <w:r w:rsidR="00DD64A6" w:rsidRPr="00DD64A6">
        <w:rPr>
          <w:lang w:val="fr-FR"/>
        </w:rPr>
        <w:t>’</w:t>
      </w:r>
      <w:r w:rsidR="0036691A" w:rsidRPr="00DD64A6">
        <w:rPr>
          <w:lang w:val="fr-FR"/>
        </w:rPr>
        <w:t>UNANIMITÉ,</w:t>
      </w:r>
    </w:p>
    <w:p w:rsidR="00FB2B45" w:rsidRPr="00DD64A6" w:rsidRDefault="00FB2B45" w:rsidP="00DD64A6">
      <w:pPr>
        <w:pStyle w:val="JuList"/>
        <w:rPr>
          <w:lang w:val="fr-FR"/>
        </w:rPr>
      </w:pPr>
      <w:r w:rsidRPr="00DD64A6">
        <w:rPr>
          <w:lang w:val="fr-FR"/>
        </w:rPr>
        <w:t>1.  </w:t>
      </w:r>
      <w:r w:rsidRPr="00DD64A6">
        <w:rPr>
          <w:i/>
          <w:lang w:val="fr-FR"/>
        </w:rPr>
        <w:t>Déclare</w:t>
      </w:r>
      <w:r w:rsidRPr="00DD64A6">
        <w:rPr>
          <w:lang w:val="fr-FR"/>
        </w:rPr>
        <w:t xml:space="preserve"> </w:t>
      </w:r>
      <w:r w:rsidR="0036691A" w:rsidRPr="00DD64A6">
        <w:rPr>
          <w:lang w:val="fr-FR"/>
        </w:rPr>
        <w:t>la requête recevable</w:t>
      </w:r>
      <w:r w:rsidR="00924BC0" w:rsidRPr="00DD64A6">
        <w:rPr>
          <w:lang w:val="fr-FR"/>
        </w:rPr>
        <w:t> ;</w:t>
      </w:r>
    </w:p>
    <w:p w:rsidR="00E77CB3" w:rsidRPr="00DD64A6" w:rsidRDefault="00E77CB3" w:rsidP="00DD64A6">
      <w:pPr>
        <w:pStyle w:val="JuList"/>
        <w:rPr>
          <w:lang w:val="fr-FR"/>
        </w:rPr>
      </w:pPr>
    </w:p>
    <w:p w:rsidR="00E77CB3" w:rsidRPr="00DD64A6" w:rsidRDefault="00FF1D59" w:rsidP="00DD64A6">
      <w:pPr>
        <w:pStyle w:val="JuList"/>
        <w:rPr>
          <w:lang w:val="fr-FR"/>
        </w:rPr>
      </w:pPr>
      <w:r w:rsidRPr="00DD64A6">
        <w:rPr>
          <w:lang w:val="fr-FR"/>
        </w:rPr>
        <w:t>2</w:t>
      </w:r>
      <w:r w:rsidR="00E77CB3" w:rsidRPr="00DD64A6">
        <w:rPr>
          <w:lang w:val="fr-FR"/>
        </w:rPr>
        <w:t>.  </w:t>
      </w:r>
      <w:r w:rsidR="00E77CB3" w:rsidRPr="00DD64A6">
        <w:rPr>
          <w:i/>
          <w:lang w:val="fr-FR"/>
        </w:rPr>
        <w:t>Dit</w:t>
      </w:r>
      <w:r w:rsidR="00E77CB3" w:rsidRPr="00DD64A6">
        <w:rPr>
          <w:lang w:val="fr-FR"/>
        </w:rPr>
        <w:t xml:space="preserve"> qu</w:t>
      </w:r>
      <w:r w:rsidR="00DD64A6" w:rsidRPr="00DD64A6">
        <w:rPr>
          <w:lang w:val="fr-FR"/>
        </w:rPr>
        <w:t>’</w:t>
      </w:r>
      <w:r w:rsidR="00E77CB3" w:rsidRPr="00DD64A6">
        <w:rPr>
          <w:lang w:val="fr-FR"/>
        </w:rPr>
        <w:t>il y a eu violation de l</w:t>
      </w:r>
      <w:r w:rsidR="00DD64A6" w:rsidRPr="00DD64A6">
        <w:rPr>
          <w:lang w:val="fr-FR"/>
        </w:rPr>
        <w:t>’</w:t>
      </w:r>
      <w:r w:rsidR="00E77CB3" w:rsidRPr="00DD64A6">
        <w:rPr>
          <w:lang w:val="fr-FR"/>
        </w:rPr>
        <w:t xml:space="preserve">article </w:t>
      </w:r>
      <w:r w:rsidR="008B14DC" w:rsidRPr="00DD64A6">
        <w:rPr>
          <w:lang w:val="fr-FR"/>
        </w:rPr>
        <w:t xml:space="preserve">1 du </w:t>
      </w:r>
      <w:r w:rsidR="00A0761E" w:rsidRPr="00DD64A6">
        <w:rPr>
          <w:lang w:val="fr-FR"/>
        </w:rPr>
        <w:t>P</w:t>
      </w:r>
      <w:r w:rsidR="008B14DC" w:rsidRPr="00DD64A6">
        <w:rPr>
          <w:lang w:val="fr-FR"/>
        </w:rPr>
        <w:t>rotocole n</w:t>
      </w:r>
      <w:r w:rsidR="00E15F9A" w:rsidRPr="00DD64A6">
        <w:rPr>
          <w:vertAlign w:val="superscript"/>
          <w:lang w:val="fr-FR"/>
        </w:rPr>
        <w:t>o</w:t>
      </w:r>
      <w:r w:rsidR="008B14DC" w:rsidRPr="00DD64A6">
        <w:rPr>
          <w:lang w:val="fr-FR"/>
        </w:rPr>
        <w:t xml:space="preserve"> 1</w:t>
      </w:r>
      <w:r w:rsidR="00924BC0" w:rsidRPr="00DD64A6">
        <w:rPr>
          <w:lang w:val="fr-FR"/>
        </w:rPr>
        <w:t xml:space="preserve"> de la Convention</w:t>
      </w:r>
      <w:r w:rsidR="00E77CB3" w:rsidRPr="00DD64A6">
        <w:rPr>
          <w:lang w:val="fr-FR"/>
        </w:rPr>
        <w:t> ;</w:t>
      </w:r>
    </w:p>
    <w:p w:rsidR="00E77CB3" w:rsidRPr="00DD64A6" w:rsidRDefault="00E77CB3" w:rsidP="00DD64A6">
      <w:pPr>
        <w:pStyle w:val="JuList"/>
        <w:ind w:left="0" w:firstLine="0"/>
        <w:rPr>
          <w:lang w:val="fr-FR"/>
        </w:rPr>
      </w:pPr>
    </w:p>
    <w:p w:rsidR="00624A57" w:rsidRPr="00DD64A6" w:rsidRDefault="00FF1D59" w:rsidP="00DD64A6">
      <w:pPr>
        <w:pStyle w:val="JuList"/>
        <w:rPr>
          <w:lang w:val="fr-FR"/>
        </w:rPr>
      </w:pPr>
      <w:r w:rsidRPr="00DD64A6">
        <w:rPr>
          <w:lang w:val="fr-FR"/>
        </w:rPr>
        <w:t>3</w:t>
      </w:r>
      <w:r w:rsidR="00E77CB3" w:rsidRPr="00DD64A6">
        <w:rPr>
          <w:lang w:val="fr-FR"/>
        </w:rPr>
        <w:t>.  </w:t>
      </w:r>
      <w:r w:rsidR="00E77CB3" w:rsidRPr="00DD64A6">
        <w:rPr>
          <w:i/>
          <w:lang w:val="fr-FR"/>
        </w:rPr>
        <w:t>Dit</w:t>
      </w:r>
    </w:p>
    <w:p w:rsidR="00E77CB3" w:rsidRPr="00DD64A6" w:rsidRDefault="00340ED7" w:rsidP="00DD64A6">
      <w:pPr>
        <w:pStyle w:val="JuLista"/>
        <w:rPr>
          <w:lang w:val="fr-FR" w:eastAsia="en-GB"/>
        </w:rPr>
      </w:pPr>
      <w:r w:rsidRPr="00DD64A6">
        <w:rPr>
          <w:lang w:val="fr-FR"/>
        </w:rPr>
        <w:t>a)  </w:t>
      </w:r>
      <w:r w:rsidR="00E77CB3" w:rsidRPr="00DD64A6">
        <w:rPr>
          <w:lang w:val="fr-FR"/>
        </w:rPr>
        <w:t>que l</w:t>
      </w:r>
      <w:r w:rsidR="00DD64A6" w:rsidRPr="00DD64A6">
        <w:rPr>
          <w:lang w:val="fr-FR"/>
        </w:rPr>
        <w:t>’</w:t>
      </w:r>
      <w:r w:rsidR="00E77CB3" w:rsidRPr="00DD64A6">
        <w:rPr>
          <w:lang w:val="fr-FR"/>
        </w:rPr>
        <w:t xml:space="preserve">État défendeur doit verser </w:t>
      </w:r>
      <w:r w:rsidR="0036691A" w:rsidRPr="00DD64A6">
        <w:rPr>
          <w:lang w:val="fr-FR"/>
        </w:rPr>
        <w:t>à la requérante</w:t>
      </w:r>
      <w:r w:rsidR="00E77CB3" w:rsidRPr="00DD64A6">
        <w:rPr>
          <w:lang w:val="fr-FR"/>
        </w:rPr>
        <w:t>, dans les trois mois</w:t>
      </w:r>
      <w:r w:rsidR="008B14DF" w:rsidRPr="00DD64A6">
        <w:rPr>
          <w:lang w:val="fr-FR"/>
        </w:rPr>
        <w:t>,</w:t>
      </w:r>
      <w:r w:rsidR="007652A2" w:rsidRPr="00DD64A6">
        <w:rPr>
          <w:lang w:val="fr-FR"/>
        </w:rPr>
        <w:t xml:space="preserve"> </w:t>
      </w:r>
      <w:r w:rsidR="00924BC0" w:rsidRPr="00DD64A6">
        <w:rPr>
          <w:lang w:val="fr-FR"/>
        </w:rPr>
        <w:t>394 </w:t>
      </w:r>
      <w:r w:rsidR="00E769C8" w:rsidRPr="00DD64A6">
        <w:rPr>
          <w:lang w:val="fr-FR"/>
        </w:rPr>
        <w:t>000 EUR (</w:t>
      </w:r>
      <w:r w:rsidR="00924BC0" w:rsidRPr="00DD64A6">
        <w:rPr>
          <w:lang w:val="fr-FR"/>
        </w:rPr>
        <w:t xml:space="preserve">trois </w:t>
      </w:r>
      <w:r w:rsidR="00760C22" w:rsidRPr="00DD64A6">
        <w:rPr>
          <w:lang w:val="fr-FR"/>
        </w:rPr>
        <w:t xml:space="preserve">cent </w:t>
      </w:r>
      <w:r w:rsidR="00924BC0" w:rsidRPr="00DD64A6">
        <w:rPr>
          <w:lang w:val="fr-FR"/>
        </w:rPr>
        <w:t>quatre-</w:t>
      </w:r>
      <w:r w:rsidR="00760C22" w:rsidRPr="00DD64A6">
        <w:rPr>
          <w:lang w:val="fr-FR"/>
        </w:rPr>
        <w:t>vingt</w:t>
      </w:r>
      <w:r w:rsidR="00924BC0" w:rsidRPr="00DD64A6">
        <w:rPr>
          <w:lang w:val="fr-FR"/>
        </w:rPr>
        <w:t>-quatorze</w:t>
      </w:r>
      <w:r w:rsidR="00760C22" w:rsidRPr="00DD64A6">
        <w:rPr>
          <w:lang w:val="fr-FR"/>
        </w:rPr>
        <w:t xml:space="preserve"> mille</w:t>
      </w:r>
      <w:r w:rsidR="00E769C8" w:rsidRPr="00DD64A6">
        <w:rPr>
          <w:lang w:val="fr-FR" w:eastAsia="en-GB"/>
        </w:rPr>
        <w:t xml:space="preserve"> euros)</w:t>
      </w:r>
      <w:r w:rsidR="00E77CB3" w:rsidRPr="00DD64A6">
        <w:rPr>
          <w:lang w:val="fr-FR" w:eastAsia="en-GB"/>
        </w:rPr>
        <w:t>, plus tout montant pouvant être dû à titre d</w:t>
      </w:r>
      <w:r w:rsidR="00DD64A6" w:rsidRPr="00DD64A6">
        <w:rPr>
          <w:lang w:val="fr-FR" w:eastAsia="en-GB"/>
        </w:rPr>
        <w:t>’</w:t>
      </w:r>
      <w:r w:rsidR="00E77CB3" w:rsidRPr="00DD64A6">
        <w:rPr>
          <w:lang w:val="fr-FR" w:eastAsia="en-GB"/>
        </w:rPr>
        <w:t>impôt, pour dommage matériel</w:t>
      </w:r>
      <w:r w:rsidR="00AF4522" w:rsidRPr="00DD64A6">
        <w:rPr>
          <w:lang w:val="fr-FR" w:eastAsia="en-GB"/>
        </w:rPr>
        <w:t xml:space="preserve"> et moral</w:t>
      </w:r>
      <w:r w:rsidR="00E77CB3" w:rsidRPr="00DD64A6">
        <w:rPr>
          <w:lang w:val="fr-FR" w:eastAsia="en-GB"/>
        </w:rPr>
        <w:t> ;</w:t>
      </w:r>
    </w:p>
    <w:p w:rsidR="003175BA" w:rsidRPr="00DD64A6" w:rsidRDefault="00E77CB3" w:rsidP="00DD64A6">
      <w:pPr>
        <w:pStyle w:val="JuLista"/>
        <w:rPr>
          <w:lang w:val="fr-FR"/>
        </w:rPr>
      </w:pPr>
      <w:r w:rsidRPr="00DD64A6">
        <w:rPr>
          <w:lang w:val="fr-FR"/>
        </w:rPr>
        <w:t>b)  qu</w:t>
      </w:r>
      <w:r w:rsidR="00DD64A6" w:rsidRPr="00DD64A6">
        <w:rPr>
          <w:lang w:val="fr-FR"/>
        </w:rPr>
        <w:t>’</w:t>
      </w:r>
      <w:r w:rsidRPr="00DD64A6">
        <w:rPr>
          <w:lang w:val="fr-FR"/>
        </w:rPr>
        <w:t>à compter de l</w:t>
      </w:r>
      <w:r w:rsidR="00DD64A6" w:rsidRPr="00DD64A6">
        <w:rPr>
          <w:lang w:val="fr-FR"/>
        </w:rPr>
        <w:t>’</w:t>
      </w:r>
      <w:r w:rsidRPr="00DD64A6">
        <w:rPr>
          <w:lang w:val="fr-FR"/>
        </w:rPr>
        <w:t>expiration dudit délai et jusqu</w:t>
      </w:r>
      <w:r w:rsidR="00DD64A6" w:rsidRPr="00DD64A6">
        <w:rPr>
          <w:lang w:val="fr-FR"/>
        </w:rPr>
        <w:t>’</w:t>
      </w:r>
      <w:r w:rsidRPr="00DD64A6">
        <w:rPr>
          <w:lang w:val="fr-FR"/>
        </w:rPr>
        <w:t>au versement, ces montants seront à majorer d</w:t>
      </w:r>
      <w:r w:rsidR="00DD64A6" w:rsidRPr="00DD64A6">
        <w:rPr>
          <w:lang w:val="fr-FR"/>
        </w:rPr>
        <w:t>’</w:t>
      </w:r>
      <w:r w:rsidRPr="00DD64A6">
        <w:rPr>
          <w:lang w:val="fr-FR"/>
        </w:rPr>
        <w:t xml:space="preserve">un intérêt simple à un taux égal à celui de la facilité de prêt marginal de la Banque centrale européenne applicable pendant cette période, augmenté de trois points de </w:t>
      </w:r>
      <w:r w:rsidR="00340ED7" w:rsidRPr="00DD64A6">
        <w:rPr>
          <w:lang w:val="fr-FR"/>
        </w:rPr>
        <w:t>pourcentage ;</w:t>
      </w:r>
    </w:p>
    <w:p w:rsidR="00E77CB3" w:rsidRPr="00DD64A6" w:rsidRDefault="00E77CB3" w:rsidP="00DD64A6">
      <w:pPr>
        <w:pStyle w:val="JuLista"/>
        <w:rPr>
          <w:lang w:val="fr-FR"/>
        </w:rPr>
      </w:pPr>
    </w:p>
    <w:p w:rsidR="00E77CB3" w:rsidRPr="00DD64A6" w:rsidRDefault="008B14DC" w:rsidP="00DD64A6">
      <w:pPr>
        <w:pStyle w:val="JuList"/>
        <w:keepNext/>
        <w:keepLines/>
        <w:rPr>
          <w:lang w:val="fr-FR"/>
        </w:rPr>
      </w:pPr>
      <w:r w:rsidRPr="00DD64A6">
        <w:rPr>
          <w:lang w:val="fr-FR"/>
        </w:rPr>
        <w:lastRenderedPageBreak/>
        <w:t>4</w:t>
      </w:r>
      <w:r w:rsidR="00E77CB3" w:rsidRPr="00DD64A6">
        <w:rPr>
          <w:lang w:val="fr-FR"/>
        </w:rPr>
        <w:t>.  </w:t>
      </w:r>
      <w:r w:rsidR="00E77CB3" w:rsidRPr="00DD64A6">
        <w:rPr>
          <w:i/>
          <w:lang w:val="fr-FR"/>
        </w:rPr>
        <w:t>Rejette</w:t>
      </w:r>
      <w:r w:rsidR="00E77CB3" w:rsidRPr="00DD64A6">
        <w:rPr>
          <w:lang w:val="fr-FR"/>
        </w:rPr>
        <w:t xml:space="preserve"> la demande de satisfaction équitable pour le surplus.</w:t>
      </w:r>
    </w:p>
    <w:p w:rsidR="00E77CB3" w:rsidRPr="00DD64A6" w:rsidRDefault="00E77CB3" w:rsidP="00DD64A6">
      <w:pPr>
        <w:pStyle w:val="JuParaLast"/>
        <w:rPr>
          <w:lang w:val="fr-FR"/>
        </w:rPr>
      </w:pPr>
      <w:r w:rsidRPr="00DD64A6">
        <w:rPr>
          <w:lang w:val="fr-FR"/>
        </w:rPr>
        <w:t>Fait en français, puis communiqué par écrit le</w:t>
      </w:r>
      <w:r w:rsidR="00B541A0" w:rsidRPr="00DD64A6">
        <w:rPr>
          <w:lang w:val="fr-FR"/>
        </w:rPr>
        <w:t xml:space="preserve"> 5 juillet 2018</w:t>
      </w:r>
      <w:r w:rsidRPr="00DD64A6">
        <w:rPr>
          <w:lang w:val="fr-FR"/>
        </w:rPr>
        <w:t>, en application de l</w:t>
      </w:r>
      <w:r w:rsidR="00DD64A6" w:rsidRPr="00DD64A6">
        <w:rPr>
          <w:lang w:val="fr-FR"/>
        </w:rPr>
        <w:t>’</w:t>
      </w:r>
      <w:r w:rsidRPr="00DD64A6">
        <w:rPr>
          <w:lang w:val="fr-FR"/>
        </w:rPr>
        <w:t>article 77 §§ 2 et 3 du règlement</w:t>
      </w:r>
      <w:r w:rsidR="00AC0824" w:rsidRPr="00DD64A6">
        <w:rPr>
          <w:lang w:val="fr-FR"/>
        </w:rPr>
        <w:t xml:space="preserve"> de la Cour</w:t>
      </w:r>
      <w:r w:rsidRPr="00DD64A6">
        <w:rPr>
          <w:lang w:val="fr-FR"/>
        </w:rPr>
        <w:t>.</w:t>
      </w:r>
    </w:p>
    <w:p w:rsidR="004D15F3" w:rsidRPr="00DD64A6" w:rsidRDefault="00D35FD6" w:rsidP="00DD64A6">
      <w:pPr>
        <w:pStyle w:val="JuSigned"/>
        <w:rPr>
          <w:lang w:val="fr-FR"/>
        </w:rPr>
      </w:pPr>
      <w:r w:rsidRPr="00DD64A6">
        <w:rPr>
          <w:lang w:val="fr-FR"/>
        </w:rPr>
        <w:tab/>
      </w:r>
      <w:r w:rsidR="00AF4522" w:rsidRPr="00DD64A6">
        <w:rPr>
          <w:lang w:val="fr-FR"/>
        </w:rPr>
        <w:t xml:space="preserve">Renata </w:t>
      </w:r>
      <w:proofErr w:type="spellStart"/>
      <w:r w:rsidR="00AF4522" w:rsidRPr="00DD64A6">
        <w:rPr>
          <w:lang w:val="fr-FR"/>
        </w:rPr>
        <w:t>Degener</w:t>
      </w:r>
      <w:proofErr w:type="spellEnd"/>
      <w:r w:rsidR="00AF4522" w:rsidRPr="00DD64A6">
        <w:rPr>
          <w:lang w:val="fr-FR"/>
        </w:rPr>
        <w:tab/>
      </w:r>
      <w:r w:rsidR="00214338" w:rsidRPr="00DD64A6">
        <w:rPr>
          <w:lang w:val="fr-FR"/>
        </w:rPr>
        <w:t xml:space="preserve">Kristina </w:t>
      </w:r>
      <w:proofErr w:type="spellStart"/>
      <w:r w:rsidR="00214338" w:rsidRPr="00DD64A6">
        <w:rPr>
          <w:lang w:val="fr-FR"/>
        </w:rPr>
        <w:t>Pardalos</w:t>
      </w:r>
      <w:proofErr w:type="spellEnd"/>
      <w:r w:rsidR="00AF4522" w:rsidRPr="00DD64A6">
        <w:rPr>
          <w:lang w:val="fr-FR"/>
        </w:rPr>
        <w:br/>
      </w:r>
      <w:r w:rsidRPr="00DD64A6">
        <w:rPr>
          <w:lang w:val="fr-FR"/>
        </w:rPr>
        <w:tab/>
      </w:r>
      <w:r w:rsidR="00AF4522" w:rsidRPr="00DD64A6">
        <w:rPr>
          <w:lang w:val="fr-FR"/>
        </w:rPr>
        <w:t>Greffière adjointe</w:t>
      </w:r>
      <w:r w:rsidR="00AF4522" w:rsidRPr="00DD64A6">
        <w:rPr>
          <w:lang w:val="fr-FR"/>
        </w:rPr>
        <w:tab/>
      </w:r>
      <w:r w:rsidR="00AF4522" w:rsidRPr="00DD64A6">
        <w:rPr>
          <w:szCs w:val="24"/>
          <w:lang w:val="fr-FR"/>
        </w:rPr>
        <w:t>Président</w:t>
      </w:r>
      <w:r w:rsidR="00214338" w:rsidRPr="00DD64A6">
        <w:rPr>
          <w:szCs w:val="24"/>
          <w:lang w:val="fr-FR"/>
        </w:rPr>
        <w:t>e</w:t>
      </w:r>
    </w:p>
    <w:sectPr w:rsidR="004D15F3" w:rsidRPr="00DD64A6" w:rsidSect="00A543D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DC2" w:rsidRPr="00DE0CDA" w:rsidRDefault="00F12DC2" w:rsidP="00E77CB3">
      <w:pPr>
        <w:rPr>
          <w:lang w:val="fr-FR"/>
        </w:rPr>
      </w:pPr>
      <w:r w:rsidRPr="00DE0CDA">
        <w:rPr>
          <w:lang w:val="fr-FR"/>
        </w:rPr>
        <w:separator/>
      </w:r>
    </w:p>
  </w:endnote>
  <w:endnote w:type="continuationSeparator" w:id="0">
    <w:p w:rsidR="00F12DC2" w:rsidRPr="00DE0CDA" w:rsidRDefault="00F12DC2" w:rsidP="00E77CB3">
      <w:pPr>
        <w:rPr>
          <w:lang w:val="fr-FR"/>
        </w:rPr>
      </w:pPr>
      <w:r w:rsidRPr="00DE0C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D5" w:rsidRPr="00150BFA" w:rsidRDefault="00A543D5" w:rsidP="0020718E">
    <w:pPr>
      <w:jc w:val="center"/>
    </w:pPr>
    <w:r>
      <w:rPr>
        <w:noProof/>
        <w:lang w:val="it-IT" w:eastAsia="it-IT"/>
      </w:rPr>
      <w:drawing>
        <wp:inline distT="0" distB="0" distL="0" distR="0" wp14:anchorId="6DB1937E" wp14:editId="5074433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543D5" w:rsidRDefault="00A543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DC2" w:rsidRPr="00DE0CDA" w:rsidRDefault="00F12DC2" w:rsidP="00E77CB3">
      <w:pPr>
        <w:rPr>
          <w:lang w:val="fr-FR"/>
        </w:rPr>
      </w:pPr>
      <w:r w:rsidRPr="00DE0CDA">
        <w:rPr>
          <w:lang w:val="fr-FR"/>
        </w:rPr>
        <w:separator/>
      </w:r>
    </w:p>
  </w:footnote>
  <w:footnote w:type="continuationSeparator" w:id="0">
    <w:p w:rsidR="00F12DC2" w:rsidRPr="00DE0CDA" w:rsidRDefault="00F12DC2" w:rsidP="00E77CB3">
      <w:pPr>
        <w:rPr>
          <w:lang w:val="fr-FR"/>
        </w:rPr>
      </w:pPr>
      <w:r w:rsidRPr="00DE0CDA">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966" w:rsidRPr="00A543D5" w:rsidRDefault="00F51966" w:rsidP="00A543D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D5" w:rsidRPr="00A45145" w:rsidRDefault="00A543D5" w:rsidP="00A45145">
    <w:pPr>
      <w:jc w:val="center"/>
    </w:pPr>
    <w:r>
      <w:rPr>
        <w:noProof/>
        <w:lang w:val="it-IT" w:eastAsia="it-IT"/>
      </w:rPr>
      <w:drawing>
        <wp:inline distT="0" distB="0" distL="0" distR="0" wp14:anchorId="3D0DCF2D" wp14:editId="55D1D3A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624A57" w:rsidRDefault="00624A5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D5" w:rsidRPr="00CF11F2" w:rsidRDefault="00A543D5" w:rsidP="00C611D8">
    <w:pPr>
      <w:pStyle w:val="ECHRHeader"/>
      <w:rPr>
        <w:lang w:val="it-IT"/>
      </w:rPr>
    </w:pPr>
    <w:r>
      <w:rPr>
        <w:rStyle w:val="Numeropagina"/>
        <w:lang w:val="fr-FR"/>
      </w:rPr>
      <w:fldChar w:fldCharType="begin"/>
    </w:r>
    <w:r w:rsidRPr="00CF11F2">
      <w:rPr>
        <w:rStyle w:val="Numeropagina"/>
        <w:lang w:val="it-IT"/>
      </w:rPr>
      <w:instrText xml:space="preserve"> PAGE </w:instrText>
    </w:r>
    <w:r>
      <w:rPr>
        <w:rStyle w:val="Numeropagina"/>
        <w:lang w:val="fr-FR"/>
      </w:rPr>
      <w:fldChar w:fldCharType="separate"/>
    </w:r>
    <w:r w:rsidR="0020111D">
      <w:rPr>
        <w:rStyle w:val="Numeropagina"/>
        <w:noProof/>
        <w:lang w:val="it-IT"/>
      </w:rPr>
      <w:t>8</w:t>
    </w:r>
    <w:r>
      <w:rPr>
        <w:rStyle w:val="Numeropagina"/>
        <w:lang w:val="fr-FR"/>
      </w:rPr>
      <w:fldChar w:fldCharType="end"/>
    </w:r>
    <w:r w:rsidRPr="00CF11F2">
      <w:rPr>
        <w:rStyle w:val="Numeropagina"/>
        <w:lang w:val="it-IT"/>
      </w:rPr>
      <w:tab/>
    </w:r>
    <w:r>
      <w:rPr>
        <w:noProof/>
        <w:lang w:val="it-IT"/>
      </w:rPr>
      <w:t>ARRÊT</w:t>
    </w:r>
    <w:r w:rsidRPr="00CF11F2">
      <w:rPr>
        <w:lang w:val="it-IT"/>
      </w:rPr>
      <w:t xml:space="preserve"> CENTRO DEMARZIO S.R.L.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D5" w:rsidRPr="00CF11F2" w:rsidRDefault="00A543D5" w:rsidP="00C63990">
    <w:pPr>
      <w:pStyle w:val="ECHRHeader"/>
      <w:rPr>
        <w:lang w:val="it-IT"/>
      </w:rPr>
    </w:pPr>
    <w:r w:rsidRPr="00DE0CDA">
      <w:rPr>
        <w:lang w:val="fr-FR"/>
      </w:rPr>
      <w:tab/>
    </w:r>
    <w:r>
      <w:rPr>
        <w:noProof/>
        <w:lang w:val="it-IT"/>
      </w:rPr>
      <w:t>ARRÊT</w:t>
    </w:r>
    <w:r w:rsidRPr="00CF11F2">
      <w:rPr>
        <w:lang w:val="it-IT"/>
      </w:rPr>
      <w:t xml:space="preserve"> CENTRO DEMARZIO S.R.L. c. ITALIE</w:t>
    </w:r>
    <w:r w:rsidRPr="00CF11F2">
      <w:rPr>
        <w:lang w:val="it-IT"/>
      </w:rPr>
      <w:tab/>
    </w:r>
    <w:r>
      <w:rPr>
        <w:rStyle w:val="Numeropagina"/>
        <w:lang w:val="fr-FR"/>
      </w:rPr>
      <w:fldChar w:fldCharType="begin"/>
    </w:r>
    <w:r w:rsidRPr="00CF11F2">
      <w:rPr>
        <w:rStyle w:val="Numeropagina"/>
        <w:lang w:val="it-IT"/>
      </w:rPr>
      <w:instrText xml:space="preserve"> PAGE </w:instrText>
    </w:r>
    <w:r>
      <w:rPr>
        <w:rStyle w:val="Numeropagina"/>
        <w:lang w:val="fr-FR"/>
      </w:rPr>
      <w:fldChar w:fldCharType="separate"/>
    </w:r>
    <w:r w:rsidR="0020111D">
      <w:rPr>
        <w:rStyle w:val="Numeropagina"/>
        <w:noProof/>
        <w:lang w:val="it-IT"/>
      </w:rPr>
      <w:t>9</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36691A"/>
    <w:rsid w:val="000002E9"/>
    <w:rsid w:val="000041F8"/>
    <w:rsid w:val="000042A8"/>
    <w:rsid w:val="00004308"/>
    <w:rsid w:val="00005BF0"/>
    <w:rsid w:val="00007154"/>
    <w:rsid w:val="000103AE"/>
    <w:rsid w:val="00011D69"/>
    <w:rsid w:val="00012AD3"/>
    <w:rsid w:val="00015C2D"/>
    <w:rsid w:val="00015F00"/>
    <w:rsid w:val="000175CF"/>
    <w:rsid w:val="00017FE7"/>
    <w:rsid w:val="00022C1D"/>
    <w:rsid w:val="0002525C"/>
    <w:rsid w:val="00025746"/>
    <w:rsid w:val="00025879"/>
    <w:rsid w:val="00031347"/>
    <w:rsid w:val="00034987"/>
    <w:rsid w:val="00035334"/>
    <w:rsid w:val="00042848"/>
    <w:rsid w:val="00043A74"/>
    <w:rsid w:val="00043C63"/>
    <w:rsid w:val="0004430B"/>
    <w:rsid w:val="00050146"/>
    <w:rsid w:val="000602DF"/>
    <w:rsid w:val="00060790"/>
    <w:rsid w:val="000611B3"/>
    <w:rsid w:val="00061B05"/>
    <w:rsid w:val="00061E59"/>
    <w:rsid w:val="000632D5"/>
    <w:rsid w:val="000644EE"/>
    <w:rsid w:val="0006654B"/>
    <w:rsid w:val="00066A71"/>
    <w:rsid w:val="00082BAA"/>
    <w:rsid w:val="00087BB3"/>
    <w:rsid w:val="00090F43"/>
    <w:rsid w:val="000925AD"/>
    <w:rsid w:val="000A24EB"/>
    <w:rsid w:val="000B6923"/>
    <w:rsid w:val="000B75E6"/>
    <w:rsid w:val="000C055F"/>
    <w:rsid w:val="000C5F3C"/>
    <w:rsid w:val="000C6DCC"/>
    <w:rsid w:val="000C7A18"/>
    <w:rsid w:val="000D35F3"/>
    <w:rsid w:val="000D47AA"/>
    <w:rsid w:val="000D56E5"/>
    <w:rsid w:val="000D721F"/>
    <w:rsid w:val="000E0270"/>
    <w:rsid w:val="000E069B"/>
    <w:rsid w:val="000E0E82"/>
    <w:rsid w:val="000E1DC5"/>
    <w:rsid w:val="000E223F"/>
    <w:rsid w:val="000E5A6B"/>
    <w:rsid w:val="000E7D45"/>
    <w:rsid w:val="000F00EF"/>
    <w:rsid w:val="000F63DB"/>
    <w:rsid w:val="000F7851"/>
    <w:rsid w:val="00104E23"/>
    <w:rsid w:val="0010662A"/>
    <w:rsid w:val="00107625"/>
    <w:rsid w:val="00111B0C"/>
    <w:rsid w:val="001133BC"/>
    <w:rsid w:val="00116DC2"/>
    <w:rsid w:val="001171CF"/>
    <w:rsid w:val="00120D6C"/>
    <w:rsid w:val="001257EC"/>
    <w:rsid w:val="00132695"/>
    <w:rsid w:val="00132800"/>
    <w:rsid w:val="00133D33"/>
    <w:rsid w:val="00134D64"/>
    <w:rsid w:val="00135A30"/>
    <w:rsid w:val="00135A5B"/>
    <w:rsid w:val="00135A8E"/>
    <w:rsid w:val="0013612C"/>
    <w:rsid w:val="00137FF6"/>
    <w:rsid w:val="00140F16"/>
    <w:rsid w:val="00141650"/>
    <w:rsid w:val="00141CFC"/>
    <w:rsid w:val="001516A3"/>
    <w:rsid w:val="00155D72"/>
    <w:rsid w:val="0016174F"/>
    <w:rsid w:val="001619D7"/>
    <w:rsid w:val="00162A12"/>
    <w:rsid w:val="00163CB4"/>
    <w:rsid w:val="00166530"/>
    <w:rsid w:val="00170305"/>
    <w:rsid w:val="001722FB"/>
    <w:rsid w:val="00181097"/>
    <w:rsid w:val="00181E19"/>
    <w:rsid w:val="001832BD"/>
    <w:rsid w:val="001837C0"/>
    <w:rsid w:val="001943B5"/>
    <w:rsid w:val="00195134"/>
    <w:rsid w:val="0019607A"/>
    <w:rsid w:val="001A145B"/>
    <w:rsid w:val="001A35B5"/>
    <w:rsid w:val="001A3EF2"/>
    <w:rsid w:val="001A674C"/>
    <w:rsid w:val="001B0839"/>
    <w:rsid w:val="001B3B24"/>
    <w:rsid w:val="001B7851"/>
    <w:rsid w:val="001C0F98"/>
    <w:rsid w:val="001C2A42"/>
    <w:rsid w:val="001C3531"/>
    <w:rsid w:val="001C41FA"/>
    <w:rsid w:val="001C4C8F"/>
    <w:rsid w:val="001D62B0"/>
    <w:rsid w:val="001D63ED"/>
    <w:rsid w:val="001D7348"/>
    <w:rsid w:val="001E035B"/>
    <w:rsid w:val="001E0961"/>
    <w:rsid w:val="001E0B6D"/>
    <w:rsid w:val="001E3EAE"/>
    <w:rsid w:val="001E6A19"/>
    <w:rsid w:val="001E6F32"/>
    <w:rsid w:val="001F1933"/>
    <w:rsid w:val="001F2145"/>
    <w:rsid w:val="001F4E43"/>
    <w:rsid w:val="001F6262"/>
    <w:rsid w:val="001F67B0"/>
    <w:rsid w:val="001F6F11"/>
    <w:rsid w:val="001F7463"/>
    <w:rsid w:val="001F7B3D"/>
    <w:rsid w:val="0020111D"/>
    <w:rsid w:val="00204B18"/>
    <w:rsid w:val="00205F9F"/>
    <w:rsid w:val="00207954"/>
    <w:rsid w:val="00210338"/>
    <w:rsid w:val="00210E60"/>
    <w:rsid w:val="002115FC"/>
    <w:rsid w:val="00213735"/>
    <w:rsid w:val="00213A89"/>
    <w:rsid w:val="0021423C"/>
    <w:rsid w:val="00214338"/>
    <w:rsid w:val="00230D00"/>
    <w:rsid w:val="00231DF7"/>
    <w:rsid w:val="00231FD1"/>
    <w:rsid w:val="002339E0"/>
    <w:rsid w:val="00233CF8"/>
    <w:rsid w:val="0023575D"/>
    <w:rsid w:val="002366ED"/>
    <w:rsid w:val="00237148"/>
    <w:rsid w:val="002407F5"/>
    <w:rsid w:val="0024222D"/>
    <w:rsid w:val="00243432"/>
    <w:rsid w:val="00244B0E"/>
    <w:rsid w:val="00244F6C"/>
    <w:rsid w:val="00245240"/>
    <w:rsid w:val="00246ABB"/>
    <w:rsid w:val="002532C5"/>
    <w:rsid w:val="00253B93"/>
    <w:rsid w:val="00260C03"/>
    <w:rsid w:val="0026540E"/>
    <w:rsid w:val="00275123"/>
    <w:rsid w:val="002755BF"/>
    <w:rsid w:val="00276ED0"/>
    <w:rsid w:val="00280B0B"/>
    <w:rsid w:val="00282240"/>
    <w:rsid w:val="0028330C"/>
    <w:rsid w:val="00291379"/>
    <w:rsid w:val="00293605"/>
    <w:rsid w:val="002948AD"/>
    <w:rsid w:val="0029613F"/>
    <w:rsid w:val="00296764"/>
    <w:rsid w:val="00297565"/>
    <w:rsid w:val="002A01CC"/>
    <w:rsid w:val="002A61B1"/>
    <w:rsid w:val="002A663C"/>
    <w:rsid w:val="002A7974"/>
    <w:rsid w:val="002B444B"/>
    <w:rsid w:val="002B5887"/>
    <w:rsid w:val="002C0E27"/>
    <w:rsid w:val="002C3040"/>
    <w:rsid w:val="002C41E7"/>
    <w:rsid w:val="002D022D"/>
    <w:rsid w:val="002D23B6"/>
    <w:rsid w:val="002D24BB"/>
    <w:rsid w:val="002E02CB"/>
    <w:rsid w:val="002F0B9F"/>
    <w:rsid w:val="002F2AF7"/>
    <w:rsid w:val="002F525C"/>
    <w:rsid w:val="002F5AEE"/>
    <w:rsid w:val="002F70E2"/>
    <w:rsid w:val="002F7E1C"/>
    <w:rsid w:val="003012BD"/>
    <w:rsid w:val="00301A75"/>
    <w:rsid w:val="00302F70"/>
    <w:rsid w:val="0030336F"/>
    <w:rsid w:val="0030375E"/>
    <w:rsid w:val="00312A30"/>
    <w:rsid w:val="003175BA"/>
    <w:rsid w:val="00317780"/>
    <w:rsid w:val="00320F72"/>
    <w:rsid w:val="0032463E"/>
    <w:rsid w:val="00324FAC"/>
    <w:rsid w:val="003252F0"/>
    <w:rsid w:val="00326224"/>
    <w:rsid w:val="00336B34"/>
    <w:rsid w:val="00337EE4"/>
    <w:rsid w:val="00340ED7"/>
    <w:rsid w:val="00340FFD"/>
    <w:rsid w:val="00347339"/>
    <w:rsid w:val="003506B1"/>
    <w:rsid w:val="00354832"/>
    <w:rsid w:val="00354F8C"/>
    <w:rsid w:val="00356AC7"/>
    <w:rsid w:val="00360179"/>
    <w:rsid w:val="003609FA"/>
    <w:rsid w:val="0036691A"/>
    <w:rsid w:val="003710C8"/>
    <w:rsid w:val="003748C6"/>
    <w:rsid w:val="003750BE"/>
    <w:rsid w:val="0038097E"/>
    <w:rsid w:val="00380EFA"/>
    <w:rsid w:val="00382796"/>
    <w:rsid w:val="00384D70"/>
    <w:rsid w:val="00387B9D"/>
    <w:rsid w:val="0039364F"/>
    <w:rsid w:val="00395CE4"/>
    <w:rsid w:val="00396686"/>
    <w:rsid w:val="0039778E"/>
    <w:rsid w:val="00397FC6"/>
    <w:rsid w:val="003A368F"/>
    <w:rsid w:val="003B2814"/>
    <w:rsid w:val="003B3FD4"/>
    <w:rsid w:val="003B4941"/>
    <w:rsid w:val="003C2B68"/>
    <w:rsid w:val="003C5714"/>
    <w:rsid w:val="003C6B9F"/>
    <w:rsid w:val="003C6E2A"/>
    <w:rsid w:val="003D0299"/>
    <w:rsid w:val="003E6D80"/>
    <w:rsid w:val="003F05FA"/>
    <w:rsid w:val="003F244A"/>
    <w:rsid w:val="003F2513"/>
    <w:rsid w:val="003F30B8"/>
    <w:rsid w:val="003F4C45"/>
    <w:rsid w:val="003F5F7B"/>
    <w:rsid w:val="003F6A58"/>
    <w:rsid w:val="003F7D64"/>
    <w:rsid w:val="00404A55"/>
    <w:rsid w:val="00410990"/>
    <w:rsid w:val="00414300"/>
    <w:rsid w:val="004147EA"/>
    <w:rsid w:val="00422C03"/>
    <w:rsid w:val="00424A72"/>
    <w:rsid w:val="00425C67"/>
    <w:rsid w:val="00426449"/>
    <w:rsid w:val="00427E7A"/>
    <w:rsid w:val="00434EC4"/>
    <w:rsid w:val="00436C49"/>
    <w:rsid w:val="00445366"/>
    <w:rsid w:val="00447F5B"/>
    <w:rsid w:val="0045067D"/>
    <w:rsid w:val="00450787"/>
    <w:rsid w:val="004545FA"/>
    <w:rsid w:val="00455DDE"/>
    <w:rsid w:val="004579DE"/>
    <w:rsid w:val="00461DB0"/>
    <w:rsid w:val="00463926"/>
    <w:rsid w:val="00464C9A"/>
    <w:rsid w:val="004711BF"/>
    <w:rsid w:val="00473327"/>
    <w:rsid w:val="004741F5"/>
    <w:rsid w:val="00474239"/>
    <w:rsid w:val="00474F3D"/>
    <w:rsid w:val="00474FC0"/>
    <w:rsid w:val="004763E8"/>
    <w:rsid w:val="00477E3A"/>
    <w:rsid w:val="00483E5F"/>
    <w:rsid w:val="00484DC9"/>
    <w:rsid w:val="00485FF9"/>
    <w:rsid w:val="004907F0"/>
    <w:rsid w:val="0049140B"/>
    <w:rsid w:val="004923A5"/>
    <w:rsid w:val="00496BFB"/>
    <w:rsid w:val="004A15C7"/>
    <w:rsid w:val="004B013B"/>
    <w:rsid w:val="004B112B"/>
    <w:rsid w:val="004B28B7"/>
    <w:rsid w:val="004B2DE0"/>
    <w:rsid w:val="004B6E57"/>
    <w:rsid w:val="004C01E4"/>
    <w:rsid w:val="004C086C"/>
    <w:rsid w:val="004C1F56"/>
    <w:rsid w:val="004C27BC"/>
    <w:rsid w:val="004C6807"/>
    <w:rsid w:val="004D15F3"/>
    <w:rsid w:val="004D5311"/>
    <w:rsid w:val="004D5DCC"/>
    <w:rsid w:val="004E188C"/>
    <w:rsid w:val="004F0A2B"/>
    <w:rsid w:val="004F10AF"/>
    <w:rsid w:val="004F11A4"/>
    <w:rsid w:val="004F2389"/>
    <w:rsid w:val="004F2979"/>
    <w:rsid w:val="004F304D"/>
    <w:rsid w:val="004F5DE1"/>
    <w:rsid w:val="004F61BE"/>
    <w:rsid w:val="004F66B1"/>
    <w:rsid w:val="005029CE"/>
    <w:rsid w:val="00503795"/>
    <w:rsid w:val="00511C07"/>
    <w:rsid w:val="0051407B"/>
    <w:rsid w:val="005173A6"/>
    <w:rsid w:val="00520BAA"/>
    <w:rsid w:val="00525208"/>
    <w:rsid w:val="005257A5"/>
    <w:rsid w:val="00525945"/>
    <w:rsid w:val="005264C0"/>
    <w:rsid w:val="00526A8A"/>
    <w:rsid w:val="00531DF2"/>
    <w:rsid w:val="00542411"/>
    <w:rsid w:val="00542F4F"/>
    <w:rsid w:val="005442EE"/>
    <w:rsid w:val="00547353"/>
    <w:rsid w:val="005474E7"/>
    <w:rsid w:val="005512A3"/>
    <w:rsid w:val="00553E3F"/>
    <w:rsid w:val="005578CE"/>
    <w:rsid w:val="00562614"/>
    <w:rsid w:val="00562781"/>
    <w:rsid w:val="00565A3C"/>
    <w:rsid w:val="00566E67"/>
    <w:rsid w:val="0057271C"/>
    <w:rsid w:val="00572845"/>
    <w:rsid w:val="00574C83"/>
    <w:rsid w:val="00581B3D"/>
    <w:rsid w:val="00592772"/>
    <w:rsid w:val="0059574A"/>
    <w:rsid w:val="00596468"/>
    <w:rsid w:val="005A02CB"/>
    <w:rsid w:val="005A07A3"/>
    <w:rsid w:val="005A1B9B"/>
    <w:rsid w:val="005A3971"/>
    <w:rsid w:val="005A6751"/>
    <w:rsid w:val="005B092E"/>
    <w:rsid w:val="005B0FF9"/>
    <w:rsid w:val="005B152C"/>
    <w:rsid w:val="005B1EE0"/>
    <w:rsid w:val="005B2B24"/>
    <w:rsid w:val="005B4425"/>
    <w:rsid w:val="005B44D5"/>
    <w:rsid w:val="005B4B94"/>
    <w:rsid w:val="005C3893"/>
    <w:rsid w:val="005C3EE8"/>
    <w:rsid w:val="005C5021"/>
    <w:rsid w:val="005D34F9"/>
    <w:rsid w:val="005D4190"/>
    <w:rsid w:val="005D67A3"/>
    <w:rsid w:val="005E0D3A"/>
    <w:rsid w:val="005E2988"/>
    <w:rsid w:val="005E3085"/>
    <w:rsid w:val="005E3331"/>
    <w:rsid w:val="005E3412"/>
    <w:rsid w:val="005E37C6"/>
    <w:rsid w:val="005F1436"/>
    <w:rsid w:val="005F51E1"/>
    <w:rsid w:val="00611C80"/>
    <w:rsid w:val="006145C8"/>
    <w:rsid w:val="00617E0D"/>
    <w:rsid w:val="00620692"/>
    <w:rsid w:val="006242CA"/>
    <w:rsid w:val="00624A57"/>
    <w:rsid w:val="00627507"/>
    <w:rsid w:val="0063286A"/>
    <w:rsid w:val="00633717"/>
    <w:rsid w:val="006344E1"/>
    <w:rsid w:val="00634BEC"/>
    <w:rsid w:val="00646454"/>
    <w:rsid w:val="006527F3"/>
    <w:rsid w:val="0065298D"/>
    <w:rsid w:val="006545C4"/>
    <w:rsid w:val="00655D8A"/>
    <w:rsid w:val="006615B8"/>
    <w:rsid w:val="00661971"/>
    <w:rsid w:val="00661CE8"/>
    <w:rsid w:val="006623D9"/>
    <w:rsid w:val="0066412C"/>
    <w:rsid w:val="0066550C"/>
    <w:rsid w:val="00666C17"/>
    <w:rsid w:val="00667B26"/>
    <w:rsid w:val="00667EFE"/>
    <w:rsid w:val="006716F2"/>
    <w:rsid w:val="00676D4F"/>
    <w:rsid w:val="00682BF2"/>
    <w:rsid w:val="0068499B"/>
    <w:rsid w:val="006859CE"/>
    <w:rsid w:val="006875EF"/>
    <w:rsid w:val="00691270"/>
    <w:rsid w:val="00694A2E"/>
    <w:rsid w:val="00694BA8"/>
    <w:rsid w:val="006A037C"/>
    <w:rsid w:val="006A36F4"/>
    <w:rsid w:val="006A406F"/>
    <w:rsid w:val="006A5D3A"/>
    <w:rsid w:val="006C04BE"/>
    <w:rsid w:val="006C1BCB"/>
    <w:rsid w:val="006C23D4"/>
    <w:rsid w:val="006C2EDA"/>
    <w:rsid w:val="006C3780"/>
    <w:rsid w:val="006C406C"/>
    <w:rsid w:val="006C43F7"/>
    <w:rsid w:val="006C4EFC"/>
    <w:rsid w:val="006C64BE"/>
    <w:rsid w:val="006C7BB0"/>
    <w:rsid w:val="006D0409"/>
    <w:rsid w:val="006D2A29"/>
    <w:rsid w:val="006D3237"/>
    <w:rsid w:val="006D35F9"/>
    <w:rsid w:val="006E12C1"/>
    <w:rsid w:val="006E2E37"/>
    <w:rsid w:val="006E3CF1"/>
    <w:rsid w:val="006E7E80"/>
    <w:rsid w:val="006F48CA"/>
    <w:rsid w:val="006F64DD"/>
    <w:rsid w:val="00711B9F"/>
    <w:rsid w:val="00715127"/>
    <w:rsid w:val="00715E8E"/>
    <w:rsid w:val="00716FC4"/>
    <w:rsid w:val="00722BB1"/>
    <w:rsid w:val="0072337A"/>
    <w:rsid w:val="00723580"/>
    <w:rsid w:val="00723755"/>
    <w:rsid w:val="0073136C"/>
    <w:rsid w:val="00731F0F"/>
    <w:rsid w:val="00733250"/>
    <w:rsid w:val="00741404"/>
    <w:rsid w:val="007438D8"/>
    <w:rsid w:val="007449E5"/>
    <w:rsid w:val="00747196"/>
    <w:rsid w:val="00747FF0"/>
    <w:rsid w:val="007513B3"/>
    <w:rsid w:val="007543F6"/>
    <w:rsid w:val="00757E73"/>
    <w:rsid w:val="00760C22"/>
    <w:rsid w:val="00764D4E"/>
    <w:rsid w:val="007652A2"/>
    <w:rsid w:val="00765A1F"/>
    <w:rsid w:val="007739E7"/>
    <w:rsid w:val="00775B6D"/>
    <w:rsid w:val="00776D68"/>
    <w:rsid w:val="0078216F"/>
    <w:rsid w:val="00782FCD"/>
    <w:rsid w:val="007850EE"/>
    <w:rsid w:val="00785B95"/>
    <w:rsid w:val="00790E96"/>
    <w:rsid w:val="00793366"/>
    <w:rsid w:val="007946CB"/>
    <w:rsid w:val="0079516B"/>
    <w:rsid w:val="007952DA"/>
    <w:rsid w:val="007A0725"/>
    <w:rsid w:val="007A3309"/>
    <w:rsid w:val="007A6C8A"/>
    <w:rsid w:val="007A716F"/>
    <w:rsid w:val="007B270A"/>
    <w:rsid w:val="007B46A4"/>
    <w:rsid w:val="007B4B56"/>
    <w:rsid w:val="007B5BEB"/>
    <w:rsid w:val="007B6870"/>
    <w:rsid w:val="007C0695"/>
    <w:rsid w:val="007C1C7F"/>
    <w:rsid w:val="007C419A"/>
    <w:rsid w:val="007C4CC8"/>
    <w:rsid w:val="007C5300"/>
    <w:rsid w:val="007C5426"/>
    <w:rsid w:val="007C5798"/>
    <w:rsid w:val="007D18E8"/>
    <w:rsid w:val="007D20FE"/>
    <w:rsid w:val="007D4832"/>
    <w:rsid w:val="007D6B69"/>
    <w:rsid w:val="007E21B2"/>
    <w:rsid w:val="007E2C4E"/>
    <w:rsid w:val="007E3ED4"/>
    <w:rsid w:val="007E48C2"/>
    <w:rsid w:val="007E5FBE"/>
    <w:rsid w:val="007F1905"/>
    <w:rsid w:val="007F4B36"/>
    <w:rsid w:val="007F4F51"/>
    <w:rsid w:val="00801300"/>
    <w:rsid w:val="00802C64"/>
    <w:rsid w:val="00805E52"/>
    <w:rsid w:val="008061D0"/>
    <w:rsid w:val="00807ADE"/>
    <w:rsid w:val="00810B38"/>
    <w:rsid w:val="00812B37"/>
    <w:rsid w:val="008204C7"/>
    <w:rsid w:val="00820992"/>
    <w:rsid w:val="008211D0"/>
    <w:rsid w:val="00822DAA"/>
    <w:rsid w:val="00823602"/>
    <w:rsid w:val="008255F5"/>
    <w:rsid w:val="0083014E"/>
    <w:rsid w:val="00830BAD"/>
    <w:rsid w:val="0083214A"/>
    <w:rsid w:val="008323C4"/>
    <w:rsid w:val="00833C21"/>
    <w:rsid w:val="00834220"/>
    <w:rsid w:val="0084351A"/>
    <w:rsid w:val="00844C8F"/>
    <w:rsid w:val="00845723"/>
    <w:rsid w:val="00846E28"/>
    <w:rsid w:val="008517D7"/>
    <w:rsid w:val="00851EF9"/>
    <w:rsid w:val="008577FD"/>
    <w:rsid w:val="00860B03"/>
    <w:rsid w:val="0086457E"/>
    <w:rsid w:val="0086497A"/>
    <w:rsid w:val="008713A1"/>
    <w:rsid w:val="008754AB"/>
    <w:rsid w:val="00875AB3"/>
    <w:rsid w:val="00876D07"/>
    <w:rsid w:val="0088060C"/>
    <w:rsid w:val="008851E6"/>
    <w:rsid w:val="00893576"/>
    <w:rsid w:val="00893E73"/>
    <w:rsid w:val="00894B10"/>
    <w:rsid w:val="008A4483"/>
    <w:rsid w:val="008B02DC"/>
    <w:rsid w:val="008B14DC"/>
    <w:rsid w:val="008B14DF"/>
    <w:rsid w:val="008B3047"/>
    <w:rsid w:val="008B57CE"/>
    <w:rsid w:val="008C26DE"/>
    <w:rsid w:val="008C34F0"/>
    <w:rsid w:val="008D137E"/>
    <w:rsid w:val="008D2225"/>
    <w:rsid w:val="008D309A"/>
    <w:rsid w:val="008D4752"/>
    <w:rsid w:val="008D4DD4"/>
    <w:rsid w:val="008D7298"/>
    <w:rsid w:val="008E271C"/>
    <w:rsid w:val="008E418E"/>
    <w:rsid w:val="008E4F52"/>
    <w:rsid w:val="008E5BC6"/>
    <w:rsid w:val="008E6A25"/>
    <w:rsid w:val="008F5193"/>
    <w:rsid w:val="009013A7"/>
    <w:rsid w:val="009017FB"/>
    <w:rsid w:val="009017FC"/>
    <w:rsid w:val="00903E4E"/>
    <w:rsid w:val="00903EE1"/>
    <w:rsid w:val="0090506B"/>
    <w:rsid w:val="009050C9"/>
    <w:rsid w:val="009066FC"/>
    <w:rsid w:val="009140A3"/>
    <w:rsid w:val="009144A2"/>
    <w:rsid w:val="0091510C"/>
    <w:rsid w:val="00915286"/>
    <w:rsid w:val="009171DA"/>
    <w:rsid w:val="0092394B"/>
    <w:rsid w:val="00924BC0"/>
    <w:rsid w:val="00925228"/>
    <w:rsid w:val="009259AC"/>
    <w:rsid w:val="00926AD5"/>
    <w:rsid w:val="00926F38"/>
    <w:rsid w:val="00931D17"/>
    <w:rsid w:val="00934301"/>
    <w:rsid w:val="00936C2D"/>
    <w:rsid w:val="00936CD1"/>
    <w:rsid w:val="00940110"/>
    <w:rsid w:val="009401F7"/>
    <w:rsid w:val="00941747"/>
    <w:rsid w:val="00941EFB"/>
    <w:rsid w:val="00947AFB"/>
    <w:rsid w:val="00951BA9"/>
    <w:rsid w:val="00951D7D"/>
    <w:rsid w:val="009537C1"/>
    <w:rsid w:val="00954710"/>
    <w:rsid w:val="00956014"/>
    <w:rsid w:val="009630C7"/>
    <w:rsid w:val="0096443D"/>
    <w:rsid w:val="009677B6"/>
    <w:rsid w:val="00970CA4"/>
    <w:rsid w:val="009713E8"/>
    <w:rsid w:val="00972B55"/>
    <w:rsid w:val="009743B7"/>
    <w:rsid w:val="009776A2"/>
    <w:rsid w:val="0098228B"/>
    <w:rsid w:val="009828DA"/>
    <w:rsid w:val="0098574A"/>
    <w:rsid w:val="00985BAB"/>
    <w:rsid w:val="00986F3B"/>
    <w:rsid w:val="00990DA6"/>
    <w:rsid w:val="00990FED"/>
    <w:rsid w:val="00991E9F"/>
    <w:rsid w:val="009966E3"/>
    <w:rsid w:val="009B1B5F"/>
    <w:rsid w:val="009B6673"/>
    <w:rsid w:val="009B7E0A"/>
    <w:rsid w:val="009C191B"/>
    <w:rsid w:val="009C1F1B"/>
    <w:rsid w:val="009C2BD6"/>
    <w:rsid w:val="009C5881"/>
    <w:rsid w:val="009D16B0"/>
    <w:rsid w:val="009E1F32"/>
    <w:rsid w:val="009E776C"/>
    <w:rsid w:val="009E7E01"/>
    <w:rsid w:val="009F1AA9"/>
    <w:rsid w:val="00A00144"/>
    <w:rsid w:val="00A00A52"/>
    <w:rsid w:val="00A033F4"/>
    <w:rsid w:val="00A05B87"/>
    <w:rsid w:val="00A0761E"/>
    <w:rsid w:val="00A1726E"/>
    <w:rsid w:val="00A204CF"/>
    <w:rsid w:val="00A23D49"/>
    <w:rsid w:val="00A27004"/>
    <w:rsid w:val="00A30C29"/>
    <w:rsid w:val="00A312C0"/>
    <w:rsid w:val="00A34DD6"/>
    <w:rsid w:val="00A36819"/>
    <w:rsid w:val="00A36989"/>
    <w:rsid w:val="00A43308"/>
    <w:rsid w:val="00A43628"/>
    <w:rsid w:val="00A43C1D"/>
    <w:rsid w:val="00A43DE0"/>
    <w:rsid w:val="00A52386"/>
    <w:rsid w:val="00A53349"/>
    <w:rsid w:val="00A54192"/>
    <w:rsid w:val="00A543D5"/>
    <w:rsid w:val="00A54B07"/>
    <w:rsid w:val="00A6035E"/>
    <w:rsid w:val="00A6144C"/>
    <w:rsid w:val="00A63F12"/>
    <w:rsid w:val="00A65D7D"/>
    <w:rsid w:val="00A66617"/>
    <w:rsid w:val="00A671F8"/>
    <w:rsid w:val="00A673A4"/>
    <w:rsid w:val="00A67531"/>
    <w:rsid w:val="00A724AE"/>
    <w:rsid w:val="00A73329"/>
    <w:rsid w:val="00A74BC1"/>
    <w:rsid w:val="00A81615"/>
    <w:rsid w:val="00A82359"/>
    <w:rsid w:val="00A829FD"/>
    <w:rsid w:val="00A8486D"/>
    <w:rsid w:val="00A865D2"/>
    <w:rsid w:val="00A94C20"/>
    <w:rsid w:val="00AA18F7"/>
    <w:rsid w:val="00AA227F"/>
    <w:rsid w:val="00AA3BC7"/>
    <w:rsid w:val="00AA754A"/>
    <w:rsid w:val="00AA755B"/>
    <w:rsid w:val="00AB099E"/>
    <w:rsid w:val="00AB4328"/>
    <w:rsid w:val="00AB71BE"/>
    <w:rsid w:val="00AC0824"/>
    <w:rsid w:val="00AC4EBF"/>
    <w:rsid w:val="00AC6B0E"/>
    <w:rsid w:val="00AC7483"/>
    <w:rsid w:val="00AD412E"/>
    <w:rsid w:val="00AD573D"/>
    <w:rsid w:val="00AE0A2E"/>
    <w:rsid w:val="00AE2B1D"/>
    <w:rsid w:val="00AE354C"/>
    <w:rsid w:val="00AF1BD3"/>
    <w:rsid w:val="00AF4522"/>
    <w:rsid w:val="00AF4B07"/>
    <w:rsid w:val="00AF4B8D"/>
    <w:rsid w:val="00AF5CC8"/>
    <w:rsid w:val="00AF6186"/>
    <w:rsid w:val="00AF7A3A"/>
    <w:rsid w:val="00B02AC3"/>
    <w:rsid w:val="00B152B9"/>
    <w:rsid w:val="00B15308"/>
    <w:rsid w:val="00B160DB"/>
    <w:rsid w:val="00B20836"/>
    <w:rsid w:val="00B22546"/>
    <w:rsid w:val="00B235BB"/>
    <w:rsid w:val="00B27A44"/>
    <w:rsid w:val="00B30BBF"/>
    <w:rsid w:val="00B33C03"/>
    <w:rsid w:val="00B34E38"/>
    <w:rsid w:val="00B36FAD"/>
    <w:rsid w:val="00B44E56"/>
    <w:rsid w:val="00B459E7"/>
    <w:rsid w:val="00B46543"/>
    <w:rsid w:val="00B47D33"/>
    <w:rsid w:val="00B52BE0"/>
    <w:rsid w:val="00B52D13"/>
    <w:rsid w:val="00B54133"/>
    <w:rsid w:val="00B541A0"/>
    <w:rsid w:val="00B54ABF"/>
    <w:rsid w:val="00B62ACD"/>
    <w:rsid w:val="00B701ED"/>
    <w:rsid w:val="00B73992"/>
    <w:rsid w:val="00B74986"/>
    <w:rsid w:val="00B757BA"/>
    <w:rsid w:val="00B8086C"/>
    <w:rsid w:val="00B85A04"/>
    <w:rsid w:val="00B861B4"/>
    <w:rsid w:val="00B86DFE"/>
    <w:rsid w:val="00B90990"/>
    <w:rsid w:val="00B922FF"/>
    <w:rsid w:val="00B9281E"/>
    <w:rsid w:val="00B93925"/>
    <w:rsid w:val="00B93ECF"/>
    <w:rsid w:val="00B94BB8"/>
    <w:rsid w:val="00B95187"/>
    <w:rsid w:val="00B9776F"/>
    <w:rsid w:val="00BA2D55"/>
    <w:rsid w:val="00BA71B1"/>
    <w:rsid w:val="00BA731D"/>
    <w:rsid w:val="00BB0637"/>
    <w:rsid w:val="00BB345F"/>
    <w:rsid w:val="00BB68EA"/>
    <w:rsid w:val="00BC1C27"/>
    <w:rsid w:val="00BC47F6"/>
    <w:rsid w:val="00BC4A8F"/>
    <w:rsid w:val="00BC6554"/>
    <w:rsid w:val="00BC6BBF"/>
    <w:rsid w:val="00BD0653"/>
    <w:rsid w:val="00BD1572"/>
    <w:rsid w:val="00BD6958"/>
    <w:rsid w:val="00BE14E3"/>
    <w:rsid w:val="00BE1A3E"/>
    <w:rsid w:val="00BE3774"/>
    <w:rsid w:val="00BE41E5"/>
    <w:rsid w:val="00BF4109"/>
    <w:rsid w:val="00BF4CC3"/>
    <w:rsid w:val="00BF6087"/>
    <w:rsid w:val="00C0466E"/>
    <w:rsid w:val="00C054C7"/>
    <w:rsid w:val="00C057B5"/>
    <w:rsid w:val="00C06E15"/>
    <w:rsid w:val="00C1262B"/>
    <w:rsid w:val="00C222AC"/>
    <w:rsid w:val="00C22687"/>
    <w:rsid w:val="00C24185"/>
    <w:rsid w:val="00C24FD6"/>
    <w:rsid w:val="00C32E4D"/>
    <w:rsid w:val="00C333A0"/>
    <w:rsid w:val="00C36408"/>
    <w:rsid w:val="00C36A81"/>
    <w:rsid w:val="00C37BF5"/>
    <w:rsid w:val="00C41974"/>
    <w:rsid w:val="00C459B0"/>
    <w:rsid w:val="00C46EF5"/>
    <w:rsid w:val="00C53F4A"/>
    <w:rsid w:val="00C54125"/>
    <w:rsid w:val="00C55885"/>
    <w:rsid w:val="00C55B54"/>
    <w:rsid w:val="00C603CD"/>
    <w:rsid w:val="00C6098E"/>
    <w:rsid w:val="00C611D8"/>
    <w:rsid w:val="00C6152C"/>
    <w:rsid w:val="00C63990"/>
    <w:rsid w:val="00C64EF6"/>
    <w:rsid w:val="00C65050"/>
    <w:rsid w:val="00C67E67"/>
    <w:rsid w:val="00C71708"/>
    <w:rsid w:val="00C74810"/>
    <w:rsid w:val="00C75514"/>
    <w:rsid w:val="00C90D68"/>
    <w:rsid w:val="00C91601"/>
    <w:rsid w:val="00C932D9"/>
    <w:rsid w:val="00C939FE"/>
    <w:rsid w:val="00CA10E2"/>
    <w:rsid w:val="00CA4BDA"/>
    <w:rsid w:val="00CA7B71"/>
    <w:rsid w:val="00CB1F66"/>
    <w:rsid w:val="00CB2951"/>
    <w:rsid w:val="00CB3345"/>
    <w:rsid w:val="00CB4C7F"/>
    <w:rsid w:val="00CB7A33"/>
    <w:rsid w:val="00CC16D2"/>
    <w:rsid w:val="00CC38F9"/>
    <w:rsid w:val="00CC3FE5"/>
    <w:rsid w:val="00CC61B6"/>
    <w:rsid w:val="00CC71E6"/>
    <w:rsid w:val="00CD0F96"/>
    <w:rsid w:val="00CD16F8"/>
    <w:rsid w:val="00CD282B"/>
    <w:rsid w:val="00CD4C35"/>
    <w:rsid w:val="00CD5BEE"/>
    <w:rsid w:val="00CD7369"/>
    <w:rsid w:val="00CE0B0E"/>
    <w:rsid w:val="00CE314D"/>
    <w:rsid w:val="00CE3831"/>
    <w:rsid w:val="00CE7927"/>
    <w:rsid w:val="00CF11F2"/>
    <w:rsid w:val="00CF216E"/>
    <w:rsid w:val="00CF29D9"/>
    <w:rsid w:val="00CF5B79"/>
    <w:rsid w:val="00D00ABB"/>
    <w:rsid w:val="00D00ABD"/>
    <w:rsid w:val="00D01596"/>
    <w:rsid w:val="00D01713"/>
    <w:rsid w:val="00D02EEC"/>
    <w:rsid w:val="00D03551"/>
    <w:rsid w:val="00D06A63"/>
    <w:rsid w:val="00D07E0E"/>
    <w:rsid w:val="00D102AC"/>
    <w:rsid w:val="00D11478"/>
    <w:rsid w:val="00D15ED0"/>
    <w:rsid w:val="00D20101"/>
    <w:rsid w:val="00D21B3E"/>
    <w:rsid w:val="00D21FED"/>
    <w:rsid w:val="00D2293A"/>
    <w:rsid w:val="00D24251"/>
    <w:rsid w:val="00D250D7"/>
    <w:rsid w:val="00D25A87"/>
    <w:rsid w:val="00D265CD"/>
    <w:rsid w:val="00D308E3"/>
    <w:rsid w:val="00D316A6"/>
    <w:rsid w:val="00D343E2"/>
    <w:rsid w:val="00D35FD6"/>
    <w:rsid w:val="00D361A2"/>
    <w:rsid w:val="00D37C1F"/>
    <w:rsid w:val="00D42AFF"/>
    <w:rsid w:val="00D44C2E"/>
    <w:rsid w:val="00D45414"/>
    <w:rsid w:val="00D53809"/>
    <w:rsid w:val="00D566BD"/>
    <w:rsid w:val="00D576CF"/>
    <w:rsid w:val="00D57910"/>
    <w:rsid w:val="00D57A4D"/>
    <w:rsid w:val="00D60AA7"/>
    <w:rsid w:val="00D6435F"/>
    <w:rsid w:val="00D64701"/>
    <w:rsid w:val="00D67795"/>
    <w:rsid w:val="00D7187A"/>
    <w:rsid w:val="00D75E28"/>
    <w:rsid w:val="00D772C2"/>
    <w:rsid w:val="00D8008E"/>
    <w:rsid w:val="00D82C45"/>
    <w:rsid w:val="00D908A8"/>
    <w:rsid w:val="00D950F4"/>
    <w:rsid w:val="00D977B6"/>
    <w:rsid w:val="00DA2109"/>
    <w:rsid w:val="00DA4A31"/>
    <w:rsid w:val="00DA534C"/>
    <w:rsid w:val="00DA7B04"/>
    <w:rsid w:val="00DB083B"/>
    <w:rsid w:val="00DB0CAD"/>
    <w:rsid w:val="00DB1DD5"/>
    <w:rsid w:val="00DB36C2"/>
    <w:rsid w:val="00DB5971"/>
    <w:rsid w:val="00DC169B"/>
    <w:rsid w:val="00DC2AB9"/>
    <w:rsid w:val="00DC5B6D"/>
    <w:rsid w:val="00DC5E46"/>
    <w:rsid w:val="00DC63F0"/>
    <w:rsid w:val="00DD4AAB"/>
    <w:rsid w:val="00DD5146"/>
    <w:rsid w:val="00DD64A6"/>
    <w:rsid w:val="00DD6EE5"/>
    <w:rsid w:val="00DE0CDA"/>
    <w:rsid w:val="00DE3213"/>
    <w:rsid w:val="00DE386C"/>
    <w:rsid w:val="00DE4D35"/>
    <w:rsid w:val="00DE572F"/>
    <w:rsid w:val="00DF098B"/>
    <w:rsid w:val="00DF11C4"/>
    <w:rsid w:val="00DF210C"/>
    <w:rsid w:val="00DF4B6A"/>
    <w:rsid w:val="00DF6831"/>
    <w:rsid w:val="00E01E65"/>
    <w:rsid w:val="00E02C09"/>
    <w:rsid w:val="00E04D59"/>
    <w:rsid w:val="00E07DA1"/>
    <w:rsid w:val="00E123CB"/>
    <w:rsid w:val="00E12FA8"/>
    <w:rsid w:val="00E15F9A"/>
    <w:rsid w:val="00E174B9"/>
    <w:rsid w:val="00E177B5"/>
    <w:rsid w:val="00E20E13"/>
    <w:rsid w:val="00E21DBC"/>
    <w:rsid w:val="00E2703B"/>
    <w:rsid w:val="00E275D7"/>
    <w:rsid w:val="00E27DBE"/>
    <w:rsid w:val="00E31471"/>
    <w:rsid w:val="00E32AB1"/>
    <w:rsid w:val="00E36C71"/>
    <w:rsid w:val="00E373F5"/>
    <w:rsid w:val="00E37C32"/>
    <w:rsid w:val="00E40404"/>
    <w:rsid w:val="00E40595"/>
    <w:rsid w:val="00E4529A"/>
    <w:rsid w:val="00E459C6"/>
    <w:rsid w:val="00E47589"/>
    <w:rsid w:val="00E50C97"/>
    <w:rsid w:val="00E53635"/>
    <w:rsid w:val="00E555A6"/>
    <w:rsid w:val="00E64915"/>
    <w:rsid w:val="00E661D4"/>
    <w:rsid w:val="00E66AE7"/>
    <w:rsid w:val="00E70091"/>
    <w:rsid w:val="00E720F5"/>
    <w:rsid w:val="00E72DBF"/>
    <w:rsid w:val="00E769C8"/>
    <w:rsid w:val="00E76D47"/>
    <w:rsid w:val="00E77CB3"/>
    <w:rsid w:val="00E849F7"/>
    <w:rsid w:val="00E84CA0"/>
    <w:rsid w:val="00E90302"/>
    <w:rsid w:val="00E96D44"/>
    <w:rsid w:val="00E97055"/>
    <w:rsid w:val="00E97396"/>
    <w:rsid w:val="00EA185E"/>
    <w:rsid w:val="00EA26E7"/>
    <w:rsid w:val="00EA592A"/>
    <w:rsid w:val="00EB14E4"/>
    <w:rsid w:val="00EB32A5"/>
    <w:rsid w:val="00EB34ED"/>
    <w:rsid w:val="00EB5457"/>
    <w:rsid w:val="00EB71B6"/>
    <w:rsid w:val="00EB7BE0"/>
    <w:rsid w:val="00EB7E63"/>
    <w:rsid w:val="00EC315E"/>
    <w:rsid w:val="00EC5C4B"/>
    <w:rsid w:val="00ED077C"/>
    <w:rsid w:val="00ED1190"/>
    <w:rsid w:val="00ED19A4"/>
    <w:rsid w:val="00ED55C1"/>
    <w:rsid w:val="00ED6544"/>
    <w:rsid w:val="00EE0277"/>
    <w:rsid w:val="00EE2083"/>
    <w:rsid w:val="00EE3E00"/>
    <w:rsid w:val="00EE5D8B"/>
    <w:rsid w:val="00EE5DD2"/>
    <w:rsid w:val="00EE76FA"/>
    <w:rsid w:val="00EF0A2E"/>
    <w:rsid w:val="00EF2B74"/>
    <w:rsid w:val="00EF63C2"/>
    <w:rsid w:val="00F00A79"/>
    <w:rsid w:val="00F00E86"/>
    <w:rsid w:val="00F07C1E"/>
    <w:rsid w:val="00F105DB"/>
    <w:rsid w:val="00F1187A"/>
    <w:rsid w:val="00F12DC2"/>
    <w:rsid w:val="00F132BC"/>
    <w:rsid w:val="00F13D80"/>
    <w:rsid w:val="00F16AAA"/>
    <w:rsid w:val="00F21003"/>
    <w:rsid w:val="00F21161"/>
    <w:rsid w:val="00F218EF"/>
    <w:rsid w:val="00F21BC7"/>
    <w:rsid w:val="00F266A2"/>
    <w:rsid w:val="00F32269"/>
    <w:rsid w:val="00F42C63"/>
    <w:rsid w:val="00F439A6"/>
    <w:rsid w:val="00F51966"/>
    <w:rsid w:val="00F54594"/>
    <w:rsid w:val="00F56A6F"/>
    <w:rsid w:val="00F5709C"/>
    <w:rsid w:val="00F57CD8"/>
    <w:rsid w:val="00F64704"/>
    <w:rsid w:val="00F64EF1"/>
    <w:rsid w:val="00F7289F"/>
    <w:rsid w:val="00F74BF5"/>
    <w:rsid w:val="00F74F9D"/>
    <w:rsid w:val="00F773CD"/>
    <w:rsid w:val="00F84156"/>
    <w:rsid w:val="00F8765F"/>
    <w:rsid w:val="00F8794E"/>
    <w:rsid w:val="00F90767"/>
    <w:rsid w:val="00FA3C96"/>
    <w:rsid w:val="00FA605C"/>
    <w:rsid w:val="00FA685B"/>
    <w:rsid w:val="00FB0C01"/>
    <w:rsid w:val="00FB2B45"/>
    <w:rsid w:val="00FC18F2"/>
    <w:rsid w:val="00FC39E5"/>
    <w:rsid w:val="00FC3A78"/>
    <w:rsid w:val="00FD1005"/>
    <w:rsid w:val="00FD36B9"/>
    <w:rsid w:val="00FD4672"/>
    <w:rsid w:val="00FD6C75"/>
    <w:rsid w:val="00FE3D7F"/>
    <w:rsid w:val="00FE70DE"/>
    <w:rsid w:val="00FE71B3"/>
    <w:rsid w:val="00FF1D59"/>
    <w:rsid w:val="00FF245F"/>
    <w:rsid w:val="00FF42C5"/>
    <w:rsid w:val="00FF61B1"/>
    <w:rsid w:val="00FF75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152B9"/>
    <w:pPr>
      <w:jc w:val="both"/>
    </w:pPr>
    <w:rPr>
      <w:rFonts w:eastAsiaTheme="minorEastAsia"/>
      <w:sz w:val="24"/>
      <w:lang w:val="en-GB"/>
    </w:rPr>
  </w:style>
  <w:style w:type="paragraph" w:styleId="Titolo1">
    <w:name w:val="heading 1"/>
    <w:basedOn w:val="Normale"/>
    <w:next w:val="Normale"/>
    <w:link w:val="Titolo1Carattere"/>
    <w:uiPriority w:val="99"/>
    <w:semiHidden/>
    <w:rsid w:val="00B152B9"/>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152B9"/>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152B9"/>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152B9"/>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C55885"/>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B152B9"/>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C55885"/>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C55885"/>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C55885"/>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152B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152B9"/>
    <w:rPr>
      <w:rFonts w:ascii="Tahoma" w:eastAsiaTheme="minorEastAsia" w:hAnsi="Tahoma" w:cs="Tahoma"/>
      <w:sz w:val="16"/>
      <w:szCs w:val="16"/>
      <w:lang w:val="en-GB"/>
    </w:rPr>
  </w:style>
  <w:style w:type="character" w:styleId="Titolodellibro">
    <w:name w:val="Book Title"/>
    <w:uiPriority w:val="99"/>
    <w:semiHidden/>
    <w:qFormat/>
    <w:rsid w:val="00C55885"/>
    <w:rPr>
      <w:i/>
      <w:iCs/>
      <w:smallCaps/>
      <w:spacing w:val="5"/>
    </w:rPr>
  </w:style>
  <w:style w:type="paragraph" w:customStyle="1" w:styleId="ECHRHeader">
    <w:name w:val="ECHR_Header"/>
    <w:aliases w:val="Ju_Header"/>
    <w:basedOn w:val="Intestazione"/>
    <w:uiPriority w:val="4"/>
    <w:qFormat/>
    <w:rsid w:val="00C5588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B152B9"/>
    <w:pPr>
      <w:jc w:val="left"/>
    </w:pPr>
    <w:rPr>
      <w:sz w:val="8"/>
    </w:rPr>
  </w:style>
  <w:style w:type="character" w:styleId="Enfasigrassetto">
    <w:name w:val="Strong"/>
    <w:uiPriority w:val="99"/>
    <w:semiHidden/>
    <w:qFormat/>
    <w:rsid w:val="00C55885"/>
    <w:rPr>
      <w:b/>
      <w:bCs/>
    </w:rPr>
  </w:style>
  <w:style w:type="paragraph" w:styleId="Nessunaspaziatura">
    <w:name w:val="No Spacing"/>
    <w:basedOn w:val="Normale"/>
    <w:link w:val="NessunaspaziaturaCarattere"/>
    <w:semiHidden/>
    <w:qFormat/>
    <w:rsid w:val="00C55885"/>
    <w:rPr>
      <w:sz w:val="22"/>
      <w:lang w:val="en-US"/>
    </w:rPr>
  </w:style>
  <w:style w:type="character" w:customStyle="1" w:styleId="NessunaspaziaturaCarattere">
    <w:name w:val="Nessuna spaziatura Carattere"/>
    <w:basedOn w:val="Carpredefinitoparagrafo"/>
    <w:link w:val="Nessunaspaziatura"/>
    <w:semiHidden/>
    <w:rsid w:val="00C55885"/>
    <w:rPr>
      <w:rFonts w:eastAsiaTheme="minorEastAsia"/>
    </w:rPr>
  </w:style>
  <w:style w:type="paragraph" w:customStyle="1" w:styleId="ECHRFooterLine">
    <w:name w:val="ECHR_Footer_Line"/>
    <w:aliases w:val="Footer_Line"/>
    <w:basedOn w:val="Normale"/>
    <w:next w:val="ECHRFooter"/>
    <w:uiPriority w:val="57"/>
    <w:semiHidden/>
    <w:rsid w:val="00B152B9"/>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C55885"/>
    <w:pPr>
      <w:numPr>
        <w:numId w:val="19"/>
      </w:numPr>
      <w:jc w:val="left"/>
    </w:pPr>
    <w:rPr>
      <w:b/>
    </w:rPr>
  </w:style>
  <w:style w:type="paragraph" w:customStyle="1" w:styleId="OpiPara">
    <w:name w:val="Opi_Para"/>
    <w:basedOn w:val="ECHRPara"/>
    <w:uiPriority w:val="46"/>
    <w:qFormat/>
    <w:rsid w:val="00C55885"/>
  </w:style>
  <w:style w:type="paragraph" w:customStyle="1" w:styleId="JuParaSub">
    <w:name w:val="Ju_Para_Sub"/>
    <w:basedOn w:val="ECHRPara"/>
    <w:uiPriority w:val="13"/>
    <w:qFormat/>
    <w:rsid w:val="00C55885"/>
    <w:pPr>
      <w:ind w:left="284"/>
    </w:pPr>
  </w:style>
  <w:style w:type="paragraph" w:customStyle="1" w:styleId="ECHRTitleCentre3">
    <w:name w:val="ECHR_Title_Centre_3"/>
    <w:aliases w:val="Ju_H_Article"/>
    <w:basedOn w:val="Normale"/>
    <w:next w:val="ECHRParaQuote"/>
    <w:uiPriority w:val="27"/>
    <w:qFormat/>
    <w:rsid w:val="00C5588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C55885"/>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C55885"/>
  </w:style>
  <w:style w:type="paragraph" w:customStyle="1" w:styleId="OpiQuot">
    <w:name w:val="Opi_Quot"/>
    <w:basedOn w:val="ECHRParaQuote"/>
    <w:uiPriority w:val="48"/>
    <w:qFormat/>
    <w:rsid w:val="00C55885"/>
  </w:style>
  <w:style w:type="paragraph" w:customStyle="1" w:styleId="OpiQuotSub">
    <w:name w:val="Opi_Quot_Sub"/>
    <w:basedOn w:val="JuQuotSub"/>
    <w:uiPriority w:val="49"/>
    <w:qFormat/>
    <w:rsid w:val="00C55885"/>
  </w:style>
  <w:style w:type="paragraph" w:customStyle="1" w:styleId="ECHRTitleCentre2">
    <w:name w:val="ECHR_Title_Centre_2"/>
    <w:aliases w:val="Dec_H_Case"/>
    <w:basedOn w:val="Normale"/>
    <w:next w:val="ECHRPara"/>
    <w:uiPriority w:val="8"/>
    <w:qFormat/>
    <w:rsid w:val="00C55885"/>
    <w:pPr>
      <w:spacing w:after="240"/>
      <w:jc w:val="center"/>
      <w:outlineLvl w:val="0"/>
    </w:pPr>
    <w:rPr>
      <w:rFonts w:asciiTheme="majorHAnsi" w:hAnsiTheme="majorHAnsi"/>
    </w:rPr>
  </w:style>
  <w:style w:type="paragraph" w:customStyle="1" w:styleId="JuTitle">
    <w:name w:val="Ju_Title"/>
    <w:basedOn w:val="Normale"/>
    <w:next w:val="ECHRPara"/>
    <w:uiPriority w:val="3"/>
    <w:semiHidden/>
    <w:qFormat/>
    <w:rsid w:val="00C55885"/>
    <w:pPr>
      <w:spacing w:before="720" w:after="240"/>
      <w:jc w:val="center"/>
      <w:outlineLvl w:val="0"/>
    </w:pPr>
    <w:rPr>
      <w:rFonts w:asciiTheme="majorHAnsi" w:hAnsiTheme="majorHAnsi"/>
      <w:b/>
      <w:caps/>
    </w:rPr>
  </w:style>
  <w:style w:type="paragraph" w:styleId="Titolo">
    <w:name w:val="Title"/>
    <w:basedOn w:val="Normale"/>
    <w:next w:val="Normale"/>
    <w:link w:val="TitoloCarattere"/>
    <w:uiPriority w:val="99"/>
    <w:semiHidden/>
    <w:qFormat/>
    <w:rsid w:val="00C5588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C5588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C5588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C5588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C55885"/>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C5588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C55885"/>
    <w:pPr>
      <w:keepNext/>
      <w:keepLines/>
      <w:spacing w:before="240" w:after="120"/>
      <w:ind w:left="1236"/>
    </w:pPr>
    <w:rPr>
      <w:sz w:val="20"/>
      <w:lang w:val="en-GB"/>
    </w:rPr>
  </w:style>
  <w:style w:type="paragraph" w:customStyle="1" w:styleId="JuQuotSub">
    <w:name w:val="Ju_Quot_Sub"/>
    <w:basedOn w:val="ECHRParaQuote"/>
    <w:uiPriority w:val="15"/>
    <w:qFormat/>
    <w:rsid w:val="00C55885"/>
    <w:pPr>
      <w:ind w:left="567"/>
    </w:pPr>
  </w:style>
  <w:style w:type="paragraph" w:customStyle="1" w:styleId="JuInitialled">
    <w:name w:val="Ju_Initialled"/>
    <w:basedOn w:val="Normale"/>
    <w:uiPriority w:val="31"/>
    <w:qFormat/>
    <w:rsid w:val="00C55885"/>
    <w:pPr>
      <w:tabs>
        <w:tab w:val="center" w:pos="6407"/>
      </w:tabs>
      <w:spacing w:before="720"/>
      <w:jc w:val="right"/>
    </w:pPr>
  </w:style>
  <w:style w:type="paragraph" w:customStyle="1" w:styleId="JuSigned">
    <w:name w:val="Ju_Signed"/>
    <w:basedOn w:val="Normale"/>
    <w:next w:val="JuParaLast"/>
    <w:uiPriority w:val="32"/>
    <w:qFormat/>
    <w:rsid w:val="00C55885"/>
    <w:pPr>
      <w:tabs>
        <w:tab w:val="center" w:pos="851"/>
        <w:tab w:val="center" w:pos="6407"/>
      </w:tabs>
      <w:spacing w:before="720"/>
      <w:jc w:val="left"/>
    </w:pPr>
  </w:style>
  <w:style w:type="paragraph" w:styleId="Intestazione">
    <w:name w:val="header"/>
    <w:basedOn w:val="Normale"/>
    <w:link w:val="IntestazioneCarattere"/>
    <w:uiPriority w:val="57"/>
    <w:semiHidden/>
    <w:rsid w:val="00B152B9"/>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152B9"/>
    <w:rPr>
      <w:sz w:val="24"/>
      <w:lang w:val="en-GB"/>
    </w:rPr>
  </w:style>
  <w:style w:type="character" w:customStyle="1" w:styleId="Titolo1Carattere">
    <w:name w:val="Titolo 1 Carattere"/>
    <w:basedOn w:val="Carpredefinitoparagrafo"/>
    <w:link w:val="Titolo1"/>
    <w:uiPriority w:val="99"/>
    <w:semiHidden/>
    <w:rsid w:val="00B152B9"/>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C5588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C55885"/>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B152B9"/>
    <w:rPr>
      <w:rFonts w:asciiTheme="majorHAnsi" w:eastAsiaTheme="majorEastAsia" w:hAnsiTheme="majorHAnsi" w:cstheme="majorBidi"/>
      <w:b/>
      <w:bCs/>
      <w:color w:val="4D4D4D"/>
      <w:sz w:val="26"/>
      <w:szCs w:val="26"/>
      <w:lang w:val="en-GB"/>
    </w:rPr>
  </w:style>
  <w:style w:type="paragraph" w:customStyle="1" w:styleId="OpiHA">
    <w:name w:val="Opi_H_A"/>
    <w:basedOn w:val="ECHRHeading1"/>
    <w:next w:val="OpiPara"/>
    <w:uiPriority w:val="41"/>
    <w:qFormat/>
    <w:rsid w:val="00C55885"/>
    <w:pPr>
      <w:tabs>
        <w:tab w:val="clear" w:pos="357"/>
      </w:tabs>
      <w:outlineLvl w:val="1"/>
    </w:pPr>
    <w:rPr>
      <w:b/>
    </w:rPr>
  </w:style>
  <w:style w:type="paragraph" w:customStyle="1" w:styleId="ECHRDecisionBody">
    <w:name w:val="ECHR_Decision_Body"/>
    <w:aliases w:val="Ju_Judges"/>
    <w:basedOn w:val="Normale"/>
    <w:uiPriority w:val="11"/>
    <w:qFormat/>
    <w:rsid w:val="00C55885"/>
    <w:pPr>
      <w:tabs>
        <w:tab w:val="left" w:pos="567"/>
        <w:tab w:val="left" w:pos="1134"/>
      </w:tabs>
      <w:jc w:val="left"/>
    </w:pPr>
  </w:style>
  <w:style w:type="character" w:customStyle="1" w:styleId="Titolo3Carattere">
    <w:name w:val="Titolo 3 Carattere"/>
    <w:basedOn w:val="Carpredefinitoparagrafo"/>
    <w:link w:val="Titolo3"/>
    <w:uiPriority w:val="99"/>
    <w:semiHidden/>
    <w:rsid w:val="00B152B9"/>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link w:val="ECHRParaChar"/>
    <w:uiPriority w:val="12"/>
    <w:qFormat/>
    <w:rsid w:val="00C55885"/>
    <w:pPr>
      <w:ind w:firstLine="284"/>
    </w:pPr>
  </w:style>
  <w:style w:type="character" w:customStyle="1" w:styleId="Titolo4Carattere">
    <w:name w:val="Titolo 4 Carattere"/>
    <w:basedOn w:val="Carpredefinitoparagrafo"/>
    <w:link w:val="Titolo4"/>
    <w:uiPriority w:val="99"/>
    <w:semiHidden/>
    <w:rsid w:val="00B152B9"/>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C55885"/>
    <w:rPr>
      <w:rFonts w:asciiTheme="majorHAnsi" w:eastAsiaTheme="majorEastAsia" w:hAnsiTheme="majorHAnsi" w:cstheme="majorBidi"/>
      <w:b/>
      <w:bCs/>
      <w:color w:val="808080"/>
    </w:rPr>
  </w:style>
  <w:style w:type="character" w:styleId="Enfasidelicata">
    <w:name w:val="Subtle Emphasis"/>
    <w:uiPriority w:val="99"/>
    <w:semiHidden/>
    <w:qFormat/>
    <w:rsid w:val="00C55885"/>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C55885"/>
    <w:pPr>
      <w:keepNext/>
      <w:keepLines/>
      <w:spacing w:before="720" w:after="240"/>
      <w:outlineLvl w:val="0"/>
    </w:pPr>
    <w:rPr>
      <w:rFonts w:asciiTheme="majorHAnsi" w:hAnsiTheme="majorHAnsi"/>
      <w:sz w:val="28"/>
    </w:rPr>
  </w:style>
  <w:style w:type="character" w:styleId="Enfasicorsivo">
    <w:name w:val="Emphasis"/>
    <w:uiPriority w:val="99"/>
    <w:semiHidden/>
    <w:qFormat/>
    <w:rsid w:val="00C55885"/>
    <w:rPr>
      <w:b/>
      <w:bCs/>
      <w:i/>
      <w:iCs/>
      <w:spacing w:val="10"/>
      <w:bdr w:val="none" w:sz="0" w:space="0" w:color="auto"/>
      <w:shd w:val="clear" w:color="auto" w:fill="auto"/>
    </w:rPr>
  </w:style>
  <w:style w:type="paragraph" w:styleId="Pidipagina">
    <w:name w:val="footer"/>
    <w:basedOn w:val="Normale"/>
    <w:link w:val="PidipaginaCarattere"/>
    <w:uiPriority w:val="57"/>
    <w:semiHidden/>
    <w:rsid w:val="00B152B9"/>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152B9"/>
    <w:rPr>
      <w:sz w:val="24"/>
      <w:lang w:val="en-GB"/>
    </w:rPr>
  </w:style>
  <w:style w:type="character" w:styleId="Rimandonotaapidipagina">
    <w:name w:val="footnote reference"/>
    <w:basedOn w:val="Carpredefinitoparagrafo"/>
    <w:uiPriority w:val="99"/>
    <w:semiHidden/>
    <w:rsid w:val="00B152B9"/>
    <w:rPr>
      <w:vertAlign w:val="superscript"/>
    </w:rPr>
  </w:style>
  <w:style w:type="paragraph" w:styleId="Testonotaapidipagina">
    <w:name w:val="footnote text"/>
    <w:basedOn w:val="Normale"/>
    <w:link w:val="TestonotaapidipaginaCarattere"/>
    <w:uiPriority w:val="99"/>
    <w:semiHidden/>
    <w:rsid w:val="00B152B9"/>
    <w:rPr>
      <w:sz w:val="20"/>
      <w:szCs w:val="20"/>
    </w:rPr>
  </w:style>
  <w:style w:type="character" w:customStyle="1" w:styleId="TestonotaapidipaginaCarattere">
    <w:name w:val="Testo nota a piè di pagina Carattere"/>
    <w:basedOn w:val="Carpredefinitoparagrafo"/>
    <w:link w:val="Testonotaapidipagina"/>
    <w:uiPriority w:val="99"/>
    <w:semiHidden/>
    <w:rsid w:val="00B152B9"/>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B152B9"/>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C5588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C5588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C5588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B152B9"/>
    <w:rPr>
      <w:color w:val="0072BC" w:themeColor="hyperlink"/>
      <w:u w:val="single"/>
    </w:rPr>
  </w:style>
  <w:style w:type="character" w:styleId="Enfasiintensa">
    <w:name w:val="Intense Emphasis"/>
    <w:uiPriority w:val="99"/>
    <w:semiHidden/>
    <w:qFormat/>
    <w:rsid w:val="00C55885"/>
    <w:rPr>
      <w:b/>
      <w:bCs/>
    </w:rPr>
  </w:style>
  <w:style w:type="paragraph" w:styleId="Citazioneintensa">
    <w:name w:val="Intense Quote"/>
    <w:basedOn w:val="Normale"/>
    <w:next w:val="Normale"/>
    <w:link w:val="CitazioneintensaCarattere"/>
    <w:uiPriority w:val="99"/>
    <w:semiHidden/>
    <w:qFormat/>
    <w:rsid w:val="00C55885"/>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C55885"/>
    <w:rPr>
      <w:rFonts w:eastAsiaTheme="minorEastAsia"/>
      <w:b/>
      <w:bCs/>
      <w:i/>
      <w:iCs/>
      <w:lang w:bidi="en-US"/>
    </w:rPr>
  </w:style>
  <w:style w:type="character" w:styleId="Riferimentointenso">
    <w:name w:val="Intense Reference"/>
    <w:uiPriority w:val="99"/>
    <w:semiHidden/>
    <w:qFormat/>
    <w:rsid w:val="00C55885"/>
    <w:rPr>
      <w:smallCaps/>
      <w:spacing w:val="5"/>
      <w:u w:val="single"/>
    </w:rPr>
  </w:style>
  <w:style w:type="paragraph" w:styleId="Paragrafoelenco">
    <w:name w:val="List Paragraph"/>
    <w:basedOn w:val="Normale"/>
    <w:uiPriority w:val="99"/>
    <w:semiHidden/>
    <w:qFormat/>
    <w:rsid w:val="00C5588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C55885"/>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C55885"/>
    <w:rPr>
      <w:rFonts w:eastAsiaTheme="minorEastAsia"/>
      <w:i/>
      <w:iCs/>
      <w:lang w:bidi="en-US"/>
    </w:rPr>
  </w:style>
  <w:style w:type="character" w:styleId="Riferimentodelicato">
    <w:name w:val="Subtle Reference"/>
    <w:uiPriority w:val="99"/>
    <w:semiHidden/>
    <w:qFormat/>
    <w:rsid w:val="00C55885"/>
    <w:rPr>
      <w:smallCaps/>
    </w:rPr>
  </w:style>
  <w:style w:type="table" w:styleId="Grigliatabella">
    <w:name w:val="Table Grid"/>
    <w:basedOn w:val="Tabellanormale"/>
    <w:uiPriority w:val="59"/>
    <w:semiHidden/>
    <w:rsid w:val="00B152B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152B9"/>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152B9"/>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152B9"/>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152B9"/>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152B9"/>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C5588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152B9"/>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C55885"/>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152B9"/>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uiPriority w:val="17"/>
    <w:qFormat/>
    <w:rsid w:val="00C55885"/>
    <w:rPr>
      <w:caps w:val="0"/>
      <w:smallCaps/>
    </w:rPr>
  </w:style>
  <w:style w:type="paragraph" w:customStyle="1" w:styleId="JuParaLast">
    <w:name w:val="Ju_Para_Last"/>
    <w:basedOn w:val="Normale"/>
    <w:next w:val="ECHRPara"/>
    <w:uiPriority w:val="30"/>
    <w:qFormat/>
    <w:rsid w:val="00C55885"/>
    <w:pPr>
      <w:keepNext/>
      <w:keepLines/>
      <w:spacing w:before="240"/>
      <w:ind w:firstLine="284"/>
    </w:pPr>
  </w:style>
  <w:style w:type="paragraph" w:customStyle="1" w:styleId="JuCase">
    <w:name w:val="Ju_Case"/>
    <w:basedOn w:val="Normale"/>
    <w:next w:val="ECHRPara"/>
    <w:uiPriority w:val="10"/>
    <w:rsid w:val="00B152B9"/>
    <w:pPr>
      <w:ind w:firstLine="284"/>
    </w:pPr>
    <w:rPr>
      <w:b/>
    </w:rPr>
  </w:style>
  <w:style w:type="paragraph" w:customStyle="1" w:styleId="JuList">
    <w:name w:val="Ju_List"/>
    <w:basedOn w:val="Normale"/>
    <w:uiPriority w:val="28"/>
    <w:qFormat/>
    <w:rsid w:val="00C55885"/>
    <w:pPr>
      <w:ind w:left="340" w:hanging="340"/>
    </w:pPr>
  </w:style>
  <w:style w:type="paragraph" w:customStyle="1" w:styleId="OpiTranslation">
    <w:name w:val="Opi_Translation"/>
    <w:basedOn w:val="Normale"/>
    <w:next w:val="OpiPara"/>
    <w:uiPriority w:val="40"/>
    <w:qFormat/>
    <w:rsid w:val="00C55885"/>
    <w:pPr>
      <w:jc w:val="center"/>
      <w:outlineLvl w:val="0"/>
    </w:pPr>
    <w:rPr>
      <w:i/>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C55885"/>
    <w:pPr>
      <w:ind w:left="346" w:firstLine="0"/>
    </w:pPr>
  </w:style>
  <w:style w:type="paragraph" w:customStyle="1" w:styleId="DecHTitle">
    <w:name w:val="Dec_H_Title"/>
    <w:basedOn w:val="ECHRTitleCentre1"/>
    <w:uiPriority w:val="7"/>
    <w:semiHidden/>
    <w:qFormat/>
    <w:rsid w:val="00C55885"/>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B152B9"/>
    <w:rPr>
      <w:vertAlign w:val="superscript"/>
    </w:rPr>
  </w:style>
  <w:style w:type="paragraph" w:styleId="Testonotadichiusura">
    <w:name w:val="endnote text"/>
    <w:basedOn w:val="Normale"/>
    <w:link w:val="TestonotadichiusuraCarattere"/>
    <w:uiPriority w:val="99"/>
    <w:semiHidden/>
    <w:rsid w:val="00B152B9"/>
    <w:rPr>
      <w:sz w:val="20"/>
      <w:szCs w:val="20"/>
    </w:rPr>
  </w:style>
  <w:style w:type="character" w:customStyle="1" w:styleId="TestonotadichiusuraCarattere">
    <w:name w:val="Testo nota di chiusura Carattere"/>
    <w:basedOn w:val="Carpredefinitoparagrafo"/>
    <w:link w:val="Testonotadichiusura"/>
    <w:uiPriority w:val="99"/>
    <w:semiHidden/>
    <w:rsid w:val="00B152B9"/>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Court">
    <w:name w:val="Ju_Court"/>
    <w:basedOn w:val="Normale"/>
    <w:next w:val="Normale"/>
    <w:uiPriority w:val="16"/>
    <w:qFormat/>
    <w:rsid w:val="00C55885"/>
    <w:pPr>
      <w:tabs>
        <w:tab w:val="left" w:pos="907"/>
        <w:tab w:val="left" w:pos="1701"/>
        <w:tab w:val="right" w:pos="7371"/>
      </w:tabs>
      <w:spacing w:before="240"/>
      <w:ind w:left="397" w:hanging="397"/>
      <w:jc w:val="left"/>
    </w:pPr>
    <w:rPr>
      <w:lang w:bidi="en-U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C55885"/>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C55885"/>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C55885"/>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B152B9"/>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152B9"/>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152B9"/>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DecList">
    <w:name w:val="Dec_List"/>
    <w:basedOn w:val="Normale"/>
    <w:uiPriority w:val="9"/>
    <w:semiHidden/>
    <w:qFormat/>
    <w:rsid w:val="00C55885"/>
    <w:pPr>
      <w:spacing w:before="240"/>
      <w:ind w:left="284"/>
    </w:pPr>
  </w:style>
  <w:style w:type="paragraph" w:customStyle="1" w:styleId="JuListi">
    <w:name w:val="Ju_List_i"/>
    <w:basedOn w:val="Normale"/>
    <w:next w:val="JuLista"/>
    <w:uiPriority w:val="28"/>
    <w:qFormat/>
    <w:rsid w:val="00C55885"/>
    <w:pPr>
      <w:ind w:left="794"/>
    </w:pPr>
  </w:style>
  <w:style w:type="paragraph" w:customStyle="1" w:styleId="OpiH1">
    <w:name w:val="Opi_H_1"/>
    <w:basedOn w:val="ECHRHeading2"/>
    <w:uiPriority w:val="42"/>
    <w:qFormat/>
    <w:rsid w:val="00C55885"/>
    <w:pPr>
      <w:ind w:left="635" w:hanging="357"/>
      <w:outlineLvl w:val="2"/>
    </w:pPr>
  </w:style>
  <w:style w:type="paragraph" w:customStyle="1" w:styleId="OpiHa0">
    <w:name w:val="Opi_H_a"/>
    <w:basedOn w:val="ECHRHeading3"/>
    <w:uiPriority w:val="43"/>
    <w:qFormat/>
    <w:rsid w:val="00C55885"/>
    <w:pPr>
      <w:ind w:left="833" w:hanging="357"/>
      <w:outlineLvl w:val="3"/>
    </w:pPr>
    <w:rPr>
      <w:b/>
      <w:i w:val="0"/>
      <w:sz w:val="20"/>
    </w:rPr>
  </w:style>
  <w:style w:type="paragraph" w:customStyle="1" w:styleId="OpiHi">
    <w:name w:val="Opi_H_i"/>
    <w:basedOn w:val="ECHRHeading4"/>
    <w:uiPriority w:val="44"/>
    <w:qFormat/>
    <w:rsid w:val="00C55885"/>
    <w:pPr>
      <w:ind w:left="1037" w:hanging="357"/>
      <w:outlineLvl w:val="4"/>
    </w:pPr>
    <w:rPr>
      <w:b w:val="0"/>
      <w:i/>
    </w:rPr>
  </w:style>
  <w:style w:type="paragraph" w:customStyle="1" w:styleId="DummyStyle">
    <w:name w:val="Dummy_Style"/>
    <w:basedOn w:val="Normale"/>
    <w:semiHidden/>
    <w:qFormat/>
    <w:rsid w:val="00C55885"/>
    <w:rPr>
      <w:color w:val="00B050"/>
    </w:rPr>
  </w:style>
  <w:style w:type="paragraph" w:customStyle="1" w:styleId="JuHeaderLandscape">
    <w:name w:val="Ju_Header_Landscape"/>
    <w:basedOn w:val="ECHRHeader"/>
    <w:uiPriority w:val="4"/>
    <w:qFormat/>
    <w:rsid w:val="00C55885"/>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ECHRParaChar">
    <w:name w:val="ECHR_Para Char"/>
    <w:aliases w:val="Ju_Para Char"/>
    <w:link w:val="ECHRPara"/>
    <w:uiPriority w:val="12"/>
    <w:rsid w:val="00F1187A"/>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DBD1D-BDF5-4782-8F7B-13540EE70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F6ECEF-59D0-4706-A4D1-0420161DB0A3}">
  <ds:schemaRefs>
    <ds:schemaRef ds:uri="http://schemas.microsoft.com/sharepoint/v3/contenttype/forms"/>
  </ds:schemaRefs>
</ds:datastoreItem>
</file>

<file path=customXml/itemProps3.xml><?xml version="1.0" encoding="utf-8"?>
<ds:datastoreItem xmlns:ds="http://schemas.openxmlformats.org/officeDocument/2006/customXml" ds:itemID="{4863C8B0-1334-408E-92DB-A9CA160206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E905C2-9674-41EC-AF2C-57E63E51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3266</Words>
  <Characters>18620</Characters>
  <Application>Microsoft Office Word</Application>
  <DocSecurity>0</DocSecurity>
  <Lines>155</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21843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2018-07-20T11:14:00Z</dcterms:created>
  <dcterms:modified xsi:type="dcterms:W3CDTF">2018-07-20T11:14:00Z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24/11</vt:lpwstr>
  </property>
  <property fmtid="{D5CDD505-2E9C-101B-9397-08002B2CF9AE}" pid="4" name="CASEID">
    <vt:lpwstr>689658</vt:lpwstr>
  </property>
  <property fmtid="{D5CDD505-2E9C-101B-9397-08002B2CF9AE}" pid="5" name="ContentTypeId">
    <vt:lpwstr>0x010100558EB02BDB9E204AB350EDD385B68E10</vt:lpwstr>
  </property>
</Properties>
</file>