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8544BB" w:rsidRDefault="00E77CB3" w:rsidP="008544BB">
      <w:pPr>
        <w:jc w:val="center"/>
        <w:rPr>
          <w:lang w:val="fr-FR"/>
        </w:rPr>
      </w:pPr>
      <w:bookmarkStart w:id="0" w:name="_GoBack"/>
      <w:bookmarkEnd w:id="0"/>
    </w:p>
    <w:p w:rsidR="00CA4945" w:rsidRPr="008544BB" w:rsidRDefault="00CA4945" w:rsidP="008544BB">
      <w:pPr>
        <w:jc w:val="center"/>
        <w:rPr>
          <w:lang w:val="fr-FR"/>
        </w:rPr>
      </w:pPr>
    </w:p>
    <w:p w:rsidR="00CA4945" w:rsidRPr="008544BB" w:rsidRDefault="00CA4945" w:rsidP="008544BB">
      <w:pPr>
        <w:jc w:val="center"/>
        <w:rPr>
          <w:lang w:val="fr-FR"/>
        </w:rPr>
      </w:pPr>
    </w:p>
    <w:p w:rsidR="00E77CB3" w:rsidRPr="008544BB" w:rsidRDefault="004A4240" w:rsidP="008544BB">
      <w:pPr>
        <w:jc w:val="center"/>
        <w:rPr>
          <w:lang w:val="fr-FR"/>
        </w:rPr>
      </w:pPr>
      <w:r w:rsidRPr="008544BB">
        <w:rPr>
          <w:lang w:val="fr-FR"/>
        </w:rPr>
        <w:t>PREMIÈRE SECTION</w:t>
      </w:r>
    </w:p>
    <w:p w:rsidR="00E77CB3" w:rsidRPr="008544BB" w:rsidRDefault="00E77CB3" w:rsidP="008544BB">
      <w:pPr>
        <w:jc w:val="center"/>
        <w:rPr>
          <w:lang w:val="fr-FR"/>
        </w:rPr>
      </w:pPr>
    </w:p>
    <w:p w:rsidR="00CA4945" w:rsidRPr="008544BB" w:rsidRDefault="00CA4945" w:rsidP="008544BB">
      <w:pPr>
        <w:jc w:val="center"/>
        <w:rPr>
          <w:lang w:val="fr-FR"/>
        </w:rPr>
      </w:pPr>
    </w:p>
    <w:p w:rsidR="00CA4945" w:rsidRPr="008544BB" w:rsidRDefault="00CA4945" w:rsidP="008544BB">
      <w:pPr>
        <w:jc w:val="center"/>
        <w:rPr>
          <w:lang w:val="fr-FR"/>
        </w:rPr>
      </w:pPr>
    </w:p>
    <w:p w:rsidR="00CA4945" w:rsidRPr="008544BB" w:rsidRDefault="00CA4945" w:rsidP="008544BB">
      <w:pPr>
        <w:jc w:val="center"/>
        <w:rPr>
          <w:lang w:val="fr-FR"/>
        </w:rPr>
      </w:pPr>
    </w:p>
    <w:p w:rsidR="00CA4945" w:rsidRPr="008544BB" w:rsidRDefault="00CA4945" w:rsidP="008544BB">
      <w:pPr>
        <w:jc w:val="center"/>
        <w:rPr>
          <w:lang w:val="fr-FR"/>
        </w:rPr>
      </w:pPr>
    </w:p>
    <w:p w:rsidR="00CA4945" w:rsidRPr="008544BB" w:rsidRDefault="00CA4945" w:rsidP="008544BB">
      <w:pPr>
        <w:jc w:val="center"/>
        <w:rPr>
          <w:lang w:val="fr-FR"/>
        </w:rPr>
      </w:pPr>
    </w:p>
    <w:p w:rsidR="00E77CB3" w:rsidRPr="008544BB" w:rsidRDefault="00E77CB3" w:rsidP="008544BB">
      <w:pPr>
        <w:jc w:val="center"/>
        <w:rPr>
          <w:b/>
          <w:lang w:val="fr-FR"/>
        </w:rPr>
      </w:pPr>
      <w:r w:rsidRPr="008544BB">
        <w:rPr>
          <w:b/>
          <w:lang w:val="fr-FR"/>
        </w:rPr>
        <w:t xml:space="preserve">AFFAIRE </w:t>
      </w:r>
      <w:r w:rsidR="004A4240" w:rsidRPr="008544BB">
        <w:rPr>
          <w:b/>
          <w:lang w:val="fr-FR"/>
        </w:rPr>
        <w:t>D</w:t>
      </w:r>
      <w:r w:rsidR="008544BB" w:rsidRPr="008544BB">
        <w:rPr>
          <w:b/>
          <w:lang w:val="fr-FR"/>
        </w:rPr>
        <w:t>’</w:t>
      </w:r>
      <w:r w:rsidR="004A4240" w:rsidRPr="008544BB">
        <w:rPr>
          <w:b/>
          <w:lang w:val="fr-FR"/>
        </w:rPr>
        <w:t>ACUNTO ET PIGNATARO c. ITALIE</w:t>
      </w:r>
    </w:p>
    <w:p w:rsidR="00E77CB3" w:rsidRPr="008544BB" w:rsidRDefault="00E77CB3" w:rsidP="008544BB">
      <w:pPr>
        <w:jc w:val="center"/>
        <w:rPr>
          <w:lang w:val="fr-FR"/>
        </w:rPr>
      </w:pPr>
    </w:p>
    <w:p w:rsidR="00CA4945" w:rsidRPr="008544BB" w:rsidRDefault="00E77CB3" w:rsidP="008544BB">
      <w:pPr>
        <w:jc w:val="center"/>
        <w:rPr>
          <w:lang w:val="fr-FR"/>
        </w:rPr>
      </w:pPr>
      <w:r w:rsidRPr="008544BB">
        <w:rPr>
          <w:i/>
          <w:lang w:val="fr-FR"/>
        </w:rPr>
        <w:t>(</w:t>
      </w:r>
      <w:r w:rsidR="004A4240" w:rsidRPr="008544BB">
        <w:rPr>
          <w:i/>
          <w:lang w:val="fr-FR"/>
        </w:rPr>
        <w:t>Requête n</w:t>
      </w:r>
      <w:r w:rsidR="004A4240" w:rsidRPr="008544BB">
        <w:rPr>
          <w:i/>
          <w:vertAlign w:val="superscript"/>
          <w:lang w:val="fr-FR"/>
        </w:rPr>
        <w:t>o</w:t>
      </w:r>
      <w:r w:rsidR="004A4240" w:rsidRPr="008544BB">
        <w:rPr>
          <w:i/>
          <w:lang w:val="fr-FR"/>
        </w:rPr>
        <w:t xml:space="preserve"> 6360/13</w:t>
      </w:r>
      <w:r w:rsidRPr="008544BB">
        <w:rPr>
          <w:i/>
          <w:lang w:val="fr-FR"/>
        </w:rPr>
        <w:t>)</w:t>
      </w:r>
    </w:p>
    <w:p w:rsidR="00CA4945" w:rsidRPr="008544BB" w:rsidRDefault="00CA4945" w:rsidP="008544BB">
      <w:pPr>
        <w:jc w:val="center"/>
        <w:rPr>
          <w:lang w:val="fr-FR"/>
        </w:rPr>
      </w:pPr>
    </w:p>
    <w:p w:rsidR="00CA4945" w:rsidRPr="008544BB" w:rsidRDefault="00CA4945" w:rsidP="008544BB">
      <w:pPr>
        <w:jc w:val="center"/>
        <w:rPr>
          <w:lang w:val="fr-FR"/>
        </w:rPr>
      </w:pPr>
    </w:p>
    <w:p w:rsidR="00CA4945" w:rsidRPr="008544BB" w:rsidRDefault="00CA4945" w:rsidP="008544BB">
      <w:pPr>
        <w:jc w:val="center"/>
        <w:rPr>
          <w:lang w:val="fr-FR"/>
        </w:rPr>
      </w:pPr>
    </w:p>
    <w:p w:rsidR="00CA4945" w:rsidRPr="008544BB" w:rsidRDefault="00CA4945" w:rsidP="008544BB">
      <w:pPr>
        <w:jc w:val="center"/>
        <w:rPr>
          <w:lang w:val="fr-FR"/>
        </w:rPr>
      </w:pPr>
    </w:p>
    <w:p w:rsidR="00CA4945" w:rsidRPr="008544BB" w:rsidRDefault="00CA4945" w:rsidP="008544BB">
      <w:pPr>
        <w:jc w:val="center"/>
        <w:rPr>
          <w:lang w:val="fr-FR"/>
        </w:rPr>
      </w:pPr>
    </w:p>
    <w:p w:rsidR="00CA4945" w:rsidRPr="008544BB" w:rsidRDefault="00CA4945" w:rsidP="008544BB">
      <w:pPr>
        <w:jc w:val="center"/>
        <w:rPr>
          <w:lang w:val="fr-FR"/>
        </w:rPr>
      </w:pPr>
    </w:p>
    <w:p w:rsidR="008544BB" w:rsidRPr="008544BB" w:rsidRDefault="008544BB" w:rsidP="008544BB">
      <w:pPr>
        <w:jc w:val="center"/>
        <w:rPr>
          <w:lang w:val="fr-FR"/>
        </w:rPr>
      </w:pPr>
    </w:p>
    <w:p w:rsidR="008544BB" w:rsidRPr="008544BB" w:rsidRDefault="008544BB" w:rsidP="008544BB">
      <w:pPr>
        <w:jc w:val="center"/>
        <w:rPr>
          <w:lang w:val="fr-FR"/>
        </w:rPr>
      </w:pPr>
    </w:p>
    <w:p w:rsidR="008544BB" w:rsidRPr="008544BB" w:rsidRDefault="008544BB" w:rsidP="008544BB">
      <w:pPr>
        <w:jc w:val="center"/>
        <w:rPr>
          <w:lang w:val="fr-FR"/>
        </w:rPr>
      </w:pPr>
    </w:p>
    <w:p w:rsidR="008544BB" w:rsidRPr="008544BB" w:rsidRDefault="008544BB" w:rsidP="008544BB">
      <w:pPr>
        <w:jc w:val="center"/>
        <w:rPr>
          <w:lang w:val="fr-FR"/>
        </w:rPr>
      </w:pPr>
    </w:p>
    <w:p w:rsidR="00CA4945" w:rsidRPr="008544BB" w:rsidRDefault="00CA4945" w:rsidP="008544BB">
      <w:pPr>
        <w:jc w:val="center"/>
        <w:rPr>
          <w:lang w:val="fr-FR"/>
        </w:rPr>
      </w:pPr>
    </w:p>
    <w:p w:rsidR="00CA4945" w:rsidRPr="008544BB" w:rsidRDefault="00CA4945" w:rsidP="008544BB">
      <w:pPr>
        <w:jc w:val="center"/>
        <w:rPr>
          <w:lang w:val="fr-FR"/>
        </w:rPr>
      </w:pPr>
    </w:p>
    <w:p w:rsidR="00CA4945" w:rsidRPr="008544BB" w:rsidRDefault="00CA4945" w:rsidP="008544BB">
      <w:pPr>
        <w:jc w:val="center"/>
        <w:rPr>
          <w:lang w:val="fr-FR"/>
        </w:rPr>
      </w:pPr>
    </w:p>
    <w:p w:rsidR="00CA4945" w:rsidRPr="008544BB" w:rsidRDefault="00CA4945" w:rsidP="008544BB">
      <w:pPr>
        <w:jc w:val="center"/>
        <w:rPr>
          <w:lang w:val="fr-FR"/>
        </w:rPr>
      </w:pPr>
      <w:r w:rsidRPr="008544BB">
        <w:rPr>
          <w:lang w:val="fr-FR"/>
        </w:rPr>
        <w:t>ARRÊT</w:t>
      </w:r>
    </w:p>
    <w:p w:rsidR="00C5449A" w:rsidRPr="008544BB" w:rsidRDefault="00C5449A" w:rsidP="008544BB">
      <w:pPr>
        <w:jc w:val="center"/>
        <w:rPr>
          <w:lang w:val="fr-FR"/>
        </w:rPr>
      </w:pPr>
    </w:p>
    <w:p w:rsidR="00CA4945" w:rsidRPr="008544BB" w:rsidRDefault="00CA4945" w:rsidP="008544BB">
      <w:pPr>
        <w:jc w:val="center"/>
        <w:rPr>
          <w:lang w:val="fr-FR"/>
        </w:rPr>
      </w:pPr>
    </w:p>
    <w:p w:rsidR="00CA4945" w:rsidRPr="008544BB" w:rsidRDefault="00CA4945" w:rsidP="008544BB">
      <w:pPr>
        <w:jc w:val="center"/>
        <w:rPr>
          <w:lang w:val="fr-FR"/>
        </w:rPr>
      </w:pPr>
    </w:p>
    <w:p w:rsidR="00CA4945" w:rsidRPr="008544BB" w:rsidRDefault="00CA4945" w:rsidP="008544BB">
      <w:pPr>
        <w:jc w:val="center"/>
        <w:rPr>
          <w:lang w:val="fr-FR"/>
        </w:rPr>
      </w:pPr>
    </w:p>
    <w:p w:rsidR="00CA4945" w:rsidRPr="008544BB" w:rsidRDefault="00CA4945" w:rsidP="008544BB">
      <w:pPr>
        <w:jc w:val="center"/>
        <w:rPr>
          <w:lang w:val="fr-FR"/>
        </w:rPr>
      </w:pPr>
      <w:r w:rsidRPr="008544BB">
        <w:rPr>
          <w:lang w:val="fr-FR"/>
        </w:rPr>
        <w:t>STRASBOURG</w:t>
      </w:r>
    </w:p>
    <w:p w:rsidR="00CA4945" w:rsidRPr="008544BB" w:rsidRDefault="00CA4945" w:rsidP="008544BB">
      <w:pPr>
        <w:jc w:val="center"/>
        <w:rPr>
          <w:lang w:val="fr-FR"/>
        </w:rPr>
      </w:pPr>
    </w:p>
    <w:p w:rsidR="00CA4945" w:rsidRPr="008544BB" w:rsidRDefault="00E76F95" w:rsidP="008544BB">
      <w:pPr>
        <w:jc w:val="center"/>
        <w:rPr>
          <w:lang w:val="fr-FR"/>
        </w:rPr>
      </w:pPr>
      <w:r w:rsidRPr="008544BB">
        <w:rPr>
          <w:lang w:val="fr-FR"/>
        </w:rPr>
        <w:t>12 juillet 2018</w:t>
      </w:r>
    </w:p>
    <w:p w:rsidR="00CA4945" w:rsidRPr="008544BB" w:rsidRDefault="00CA4945" w:rsidP="008544BB">
      <w:pPr>
        <w:jc w:val="center"/>
        <w:rPr>
          <w:lang w:val="fr-FR"/>
        </w:rPr>
      </w:pPr>
    </w:p>
    <w:p w:rsidR="00CA4945" w:rsidRPr="008544BB" w:rsidRDefault="00CA4945" w:rsidP="008544BB">
      <w:pPr>
        <w:jc w:val="center"/>
        <w:rPr>
          <w:lang w:val="fr-FR"/>
        </w:rPr>
      </w:pPr>
    </w:p>
    <w:p w:rsidR="00CD755E" w:rsidRPr="008544BB" w:rsidRDefault="00CD755E" w:rsidP="008544BB">
      <w:pPr>
        <w:jc w:val="center"/>
        <w:rPr>
          <w:lang w:val="fr-FR"/>
        </w:rPr>
      </w:pPr>
    </w:p>
    <w:p w:rsidR="00C5449A" w:rsidRPr="008544BB" w:rsidRDefault="00E76F95" w:rsidP="008544BB">
      <w:pPr>
        <w:rPr>
          <w:lang w:val="fr-FR"/>
        </w:rPr>
      </w:pPr>
      <w:r w:rsidRPr="008544BB">
        <w:rPr>
          <w:i/>
          <w:sz w:val="22"/>
          <w:lang w:val="fr-FR"/>
        </w:rPr>
        <w:t>Cet arrêt est définitif. Il peut subir des retouches de forme</w:t>
      </w:r>
      <w:r w:rsidR="00CD755E" w:rsidRPr="008544BB">
        <w:rPr>
          <w:i/>
          <w:sz w:val="22"/>
          <w:lang w:val="fr-FR"/>
        </w:rPr>
        <w:t>.</w:t>
      </w:r>
    </w:p>
    <w:p w:rsidR="00CA4945" w:rsidRPr="008544BB" w:rsidRDefault="00CA4945" w:rsidP="008544BB">
      <w:pPr>
        <w:pStyle w:val="JuCase"/>
        <w:rPr>
          <w:lang w:val="fr-FR"/>
        </w:rPr>
        <w:sectPr w:rsidR="00CA4945" w:rsidRPr="008544BB" w:rsidSect="00CA4945">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8544BB" w:rsidRDefault="00E77CB3" w:rsidP="008544BB">
      <w:pPr>
        <w:pStyle w:val="JuCase"/>
        <w:rPr>
          <w:lang w:val="fr-FR"/>
        </w:rPr>
      </w:pPr>
      <w:r w:rsidRPr="008544BB">
        <w:rPr>
          <w:lang w:val="fr-FR"/>
        </w:rPr>
        <w:lastRenderedPageBreak/>
        <w:t>En l</w:t>
      </w:r>
      <w:r w:rsidR="008544BB" w:rsidRPr="008544BB">
        <w:rPr>
          <w:lang w:val="fr-FR"/>
        </w:rPr>
        <w:t>’</w:t>
      </w:r>
      <w:r w:rsidRPr="008544BB">
        <w:rPr>
          <w:lang w:val="fr-FR"/>
        </w:rPr>
        <w:t xml:space="preserve">affaire </w:t>
      </w:r>
      <w:r w:rsidR="004A4240" w:rsidRPr="008544BB">
        <w:rPr>
          <w:lang w:val="fr-FR"/>
        </w:rPr>
        <w:t>D</w:t>
      </w:r>
      <w:r w:rsidR="008544BB" w:rsidRPr="008544BB">
        <w:rPr>
          <w:lang w:val="fr-FR"/>
        </w:rPr>
        <w:t>’</w:t>
      </w:r>
      <w:r w:rsidR="004A4240" w:rsidRPr="008544BB">
        <w:rPr>
          <w:lang w:val="fr-FR"/>
        </w:rPr>
        <w:t>Acunto et Pignataro c. Italie</w:t>
      </w:r>
      <w:r w:rsidRPr="008544BB">
        <w:rPr>
          <w:lang w:val="fr-FR"/>
        </w:rPr>
        <w:t>,</w:t>
      </w:r>
    </w:p>
    <w:p w:rsidR="00E77CB3" w:rsidRPr="008544BB" w:rsidRDefault="00E77CB3" w:rsidP="008544BB">
      <w:pPr>
        <w:pStyle w:val="ECHRPara"/>
        <w:rPr>
          <w:lang w:val="fr-FR"/>
        </w:rPr>
      </w:pPr>
      <w:r w:rsidRPr="008544BB">
        <w:rPr>
          <w:lang w:val="fr-FR"/>
        </w:rPr>
        <w:t>La Cour européenne des droits de l</w:t>
      </w:r>
      <w:r w:rsidR="008544BB" w:rsidRPr="008544BB">
        <w:rPr>
          <w:lang w:val="fr-FR"/>
        </w:rPr>
        <w:t>’</w:t>
      </w:r>
      <w:r w:rsidRPr="008544BB">
        <w:rPr>
          <w:lang w:val="fr-FR"/>
        </w:rPr>
        <w:t>homme (</w:t>
      </w:r>
      <w:r w:rsidR="004A4240" w:rsidRPr="008544BB">
        <w:rPr>
          <w:lang w:val="fr-FR"/>
        </w:rPr>
        <w:t>première section</w:t>
      </w:r>
      <w:r w:rsidRPr="008544BB">
        <w:rPr>
          <w:lang w:val="fr-FR"/>
        </w:rPr>
        <w:t xml:space="preserve">), siégeant en </w:t>
      </w:r>
      <w:r w:rsidR="004A4240" w:rsidRPr="008544BB">
        <w:rPr>
          <w:lang w:val="fr-FR"/>
        </w:rPr>
        <w:t>un</w:t>
      </w:r>
      <w:r w:rsidR="00DB4947" w:rsidRPr="008544BB">
        <w:rPr>
          <w:lang w:val="fr-FR"/>
        </w:rPr>
        <w:t xml:space="preserve"> comité</w:t>
      </w:r>
      <w:r w:rsidR="004A4240" w:rsidRPr="008544BB">
        <w:rPr>
          <w:lang w:val="fr-FR"/>
        </w:rPr>
        <w:t xml:space="preserve"> composé</w:t>
      </w:r>
      <w:r w:rsidRPr="008544BB">
        <w:rPr>
          <w:lang w:val="fr-FR"/>
        </w:rPr>
        <w:t xml:space="preserve"> de :</w:t>
      </w:r>
    </w:p>
    <w:p w:rsidR="00E77CB3" w:rsidRPr="008544BB" w:rsidRDefault="00CD755E" w:rsidP="008544BB">
      <w:pPr>
        <w:pStyle w:val="ECHRDecisionBody"/>
        <w:rPr>
          <w:lang w:val="fr-FR"/>
        </w:rPr>
      </w:pPr>
      <w:r w:rsidRPr="008544BB">
        <w:rPr>
          <w:lang w:val="fr-FR"/>
        </w:rPr>
        <w:tab/>
        <w:t>Kristina Pardalos,</w:t>
      </w:r>
      <w:r w:rsidRPr="008544BB">
        <w:rPr>
          <w:i/>
          <w:lang w:val="fr-FR"/>
        </w:rPr>
        <w:t xml:space="preserve"> présidente,</w:t>
      </w:r>
      <w:r w:rsidRPr="008544BB">
        <w:rPr>
          <w:i/>
          <w:lang w:val="fr-FR"/>
        </w:rPr>
        <w:br/>
      </w:r>
      <w:r w:rsidRPr="008544BB">
        <w:rPr>
          <w:lang w:val="fr-FR"/>
        </w:rPr>
        <w:tab/>
        <w:t>Ksenija Turković,</w:t>
      </w:r>
      <w:r w:rsidRPr="008544BB">
        <w:rPr>
          <w:i/>
          <w:lang w:val="fr-FR"/>
        </w:rPr>
        <w:br/>
      </w:r>
      <w:r w:rsidRPr="008544BB">
        <w:rPr>
          <w:lang w:val="fr-FR"/>
        </w:rPr>
        <w:tab/>
        <w:t>Pauliine Koskelo,</w:t>
      </w:r>
      <w:r w:rsidRPr="008544BB">
        <w:rPr>
          <w:i/>
          <w:lang w:val="fr-FR"/>
        </w:rPr>
        <w:t xml:space="preserve"> juges,</w:t>
      </w:r>
      <w:r w:rsidR="00E77CB3" w:rsidRPr="008544BB">
        <w:rPr>
          <w:lang w:val="fr-FR"/>
        </w:rPr>
        <w:br/>
        <w:t xml:space="preserve">et de </w:t>
      </w:r>
      <w:r w:rsidR="0054005C" w:rsidRPr="008544BB">
        <w:rPr>
          <w:lang w:val="fr-FR"/>
        </w:rPr>
        <w:t>Abel Campos</w:t>
      </w:r>
      <w:r w:rsidR="00E77CB3" w:rsidRPr="008544BB">
        <w:rPr>
          <w:lang w:val="fr-FR"/>
        </w:rPr>
        <w:t xml:space="preserve">, </w:t>
      </w:r>
      <w:r w:rsidR="004A4240" w:rsidRPr="008544BB">
        <w:rPr>
          <w:i/>
          <w:lang w:val="fr-FR"/>
        </w:rPr>
        <w:t>greffi</w:t>
      </w:r>
      <w:r w:rsidR="0054005C" w:rsidRPr="008544BB">
        <w:rPr>
          <w:i/>
          <w:lang w:val="fr-FR"/>
        </w:rPr>
        <w:t>er</w:t>
      </w:r>
      <w:r w:rsidR="004A4240" w:rsidRPr="008544BB">
        <w:rPr>
          <w:iCs/>
          <w:lang w:val="fr-FR"/>
        </w:rPr>
        <w:t xml:space="preserve"> </w:t>
      </w:r>
      <w:r w:rsidR="004A4240" w:rsidRPr="008544BB">
        <w:rPr>
          <w:i/>
          <w:iCs/>
          <w:lang w:val="fr-FR"/>
        </w:rPr>
        <w:t>d</w:t>
      </w:r>
      <w:r w:rsidR="004A4240" w:rsidRPr="008544BB">
        <w:rPr>
          <w:i/>
          <w:lang w:val="fr-FR"/>
        </w:rPr>
        <w:t>e section</w:t>
      </w:r>
      <w:r w:rsidR="00E77CB3" w:rsidRPr="008544BB">
        <w:rPr>
          <w:lang w:val="fr-FR"/>
        </w:rPr>
        <w:t>,</w:t>
      </w:r>
    </w:p>
    <w:p w:rsidR="00E77CB3" w:rsidRPr="008544BB" w:rsidRDefault="00E77CB3" w:rsidP="008544BB">
      <w:pPr>
        <w:pStyle w:val="ECHRPara"/>
        <w:rPr>
          <w:lang w:val="fr-FR"/>
        </w:rPr>
      </w:pPr>
      <w:r w:rsidRPr="008544BB">
        <w:rPr>
          <w:lang w:val="fr-FR"/>
        </w:rPr>
        <w:t xml:space="preserve">Après en avoir délibéré en </w:t>
      </w:r>
      <w:r w:rsidR="00DB4947" w:rsidRPr="008544BB">
        <w:rPr>
          <w:lang w:val="fr-FR"/>
        </w:rPr>
        <w:t>c</w:t>
      </w:r>
      <w:r w:rsidR="00592657" w:rsidRPr="008544BB">
        <w:rPr>
          <w:lang w:val="fr-FR"/>
        </w:rPr>
        <w:t>hambre</w:t>
      </w:r>
      <w:r w:rsidRPr="008544BB">
        <w:rPr>
          <w:lang w:val="fr-FR"/>
        </w:rPr>
        <w:t xml:space="preserve"> du conseil le </w:t>
      </w:r>
      <w:r w:rsidR="00CD755E" w:rsidRPr="008544BB">
        <w:rPr>
          <w:lang w:val="fr-FR"/>
        </w:rPr>
        <w:t>19 juin 2018</w:t>
      </w:r>
      <w:r w:rsidRPr="008544BB">
        <w:rPr>
          <w:lang w:val="fr-FR"/>
        </w:rPr>
        <w:t>,</w:t>
      </w:r>
    </w:p>
    <w:p w:rsidR="00E77CB3" w:rsidRPr="008544BB" w:rsidRDefault="00E77CB3" w:rsidP="008544BB">
      <w:pPr>
        <w:pStyle w:val="ECHRPara"/>
        <w:rPr>
          <w:lang w:val="fr-FR"/>
        </w:rPr>
      </w:pPr>
      <w:r w:rsidRPr="008544BB">
        <w:rPr>
          <w:lang w:val="fr-FR"/>
        </w:rPr>
        <w:t>Rend l</w:t>
      </w:r>
      <w:r w:rsidR="008544BB" w:rsidRPr="008544BB">
        <w:rPr>
          <w:lang w:val="fr-FR"/>
        </w:rPr>
        <w:t>’</w:t>
      </w:r>
      <w:r w:rsidRPr="008544BB">
        <w:rPr>
          <w:lang w:val="fr-FR"/>
        </w:rPr>
        <w:t>arrêt que voici, adopté à cette date :</w:t>
      </w:r>
    </w:p>
    <w:p w:rsidR="00E77CB3" w:rsidRPr="008544BB" w:rsidRDefault="00E77CB3" w:rsidP="008544BB">
      <w:pPr>
        <w:pStyle w:val="ECHRTitle1"/>
        <w:rPr>
          <w:lang w:val="fr-FR"/>
        </w:rPr>
      </w:pPr>
      <w:r w:rsidRPr="008544BB">
        <w:rPr>
          <w:lang w:val="fr-FR"/>
        </w:rPr>
        <w:t>PROCÉDURE</w:t>
      </w:r>
    </w:p>
    <w:p w:rsidR="00E77CB3" w:rsidRPr="008544BB" w:rsidRDefault="0074249B" w:rsidP="008544BB">
      <w:pPr>
        <w:pStyle w:val="ECHRPara"/>
        <w:rPr>
          <w:lang w:val="fr-FR"/>
        </w:rPr>
      </w:pPr>
      <w:r w:rsidRPr="008544BB">
        <w:rPr>
          <w:lang w:val="fr-FR"/>
        </w:rPr>
        <w:fldChar w:fldCharType="begin"/>
      </w:r>
      <w:r w:rsidRPr="008544BB">
        <w:rPr>
          <w:lang w:val="fr-FR"/>
        </w:rPr>
        <w:instrText xml:space="preserve"> SEQ level0 \*arabic \r1</w:instrText>
      </w:r>
      <w:r w:rsidR="004A4240" w:rsidRPr="008544BB">
        <w:rPr>
          <w:lang w:val="fr-FR"/>
        </w:rPr>
        <w:fldChar w:fldCharType="begin"/>
      </w:r>
      <w:r w:rsidR="004A4240" w:rsidRPr="008544BB">
        <w:rPr>
          <w:lang w:val="fr-FR"/>
        </w:rPr>
        <w:instrText xml:space="preserve"> </w:instrText>
      </w:r>
      <w:r w:rsidRPr="008544BB">
        <w:rPr>
          <w:lang w:val="fr-FR"/>
        </w:rPr>
        <w:instrText>.  </w:instrText>
      </w:r>
      <w:r w:rsidR="004A4240" w:rsidRPr="008544BB">
        <w:rPr>
          <w:lang w:val="fr-FR"/>
        </w:rPr>
        <w:instrText xml:space="preserve">SEQ level0 \*arabic </w:instrText>
      </w:r>
      <w:r w:rsidR="004A4240" w:rsidRPr="008544BB">
        <w:rPr>
          <w:lang w:val="fr-FR"/>
        </w:rPr>
        <w:fldChar w:fldCharType="separate"/>
      </w:r>
      <w:r w:rsidR="006C615B" w:rsidRPr="008544BB">
        <w:rPr>
          <w:noProof/>
          <w:lang w:val="fr-FR"/>
        </w:rPr>
        <w:instrText>2</w:instrText>
      </w:r>
      <w:r w:rsidR="004A4240" w:rsidRPr="008544BB">
        <w:rPr>
          <w:lang w:val="fr-FR"/>
        </w:rPr>
        <w:fldChar w:fldCharType="end"/>
      </w:r>
      <w:r w:rsidRPr="008544BB">
        <w:rPr>
          <w:lang w:val="fr-FR"/>
        </w:rPr>
        <w:instrText xml:space="preserve"> </w:instrText>
      </w:r>
      <w:r w:rsidRPr="008544BB">
        <w:rPr>
          <w:lang w:val="fr-FR"/>
        </w:rPr>
        <w:fldChar w:fldCharType="separate"/>
      </w:r>
      <w:r w:rsidR="008544BB" w:rsidRPr="008544BB">
        <w:rPr>
          <w:noProof/>
          <w:lang w:val="fr-FR"/>
        </w:rPr>
        <w:t>1</w:t>
      </w:r>
      <w:r w:rsidRPr="008544BB">
        <w:rPr>
          <w:lang w:val="fr-FR"/>
        </w:rPr>
        <w:fldChar w:fldCharType="end"/>
      </w:r>
      <w:r w:rsidR="00E77CB3" w:rsidRPr="008544BB">
        <w:rPr>
          <w:lang w:val="fr-FR"/>
        </w:rPr>
        <w:t>.  À l</w:t>
      </w:r>
      <w:r w:rsidR="008544BB" w:rsidRPr="008544BB">
        <w:rPr>
          <w:lang w:val="fr-FR"/>
        </w:rPr>
        <w:t>’</w:t>
      </w:r>
      <w:r w:rsidR="00E77CB3" w:rsidRPr="008544BB">
        <w:rPr>
          <w:lang w:val="fr-FR"/>
        </w:rPr>
        <w:t>origine de l</w:t>
      </w:r>
      <w:r w:rsidR="008544BB" w:rsidRPr="008544BB">
        <w:rPr>
          <w:lang w:val="fr-FR"/>
        </w:rPr>
        <w:t>’</w:t>
      </w:r>
      <w:r w:rsidR="00E77CB3" w:rsidRPr="008544BB">
        <w:rPr>
          <w:lang w:val="fr-FR"/>
        </w:rPr>
        <w:t xml:space="preserve">affaire </w:t>
      </w:r>
      <w:r w:rsidR="004A4240" w:rsidRPr="008544BB">
        <w:rPr>
          <w:lang w:val="fr-FR"/>
        </w:rPr>
        <w:t>se trouve une requête (n</w:t>
      </w:r>
      <w:r w:rsidR="00CA6556" w:rsidRPr="008544BB">
        <w:rPr>
          <w:vertAlign w:val="superscript"/>
          <w:lang w:val="fr-FR"/>
        </w:rPr>
        <w:t>o</w:t>
      </w:r>
      <w:r w:rsidR="004A4240" w:rsidRPr="008544BB">
        <w:rPr>
          <w:lang w:val="fr-FR"/>
        </w:rPr>
        <w:t xml:space="preserve"> 6360/13) dirigée</w:t>
      </w:r>
      <w:r w:rsidR="00E77CB3" w:rsidRPr="008544BB">
        <w:rPr>
          <w:lang w:val="fr-FR"/>
        </w:rPr>
        <w:t xml:space="preserve"> contre </w:t>
      </w:r>
      <w:r w:rsidR="004A4240" w:rsidRPr="008544BB">
        <w:rPr>
          <w:lang w:val="fr-FR"/>
        </w:rPr>
        <w:t>la République italienne</w:t>
      </w:r>
      <w:r w:rsidR="00E77CB3" w:rsidRPr="008544BB">
        <w:rPr>
          <w:lang w:val="fr-FR"/>
        </w:rPr>
        <w:t xml:space="preserve"> et dont </w:t>
      </w:r>
      <w:r w:rsidR="004A4240" w:rsidRPr="008544BB">
        <w:rPr>
          <w:lang w:val="fr-FR"/>
        </w:rPr>
        <w:t>deux ressortissantes de cet État, M</w:t>
      </w:r>
      <w:r w:rsidR="004A4240" w:rsidRPr="008544BB">
        <w:rPr>
          <w:vertAlign w:val="superscript"/>
          <w:lang w:val="fr-FR"/>
        </w:rPr>
        <w:t>mes </w:t>
      </w:r>
      <w:r w:rsidR="004A4240" w:rsidRPr="008544BB">
        <w:rPr>
          <w:lang w:val="fr-FR"/>
        </w:rPr>
        <w:t>Stefania D</w:t>
      </w:r>
      <w:r w:rsidR="008544BB" w:rsidRPr="008544BB">
        <w:rPr>
          <w:lang w:val="fr-FR"/>
        </w:rPr>
        <w:t>’</w:t>
      </w:r>
      <w:r w:rsidR="004A4240" w:rsidRPr="008544BB">
        <w:rPr>
          <w:lang w:val="fr-FR"/>
        </w:rPr>
        <w:t xml:space="preserve">Acunto </w:t>
      </w:r>
      <w:r w:rsidR="00F00951" w:rsidRPr="008544BB">
        <w:rPr>
          <w:lang w:val="fr-FR"/>
        </w:rPr>
        <w:t xml:space="preserve">(la première requérante) </w:t>
      </w:r>
      <w:r w:rsidR="004A4240" w:rsidRPr="008544BB">
        <w:rPr>
          <w:lang w:val="fr-FR"/>
        </w:rPr>
        <w:t>et Virginia Pignataro (l</w:t>
      </w:r>
      <w:r w:rsidR="00F00951" w:rsidRPr="008544BB">
        <w:rPr>
          <w:lang w:val="fr-FR"/>
        </w:rPr>
        <w:t>a</w:t>
      </w:r>
      <w:r w:rsidR="004A4240" w:rsidRPr="008544BB">
        <w:rPr>
          <w:lang w:val="fr-FR"/>
        </w:rPr>
        <w:t xml:space="preserve"> </w:t>
      </w:r>
      <w:r w:rsidR="00F00951" w:rsidRPr="008544BB">
        <w:rPr>
          <w:lang w:val="fr-FR"/>
        </w:rPr>
        <w:t>deuxième requérante</w:t>
      </w:r>
      <w:r w:rsidR="004A4240" w:rsidRPr="008544BB">
        <w:rPr>
          <w:lang w:val="fr-FR"/>
        </w:rPr>
        <w:t>), ont saisi la Cour le 23 janvier 2013</w:t>
      </w:r>
      <w:r w:rsidR="00E77CB3" w:rsidRPr="008544BB">
        <w:rPr>
          <w:lang w:val="fr-FR"/>
        </w:rPr>
        <w:t xml:space="preserve"> en vertu de </w:t>
      </w:r>
      <w:r w:rsidR="004A4240" w:rsidRPr="008544BB">
        <w:rPr>
          <w:lang w:val="fr-FR"/>
        </w:rPr>
        <w:t>l</w:t>
      </w:r>
      <w:r w:rsidR="008544BB" w:rsidRPr="008544BB">
        <w:rPr>
          <w:lang w:val="fr-FR"/>
        </w:rPr>
        <w:t>’</w:t>
      </w:r>
      <w:r w:rsidR="004A4240" w:rsidRPr="008544BB">
        <w:rPr>
          <w:lang w:val="fr-FR"/>
        </w:rPr>
        <w:t>article 34</w:t>
      </w:r>
      <w:r w:rsidR="00E77CB3" w:rsidRPr="008544BB">
        <w:rPr>
          <w:lang w:val="fr-FR"/>
        </w:rPr>
        <w:t xml:space="preserve"> de la Convention de sauvegarde des droits de l</w:t>
      </w:r>
      <w:r w:rsidR="008544BB" w:rsidRPr="008544BB">
        <w:rPr>
          <w:lang w:val="fr-FR"/>
        </w:rPr>
        <w:t>’</w:t>
      </w:r>
      <w:r w:rsidR="00E77CB3" w:rsidRPr="008544BB">
        <w:rPr>
          <w:lang w:val="fr-FR"/>
        </w:rPr>
        <w:t>homme et des libertés fondamentales (« la Convention »).</w:t>
      </w:r>
      <w:r w:rsidR="00FD38C7" w:rsidRPr="008544BB">
        <w:rPr>
          <w:lang w:val="fr-FR"/>
        </w:rPr>
        <w:t xml:space="preserve"> L</w:t>
      </w:r>
      <w:r w:rsidR="00F00951" w:rsidRPr="008544BB">
        <w:rPr>
          <w:lang w:val="fr-FR"/>
        </w:rPr>
        <w:t>a première</w:t>
      </w:r>
      <w:r w:rsidR="00FD38C7" w:rsidRPr="008544BB">
        <w:rPr>
          <w:lang w:val="fr-FR"/>
        </w:rPr>
        <w:t xml:space="preserve"> requérante </w:t>
      </w:r>
      <w:r w:rsidR="00F00951" w:rsidRPr="008544BB">
        <w:rPr>
          <w:lang w:val="fr-FR"/>
        </w:rPr>
        <w:t xml:space="preserve">indique agir aussi au nom et pour </w:t>
      </w:r>
      <w:r w:rsidR="000C49F6" w:rsidRPr="008544BB">
        <w:rPr>
          <w:lang w:val="fr-FR"/>
        </w:rPr>
        <w:t xml:space="preserve">le </w:t>
      </w:r>
      <w:r w:rsidR="00F00951" w:rsidRPr="008544BB">
        <w:rPr>
          <w:lang w:val="fr-FR"/>
        </w:rPr>
        <w:t>compte de ses</w:t>
      </w:r>
      <w:r w:rsidR="00FD38C7" w:rsidRPr="008544BB">
        <w:rPr>
          <w:lang w:val="fr-FR"/>
        </w:rPr>
        <w:t xml:space="preserve"> enfants</w:t>
      </w:r>
      <w:r w:rsidR="003E3CE2" w:rsidRPr="008544BB">
        <w:rPr>
          <w:lang w:val="fr-FR"/>
        </w:rPr>
        <w:t>,</w:t>
      </w:r>
      <w:r w:rsidR="00FD38C7" w:rsidRPr="008544BB">
        <w:rPr>
          <w:lang w:val="fr-FR"/>
        </w:rPr>
        <w:t xml:space="preserve"> L. et S</w:t>
      </w:r>
      <w:r w:rsidR="007A7624" w:rsidRPr="008544BB">
        <w:rPr>
          <w:lang w:val="fr-FR"/>
        </w:rPr>
        <w:t>.</w:t>
      </w:r>
    </w:p>
    <w:p w:rsidR="004A4240" w:rsidRPr="008544BB" w:rsidRDefault="004A4240"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2</w:t>
      </w:r>
      <w:r w:rsidRPr="008544BB">
        <w:rPr>
          <w:lang w:val="fr-FR"/>
        </w:rPr>
        <w:fldChar w:fldCharType="end"/>
      </w:r>
      <w:r w:rsidR="00E77CB3" w:rsidRPr="008544BB">
        <w:rPr>
          <w:lang w:val="fr-FR"/>
        </w:rPr>
        <w:t>.  </w:t>
      </w:r>
      <w:r w:rsidR="00502EF1" w:rsidRPr="008544BB">
        <w:rPr>
          <w:lang w:val="fr-FR"/>
        </w:rPr>
        <w:t>Les requérant</w:t>
      </w:r>
      <w:r w:rsidR="000C49F6" w:rsidRPr="008544BB">
        <w:rPr>
          <w:lang w:val="fr-FR"/>
        </w:rPr>
        <w:t>e</w:t>
      </w:r>
      <w:r w:rsidRPr="008544BB">
        <w:rPr>
          <w:lang w:val="fr-FR"/>
        </w:rPr>
        <w:t>s ont été représenté</w:t>
      </w:r>
      <w:r w:rsidR="000C49F6" w:rsidRPr="008544BB">
        <w:rPr>
          <w:lang w:val="fr-FR"/>
        </w:rPr>
        <w:t>e</w:t>
      </w:r>
      <w:r w:rsidRPr="008544BB">
        <w:rPr>
          <w:lang w:val="fr-FR"/>
        </w:rPr>
        <w:t>s par M</w:t>
      </w:r>
      <w:r w:rsidRPr="008544BB">
        <w:rPr>
          <w:vertAlign w:val="superscript"/>
          <w:lang w:val="fr-FR"/>
        </w:rPr>
        <w:t>e</w:t>
      </w:r>
      <w:r w:rsidRPr="008544BB">
        <w:rPr>
          <w:lang w:val="fr-FR"/>
        </w:rPr>
        <w:t xml:space="preserve"> A.G. Lana, avocat à Rome. </w:t>
      </w:r>
      <w:r w:rsidR="000C49F6" w:rsidRPr="008544BB">
        <w:rPr>
          <w:lang w:val="fr-FR"/>
        </w:rPr>
        <w:t>Elles</w:t>
      </w:r>
      <w:r w:rsidR="00BB33D9" w:rsidRPr="008544BB">
        <w:rPr>
          <w:lang w:val="fr-FR"/>
        </w:rPr>
        <w:t xml:space="preserve"> ont été autorisé</w:t>
      </w:r>
      <w:r w:rsidR="000C49F6" w:rsidRPr="008544BB">
        <w:rPr>
          <w:lang w:val="fr-FR"/>
        </w:rPr>
        <w:t>e</w:t>
      </w:r>
      <w:r w:rsidR="00BB33D9" w:rsidRPr="008544BB">
        <w:rPr>
          <w:lang w:val="fr-FR"/>
        </w:rPr>
        <w:t>s à employer la langue italienne dans la procédure écrite</w:t>
      </w:r>
      <w:r w:rsidR="00F5085E" w:rsidRPr="008544BB">
        <w:rPr>
          <w:lang w:val="fr-FR"/>
        </w:rPr>
        <w:t xml:space="preserve"> </w:t>
      </w:r>
      <w:r w:rsidR="00F5085E" w:rsidRPr="008544BB">
        <w:rPr>
          <w:szCs w:val="24"/>
          <w:lang w:val="fr-FR"/>
        </w:rPr>
        <w:t>(article 34 § 3 du règlement de la Cour)</w:t>
      </w:r>
      <w:r w:rsidR="00BB33D9" w:rsidRPr="008544BB">
        <w:rPr>
          <w:lang w:val="fr-FR"/>
        </w:rPr>
        <w:t xml:space="preserve">. </w:t>
      </w:r>
      <w:r w:rsidR="00E77CB3" w:rsidRPr="008544BB">
        <w:rPr>
          <w:lang w:val="fr-FR"/>
        </w:rPr>
        <w:t xml:space="preserve">Le gouvernement </w:t>
      </w:r>
      <w:r w:rsidRPr="008544BB">
        <w:rPr>
          <w:lang w:val="fr-FR"/>
        </w:rPr>
        <w:t>italien</w:t>
      </w:r>
      <w:r w:rsidR="00E77CB3" w:rsidRPr="008544BB">
        <w:rPr>
          <w:lang w:val="fr-FR"/>
        </w:rPr>
        <w:t xml:space="preserve"> (« le Gouvernement ») a été représenté par son agent, </w:t>
      </w:r>
      <w:r w:rsidRPr="008544BB">
        <w:rPr>
          <w:lang w:val="fr-FR"/>
        </w:rPr>
        <w:t>M</w:t>
      </w:r>
      <w:r w:rsidRPr="008544BB">
        <w:rPr>
          <w:vertAlign w:val="superscript"/>
          <w:lang w:val="fr-FR"/>
        </w:rPr>
        <w:t>me</w:t>
      </w:r>
      <w:r w:rsidR="000C49F6" w:rsidRPr="008544BB">
        <w:rPr>
          <w:lang w:val="fr-FR"/>
        </w:rPr>
        <w:t> </w:t>
      </w:r>
      <w:r w:rsidRPr="008544BB">
        <w:rPr>
          <w:lang w:val="fr-FR"/>
        </w:rPr>
        <w:t>E.</w:t>
      </w:r>
      <w:r w:rsidR="000C49F6" w:rsidRPr="008544BB">
        <w:rPr>
          <w:lang w:val="fr-FR"/>
        </w:rPr>
        <w:t> </w:t>
      </w:r>
      <w:r w:rsidRPr="008544BB">
        <w:rPr>
          <w:lang w:val="fr-FR"/>
        </w:rPr>
        <w:t>Spatafora</w:t>
      </w:r>
      <w:r w:rsidR="007C7472" w:rsidRPr="008544BB">
        <w:rPr>
          <w:lang w:val="fr-FR"/>
        </w:rPr>
        <w:t>,</w:t>
      </w:r>
      <w:r w:rsidRPr="008544BB">
        <w:rPr>
          <w:lang w:val="fr-FR"/>
        </w:rPr>
        <w:t xml:space="preserve"> et son</w:t>
      </w:r>
      <w:r w:rsidR="00FD38C7" w:rsidRPr="008544BB">
        <w:rPr>
          <w:lang w:val="fr-FR"/>
        </w:rPr>
        <w:t xml:space="preserve"> ancien</w:t>
      </w:r>
      <w:r w:rsidRPr="008544BB">
        <w:rPr>
          <w:lang w:val="fr-FR"/>
        </w:rPr>
        <w:t xml:space="preserve"> coagent, M. G.</w:t>
      </w:r>
      <w:r w:rsidR="00C031E6" w:rsidRPr="008544BB">
        <w:rPr>
          <w:lang w:val="fr-FR"/>
        </w:rPr>
        <w:t> </w:t>
      </w:r>
      <w:r w:rsidRPr="008544BB">
        <w:rPr>
          <w:lang w:val="fr-FR"/>
        </w:rPr>
        <w:t>M</w:t>
      </w:r>
      <w:r w:rsidR="00FD38C7" w:rsidRPr="008544BB">
        <w:rPr>
          <w:lang w:val="fr-FR"/>
        </w:rPr>
        <w:t>auro</w:t>
      </w:r>
      <w:r w:rsidRPr="008544BB">
        <w:rPr>
          <w:lang w:val="fr-FR"/>
        </w:rPr>
        <w:t xml:space="preserve"> Pellegrini</w:t>
      </w:r>
      <w:r w:rsidR="007C5300" w:rsidRPr="008544BB">
        <w:rPr>
          <w:lang w:val="fr-FR"/>
        </w:rPr>
        <w:t>.</w:t>
      </w:r>
    </w:p>
    <w:p w:rsidR="00E77CB3" w:rsidRPr="008544BB" w:rsidRDefault="004A4240" w:rsidP="008544BB">
      <w:pPr>
        <w:pStyle w:val="ECHRPara"/>
        <w:rPr>
          <w:szCs w:val="24"/>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3</w:t>
      </w:r>
      <w:r w:rsidRPr="008544BB">
        <w:rPr>
          <w:lang w:val="fr-FR"/>
        </w:rPr>
        <w:fldChar w:fldCharType="end"/>
      </w:r>
      <w:r w:rsidR="00502EF1" w:rsidRPr="008544BB">
        <w:rPr>
          <w:lang w:val="fr-FR"/>
        </w:rPr>
        <w:t>.  Les requérant</w:t>
      </w:r>
      <w:r w:rsidR="00F20422" w:rsidRPr="008544BB">
        <w:rPr>
          <w:lang w:val="fr-FR"/>
        </w:rPr>
        <w:t>e</w:t>
      </w:r>
      <w:r w:rsidRPr="008544BB">
        <w:rPr>
          <w:lang w:val="fr-FR"/>
        </w:rPr>
        <w:t>s all</w:t>
      </w:r>
      <w:r w:rsidR="00F20422" w:rsidRPr="008544BB">
        <w:rPr>
          <w:lang w:val="fr-FR"/>
        </w:rPr>
        <w:t>éguaient</w:t>
      </w:r>
      <w:r w:rsidRPr="008544BB">
        <w:rPr>
          <w:lang w:val="fr-FR"/>
        </w:rPr>
        <w:t xml:space="preserve"> en particulier </w:t>
      </w:r>
      <w:r w:rsidR="007C7472" w:rsidRPr="008544BB">
        <w:rPr>
          <w:lang w:val="fr-FR"/>
        </w:rPr>
        <w:t>une violation de leur droit au respect de la</w:t>
      </w:r>
      <w:r w:rsidR="002648F6" w:rsidRPr="008544BB">
        <w:rPr>
          <w:lang w:val="fr-FR"/>
        </w:rPr>
        <w:t xml:space="preserve"> vie familiale</w:t>
      </w:r>
      <w:r w:rsidR="000C7A6A" w:rsidRPr="008544BB">
        <w:rPr>
          <w:lang w:val="fr-FR"/>
        </w:rPr>
        <w:t>,</w:t>
      </w:r>
      <w:r w:rsidR="002648F6" w:rsidRPr="008544BB">
        <w:rPr>
          <w:lang w:val="fr-FR"/>
        </w:rPr>
        <w:t xml:space="preserve"> en </w:t>
      </w:r>
      <w:r w:rsidR="000C7A6A" w:rsidRPr="008544BB">
        <w:rPr>
          <w:lang w:val="fr-FR"/>
        </w:rPr>
        <w:t>raison</w:t>
      </w:r>
      <w:r w:rsidR="002648F6" w:rsidRPr="008544BB">
        <w:rPr>
          <w:lang w:val="fr-FR"/>
        </w:rPr>
        <w:t xml:space="preserve"> du placement</w:t>
      </w:r>
      <w:r w:rsidR="007C7472" w:rsidRPr="008544BB">
        <w:rPr>
          <w:lang w:val="fr-FR"/>
        </w:rPr>
        <w:t xml:space="preserve"> </w:t>
      </w:r>
      <w:r w:rsidR="0014448D" w:rsidRPr="008544BB">
        <w:rPr>
          <w:lang w:val="fr-FR"/>
        </w:rPr>
        <w:t xml:space="preserve">en établissement </w:t>
      </w:r>
      <w:r w:rsidR="007C7472" w:rsidRPr="008544BB">
        <w:rPr>
          <w:lang w:val="fr-FR"/>
        </w:rPr>
        <w:t>de</w:t>
      </w:r>
      <w:r w:rsidR="00F20422" w:rsidRPr="008544BB">
        <w:rPr>
          <w:lang w:val="fr-FR"/>
        </w:rPr>
        <w:t>s</w:t>
      </w:r>
      <w:r w:rsidR="007C7472" w:rsidRPr="008544BB">
        <w:rPr>
          <w:lang w:val="fr-FR"/>
        </w:rPr>
        <w:t xml:space="preserve"> deux enfants de la première requérante, petit</w:t>
      </w:r>
      <w:r w:rsidR="00F20422" w:rsidRPr="008544BB">
        <w:rPr>
          <w:lang w:val="fr-FR"/>
        </w:rPr>
        <w:t>s</w:t>
      </w:r>
      <w:r w:rsidR="007C7472" w:rsidRPr="008544BB">
        <w:rPr>
          <w:lang w:val="fr-FR"/>
        </w:rPr>
        <w:t>-</w:t>
      </w:r>
      <w:r w:rsidR="0010755D" w:rsidRPr="008544BB">
        <w:rPr>
          <w:lang w:val="fr-FR"/>
        </w:rPr>
        <w:t>enfants</w:t>
      </w:r>
      <w:r w:rsidR="007C7472" w:rsidRPr="008544BB">
        <w:rPr>
          <w:lang w:val="fr-FR"/>
        </w:rPr>
        <w:t xml:space="preserve"> de la deuxième.</w:t>
      </w:r>
    </w:p>
    <w:p w:rsidR="00E77CB3" w:rsidRPr="008544BB" w:rsidRDefault="004A4240" w:rsidP="008544BB">
      <w:pPr>
        <w:pStyle w:val="ECHRPara"/>
        <w:rPr>
          <w:szCs w:val="24"/>
          <w:lang w:val="fr-FR" w:eastAsia="en-GB"/>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4</w:t>
      </w:r>
      <w:r w:rsidRPr="008544BB">
        <w:rPr>
          <w:lang w:val="fr-FR"/>
        </w:rPr>
        <w:fldChar w:fldCharType="end"/>
      </w:r>
      <w:r w:rsidR="00E77CB3" w:rsidRPr="008544BB">
        <w:rPr>
          <w:lang w:val="fr-FR"/>
        </w:rPr>
        <w:t>.  </w:t>
      </w:r>
      <w:r w:rsidRPr="008544BB">
        <w:rPr>
          <w:lang w:val="fr-FR"/>
        </w:rPr>
        <w:t xml:space="preserve">Le </w:t>
      </w:r>
      <w:r w:rsidRPr="008544BB">
        <w:rPr>
          <w:szCs w:val="24"/>
          <w:lang w:val="fr-FR"/>
        </w:rPr>
        <w:t>12 septembre 2013</w:t>
      </w:r>
      <w:r w:rsidR="00E77CB3" w:rsidRPr="008544BB">
        <w:rPr>
          <w:lang w:val="fr-FR"/>
        </w:rPr>
        <w:t xml:space="preserve">, </w:t>
      </w:r>
      <w:r w:rsidRPr="008544BB">
        <w:rPr>
          <w:lang w:val="fr-FR"/>
        </w:rPr>
        <w:t>la requête a été communiquée au Gouvernement</w:t>
      </w:r>
      <w:r w:rsidR="00646454" w:rsidRPr="008544BB">
        <w:rPr>
          <w:lang w:val="fr-FR"/>
        </w:rPr>
        <w:t>.</w:t>
      </w:r>
      <w:r w:rsidR="002C0925" w:rsidRPr="008544BB">
        <w:rPr>
          <w:lang w:val="fr-FR"/>
        </w:rPr>
        <w:t xml:space="preserve"> Le Gouvernement ne s</w:t>
      </w:r>
      <w:r w:rsidR="008544BB" w:rsidRPr="008544BB">
        <w:rPr>
          <w:lang w:val="fr-FR"/>
        </w:rPr>
        <w:t>’</w:t>
      </w:r>
      <w:r w:rsidR="002C0925" w:rsidRPr="008544BB">
        <w:rPr>
          <w:lang w:val="fr-FR"/>
        </w:rPr>
        <w:t>est opposé à l</w:t>
      </w:r>
      <w:r w:rsidR="008544BB" w:rsidRPr="008544BB">
        <w:rPr>
          <w:lang w:val="fr-FR"/>
        </w:rPr>
        <w:t>’</w:t>
      </w:r>
      <w:r w:rsidR="002C0925" w:rsidRPr="008544BB">
        <w:rPr>
          <w:lang w:val="fr-FR"/>
        </w:rPr>
        <w:t>examen de la requête par un comité.</w:t>
      </w:r>
    </w:p>
    <w:p w:rsidR="00E77CB3" w:rsidRPr="008544BB" w:rsidRDefault="00E77CB3" w:rsidP="008544BB">
      <w:pPr>
        <w:pStyle w:val="ECHRTitle1"/>
        <w:tabs>
          <w:tab w:val="left" w:pos="5387"/>
        </w:tabs>
        <w:rPr>
          <w:lang w:val="fr-FR"/>
        </w:rPr>
      </w:pPr>
      <w:r w:rsidRPr="008544BB">
        <w:rPr>
          <w:lang w:val="fr-FR"/>
        </w:rPr>
        <w:t>EN FAIT</w:t>
      </w:r>
    </w:p>
    <w:p w:rsidR="00E77CB3" w:rsidRPr="008544BB" w:rsidRDefault="00E77CB3" w:rsidP="008544BB">
      <w:pPr>
        <w:pStyle w:val="ECHRHeading1"/>
        <w:rPr>
          <w:lang w:val="fr-FR"/>
        </w:rPr>
      </w:pPr>
      <w:r w:rsidRPr="008544BB">
        <w:rPr>
          <w:lang w:val="fr-FR"/>
        </w:rPr>
        <w:t>I.  LES CIRCONSTANCES DE L</w:t>
      </w:r>
      <w:r w:rsidR="008544BB" w:rsidRPr="008544BB">
        <w:rPr>
          <w:lang w:val="fr-FR"/>
        </w:rPr>
        <w:t>’</w:t>
      </w:r>
      <w:r w:rsidRPr="008544BB">
        <w:rPr>
          <w:lang w:val="fr-FR"/>
        </w:rPr>
        <w:t>ESPÈCE</w:t>
      </w:r>
    </w:p>
    <w:p w:rsidR="004A4240" w:rsidRPr="008544BB" w:rsidRDefault="004A4240"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5</w:t>
      </w:r>
      <w:r w:rsidRPr="008544BB">
        <w:rPr>
          <w:lang w:val="fr-FR"/>
        </w:rPr>
        <w:fldChar w:fldCharType="end"/>
      </w:r>
      <w:r w:rsidR="00E77CB3" w:rsidRPr="008544BB">
        <w:rPr>
          <w:lang w:val="fr-FR"/>
        </w:rPr>
        <w:t>.  </w:t>
      </w:r>
      <w:r w:rsidRPr="008544BB">
        <w:rPr>
          <w:lang w:val="fr-FR"/>
        </w:rPr>
        <w:t>L</w:t>
      </w:r>
      <w:r w:rsidR="00765C6D" w:rsidRPr="008544BB">
        <w:rPr>
          <w:lang w:val="fr-FR"/>
        </w:rPr>
        <w:t>a première requérante</w:t>
      </w:r>
      <w:r w:rsidR="00F5085E" w:rsidRPr="008544BB">
        <w:rPr>
          <w:lang w:val="fr-FR"/>
        </w:rPr>
        <w:t xml:space="preserve"> </w:t>
      </w:r>
      <w:r w:rsidR="00765C6D" w:rsidRPr="008544BB">
        <w:rPr>
          <w:lang w:val="fr-FR"/>
        </w:rPr>
        <w:t xml:space="preserve">est née en 1963 ; la deuxième requérante, </w:t>
      </w:r>
      <w:r w:rsidR="00E132E1" w:rsidRPr="008544BB">
        <w:rPr>
          <w:lang w:val="fr-FR"/>
        </w:rPr>
        <w:t>mère de la première</w:t>
      </w:r>
      <w:r w:rsidR="00765C6D" w:rsidRPr="008544BB">
        <w:rPr>
          <w:lang w:val="fr-FR"/>
        </w:rPr>
        <w:t>, est née en 1931</w:t>
      </w:r>
      <w:r w:rsidR="00E77CB3" w:rsidRPr="008544BB">
        <w:rPr>
          <w:lang w:val="fr-FR"/>
        </w:rPr>
        <w:t>. </w:t>
      </w:r>
      <w:r w:rsidR="00EF374A" w:rsidRPr="008544BB">
        <w:rPr>
          <w:lang w:val="fr-FR"/>
        </w:rPr>
        <w:t>La première requérante</w:t>
      </w:r>
      <w:r w:rsidRPr="008544BB">
        <w:rPr>
          <w:lang w:val="fr-FR"/>
        </w:rPr>
        <w:t xml:space="preserve"> a deux enfants</w:t>
      </w:r>
      <w:r w:rsidR="003E3CE2" w:rsidRPr="008544BB">
        <w:rPr>
          <w:lang w:val="fr-FR"/>
        </w:rPr>
        <w:t xml:space="preserve">, </w:t>
      </w:r>
      <w:r w:rsidRPr="008544BB">
        <w:rPr>
          <w:lang w:val="fr-FR"/>
        </w:rPr>
        <w:t>L. et S.</w:t>
      </w:r>
      <w:r w:rsidR="00765C6D" w:rsidRPr="008544BB">
        <w:rPr>
          <w:lang w:val="fr-FR"/>
        </w:rPr>
        <w:t>,</w:t>
      </w:r>
      <w:r w:rsidRPr="008544BB">
        <w:rPr>
          <w:lang w:val="fr-FR"/>
        </w:rPr>
        <w:t xml:space="preserve"> nés respectivement le 9 août 2000 et le 18 mai 2005.</w:t>
      </w:r>
      <w:r w:rsidR="00FD38C7" w:rsidRPr="008544BB">
        <w:rPr>
          <w:lang w:val="fr-FR"/>
        </w:rPr>
        <w:t xml:space="preserve"> </w:t>
      </w:r>
      <w:r w:rsidR="00BE05B0" w:rsidRPr="008544BB">
        <w:rPr>
          <w:lang w:val="fr-FR"/>
        </w:rPr>
        <w:t>Les requérantes résident</w:t>
      </w:r>
      <w:r w:rsidR="00FD38C7" w:rsidRPr="008544BB">
        <w:rPr>
          <w:lang w:val="fr-FR"/>
        </w:rPr>
        <w:t xml:space="preserve"> à Rome</w:t>
      </w:r>
      <w:r w:rsidR="00185F66" w:rsidRPr="008544BB">
        <w:rPr>
          <w:lang w:val="fr-FR"/>
        </w:rPr>
        <w:t>.</w:t>
      </w:r>
    </w:p>
    <w:p w:rsidR="007A7624" w:rsidRPr="008544BB" w:rsidRDefault="007C7472" w:rsidP="008544BB">
      <w:pPr>
        <w:pStyle w:val="ECHRPara"/>
        <w:rPr>
          <w:lang w:val="fr-FR"/>
        </w:rPr>
      </w:pPr>
      <w:r w:rsidRPr="008544BB">
        <w:rPr>
          <w:lang w:val="fr-FR"/>
        </w:rPr>
        <w:lastRenderedPageBreak/>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6</w:t>
      </w:r>
      <w:r w:rsidRPr="008544BB">
        <w:rPr>
          <w:lang w:val="fr-FR"/>
        </w:rPr>
        <w:fldChar w:fldCharType="end"/>
      </w:r>
      <w:r w:rsidRPr="008544BB">
        <w:rPr>
          <w:lang w:val="fr-FR"/>
        </w:rPr>
        <w:t>.  Les faits de la cause, tels qu</w:t>
      </w:r>
      <w:r w:rsidR="008544BB" w:rsidRPr="008544BB">
        <w:rPr>
          <w:lang w:val="fr-FR"/>
        </w:rPr>
        <w:t>’</w:t>
      </w:r>
      <w:r w:rsidRPr="008544BB">
        <w:rPr>
          <w:lang w:val="fr-FR"/>
        </w:rPr>
        <w:t>ils ont été exposés par les requérant</w:t>
      </w:r>
      <w:r w:rsidR="003E3CE2" w:rsidRPr="008544BB">
        <w:rPr>
          <w:lang w:val="fr-FR"/>
        </w:rPr>
        <w:t>e</w:t>
      </w:r>
      <w:r w:rsidRPr="008544BB">
        <w:rPr>
          <w:lang w:val="fr-FR"/>
        </w:rPr>
        <w:t>s, peuvent se résumer comme suit.</w:t>
      </w:r>
    </w:p>
    <w:p w:rsidR="00EA5DAB" w:rsidRPr="008544BB" w:rsidRDefault="000A2B01" w:rsidP="008544BB">
      <w:pPr>
        <w:pStyle w:val="ECHRHeading2"/>
        <w:rPr>
          <w:lang w:val="fr-FR"/>
        </w:rPr>
      </w:pPr>
      <w:r w:rsidRPr="008544BB">
        <w:rPr>
          <w:lang w:val="fr-FR"/>
        </w:rPr>
        <w:t>A.  </w:t>
      </w:r>
      <w:r w:rsidR="00EA5DAB" w:rsidRPr="008544BB">
        <w:rPr>
          <w:lang w:val="fr-FR"/>
        </w:rPr>
        <w:t>Sur le placement des enfants</w:t>
      </w:r>
    </w:p>
    <w:p w:rsidR="00CA6556" w:rsidRPr="008544BB" w:rsidRDefault="004A4240"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7</w:t>
      </w:r>
      <w:r w:rsidRPr="008544BB">
        <w:rPr>
          <w:lang w:val="fr-FR"/>
        </w:rPr>
        <w:fldChar w:fldCharType="end"/>
      </w:r>
      <w:r w:rsidRPr="008544BB">
        <w:rPr>
          <w:lang w:val="fr-FR"/>
        </w:rPr>
        <w:t xml:space="preserve">.  Le </w:t>
      </w:r>
      <w:r w:rsidR="00690ED3" w:rsidRPr="008544BB">
        <w:rPr>
          <w:lang w:val="fr-FR"/>
        </w:rPr>
        <w:t>8</w:t>
      </w:r>
      <w:r w:rsidRPr="008544BB">
        <w:rPr>
          <w:lang w:val="fr-FR"/>
        </w:rPr>
        <w:t xml:space="preserve"> juillet 2007, </w:t>
      </w:r>
      <w:r w:rsidR="00C031E6" w:rsidRPr="008544BB">
        <w:rPr>
          <w:lang w:val="fr-FR"/>
        </w:rPr>
        <w:t>une vétérinaire effectua une visite sanitaire de deux petits buffles se trouvant sur</w:t>
      </w:r>
      <w:r w:rsidR="00B44D6F" w:rsidRPr="008544BB">
        <w:rPr>
          <w:lang w:val="fr-FR"/>
        </w:rPr>
        <w:t xml:space="preserve"> la</w:t>
      </w:r>
      <w:r w:rsidR="0019677A" w:rsidRPr="008544BB">
        <w:rPr>
          <w:lang w:val="fr-FR"/>
        </w:rPr>
        <w:t xml:space="preserve"> propriété de la première requérante</w:t>
      </w:r>
      <w:r w:rsidR="00C031E6" w:rsidRPr="008544BB">
        <w:rPr>
          <w:lang w:val="fr-FR"/>
        </w:rPr>
        <w:t xml:space="preserve">. </w:t>
      </w:r>
      <w:r w:rsidR="000204FC" w:rsidRPr="008544BB">
        <w:rPr>
          <w:lang w:val="fr-FR"/>
        </w:rPr>
        <w:t>À</w:t>
      </w:r>
      <w:r w:rsidR="00C031E6" w:rsidRPr="008544BB">
        <w:rPr>
          <w:lang w:val="fr-FR"/>
        </w:rPr>
        <w:t xml:space="preserve"> cette occasion, elle</w:t>
      </w:r>
      <w:r w:rsidR="00B44D6F" w:rsidRPr="008544BB">
        <w:rPr>
          <w:lang w:val="fr-FR"/>
        </w:rPr>
        <w:t xml:space="preserve"> c</w:t>
      </w:r>
      <w:r w:rsidR="00392258" w:rsidRPr="008544BB">
        <w:rPr>
          <w:lang w:val="fr-FR"/>
        </w:rPr>
        <w:t xml:space="preserve">onstata que </w:t>
      </w:r>
      <w:r w:rsidR="00EF374A" w:rsidRPr="008544BB">
        <w:rPr>
          <w:lang w:val="fr-FR"/>
        </w:rPr>
        <w:t>l</w:t>
      </w:r>
      <w:r w:rsidR="00392258" w:rsidRPr="008544BB">
        <w:rPr>
          <w:lang w:val="fr-FR"/>
        </w:rPr>
        <w:t xml:space="preserve">es </w:t>
      </w:r>
      <w:r w:rsidRPr="008544BB">
        <w:rPr>
          <w:lang w:val="fr-FR"/>
        </w:rPr>
        <w:t xml:space="preserve">enfants </w:t>
      </w:r>
      <w:r w:rsidR="00EF374A" w:rsidRPr="008544BB">
        <w:rPr>
          <w:lang w:val="fr-FR"/>
        </w:rPr>
        <w:t xml:space="preserve">de </w:t>
      </w:r>
      <w:r w:rsidR="0053014E" w:rsidRPr="008544BB">
        <w:rPr>
          <w:lang w:val="fr-FR"/>
        </w:rPr>
        <w:t xml:space="preserve">celle-ci </w:t>
      </w:r>
      <w:r w:rsidRPr="008544BB">
        <w:rPr>
          <w:lang w:val="fr-FR"/>
        </w:rPr>
        <w:t xml:space="preserve">vivaient </w:t>
      </w:r>
      <w:r w:rsidR="0019677A" w:rsidRPr="008544BB">
        <w:rPr>
          <w:lang w:val="fr-FR"/>
        </w:rPr>
        <w:t xml:space="preserve">parmi </w:t>
      </w:r>
      <w:r w:rsidRPr="008544BB">
        <w:rPr>
          <w:lang w:val="fr-FR"/>
        </w:rPr>
        <w:t>un</w:t>
      </w:r>
      <w:r w:rsidR="0014448D" w:rsidRPr="008544BB">
        <w:rPr>
          <w:lang w:val="fr-FR"/>
        </w:rPr>
        <w:t xml:space="preserve"> nombre</w:t>
      </w:r>
      <w:r w:rsidRPr="008544BB">
        <w:rPr>
          <w:lang w:val="fr-FR"/>
        </w:rPr>
        <w:t xml:space="preserve"> </w:t>
      </w:r>
      <w:r w:rsidR="00B44D6F" w:rsidRPr="008544BB">
        <w:rPr>
          <w:lang w:val="fr-FR"/>
        </w:rPr>
        <w:t xml:space="preserve">élevé </w:t>
      </w:r>
      <w:r w:rsidRPr="008544BB">
        <w:rPr>
          <w:lang w:val="fr-FR"/>
        </w:rPr>
        <w:t xml:space="preserve">de chiens, </w:t>
      </w:r>
      <w:r w:rsidR="009F5CF2" w:rsidRPr="008544BB">
        <w:rPr>
          <w:lang w:val="fr-FR"/>
        </w:rPr>
        <w:t xml:space="preserve">de </w:t>
      </w:r>
      <w:r w:rsidRPr="008544BB">
        <w:rPr>
          <w:lang w:val="fr-FR"/>
        </w:rPr>
        <w:t xml:space="preserve">chats et </w:t>
      </w:r>
      <w:r w:rsidR="009F5CF2" w:rsidRPr="008544BB">
        <w:rPr>
          <w:lang w:val="fr-FR"/>
        </w:rPr>
        <w:t>d</w:t>
      </w:r>
      <w:r w:rsidR="008544BB" w:rsidRPr="008544BB">
        <w:rPr>
          <w:lang w:val="fr-FR"/>
        </w:rPr>
        <w:t>’</w:t>
      </w:r>
      <w:r w:rsidR="000D0C39" w:rsidRPr="008544BB">
        <w:rPr>
          <w:lang w:val="fr-FR"/>
        </w:rPr>
        <w:t xml:space="preserve">autres </w:t>
      </w:r>
      <w:r w:rsidR="009F5CF2" w:rsidRPr="008544BB">
        <w:rPr>
          <w:lang w:val="fr-FR"/>
        </w:rPr>
        <w:t>animaux</w:t>
      </w:r>
      <w:r w:rsidRPr="008544BB">
        <w:rPr>
          <w:lang w:val="fr-FR"/>
        </w:rPr>
        <w:t xml:space="preserve"> et que les conditions </w:t>
      </w:r>
      <w:r w:rsidR="00B44D6F" w:rsidRPr="008544BB">
        <w:rPr>
          <w:lang w:val="fr-FR"/>
        </w:rPr>
        <w:t>d</w:t>
      </w:r>
      <w:r w:rsidR="008544BB" w:rsidRPr="008544BB">
        <w:rPr>
          <w:lang w:val="fr-FR"/>
        </w:rPr>
        <w:t>’</w:t>
      </w:r>
      <w:r w:rsidRPr="008544BB">
        <w:rPr>
          <w:lang w:val="fr-FR"/>
        </w:rPr>
        <w:t>hygi</w:t>
      </w:r>
      <w:r w:rsidR="002A758B" w:rsidRPr="008544BB">
        <w:rPr>
          <w:lang w:val="fr-FR"/>
        </w:rPr>
        <w:t>è</w:t>
      </w:r>
      <w:r w:rsidRPr="008544BB">
        <w:rPr>
          <w:lang w:val="fr-FR"/>
        </w:rPr>
        <w:t>ne paraissaient précaires.</w:t>
      </w:r>
      <w:r w:rsidR="007A7624" w:rsidRPr="008544BB">
        <w:rPr>
          <w:lang w:val="fr-FR"/>
        </w:rPr>
        <w:t xml:space="preserve"> L</w:t>
      </w:r>
      <w:r w:rsidR="00690ED3" w:rsidRPr="008544BB">
        <w:rPr>
          <w:lang w:val="fr-FR"/>
        </w:rPr>
        <w:t xml:space="preserve">e lendemain, </w:t>
      </w:r>
      <w:r w:rsidR="00EF374A" w:rsidRPr="008544BB">
        <w:rPr>
          <w:lang w:val="fr-FR"/>
        </w:rPr>
        <w:t>elle</w:t>
      </w:r>
      <w:r w:rsidR="007A7624" w:rsidRPr="008544BB">
        <w:rPr>
          <w:lang w:val="fr-FR"/>
        </w:rPr>
        <w:t xml:space="preserve"> signala aux autorités compétentes l</w:t>
      </w:r>
      <w:r w:rsidR="008544BB" w:rsidRPr="008544BB">
        <w:rPr>
          <w:lang w:val="fr-FR"/>
        </w:rPr>
        <w:t>’</w:t>
      </w:r>
      <w:r w:rsidR="00A40130" w:rsidRPr="008544BB">
        <w:rPr>
          <w:lang w:val="fr-FR"/>
        </w:rPr>
        <w:t>absence d</w:t>
      </w:r>
      <w:r w:rsidR="008544BB" w:rsidRPr="008544BB">
        <w:rPr>
          <w:lang w:val="fr-FR"/>
        </w:rPr>
        <w:t>’</w:t>
      </w:r>
      <w:r w:rsidR="00A40130" w:rsidRPr="008544BB">
        <w:rPr>
          <w:lang w:val="fr-FR"/>
        </w:rPr>
        <w:t xml:space="preserve">un espace de jeu pour les enfants, </w:t>
      </w:r>
      <w:r w:rsidR="00B44D6F" w:rsidRPr="008544BB">
        <w:rPr>
          <w:lang w:val="fr-FR"/>
        </w:rPr>
        <w:t>d</w:t>
      </w:r>
      <w:r w:rsidR="000D0C39" w:rsidRPr="008544BB">
        <w:rPr>
          <w:lang w:val="fr-FR"/>
        </w:rPr>
        <w:t>es risques pour l</w:t>
      </w:r>
      <w:r w:rsidR="00B44D6F" w:rsidRPr="008544BB">
        <w:rPr>
          <w:lang w:val="fr-FR"/>
        </w:rPr>
        <w:t>a</w:t>
      </w:r>
      <w:r w:rsidR="000D0C39" w:rsidRPr="008544BB">
        <w:rPr>
          <w:lang w:val="fr-FR"/>
        </w:rPr>
        <w:t xml:space="preserve"> sécurité </w:t>
      </w:r>
      <w:r w:rsidR="00B44D6F" w:rsidRPr="008544BB">
        <w:rPr>
          <w:lang w:val="fr-FR"/>
        </w:rPr>
        <w:t xml:space="preserve">de ceux-ci </w:t>
      </w:r>
      <w:r w:rsidR="001D663C" w:rsidRPr="008544BB">
        <w:rPr>
          <w:lang w:val="fr-FR"/>
        </w:rPr>
        <w:t xml:space="preserve">et </w:t>
      </w:r>
      <w:r w:rsidR="00B44D6F" w:rsidRPr="008544BB">
        <w:rPr>
          <w:lang w:val="fr-FR"/>
        </w:rPr>
        <w:t>d</w:t>
      </w:r>
      <w:r w:rsidR="001D663C" w:rsidRPr="008544BB">
        <w:rPr>
          <w:lang w:val="fr-FR"/>
        </w:rPr>
        <w:t>es excès de colère de la p</w:t>
      </w:r>
      <w:r w:rsidR="00A40130" w:rsidRPr="008544BB">
        <w:rPr>
          <w:lang w:val="fr-FR"/>
        </w:rPr>
        <w:t>remière requérante à l</w:t>
      </w:r>
      <w:r w:rsidR="008544BB" w:rsidRPr="008544BB">
        <w:rPr>
          <w:lang w:val="fr-FR"/>
        </w:rPr>
        <w:t>’</w:t>
      </w:r>
      <w:r w:rsidR="00A40130" w:rsidRPr="008544BB">
        <w:rPr>
          <w:lang w:val="fr-FR"/>
        </w:rPr>
        <w:t>égard de</w:t>
      </w:r>
      <w:r w:rsidR="001D663C" w:rsidRPr="008544BB">
        <w:rPr>
          <w:lang w:val="fr-FR"/>
        </w:rPr>
        <w:t xml:space="preserve"> L</w:t>
      </w:r>
      <w:r w:rsidR="007A7624" w:rsidRPr="008544BB">
        <w:rPr>
          <w:lang w:val="fr-FR"/>
        </w:rPr>
        <w:t>.</w:t>
      </w:r>
    </w:p>
    <w:bookmarkStart w:id="1" w:name="bonne_etat_de_sante"/>
    <w:p w:rsidR="00765C6D" w:rsidRPr="008544BB" w:rsidRDefault="006B5950"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8</w:t>
      </w:r>
      <w:r w:rsidRPr="008544BB">
        <w:rPr>
          <w:lang w:val="fr-FR"/>
        </w:rPr>
        <w:fldChar w:fldCharType="end"/>
      </w:r>
      <w:bookmarkEnd w:id="1"/>
      <w:r w:rsidRPr="008544BB">
        <w:rPr>
          <w:lang w:val="fr-FR"/>
        </w:rPr>
        <w:t>.  Le 13 juillet 20</w:t>
      </w:r>
      <w:r w:rsidR="00B0709D" w:rsidRPr="008544BB">
        <w:rPr>
          <w:lang w:val="fr-FR"/>
        </w:rPr>
        <w:t>0</w:t>
      </w:r>
      <w:r w:rsidRPr="008544BB">
        <w:rPr>
          <w:lang w:val="fr-FR"/>
        </w:rPr>
        <w:t xml:space="preserve">7, </w:t>
      </w:r>
      <w:r w:rsidR="00A565A1" w:rsidRPr="008544BB">
        <w:rPr>
          <w:lang w:val="fr-FR"/>
        </w:rPr>
        <w:t>lors de l</w:t>
      </w:r>
      <w:r w:rsidR="008544BB" w:rsidRPr="008544BB">
        <w:rPr>
          <w:lang w:val="fr-FR"/>
        </w:rPr>
        <w:t>’</w:t>
      </w:r>
      <w:r w:rsidR="00A565A1" w:rsidRPr="008544BB">
        <w:rPr>
          <w:lang w:val="fr-FR"/>
        </w:rPr>
        <w:t xml:space="preserve">inspection </w:t>
      </w:r>
      <w:r w:rsidR="00873A3E" w:rsidRPr="008544BB">
        <w:rPr>
          <w:lang w:val="fr-FR"/>
        </w:rPr>
        <w:t>d</w:t>
      </w:r>
      <w:r w:rsidR="007A7624" w:rsidRPr="008544BB">
        <w:rPr>
          <w:lang w:val="fr-FR"/>
        </w:rPr>
        <w:t>es forces de l</w:t>
      </w:r>
      <w:r w:rsidR="008544BB" w:rsidRPr="008544BB">
        <w:rPr>
          <w:lang w:val="fr-FR"/>
        </w:rPr>
        <w:t>’</w:t>
      </w:r>
      <w:r w:rsidR="007A7624" w:rsidRPr="008544BB">
        <w:rPr>
          <w:lang w:val="fr-FR"/>
        </w:rPr>
        <w:t>ordre</w:t>
      </w:r>
      <w:r w:rsidR="00A565A1" w:rsidRPr="008544BB">
        <w:rPr>
          <w:lang w:val="fr-FR"/>
        </w:rPr>
        <w:t xml:space="preserve"> et </w:t>
      </w:r>
      <w:r w:rsidR="00873A3E" w:rsidRPr="008544BB">
        <w:rPr>
          <w:lang w:val="fr-FR"/>
        </w:rPr>
        <w:t>d</w:t>
      </w:r>
      <w:r w:rsidR="00A565A1" w:rsidRPr="008544BB">
        <w:rPr>
          <w:lang w:val="fr-FR"/>
        </w:rPr>
        <w:t xml:space="preserve">es services sanitaires </w:t>
      </w:r>
      <w:r w:rsidR="00B44D6F" w:rsidRPr="008544BB">
        <w:rPr>
          <w:lang w:val="fr-FR"/>
        </w:rPr>
        <w:t xml:space="preserve">et sociaux </w:t>
      </w:r>
      <w:r w:rsidR="00A565A1" w:rsidRPr="008544BB">
        <w:rPr>
          <w:lang w:val="fr-FR"/>
        </w:rPr>
        <w:t>de la ville de Grottaferrata</w:t>
      </w:r>
      <w:r w:rsidR="00873A3E" w:rsidRPr="008544BB">
        <w:rPr>
          <w:lang w:val="fr-FR"/>
        </w:rPr>
        <w:t>, il fut</w:t>
      </w:r>
      <w:r w:rsidR="00A565A1" w:rsidRPr="008544BB">
        <w:rPr>
          <w:lang w:val="fr-FR"/>
        </w:rPr>
        <w:t xml:space="preserve"> constat</w:t>
      </w:r>
      <w:r w:rsidR="00873A3E" w:rsidRPr="008544BB">
        <w:rPr>
          <w:lang w:val="fr-FR"/>
        </w:rPr>
        <w:t>é que</w:t>
      </w:r>
      <w:r w:rsidR="00A565A1" w:rsidRPr="008544BB">
        <w:rPr>
          <w:lang w:val="fr-FR"/>
        </w:rPr>
        <w:t xml:space="preserve"> l</w:t>
      </w:r>
      <w:r w:rsidR="00873A3E" w:rsidRPr="008544BB">
        <w:rPr>
          <w:lang w:val="fr-FR"/>
        </w:rPr>
        <w:t>a maison n</w:t>
      </w:r>
      <w:r w:rsidR="008544BB" w:rsidRPr="008544BB">
        <w:rPr>
          <w:lang w:val="fr-FR"/>
        </w:rPr>
        <w:t>’</w:t>
      </w:r>
      <w:r w:rsidR="00873A3E" w:rsidRPr="008544BB">
        <w:rPr>
          <w:lang w:val="fr-FR"/>
        </w:rPr>
        <w:t>était pas habitable</w:t>
      </w:r>
      <w:r w:rsidR="00A565A1" w:rsidRPr="008544BB">
        <w:rPr>
          <w:lang w:val="fr-FR"/>
        </w:rPr>
        <w:t>.</w:t>
      </w:r>
      <w:r w:rsidR="00690ED3" w:rsidRPr="008544BB">
        <w:rPr>
          <w:lang w:val="fr-FR"/>
        </w:rPr>
        <w:t xml:space="preserve"> </w:t>
      </w:r>
      <w:r w:rsidR="0014448D" w:rsidRPr="008544BB">
        <w:rPr>
          <w:lang w:val="fr-FR"/>
        </w:rPr>
        <w:t>Les</w:t>
      </w:r>
      <w:r w:rsidR="0019677A" w:rsidRPr="008544BB">
        <w:rPr>
          <w:lang w:val="fr-FR"/>
        </w:rPr>
        <w:t xml:space="preserve"> enfants</w:t>
      </w:r>
      <w:r w:rsidR="001D663C" w:rsidRPr="008544BB">
        <w:rPr>
          <w:lang w:val="fr-FR"/>
        </w:rPr>
        <w:t xml:space="preserve"> furent </w:t>
      </w:r>
      <w:r w:rsidR="00892845" w:rsidRPr="008544BB">
        <w:rPr>
          <w:lang w:val="fr-FR"/>
        </w:rPr>
        <w:t xml:space="preserve">alors </w:t>
      </w:r>
      <w:r w:rsidR="00E36E3A" w:rsidRPr="008544BB">
        <w:rPr>
          <w:lang w:val="fr-FR"/>
        </w:rPr>
        <w:t>conduits</w:t>
      </w:r>
      <w:r w:rsidR="001D663C" w:rsidRPr="008544BB">
        <w:rPr>
          <w:lang w:val="fr-FR"/>
        </w:rPr>
        <w:t xml:space="preserve"> au service </w:t>
      </w:r>
      <w:r w:rsidR="00330B64" w:rsidRPr="008544BB">
        <w:rPr>
          <w:lang w:val="fr-FR"/>
        </w:rPr>
        <w:t xml:space="preserve">de </w:t>
      </w:r>
      <w:r w:rsidR="001D663C" w:rsidRPr="008544BB">
        <w:rPr>
          <w:lang w:val="fr-FR"/>
        </w:rPr>
        <w:t xml:space="preserve">pédiatrie </w:t>
      </w:r>
      <w:r w:rsidR="00392258" w:rsidRPr="008544BB">
        <w:rPr>
          <w:lang w:val="fr-FR"/>
        </w:rPr>
        <w:t>de l</w:t>
      </w:r>
      <w:r w:rsidR="008544BB" w:rsidRPr="008544BB">
        <w:rPr>
          <w:lang w:val="fr-FR"/>
        </w:rPr>
        <w:t>’</w:t>
      </w:r>
      <w:r w:rsidR="00392258" w:rsidRPr="008544BB">
        <w:rPr>
          <w:lang w:val="fr-FR"/>
        </w:rPr>
        <w:t>hôpital de Marino pour un contrôle</w:t>
      </w:r>
      <w:r w:rsidR="001D663C" w:rsidRPr="008544BB">
        <w:rPr>
          <w:lang w:val="fr-FR"/>
        </w:rPr>
        <w:t xml:space="preserve"> de leur état </w:t>
      </w:r>
      <w:r w:rsidR="00162707" w:rsidRPr="008544BB">
        <w:rPr>
          <w:lang w:val="fr-FR"/>
        </w:rPr>
        <w:t>de santé</w:t>
      </w:r>
      <w:r w:rsidR="001D663C" w:rsidRPr="008544BB">
        <w:rPr>
          <w:lang w:val="fr-FR"/>
        </w:rPr>
        <w:t>. Les résultats montr</w:t>
      </w:r>
      <w:r w:rsidR="00FE45AE" w:rsidRPr="008544BB">
        <w:rPr>
          <w:lang w:val="fr-FR"/>
        </w:rPr>
        <w:t xml:space="preserve">èrent </w:t>
      </w:r>
      <w:r w:rsidR="006A1CBD" w:rsidRPr="008544BB">
        <w:rPr>
          <w:lang w:val="fr-FR"/>
        </w:rPr>
        <w:t>qu</w:t>
      </w:r>
      <w:r w:rsidR="008544BB" w:rsidRPr="008544BB">
        <w:rPr>
          <w:lang w:val="fr-FR"/>
        </w:rPr>
        <w:t>’</w:t>
      </w:r>
      <w:r w:rsidR="006A1CBD" w:rsidRPr="008544BB">
        <w:rPr>
          <w:lang w:val="fr-FR"/>
        </w:rPr>
        <w:t xml:space="preserve">ils étaient </w:t>
      </w:r>
      <w:r w:rsidR="007744F4" w:rsidRPr="008544BB">
        <w:rPr>
          <w:lang w:val="fr-FR"/>
        </w:rPr>
        <w:t xml:space="preserve">en </w:t>
      </w:r>
      <w:r w:rsidR="006F69C0" w:rsidRPr="008544BB">
        <w:rPr>
          <w:lang w:val="fr-FR"/>
        </w:rPr>
        <w:t xml:space="preserve">bon </w:t>
      </w:r>
      <w:r w:rsidR="00FE45AE" w:rsidRPr="008544BB">
        <w:rPr>
          <w:lang w:val="fr-FR"/>
        </w:rPr>
        <w:t>état</w:t>
      </w:r>
      <w:r w:rsidR="00162707" w:rsidRPr="008544BB">
        <w:rPr>
          <w:lang w:val="fr-FR"/>
        </w:rPr>
        <w:t xml:space="preserve"> </w:t>
      </w:r>
      <w:r w:rsidR="006F69C0" w:rsidRPr="008544BB">
        <w:rPr>
          <w:lang w:val="fr-FR"/>
        </w:rPr>
        <w:t>de santé</w:t>
      </w:r>
      <w:r w:rsidR="00E923F5" w:rsidRPr="008544BB">
        <w:rPr>
          <w:lang w:val="fr-FR"/>
        </w:rPr>
        <w:t xml:space="preserve"> et </w:t>
      </w:r>
      <w:r w:rsidR="006A1CBD" w:rsidRPr="008544BB">
        <w:rPr>
          <w:lang w:val="fr-FR"/>
        </w:rPr>
        <w:t>que le rapport affectif existant entre eux et leur mère était</w:t>
      </w:r>
      <w:r w:rsidR="00E923F5" w:rsidRPr="008544BB">
        <w:rPr>
          <w:lang w:val="fr-FR"/>
        </w:rPr>
        <w:t xml:space="preserve"> </w:t>
      </w:r>
      <w:r w:rsidR="006F69C0" w:rsidRPr="008544BB">
        <w:rPr>
          <w:lang w:val="fr-FR"/>
        </w:rPr>
        <w:t>positif</w:t>
      </w:r>
      <w:r w:rsidR="00FE45AE" w:rsidRPr="008544BB">
        <w:rPr>
          <w:lang w:val="fr-FR"/>
        </w:rPr>
        <w:t>.</w:t>
      </w:r>
      <w:r w:rsidR="00690ED3" w:rsidRPr="008544BB">
        <w:rPr>
          <w:lang w:val="fr-FR"/>
        </w:rPr>
        <w:t xml:space="preserve"> </w:t>
      </w:r>
      <w:r w:rsidR="00E923F5" w:rsidRPr="008544BB">
        <w:rPr>
          <w:lang w:val="fr-FR"/>
        </w:rPr>
        <w:t>À l</w:t>
      </w:r>
      <w:r w:rsidR="008544BB" w:rsidRPr="008544BB">
        <w:rPr>
          <w:lang w:val="fr-FR"/>
        </w:rPr>
        <w:t>’</w:t>
      </w:r>
      <w:r w:rsidR="00E923F5" w:rsidRPr="008544BB">
        <w:rPr>
          <w:lang w:val="fr-FR"/>
        </w:rPr>
        <w:t>issue de la visite médicale</w:t>
      </w:r>
      <w:r w:rsidR="00690ED3" w:rsidRPr="008544BB">
        <w:rPr>
          <w:lang w:val="fr-FR"/>
        </w:rPr>
        <w:t xml:space="preserve">, </w:t>
      </w:r>
      <w:r w:rsidR="007C36AC" w:rsidRPr="008544BB">
        <w:rPr>
          <w:lang w:val="fr-FR"/>
        </w:rPr>
        <w:t>les services sociaux et la première requérante s</w:t>
      </w:r>
      <w:r w:rsidR="00330B64" w:rsidRPr="008544BB">
        <w:rPr>
          <w:lang w:val="fr-FR"/>
        </w:rPr>
        <w:t>e mirent d</w:t>
      </w:r>
      <w:r w:rsidR="008544BB" w:rsidRPr="008544BB">
        <w:rPr>
          <w:lang w:val="fr-FR"/>
        </w:rPr>
        <w:t>’</w:t>
      </w:r>
      <w:r w:rsidR="007C36AC" w:rsidRPr="008544BB">
        <w:rPr>
          <w:lang w:val="fr-FR"/>
        </w:rPr>
        <w:t>accord sur l</w:t>
      </w:r>
      <w:r w:rsidR="009F5CF2" w:rsidRPr="008544BB">
        <w:rPr>
          <w:lang w:val="fr-FR"/>
        </w:rPr>
        <w:t>e placement</w:t>
      </w:r>
      <w:r w:rsidR="00E923F5" w:rsidRPr="008544BB">
        <w:rPr>
          <w:lang w:val="fr-FR"/>
        </w:rPr>
        <w:t xml:space="preserve"> volontaire</w:t>
      </w:r>
      <w:r w:rsidR="009F5CF2" w:rsidRPr="008544BB">
        <w:rPr>
          <w:lang w:val="fr-FR"/>
        </w:rPr>
        <w:t xml:space="preserve"> des</w:t>
      </w:r>
      <w:r w:rsidR="007C36AC" w:rsidRPr="008544BB">
        <w:rPr>
          <w:lang w:val="fr-FR"/>
        </w:rPr>
        <w:t xml:space="preserve"> enfants </w:t>
      </w:r>
      <w:r w:rsidR="009F5CF2" w:rsidRPr="008544BB">
        <w:rPr>
          <w:lang w:val="fr-FR"/>
        </w:rPr>
        <w:t>chez</w:t>
      </w:r>
      <w:r w:rsidR="00690ED3" w:rsidRPr="008544BB">
        <w:rPr>
          <w:lang w:val="fr-FR"/>
        </w:rPr>
        <w:t xml:space="preserve"> M</w:t>
      </w:r>
      <w:r w:rsidR="00690ED3" w:rsidRPr="008544BB">
        <w:rPr>
          <w:vertAlign w:val="superscript"/>
          <w:lang w:val="fr-FR"/>
        </w:rPr>
        <w:t>me</w:t>
      </w:r>
      <w:r w:rsidR="009640BC" w:rsidRPr="008544BB">
        <w:rPr>
          <w:lang w:val="fr-FR"/>
        </w:rPr>
        <w:t xml:space="preserve"> </w:t>
      </w:r>
      <w:r w:rsidR="00690ED3" w:rsidRPr="008544BB">
        <w:rPr>
          <w:lang w:val="fr-FR"/>
        </w:rPr>
        <w:t>P.,</w:t>
      </w:r>
      <w:r w:rsidR="0019677A" w:rsidRPr="008544BB">
        <w:rPr>
          <w:lang w:val="fr-FR"/>
        </w:rPr>
        <w:t xml:space="preserve"> une proche</w:t>
      </w:r>
      <w:r w:rsidR="00690ED3" w:rsidRPr="008544BB">
        <w:rPr>
          <w:lang w:val="fr-FR"/>
        </w:rPr>
        <w:t xml:space="preserve"> </w:t>
      </w:r>
      <w:r w:rsidR="0019677A" w:rsidRPr="008544BB">
        <w:rPr>
          <w:lang w:val="fr-FR"/>
        </w:rPr>
        <w:t>à laquelle la première requérant</w:t>
      </w:r>
      <w:r w:rsidR="00330B64" w:rsidRPr="008544BB">
        <w:rPr>
          <w:lang w:val="fr-FR"/>
        </w:rPr>
        <w:t>e</w:t>
      </w:r>
      <w:r w:rsidR="0019677A" w:rsidRPr="008544BB">
        <w:rPr>
          <w:lang w:val="fr-FR"/>
        </w:rPr>
        <w:t xml:space="preserve"> avait auparavant confié L.</w:t>
      </w:r>
      <w:r w:rsidR="00690ED3" w:rsidRPr="008544BB">
        <w:rPr>
          <w:lang w:val="fr-FR"/>
        </w:rPr>
        <w:t>,</w:t>
      </w:r>
      <w:r w:rsidR="0019677A" w:rsidRPr="008544BB">
        <w:rPr>
          <w:lang w:val="fr-FR"/>
        </w:rPr>
        <w:t xml:space="preserve"> </w:t>
      </w:r>
      <w:r w:rsidR="0014448D" w:rsidRPr="008544BB">
        <w:rPr>
          <w:lang w:val="fr-FR"/>
        </w:rPr>
        <w:t>en particulier lors de</w:t>
      </w:r>
      <w:r w:rsidR="0019677A" w:rsidRPr="008544BB">
        <w:rPr>
          <w:lang w:val="fr-FR"/>
        </w:rPr>
        <w:t xml:space="preserve"> la naissance de S. </w:t>
      </w:r>
      <w:r w:rsidR="00690ED3" w:rsidRPr="008544BB">
        <w:rPr>
          <w:lang w:val="fr-FR"/>
        </w:rPr>
        <w:t>Les services sociaux informèrent la première requérante qu</w:t>
      </w:r>
      <w:r w:rsidR="009F5CF2" w:rsidRPr="008544BB">
        <w:rPr>
          <w:lang w:val="fr-FR"/>
        </w:rPr>
        <w:t>e le placement était provisoire et pris</w:t>
      </w:r>
      <w:r w:rsidR="00690ED3" w:rsidRPr="008544BB">
        <w:rPr>
          <w:lang w:val="fr-FR"/>
        </w:rPr>
        <w:t xml:space="preserve"> en </w:t>
      </w:r>
      <w:r w:rsidR="00330B64" w:rsidRPr="008544BB">
        <w:rPr>
          <w:lang w:val="fr-FR"/>
        </w:rPr>
        <w:t>l</w:t>
      </w:r>
      <w:r w:rsidR="008544BB" w:rsidRPr="008544BB">
        <w:rPr>
          <w:lang w:val="fr-FR"/>
        </w:rPr>
        <w:t>’</w:t>
      </w:r>
      <w:r w:rsidR="00690ED3" w:rsidRPr="008544BB">
        <w:rPr>
          <w:lang w:val="fr-FR"/>
        </w:rPr>
        <w:t xml:space="preserve">absence de </w:t>
      </w:r>
      <w:r w:rsidR="00330B64" w:rsidRPr="008544BB">
        <w:rPr>
          <w:lang w:val="fr-FR"/>
        </w:rPr>
        <w:t>l</w:t>
      </w:r>
      <w:r w:rsidR="008544BB" w:rsidRPr="008544BB">
        <w:rPr>
          <w:lang w:val="fr-FR"/>
        </w:rPr>
        <w:t>’</w:t>
      </w:r>
      <w:r w:rsidR="00330B64" w:rsidRPr="008544BB">
        <w:rPr>
          <w:lang w:val="fr-FR"/>
        </w:rPr>
        <w:t xml:space="preserve">exercice de </w:t>
      </w:r>
      <w:r w:rsidR="00690ED3" w:rsidRPr="008544BB">
        <w:rPr>
          <w:lang w:val="fr-FR"/>
        </w:rPr>
        <w:t>toute forme de coercition</w:t>
      </w:r>
      <w:r w:rsidR="009F5CF2" w:rsidRPr="008544BB">
        <w:rPr>
          <w:lang w:val="fr-FR"/>
        </w:rPr>
        <w:t xml:space="preserve">. </w:t>
      </w:r>
      <w:r w:rsidR="00F72390" w:rsidRPr="008544BB">
        <w:rPr>
          <w:lang w:val="fr-FR"/>
        </w:rPr>
        <w:t>En parallèle</w:t>
      </w:r>
      <w:r w:rsidR="009F5CF2" w:rsidRPr="008544BB">
        <w:rPr>
          <w:lang w:val="fr-FR"/>
        </w:rPr>
        <w:t>, le</w:t>
      </w:r>
      <w:r w:rsidR="00A40130" w:rsidRPr="008544BB">
        <w:rPr>
          <w:lang w:val="fr-FR"/>
        </w:rPr>
        <w:t xml:space="preserve"> </w:t>
      </w:r>
      <w:r w:rsidR="0014448D" w:rsidRPr="008544BB">
        <w:rPr>
          <w:lang w:val="fr-FR"/>
        </w:rPr>
        <w:t>m</w:t>
      </w:r>
      <w:r w:rsidR="00A40130" w:rsidRPr="008544BB">
        <w:rPr>
          <w:lang w:val="fr-FR"/>
        </w:rPr>
        <w:t>aire de Grottaferrata</w:t>
      </w:r>
      <w:r w:rsidR="00FE45AE" w:rsidRPr="008544BB">
        <w:rPr>
          <w:lang w:val="fr-FR"/>
        </w:rPr>
        <w:t xml:space="preserve"> </w:t>
      </w:r>
      <w:r w:rsidR="00392258" w:rsidRPr="008544BB">
        <w:rPr>
          <w:lang w:val="fr-FR"/>
        </w:rPr>
        <w:t>ordonna la remise en état</w:t>
      </w:r>
      <w:r w:rsidR="00A40130" w:rsidRPr="008544BB">
        <w:rPr>
          <w:lang w:val="fr-FR"/>
        </w:rPr>
        <w:t xml:space="preserve"> de</w:t>
      </w:r>
      <w:r w:rsidR="009F5CF2" w:rsidRPr="008544BB">
        <w:rPr>
          <w:lang w:val="fr-FR"/>
        </w:rPr>
        <w:t xml:space="preserve"> l</w:t>
      </w:r>
      <w:r w:rsidR="008544BB" w:rsidRPr="008544BB">
        <w:rPr>
          <w:lang w:val="fr-FR"/>
        </w:rPr>
        <w:t>’</w:t>
      </w:r>
      <w:r w:rsidR="009F5CF2" w:rsidRPr="008544BB">
        <w:rPr>
          <w:lang w:val="fr-FR"/>
        </w:rPr>
        <w:t>habitation</w:t>
      </w:r>
      <w:r w:rsidR="00A40130" w:rsidRPr="008544BB">
        <w:rPr>
          <w:lang w:val="fr-FR"/>
        </w:rPr>
        <w:t xml:space="preserve"> </w:t>
      </w:r>
      <w:r w:rsidR="00330B64" w:rsidRPr="008544BB">
        <w:rPr>
          <w:lang w:val="fr-FR"/>
        </w:rPr>
        <w:t xml:space="preserve">familiale </w:t>
      </w:r>
      <w:r w:rsidR="00392258" w:rsidRPr="008544BB">
        <w:rPr>
          <w:lang w:val="fr-FR"/>
        </w:rPr>
        <w:t xml:space="preserve">dans un délai de </w:t>
      </w:r>
      <w:r w:rsidR="00330B64" w:rsidRPr="008544BB">
        <w:rPr>
          <w:lang w:val="fr-FR"/>
        </w:rPr>
        <w:t>dix</w:t>
      </w:r>
      <w:r w:rsidR="00392258" w:rsidRPr="008544BB">
        <w:rPr>
          <w:lang w:val="fr-FR"/>
        </w:rPr>
        <w:t xml:space="preserve"> jours</w:t>
      </w:r>
      <w:r w:rsidR="00A40130" w:rsidRPr="008544BB">
        <w:rPr>
          <w:lang w:val="fr-FR"/>
        </w:rPr>
        <w:t xml:space="preserve"> afin </w:t>
      </w:r>
      <w:r w:rsidR="00330B64" w:rsidRPr="008544BB">
        <w:rPr>
          <w:lang w:val="fr-FR"/>
        </w:rPr>
        <w:t>que</w:t>
      </w:r>
      <w:r w:rsidR="00392258" w:rsidRPr="008544BB">
        <w:rPr>
          <w:lang w:val="fr-FR"/>
        </w:rPr>
        <w:t xml:space="preserve"> des conditions hygiéniques et sanitaires </w:t>
      </w:r>
      <w:r w:rsidR="001732A9" w:rsidRPr="008544BB">
        <w:rPr>
          <w:lang w:val="fr-FR"/>
        </w:rPr>
        <w:t>propices</w:t>
      </w:r>
      <w:r w:rsidR="00502EF1" w:rsidRPr="008544BB">
        <w:rPr>
          <w:lang w:val="fr-FR"/>
        </w:rPr>
        <w:t xml:space="preserve"> </w:t>
      </w:r>
      <w:r w:rsidR="00A40130" w:rsidRPr="008544BB">
        <w:rPr>
          <w:lang w:val="fr-FR"/>
        </w:rPr>
        <w:t xml:space="preserve">à </w:t>
      </w:r>
      <w:r w:rsidR="009B390C" w:rsidRPr="008544BB">
        <w:rPr>
          <w:lang w:val="fr-FR"/>
        </w:rPr>
        <w:t>l</w:t>
      </w:r>
      <w:r w:rsidR="008544BB" w:rsidRPr="008544BB">
        <w:rPr>
          <w:lang w:val="fr-FR"/>
        </w:rPr>
        <w:t>’</w:t>
      </w:r>
      <w:r w:rsidR="009B390C" w:rsidRPr="008544BB">
        <w:rPr>
          <w:lang w:val="fr-FR"/>
        </w:rPr>
        <w:t>accueil</w:t>
      </w:r>
      <w:r w:rsidR="0019677A" w:rsidRPr="008544BB">
        <w:rPr>
          <w:lang w:val="fr-FR"/>
        </w:rPr>
        <w:t xml:space="preserve"> </w:t>
      </w:r>
      <w:r w:rsidR="009B390C" w:rsidRPr="008544BB">
        <w:rPr>
          <w:lang w:val="fr-FR"/>
        </w:rPr>
        <w:t>d</w:t>
      </w:r>
      <w:r w:rsidR="00502EF1" w:rsidRPr="008544BB">
        <w:rPr>
          <w:lang w:val="fr-FR"/>
        </w:rPr>
        <w:t>es</w:t>
      </w:r>
      <w:r w:rsidR="00392258" w:rsidRPr="008544BB">
        <w:rPr>
          <w:lang w:val="fr-FR"/>
        </w:rPr>
        <w:t xml:space="preserve"> enfants</w:t>
      </w:r>
      <w:r w:rsidR="00330B64" w:rsidRPr="008544BB">
        <w:rPr>
          <w:lang w:val="fr-FR"/>
        </w:rPr>
        <w:t xml:space="preserve"> pussent être garanties</w:t>
      </w:r>
      <w:r w:rsidR="00392258" w:rsidRPr="008544BB">
        <w:rPr>
          <w:lang w:val="fr-FR"/>
        </w:rPr>
        <w:t>.</w:t>
      </w:r>
    </w:p>
    <w:p w:rsidR="00162707" w:rsidRPr="008544BB" w:rsidRDefault="00765C6D"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9</w:t>
      </w:r>
      <w:r w:rsidRPr="008544BB">
        <w:rPr>
          <w:lang w:val="fr-FR"/>
        </w:rPr>
        <w:fldChar w:fldCharType="end"/>
      </w:r>
      <w:r w:rsidRPr="008544BB">
        <w:rPr>
          <w:lang w:val="fr-FR"/>
        </w:rPr>
        <w:t>.  </w:t>
      </w:r>
      <w:r w:rsidR="00B0709D" w:rsidRPr="008544BB">
        <w:rPr>
          <w:lang w:val="fr-FR"/>
        </w:rPr>
        <w:t xml:space="preserve">Le 30 juillet 2007, </w:t>
      </w:r>
      <w:r w:rsidR="00330B64" w:rsidRPr="008544BB">
        <w:rPr>
          <w:lang w:val="fr-FR"/>
        </w:rPr>
        <w:t>à la suite d</w:t>
      </w:r>
      <w:r w:rsidR="008544BB" w:rsidRPr="008544BB">
        <w:rPr>
          <w:lang w:val="fr-FR"/>
        </w:rPr>
        <w:t>’</w:t>
      </w:r>
      <w:r w:rsidR="00330B64" w:rsidRPr="008544BB">
        <w:rPr>
          <w:lang w:val="fr-FR"/>
        </w:rPr>
        <w:t>un désaccord survenu avec M</w:t>
      </w:r>
      <w:r w:rsidR="00330B64" w:rsidRPr="008544BB">
        <w:rPr>
          <w:vertAlign w:val="superscript"/>
          <w:lang w:val="fr-FR"/>
        </w:rPr>
        <w:t>me</w:t>
      </w:r>
      <w:r w:rsidR="00330B64" w:rsidRPr="008544BB">
        <w:rPr>
          <w:lang w:val="fr-FR"/>
        </w:rPr>
        <w:t xml:space="preserve"> P</w:t>
      </w:r>
      <w:r w:rsidR="00E923F5" w:rsidRPr="008544BB">
        <w:rPr>
          <w:lang w:val="fr-FR"/>
        </w:rPr>
        <w:t>.</w:t>
      </w:r>
      <w:r w:rsidR="00330B64" w:rsidRPr="008544BB">
        <w:rPr>
          <w:lang w:val="fr-FR"/>
        </w:rPr>
        <w:t xml:space="preserve"> </w:t>
      </w:r>
      <w:r w:rsidR="005C6AE7" w:rsidRPr="008544BB">
        <w:rPr>
          <w:lang w:val="fr-FR"/>
        </w:rPr>
        <w:t>au sujet</w:t>
      </w:r>
      <w:r w:rsidR="00505958" w:rsidRPr="008544BB">
        <w:rPr>
          <w:lang w:val="fr-FR"/>
        </w:rPr>
        <w:t xml:space="preserve"> du désir d</w:t>
      </w:r>
      <w:r w:rsidR="00DB14CC" w:rsidRPr="008544BB">
        <w:rPr>
          <w:lang w:val="fr-FR"/>
        </w:rPr>
        <w:t xml:space="preserve">e </w:t>
      </w:r>
      <w:r w:rsidR="0014448D" w:rsidRPr="008544BB">
        <w:rPr>
          <w:lang w:val="fr-FR"/>
        </w:rPr>
        <w:t>L.</w:t>
      </w:r>
      <w:r w:rsidR="00505958" w:rsidRPr="008544BB">
        <w:rPr>
          <w:lang w:val="fr-FR"/>
        </w:rPr>
        <w:t xml:space="preserve"> de se </w:t>
      </w:r>
      <w:r w:rsidR="00330B64" w:rsidRPr="008544BB">
        <w:rPr>
          <w:lang w:val="fr-FR"/>
        </w:rPr>
        <w:t xml:space="preserve">faire </w:t>
      </w:r>
      <w:r w:rsidR="00505958" w:rsidRPr="008544BB">
        <w:rPr>
          <w:lang w:val="fr-FR"/>
        </w:rPr>
        <w:t xml:space="preserve">couper </w:t>
      </w:r>
      <w:r w:rsidR="00330B64" w:rsidRPr="008544BB">
        <w:rPr>
          <w:lang w:val="fr-FR"/>
        </w:rPr>
        <w:t>l</w:t>
      </w:r>
      <w:r w:rsidR="00505958" w:rsidRPr="008544BB">
        <w:rPr>
          <w:lang w:val="fr-FR"/>
        </w:rPr>
        <w:t>es cheveux</w:t>
      </w:r>
      <w:r w:rsidR="005C6AE7" w:rsidRPr="008544BB">
        <w:rPr>
          <w:lang w:val="fr-FR"/>
        </w:rPr>
        <w:t xml:space="preserve"> (ceux-ci lui </w:t>
      </w:r>
      <w:r w:rsidR="006E301C" w:rsidRPr="008544BB">
        <w:rPr>
          <w:lang w:val="fr-FR"/>
        </w:rPr>
        <w:t>a</w:t>
      </w:r>
      <w:r w:rsidR="009B390C" w:rsidRPr="008544BB">
        <w:rPr>
          <w:lang w:val="fr-FR"/>
        </w:rPr>
        <w:t>rrivant</w:t>
      </w:r>
      <w:r w:rsidR="006E301C" w:rsidRPr="008544BB">
        <w:rPr>
          <w:lang w:val="fr-FR"/>
        </w:rPr>
        <w:t xml:space="preserve"> jusqu</w:t>
      </w:r>
      <w:r w:rsidR="008544BB" w:rsidRPr="008544BB">
        <w:rPr>
          <w:lang w:val="fr-FR"/>
        </w:rPr>
        <w:t>’</w:t>
      </w:r>
      <w:r w:rsidR="006E301C" w:rsidRPr="008544BB">
        <w:rPr>
          <w:lang w:val="fr-FR"/>
        </w:rPr>
        <w:t>au dos</w:t>
      </w:r>
      <w:r w:rsidR="005C6AE7" w:rsidRPr="008544BB">
        <w:rPr>
          <w:lang w:val="fr-FR"/>
        </w:rPr>
        <w:t>)</w:t>
      </w:r>
      <w:r w:rsidR="00330B64" w:rsidRPr="008544BB">
        <w:rPr>
          <w:lang w:val="fr-FR"/>
        </w:rPr>
        <w:t>, la première requérante retira les enfants de l</w:t>
      </w:r>
      <w:r w:rsidR="008544BB" w:rsidRPr="008544BB">
        <w:rPr>
          <w:lang w:val="fr-FR"/>
        </w:rPr>
        <w:t>’</w:t>
      </w:r>
      <w:r w:rsidR="00330B64" w:rsidRPr="008544BB">
        <w:rPr>
          <w:lang w:val="fr-FR"/>
        </w:rPr>
        <w:t>habitation de celle-ci</w:t>
      </w:r>
      <w:r w:rsidR="00505958" w:rsidRPr="008544BB">
        <w:rPr>
          <w:lang w:val="fr-FR"/>
        </w:rPr>
        <w:t>.</w:t>
      </w:r>
    </w:p>
    <w:bookmarkStart w:id="2" w:name="Placement_VOLONTAIRE"/>
    <w:p w:rsidR="001F3C47" w:rsidRPr="008544BB" w:rsidRDefault="00162707"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10</w:t>
      </w:r>
      <w:r w:rsidRPr="008544BB">
        <w:rPr>
          <w:lang w:val="fr-FR"/>
        </w:rPr>
        <w:fldChar w:fldCharType="end"/>
      </w:r>
      <w:bookmarkEnd w:id="2"/>
      <w:r w:rsidRPr="008544BB">
        <w:rPr>
          <w:lang w:val="fr-FR"/>
        </w:rPr>
        <w:t>.  Le 31 juillet 2007, la respons</w:t>
      </w:r>
      <w:r w:rsidR="009F5CF2" w:rsidRPr="008544BB">
        <w:rPr>
          <w:lang w:val="fr-FR"/>
        </w:rPr>
        <w:t xml:space="preserve">able des services sociaux </w:t>
      </w:r>
      <w:r w:rsidRPr="008544BB">
        <w:rPr>
          <w:lang w:val="fr-FR"/>
        </w:rPr>
        <w:t>de Grottaferrata</w:t>
      </w:r>
      <w:r w:rsidR="00B7096E" w:rsidRPr="008544BB">
        <w:rPr>
          <w:lang w:val="fr-FR"/>
        </w:rPr>
        <w:t xml:space="preserve"> informa</w:t>
      </w:r>
      <w:r w:rsidRPr="008544BB">
        <w:rPr>
          <w:lang w:val="fr-FR"/>
        </w:rPr>
        <w:t xml:space="preserve"> le procureur de la République près </w:t>
      </w:r>
      <w:r w:rsidR="00330B64" w:rsidRPr="008544BB">
        <w:rPr>
          <w:lang w:val="fr-FR"/>
        </w:rPr>
        <w:t>le</w:t>
      </w:r>
      <w:r w:rsidRPr="008544BB">
        <w:rPr>
          <w:lang w:val="fr-FR"/>
        </w:rPr>
        <w:t xml:space="preserve"> tribunal </w:t>
      </w:r>
      <w:r w:rsidR="00A9446E" w:rsidRPr="008544BB">
        <w:rPr>
          <w:lang w:val="fr-FR"/>
        </w:rPr>
        <w:t>pour enfants</w:t>
      </w:r>
      <w:r w:rsidRPr="008544BB">
        <w:rPr>
          <w:lang w:val="fr-FR"/>
        </w:rPr>
        <w:t xml:space="preserve"> de Rome de la violation de l</w:t>
      </w:r>
      <w:r w:rsidR="008544BB" w:rsidRPr="008544BB">
        <w:rPr>
          <w:lang w:val="fr-FR"/>
        </w:rPr>
        <w:t>’</w:t>
      </w:r>
      <w:r w:rsidRPr="008544BB">
        <w:rPr>
          <w:lang w:val="fr-FR"/>
        </w:rPr>
        <w:t>accord d</w:t>
      </w:r>
      <w:r w:rsidR="00B7096E" w:rsidRPr="008544BB">
        <w:rPr>
          <w:lang w:val="fr-FR"/>
        </w:rPr>
        <w:t xml:space="preserve">e placement volontaire. </w:t>
      </w:r>
      <w:r w:rsidR="00330B64" w:rsidRPr="008544BB">
        <w:rPr>
          <w:lang w:val="fr-FR"/>
        </w:rPr>
        <w:t>En outre</w:t>
      </w:r>
      <w:r w:rsidR="0021206E" w:rsidRPr="008544BB">
        <w:rPr>
          <w:lang w:val="fr-FR"/>
        </w:rPr>
        <w:t>, e</w:t>
      </w:r>
      <w:r w:rsidR="00B7096E" w:rsidRPr="008544BB">
        <w:rPr>
          <w:lang w:val="fr-FR"/>
        </w:rPr>
        <w:t>lle signala au parquet que la première requérante n</w:t>
      </w:r>
      <w:r w:rsidR="008544BB" w:rsidRPr="008544BB">
        <w:rPr>
          <w:lang w:val="fr-FR"/>
        </w:rPr>
        <w:t>’</w:t>
      </w:r>
      <w:r w:rsidR="00B7096E" w:rsidRPr="008544BB">
        <w:rPr>
          <w:lang w:val="fr-FR"/>
        </w:rPr>
        <w:t>avait pas informé les services sociaux du lieu où s</w:t>
      </w:r>
      <w:r w:rsidR="005F4919" w:rsidRPr="008544BB">
        <w:rPr>
          <w:lang w:val="fr-FR"/>
        </w:rPr>
        <w:t>es</w:t>
      </w:r>
      <w:r w:rsidR="00B7096E" w:rsidRPr="008544BB">
        <w:rPr>
          <w:lang w:val="fr-FR"/>
        </w:rPr>
        <w:t xml:space="preserve"> </w:t>
      </w:r>
      <w:r w:rsidR="005F4919" w:rsidRPr="008544BB">
        <w:rPr>
          <w:lang w:val="fr-FR"/>
        </w:rPr>
        <w:t>enfants</w:t>
      </w:r>
      <w:r w:rsidR="00B7096E" w:rsidRPr="008544BB">
        <w:rPr>
          <w:lang w:val="fr-FR"/>
        </w:rPr>
        <w:t xml:space="preserve"> se trouvai</w:t>
      </w:r>
      <w:r w:rsidR="005F4919" w:rsidRPr="008544BB">
        <w:rPr>
          <w:lang w:val="fr-FR"/>
        </w:rPr>
        <w:t>ent</w:t>
      </w:r>
      <w:r w:rsidR="00B7096E" w:rsidRPr="008544BB">
        <w:rPr>
          <w:lang w:val="fr-FR"/>
        </w:rPr>
        <w:t xml:space="preserve"> </w:t>
      </w:r>
      <w:r w:rsidR="00330B64" w:rsidRPr="008544BB">
        <w:rPr>
          <w:lang w:val="fr-FR"/>
        </w:rPr>
        <w:t>et qu</w:t>
      </w:r>
      <w:r w:rsidR="008544BB" w:rsidRPr="008544BB">
        <w:rPr>
          <w:lang w:val="fr-FR"/>
        </w:rPr>
        <w:t>’</w:t>
      </w:r>
      <w:r w:rsidR="00330B64" w:rsidRPr="008544BB">
        <w:rPr>
          <w:lang w:val="fr-FR"/>
        </w:rPr>
        <w:t>elle n</w:t>
      </w:r>
      <w:r w:rsidR="008544BB" w:rsidRPr="008544BB">
        <w:rPr>
          <w:lang w:val="fr-FR"/>
        </w:rPr>
        <w:t>’</w:t>
      </w:r>
      <w:r w:rsidR="005F4919" w:rsidRPr="008544BB">
        <w:rPr>
          <w:lang w:val="fr-FR"/>
        </w:rPr>
        <w:t>avait</w:t>
      </w:r>
      <w:r w:rsidR="00330B64" w:rsidRPr="008544BB">
        <w:rPr>
          <w:lang w:val="fr-FR"/>
        </w:rPr>
        <w:t xml:space="preserve"> pas</w:t>
      </w:r>
      <w:r w:rsidR="005F4919" w:rsidRPr="008544BB">
        <w:rPr>
          <w:lang w:val="fr-FR"/>
        </w:rPr>
        <w:t xml:space="preserve"> </w:t>
      </w:r>
      <w:r w:rsidR="00B7096E" w:rsidRPr="008544BB">
        <w:rPr>
          <w:lang w:val="fr-FR"/>
        </w:rPr>
        <w:t xml:space="preserve">procédé à la remise en état de son habitation. </w:t>
      </w:r>
      <w:r w:rsidR="00330B64" w:rsidRPr="008544BB">
        <w:rPr>
          <w:lang w:val="fr-FR"/>
        </w:rPr>
        <w:t>Par ailleurs, elle sollicita u</w:t>
      </w:r>
      <w:r w:rsidR="00B7096E" w:rsidRPr="008544BB">
        <w:rPr>
          <w:lang w:val="fr-FR"/>
        </w:rPr>
        <w:t>ne évaluation de</w:t>
      </w:r>
      <w:r w:rsidR="00954B8E" w:rsidRPr="008544BB">
        <w:rPr>
          <w:lang w:val="fr-FR"/>
        </w:rPr>
        <w:t>s</w:t>
      </w:r>
      <w:r w:rsidR="00B7096E" w:rsidRPr="008544BB">
        <w:rPr>
          <w:lang w:val="fr-FR"/>
        </w:rPr>
        <w:t xml:space="preserve"> capacité</w:t>
      </w:r>
      <w:r w:rsidR="00954B8E" w:rsidRPr="008544BB">
        <w:rPr>
          <w:lang w:val="fr-FR"/>
        </w:rPr>
        <w:t>s</w:t>
      </w:r>
      <w:r w:rsidR="00887714" w:rsidRPr="008544BB">
        <w:rPr>
          <w:lang w:val="fr-FR"/>
        </w:rPr>
        <w:t xml:space="preserve"> parentale</w:t>
      </w:r>
      <w:r w:rsidR="00954B8E" w:rsidRPr="008544BB">
        <w:rPr>
          <w:lang w:val="fr-FR"/>
        </w:rPr>
        <w:t>s</w:t>
      </w:r>
      <w:r w:rsidR="00B7096E" w:rsidRPr="008544BB">
        <w:rPr>
          <w:lang w:val="fr-FR"/>
        </w:rPr>
        <w:t xml:space="preserve"> </w:t>
      </w:r>
      <w:r w:rsidR="00330B64" w:rsidRPr="008544BB">
        <w:rPr>
          <w:lang w:val="fr-FR"/>
        </w:rPr>
        <w:t>de l</w:t>
      </w:r>
      <w:r w:rsidR="008544BB" w:rsidRPr="008544BB">
        <w:rPr>
          <w:lang w:val="fr-FR"/>
        </w:rPr>
        <w:t>’</w:t>
      </w:r>
      <w:r w:rsidR="00330B64" w:rsidRPr="008544BB">
        <w:rPr>
          <w:lang w:val="fr-FR"/>
        </w:rPr>
        <w:t>intéressée</w:t>
      </w:r>
      <w:r w:rsidR="00B7096E" w:rsidRPr="008544BB">
        <w:rPr>
          <w:lang w:val="fr-FR"/>
        </w:rPr>
        <w:t>.</w:t>
      </w:r>
    </w:p>
    <w:p w:rsidR="00CA6556" w:rsidRPr="008544BB" w:rsidRDefault="00177888"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11</w:t>
      </w:r>
      <w:r w:rsidRPr="008544BB">
        <w:rPr>
          <w:lang w:val="fr-FR"/>
        </w:rPr>
        <w:fldChar w:fldCharType="end"/>
      </w:r>
      <w:r w:rsidRPr="008544BB">
        <w:rPr>
          <w:lang w:val="fr-FR"/>
        </w:rPr>
        <w:t>.  </w:t>
      </w:r>
      <w:r w:rsidR="005F687E" w:rsidRPr="008544BB">
        <w:rPr>
          <w:lang w:val="fr-FR"/>
        </w:rPr>
        <w:t xml:space="preserve">Par </w:t>
      </w:r>
      <w:r w:rsidR="009F5CF2" w:rsidRPr="008544BB">
        <w:rPr>
          <w:lang w:val="fr-FR"/>
        </w:rPr>
        <w:t>un</w:t>
      </w:r>
      <w:r w:rsidR="006F69C0" w:rsidRPr="008544BB">
        <w:rPr>
          <w:lang w:val="fr-FR"/>
        </w:rPr>
        <w:t>e décision</w:t>
      </w:r>
      <w:r w:rsidR="005F687E" w:rsidRPr="008544BB">
        <w:rPr>
          <w:lang w:val="fr-FR"/>
        </w:rPr>
        <w:t xml:space="preserve"> </w:t>
      </w:r>
      <w:r w:rsidR="005F4919" w:rsidRPr="008544BB">
        <w:rPr>
          <w:lang w:val="fr-FR"/>
        </w:rPr>
        <w:t xml:space="preserve">provisoire </w:t>
      </w:r>
      <w:r w:rsidR="00F45B93" w:rsidRPr="008544BB">
        <w:rPr>
          <w:lang w:val="fr-FR"/>
        </w:rPr>
        <w:t xml:space="preserve">en date </w:t>
      </w:r>
      <w:r w:rsidR="005F687E" w:rsidRPr="008544BB">
        <w:rPr>
          <w:lang w:val="fr-FR"/>
        </w:rPr>
        <w:t xml:space="preserve">du </w:t>
      </w:r>
      <w:r w:rsidR="0021206E" w:rsidRPr="008544BB">
        <w:rPr>
          <w:lang w:val="fr-FR"/>
        </w:rPr>
        <w:t>7</w:t>
      </w:r>
      <w:r w:rsidR="005F687E" w:rsidRPr="008544BB">
        <w:rPr>
          <w:lang w:val="fr-FR"/>
        </w:rPr>
        <w:t xml:space="preserve"> septembre 2007</w:t>
      </w:r>
      <w:r w:rsidR="005F57C1" w:rsidRPr="008544BB">
        <w:rPr>
          <w:lang w:val="fr-FR"/>
        </w:rPr>
        <w:t xml:space="preserve"> prise en urgence</w:t>
      </w:r>
      <w:r w:rsidR="005F687E" w:rsidRPr="008544BB">
        <w:rPr>
          <w:lang w:val="fr-FR"/>
        </w:rPr>
        <w:t>, le tribunal pour enfants de Rome</w:t>
      </w:r>
      <w:r w:rsidR="004B0531" w:rsidRPr="008544BB">
        <w:rPr>
          <w:lang w:val="fr-FR"/>
        </w:rPr>
        <w:t xml:space="preserve"> (« le tribunal</w:t>
      </w:r>
      <w:r w:rsidR="00A97CB2" w:rsidRPr="008544BB">
        <w:rPr>
          <w:lang w:val="fr-FR"/>
        </w:rPr>
        <w:t xml:space="preserve"> pour enfants</w:t>
      </w:r>
      <w:r w:rsidR="004B0531" w:rsidRPr="008544BB">
        <w:rPr>
          <w:lang w:val="fr-FR"/>
        </w:rPr>
        <w:t> »)</w:t>
      </w:r>
      <w:r w:rsidR="005F687E" w:rsidRPr="008544BB">
        <w:rPr>
          <w:lang w:val="fr-FR"/>
        </w:rPr>
        <w:t xml:space="preserve"> </w:t>
      </w:r>
      <w:r w:rsidR="00041AE9" w:rsidRPr="008544BB">
        <w:rPr>
          <w:lang w:val="fr-FR"/>
        </w:rPr>
        <w:t xml:space="preserve">ordonna </w:t>
      </w:r>
      <w:r w:rsidR="001744C4" w:rsidRPr="008544BB">
        <w:rPr>
          <w:lang w:val="fr-FR"/>
        </w:rPr>
        <w:t>la prise en charge des mineurs et leur</w:t>
      </w:r>
      <w:r w:rsidR="00505958" w:rsidRPr="008544BB">
        <w:rPr>
          <w:lang w:val="fr-FR"/>
        </w:rPr>
        <w:t xml:space="preserve"> placement</w:t>
      </w:r>
      <w:r w:rsidR="005F687E" w:rsidRPr="008544BB">
        <w:rPr>
          <w:lang w:val="fr-FR"/>
        </w:rPr>
        <w:t xml:space="preserve"> </w:t>
      </w:r>
      <w:r w:rsidR="00041AE9" w:rsidRPr="008544BB">
        <w:rPr>
          <w:lang w:val="fr-FR"/>
        </w:rPr>
        <w:t>provisoire</w:t>
      </w:r>
      <w:r w:rsidR="00505958" w:rsidRPr="008544BB">
        <w:rPr>
          <w:lang w:val="fr-FR"/>
        </w:rPr>
        <w:t xml:space="preserve"> </w:t>
      </w:r>
      <w:r w:rsidR="005F687E" w:rsidRPr="008544BB">
        <w:rPr>
          <w:lang w:val="fr-FR"/>
        </w:rPr>
        <w:t xml:space="preserve">dans un établissement </w:t>
      </w:r>
      <w:r w:rsidR="00505958" w:rsidRPr="008544BB">
        <w:rPr>
          <w:lang w:val="fr-FR"/>
        </w:rPr>
        <w:t>d</w:t>
      </w:r>
      <w:r w:rsidR="008544BB" w:rsidRPr="008544BB">
        <w:rPr>
          <w:lang w:val="fr-FR"/>
        </w:rPr>
        <w:t>’</w:t>
      </w:r>
      <w:r w:rsidR="00505958" w:rsidRPr="008544BB">
        <w:rPr>
          <w:lang w:val="fr-FR"/>
        </w:rPr>
        <w:t>accueil</w:t>
      </w:r>
      <w:r w:rsidRPr="008544BB">
        <w:rPr>
          <w:lang w:val="fr-FR"/>
        </w:rPr>
        <w:t>.</w:t>
      </w:r>
      <w:r w:rsidR="00505958" w:rsidRPr="008544BB">
        <w:rPr>
          <w:lang w:val="fr-FR"/>
        </w:rPr>
        <w:t xml:space="preserve"> Il justifia sa décision en </w:t>
      </w:r>
      <w:r w:rsidR="00F45B93" w:rsidRPr="008544BB">
        <w:rPr>
          <w:lang w:val="fr-FR"/>
        </w:rPr>
        <w:t>ayant égard à</w:t>
      </w:r>
      <w:r w:rsidR="00505958" w:rsidRPr="008544BB">
        <w:rPr>
          <w:lang w:val="fr-FR"/>
        </w:rPr>
        <w:t xml:space="preserve"> la violation de l</w:t>
      </w:r>
      <w:r w:rsidR="008544BB" w:rsidRPr="008544BB">
        <w:rPr>
          <w:lang w:val="fr-FR"/>
        </w:rPr>
        <w:t>’</w:t>
      </w:r>
      <w:r w:rsidR="00505958" w:rsidRPr="008544BB">
        <w:rPr>
          <w:lang w:val="fr-FR"/>
        </w:rPr>
        <w:t xml:space="preserve">accord </w:t>
      </w:r>
      <w:r w:rsidR="009B390C" w:rsidRPr="008544BB">
        <w:rPr>
          <w:lang w:val="fr-FR"/>
        </w:rPr>
        <w:t>de placement volontaire</w:t>
      </w:r>
      <w:r w:rsidR="00505958" w:rsidRPr="008544BB">
        <w:rPr>
          <w:lang w:val="fr-FR"/>
        </w:rPr>
        <w:t xml:space="preserve"> </w:t>
      </w:r>
      <w:r w:rsidR="00F93CE2" w:rsidRPr="008544BB">
        <w:rPr>
          <w:lang w:val="fr-FR"/>
        </w:rPr>
        <w:t xml:space="preserve">par la première requérante </w:t>
      </w:r>
      <w:r w:rsidR="00505958" w:rsidRPr="008544BB">
        <w:rPr>
          <w:lang w:val="fr-FR"/>
        </w:rPr>
        <w:t xml:space="preserve">et </w:t>
      </w:r>
      <w:r w:rsidR="00F45B93" w:rsidRPr="008544BB">
        <w:rPr>
          <w:lang w:val="fr-FR"/>
        </w:rPr>
        <w:t>aux</w:t>
      </w:r>
      <w:r w:rsidR="00505958" w:rsidRPr="008544BB">
        <w:rPr>
          <w:lang w:val="fr-FR"/>
        </w:rPr>
        <w:t xml:space="preserve"> </w:t>
      </w:r>
      <w:r w:rsidR="00505958" w:rsidRPr="008544BB">
        <w:rPr>
          <w:lang w:val="fr-FR"/>
        </w:rPr>
        <w:lastRenderedPageBreak/>
        <w:t>conditions sanitaires de l</w:t>
      </w:r>
      <w:r w:rsidR="008544BB" w:rsidRPr="008544BB">
        <w:rPr>
          <w:lang w:val="fr-FR"/>
        </w:rPr>
        <w:t>’</w:t>
      </w:r>
      <w:r w:rsidR="00505958" w:rsidRPr="008544BB">
        <w:rPr>
          <w:lang w:val="fr-FR"/>
        </w:rPr>
        <w:t xml:space="preserve">habitation </w:t>
      </w:r>
      <w:r w:rsidR="00F93CE2" w:rsidRPr="008544BB">
        <w:rPr>
          <w:lang w:val="fr-FR"/>
        </w:rPr>
        <w:t>familiale</w:t>
      </w:r>
      <w:r w:rsidR="00505958" w:rsidRPr="008544BB">
        <w:rPr>
          <w:lang w:val="fr-FR"/>
        </w:rPr>
        <w:t>.</w:t>
      </w:r>
      <w:r w:rsidR="0019677A" w:rsidRPr="008544BB">
        <w:rPr>
          <w:lang w:val="fr-FR"/>
        </w:rPr>
        <w:t xml:space="preserve"> </w:t>
      </w:r>
      <w:r w:rsidRPr="008544BB">
        <w:rPr>
          <w:lang w:val="fr-FR"/>
        </w:rPr>
        <w:t>Le</w:t>
      </w:r>
      <w:r w:rsidR="004A4240" w:rsidRPr="008544BB">
        <w:rPr>
          <w:lang w:val="fr-FR"/>
        </w:rPr>
        <w:t xml:space="preserve"> 18 septembre 2007, </w:t>
      </w:r>
      <w:r w:rsidR="005F4919" w:rsidRPr="008544BB">
        <w:rPr>
          <w:lang w:val="fr-FR"/>
        </w:rPr>
        <w:t>les enfants</w:t>
      </w:r>
      <w:r w:rsidR="004A4240" w:rsidRPr="008544BB">
        <w:rPr>
          <w:lang w:val="fr-FR"/>
        </w:rPr>
        <w:t xml:space="preserve"> furent conduits </w:t>
      </w:r>
      <w:r w:rsidR="00765C6D" w:rsidRPr="008544BB">
        <w:rPr>
          <w:lang w:val="fr-FR"/>
        </w:rPr>
        <w:t>à</w:t>
      </w:r>
      <w:r w:rsidR="008856D0" w:rsidRPr="008544BB">
        <w:rPr>
          <w:lang w:val="fr-FR"/>
        </w:rPr>
        <w:t xml:space="preserve"> </w:t>
      </w:r>
      <w:r w:rsidR="00765C6D" w:rsidRPr="008544BB">
        <w:rPr>
          <w:lang w:val="fr-FR"/>
        </w:rPr>
        <w:t>la</w:t>
      </w:r>
      <w:r w:rsidR="004A4240" w:rsidRPr="008544BB">
        <w:rPr>
          <w:lang w:val="fr-FR"/>
        </w:rPr>
        <w:t xml:space="preserve"> maison d</w:t>
      </w:r>
      <w:r w:rsidR="008544BB" w:rsidRPr="008544BB">
        <w:rPr>
          <w:lang w:val="fr-FR"/>
        </w:rPr>
        <w:t>’</w:t>
      </w:r>
      <w:r w:rsidR="004A4240" w:rsidRPr="008544BB">
        <w:rPr>
          <w:lang w:val="fr-FR"/>
        </w:rPr>
        <w:t>accueil</w:t>
      </w:r>
      <w:r w:rsidR="00765C6D" w:rsidRPr="008544BB">
        <w:rPr>
          <w:lang w:val="fr-FR"/>
        </w:rPr>
        <w:t xml:space="preserve"> de la</w:t>
      </w:r>
      <w:r w:rsidR="004A4240" w:rsidRPr="008544BB">
        <w:rPr>
          <w:lang w:val="fr-FR"/>
        </w:rPr>
        <w:t> Congrégation des Sœurs Car</w:t>
      </w:r>
      <w:r w:rsidR="00765C6D" w:rsidRPr="008544BB">
        <w:rPr>
          <w:lang w:val="fr-FR"/>
        </w:rPr>
        <w:t>mélites du Cœur Divin de Jésus (« </w:t>
      </w:r>
      <w:r w:rsidR="00F45B93" w:rsidRPr="008544BB">
        <w:rPr>
          <w:lang w:val="fr-FR"/>
        </w:rPr>
        <w:t>la maison d</w:t>
      </w:r>
      <w:r w:rsidR="008544BB" w:rsidRPr="008544BB">
        <w:rPr>
          <w:lang w:val="fr-FR"/>
        </w:rPr>
        <w:t>’</w:t>
      </w:r>
      <w:r w:rsidR="00F45B93" w:rsidRPr="008544BB">
        <w:rPr>
          <w:lang w:val="fr-FR"/>
        </w:rPr>
        <w:t>accueil « </w:t>
      </w:r>
      <w:r w:rsidR="004A4240" w:rsidRPr="008544BB">
        <w:rPr>
          <w:lang w:val="fr-FR"/>
        </w:rPr>
        <w:t>Rocca di Papa</w:t>
      </w:r>
      <w:r w:rsidR="00F45B93" w:rsidRPr="008544BB">
        <w:rPr>
          <w:lang w:val="fr-FR"/>
        </w:rPr>
        <w:t> »</w:t>
      </w:r>
      <w:r w:rsidR="00765C6D" w:rsidRPr="008544BB">
        <w:rPr>
          <w:lang w:val="fr-FR"/>
        </w:rPr>
        <w:t> »)</w:t>
      </w:r>
      <w:r w:rsidR="004A4240" w:rsidRPr="008544BB">
        <w:rPr>
          <w:lang w:val="fr-FR"/>
        </w:rPr>
        <w:t>, près de Rome.</w:t>
      </w:r>
      <w:r w:rsidR="00B7096E" w:rsidRPr="008544BB">
        <w:rPr>
          <w:lang w:val="fr-FR"/>
        </w:rPr>
        <w:t xml:space="preserve"> Le tribunal </w:t>
      </w:r>
      <w:r w:rsidR="00A97CB2" w:rsidRPr="008544BB">
        <w:rPr>
          <w:lang w:val="fr-FR"/>
        </w:rPr>
        <w:t xml:space="preserve">pour enfants </w:t>
      </w:r>
      <w:r w:rsidR="00B7096E" w:rsidRPr="008544BB">
        <w:rPr>
          <w:lang w:val="fr-FR"/>
        </w:rPr>
        <w:t>fixa la convocation de la première requérante à l</w:t>
      </w:r>
      <w:r w:rsidR="008544BB" w:rsidRPr="008544BB">
        <w:rPr>
          <w:lang w:val="fr-FR"/>
        </w:rPr>
        <w:t>’</w:t>
      </w:r>
      <w:r w:rsidR="00B7096E" w:rsidRPr="008544BB">
        <w:rPr>
          <w:lang w:val="fr-FR"/>
        </w:rPr>
        <w:t>audience d</w:t>
      </w:r>
      <w:r w:rsidR="005F687E" w:rsidRPr="008544BB">
        <w:rPr>
          <w:lang w:val="fr-FR"/>
        </w:rPr>
        <w:t>u</w:t>
      </w:r>
      <w:r w:rsidR="00B7096E" w:rsidRPr="008544BB">
        <w:rPr>
          <w:lang w:val="fr-FR"/>
        </w:rPr>
        <w:t xml:space="preserve"> 8</w:t>
      </w:r>
      <w:r w:rsidR="009640BC" w:rsidRPr="008544BB">
        <w:rPr>
          <w:lang w:val="fr-FR"/>
        </w:rPr>
        <w:t xml:space="preserve"> </w:t>
      </w:r>
      <w:r w:rsidR="00B7096E" w:rsidRPr="008544BB">
        <w:rPr>
          <w:lang w:val="fr-FR"/>
        </w:rPr>
        <w:t>novembre 2007</w:t>
      </w:r>
      <w:r w:rsidR="005F687E" w:rsidRPr="008544BB">
        <w:rPr>
          <w:lang w:val="fr-FR"/>
        </w:rPr>
        <w:t>.</w:t>
      </w:r>
    </w:p>
    <w:p w:rsidR="005F4919" w:rsidRPr="008544BB" w:rsidRDefault="00D32E9D"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12</w:t>
      </w:r>
      <w:r w:rsidRPr="008544BB">
        <w:rPr>
          <w:lang w:val="fr-FR"/>
        </w:rPr>
        <w:fldChar w:fldCharType="end"/>
      </w:r>
      <w:r w:rsidRPr="008544BB">
        <w:rPr>
          <w:lang w:val="fr-FR"/>
        </w:rPr>
        <w:t>.  </w:t>
      </w:r>
      <w:r w:rsidR="006E301C" w:rsidRPr="008544BB">
        <w:rPr>
          <w:lang w:val="fr-FR"/>
        </w:rPr>
        <w:t xml:space="preserve">À </w:t>
      </w:r>
      <w:r w:rsidR="007C4922" w:rsidRPr="008544BB">
        <w:rPr>
          <w:lang w:val="fr-FR"/>
        </w:rPr>
        <w:t xml:space="preserve">cette </w:t>
      </w:r>
      <w:r w:rsidR="006E301C" w:rsidRPr="008544BB">
        <w:rPr>
          <w:lang w:val="fr-FR"/>
        </w:rPr>
        <w:t xml:space="preserve">audience, </w:t>
      </w:r>
      <w:r w:rsidR="007C4922" w:rsidRPr="008544BB">
        <w:rPr>
          <w:lang w:val="fr-FR"/>
        </w:rPr>
        <w:t>la première requérante</w:t>
      </w:r>
      <w:r w:rsidR="00041AE9" w:rsidRPr="008544BB">
        <w:rPr>
          <w:lang w:val="fr-FR"/>
        </w:rPr>
        <w:t xml:space="preserve"> déclara </w:t>
      </w:r>
      <w:r w:rsidR="005F4919" w:rsidRPr="008544BB">
        <w:rPr>
          <w:lang w:val="fr-FR"/>
        </w:rPr>
        <w:t>qu</w:t>
      </w:r>
      <w:r w:rsidR="009F5CF2" w:rsidRPr="008544BB">
        <w:rPr>
          <w:lang w:val="fr-FR"/>
        </w:rPr>
        <w:t>e</w:t>
      </w:r>
      <w:r w:rsidR="00041AE9" w:rsidRPr="008544BB">
        <w:rPr>
          <w:lang w:val="fr-FR"/>
        </w:rPr>
        <w:t xml:space="preserve"> </w:t>
      </w:r>
      <w:r w:rsidR="002C452B" w:rsidRPr="008544BB">
        <w:rPr>
          <w:lang w:val="fr-FR"/>
        </w:rPr>
        <w:t xml:space="preserve">les enfants </w:t>
      </w:r>
      <w:r w:rsidR="00041AE9" w:rsidRPr="008544BB">
        <w:rPr>
          <w:lang w:val="fr-FR"/>
        </w:rPr>
        <w:t>n</w:t>
      </w:r>
      <w:r w:rsidR="008544BB" w:rsidRPr="008544BB">
        <w:rPr>
          <w:lang w:val="fr-FR"/>
        </w:rPr>
        <w:t>’</w:t>
      </w:r>
      <w:r w:rsidR="009F5CF2" w:rsidRPr="008544BB">
        <w:rPr>
          <w:lang w:val="fr-FR"/>
        </w:rPr>
        <w:t xml:space="preserve">avaient pas été reconnus </w:t>
      </w:r>
      <w:r w:rsidR="0019677A" w:rsidRPr="008544BB">
        <w:rPr>
          <w:lang w:val="fr-FR"/>
        </w:rPr>
        <w:t>par le</w:t>
      </w:r>
      <w:r w:rsidR="007C4922" w:rsidRPr="008544BB">
        <w:rPr>
          <w:lang w:val="fr-FR"/>
        </w:rPr>
        <w:t>ur</w:t>
      </w:r>
      <w:r w:rsidR="0019677A" w:rsidRPr="008544BB">
        <w:rPr>
          <w:lang w:val="fr-FR"/>
        </w:rPr>
        <w:t xml:space="preserve">s pères respectifs et que ces derniers </w:t>
      </w:r>
      <w:r w:rsidR="008D27D9" w:rsidRPr="008544BB">
        <w:rPr>
          <w:lang w:val="fr-FR"/>
        </w:rPr>
        <w:t>ne participai</w:t>
      </w:r>
      <w:r w:rsidR="0019677A" w:rsidRPr="008544BB">
        <w:rPr>
          <w:lang w:val="fr-FR"/>
        </w:rPr>
        <w:t>en</w:t>
      </w:r>
      <w:r w:rsidR="008D27D9" w:rsidRPr="008544BB">
        <w:rPr>
          <w:lang w:val="fr-FR"/>
        </w:rPr>
        <w:t>t</w:t>
      </w:r>
      <w:r w:rsidR="002C452B" w:rsidRPr="008544BB">
        <w:rPr>
          <w:lang w:val="fr-FR"/>
        </w:rPr>
        <w:t xml:space="preserve"> </w:t>
      </w:r>
      <w:r w:rsidR="007C4922" w:rsidRPr="008544BB">
        <w:rPr>
          <w:lang w:val="fr-FR"/>
        </w:rPr>
        <w:t xml:space="preserve">pas </w:t>
      </w:r>
      <w:r w:rsidR="002C452B" w:rsidRPr="008544BB">
        <w:rPr>
          <w:lang w:val="fr-FR"/>
        </w:rPr>
        <w:t>à leur entretien</w:t>
      </w:r>
      <w:r w:rsidR="006E301C" w:rsidRPr="008544BB">
        <w:rPr>
          <w:lang w:val="fr-FR"/>
        </w:rPr>
        <w:t xml:space="preserve"> </w:t>
      </w:r>
      <w:r w:rsidR="007C4922" w:rsidRPr="008544BB">
        <w:rPr>
          <w:lang w:val="fr-FR"/>
        </w:rPr>
        <w:t>et n</w:t>
      </w:r>
      <w:r w:rsidR="008544BB" w:rsidRPr="008544BB">
        <w:rPr>
          <w:lang w:val="fr-FR"/>
        </w:rPr>
        <w:t>’</w:t>
      </w:r>
      <w:r w:rsidR="006E301C" w:rsidRPr="008544BB">
        <w:rPr>
          <w:lang w:val="fr-FR"/>
        </w:rPr>
        <w:t xml:space="preserve">étaient </w:t>
      </w:r>
      <w:r w:rsidR="007C4922" w:rsidRPr="008544BB">
        <w:rPr>
          <w:lang w:val="fr-FR"/>
        </w:rPr>
        <w:t xml:space="preserve">pas </w:t>
      </w:r>
      <w:r w:rsidR="006E301C" w:rsidRPr="008544BB">
        <w:rPr>
          <w:lang w:val="fr-FR"/>
        </w:rPr>
        <w:t>en contact avec eux</w:t>
      </w:r>
      <w:r w:rsidR="00041AE9" w:rsidRPr="008544BB">
        <w:rPr>
          <w:lang w:val="fr-FR"/>
        </w:rPr>
        <w:t>.</w:t>
      </w:r>
    </w:p>
    <w:p w:rsidR="008F2EDC" w:rsidRPr="008544BB" w:rsidRDefault="008F2EDC"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13</w:t>
      </w:r>
      <w:r w:rsidRPr="008544BB">
        <w:rPr>
          <w:lang w:val="fr-FR"/>
        </w:rPr>
        <w:fldChar w:fldCharType="end"/>
      </w:r>
      <w:r w:rsidRPr="008544BB">
        <w:rPr>
          <w:lang w:val="fr-FR"/>
        </w:rPr>
        <w:t xml:space="preserve">.  Entendue le 9 avril 2008, la deuxième requérante </w:t>
      </w:r>
      <w:r w:rsidR="007C4922" w:rsidRPr="008544BB">
        <w:rPr>
          <w:lang w:val="fr-FR"/>
        </w:rPr>
        <w:t>indiqua</w:t>
      </w:r>
      <w:r w:rsidR="008D27D9" w:rsidRPr="008544BB">
        <w:rPr>
          <w:lang w:val="fr-FR"/>
        </w:rPr>
        <w:t xml:space="preserve"> que l</w:t>
      </w:r>
      <w:r w:rsidR="009B390C" w:rsidRPr="008544BB">
        <w:rPr>
          <w:lang w:val="fr-FR"/>
        </w:rPr>
        <w:t>e</w:t>
      </w:r>
      <w:r w:rsidR="008D27D9" w:rsidRPr="008544BB">
        <w:rPr>
          <w:lang w:val="fr-FR"/>
        </w:rPr>
        <w:t>s relations avec</w:t>
      </w:r>
      <w:r w:rsidRPr="008544BB">
        <w:rPr>
          <w:lang w:val="fr-FR"/>
        </w:rPr>
        <w:t xml:space="preserve"> sa fille</w:t>
      </w:r>
      <w:r w:rsidR="008D27D9" w:rsidRPr="008544BB">
        <w:rPr>
          <w:lang w:val="fr-FR"/>
        </w:rPr>
        <w:t xml:space="preserve"> étai</w:t>
      </w:r>
      <w:r w:rsidR="009B390C" w:rsidRPr="008544BB">
        <w:rPr>
          <w:lang w:val="fr-FR"/>
        </w:rPr>
        <w:t>en</w:t>
      </w:r>
      <w:r w:rsidR="008D27D9" w:rsidRPr="008544BB">
        <w:rPr>
          <w:lang w:val="fr-FR"/>
        </w:rPr>
        <w:t xml:space="preserve">t </w:t>
      </w:r>
      <w:r w:rsidR="0019677A" w:rsidRPr="008544BB">
        <w:rPr>
          <w:lang w:val="fr-FR"/>
        </w:rPr>
        <w:t>complexe</w:t>
      </w:r>
      <w:r w:rsidR="009B390C" w:rsidRPr="008544BB">
        <w:rPr>
          <w:lang w:val="fr-FR"/>
        </w:rPr>
        <w:t>s</w:t>
      </w:r>
      <w:r w:rsidRPr="008544BB">
        <w:rPr>
          <w:lang w:val="fr-FR"/>
        </w:rPr>
        <w:t xml:space="preserve">. Elle </w:t>
      </w:r>
      <w:r w:rsidR="0044361D" w:rsidRPr="008544BB">
        <w:rPr>
          <w:lang w:val="fr-FR"/>
        </w:rPr>
        <w:t>déclara aussi</w:t>
      </w:r>
      <w:r w:rsidRPr="008544BB">
        <w:rPr>
          <w:lang w:val="fr-FR"/>
        </w:rPr>
        <w:t xml:space="preserve"> que </w:t>
      </w:r>
      <w:r w:rsidR="007C4922" w:rsidRPr="008544BB">
        <w:rPr>
          <w:lang w:val="fr-FR"/>
        </w:rPr>
        <w:t>celle-ci</w:t>
      </w:r>
      <w:r w:rsidRPr="008544BB">
        <w:rPr>
          <w:lang w:val="fr-FR"/>
        </w:rPr>
        <w:t xml:space="preserve"> empêchait </w:t>
      </w:r>
      <w:r w:rsidR="0019677A" w:rsidRPr="008544BB">
        <w:rPr>
          <w:lang w:val="fr-FR"/>
        </w:rPr>
        <w:t>le</w:t>
      </w:r>
      <w:r w:rsidRPr="008544BB">
        <w:rPr>
          <w:lang w:val="fr-FR"/>
        </w:rPr>
        <w:t xml:space="preserve"> père de L. de s</w:t>
      </w:r>
      <w:r w:rsidR="008544BB" w:rsidRPr="008544BB">
        <w:rPr>
          <w:lang w:val="fr-FR"/>
        </w:rPr>
        <w:t>’</w:t>
      </w:r>
      <w:r w:rsidRPr="008544BB">
        <w:rPr>
          <w:lang w:val="fr-FR"/>
        </w:rPr>
        <w:t xml:space="preserve">occuper de </w:t>
      </w:r>
      <w:r w:rsidR="00041AE9" w:rsidRPr="008544BB">
        <w:rPr>
          <w:lang w:val="fr-FR"/>
        </w:rPr>
        <w:t>son fils</w:t>
      </w:r>
      <w:r w:rsidRPr="008544BB">
        <w:rPr>
          <w:lang w:val="fr-FR"/>
        </w:rPr>
        <w:t>.</w:t>
      </w:r>
    </w:p>
    <w:bookmarkStart w:id="3" w:name="TRIBUNAL_14_7_08"/>
    <w:p w:rsidR="00B43CD8" w:rsidRPr="008544BB" w:rsidRDefault="004A4240" w:rsidP="008544BB">
      <w:pPr>
        <w:pStyle w:val="ECHRPara"/>
        <w:rPr>
          <w:lang w:val="fr-FR"/>
        </w:rPr>
      </w:pPr>
      <w:r w:rsidRPr="008544BB">
        <w:fldChar w:fldCharType="begin"/>
      </w:r>
      <w:r w:rsidRPr="008544BB">
        <w:rPr>
          <w:lang w:val="fr-FR"/>
        </w:rPr>
        <w:instrText xml:space="preserve"> SEQ level0 \*arabic </w:instrText>
      </w:r>
      <w:r w:rsidRPr="008544BB">
        <w:fldChar w:fldCharType="separate"/>
      </w:r>
      <w:r w:rsidR="008544BB" w:rsidRPr="008544BB">
        <w:rPr>
          <w:noProof/>
          <w:lang w:val="fr-FR"/>
        </w:rPr>
        <w:t>14</w:t>
      </w:r>
      <w:r w:rsidRPr="008544BB">
        <w:fldChar w:fldCharType="end"/>
      </w:r>
      <w:bookmarkEnd w:id="3"/>
      <w:r w:rsidRPr="008544BB">
        <w:rPr>
          <w:lang w:val="fr-FR"/>
        </w:rPr>
        <w:t xml:space="preserve">.  Le 14 juillet 2008, le tribunal </w:t>
      </w:r>
      <w:r w:rsidR="00A97CB2" w:rsidRPr="008544BB">
        <w:rPr>
          <w:lang w:val="fr-FR"/>
        </w:rPr>
        <w:t xml:space="preserve">pour enfants </w:t>
      </w:r>
      <w:r w:rsidR="0052225D" w:rsidRPr="008544BB">
        <w:rPr>
          <w:lang w:val="fr-FR"/>
        </w:rPr>
        <w:t xml:space="preserve">confirma </w:t>
      </w:r>
      <w:r w:rsidR="0044361D" w:rsidRPr="008544BB">
        <w:rPr>
          <w:lang w:val="fr-FR"/>
        </w:rPr>
        <w:t>l</w:t>
      </w:r>
      <w:r w:rsidR="0052225D" w:rsidRPr="008544BB">
        <w:rPr>
          <w:lang w:val="fr-FR"/>
        </w:rPr>
        <w:t>a d</w:t>
      </w:r>
      <w:r w:rsidR="00CD6F5D" w:rsidRPr="008544BB">
        <w:rPr>
          <w:lang w:val="fr-FR"/>
        </w:rPr>
        <w:t>écision du 7</w:t>
      </w:r>
      <w:r w:rsidR="00A97CB2" w:rsidRPr="008544BB">
        <w:rPr>
          <w:lang w:val="fr-FR"/>
        </w:rPr>
        <w:t> </w:t>
      </w:r>
      <w:r w:rsidR="00CD6F5D" w:rsidRPr="008544BB">
        <w:rPr>
          <w:lang w:val="fr-FR"/>
        </w:rPr>
        <w:t>septembre 2007, estimant</w:t>
      </w:r>
      <w:r w:rsidR="0052225D" w:rsidRPr="008544BB">
        <w:rPr>
          <w:lang w:val="fr-FR"/>
        </w:rPr>
        <w:t xml:space="preserve"> que</w:t>
      </w:r>
      <w:r w:rsidRPr="008544BB">
        <w:rPr>
          <w:lang w:val="fr-FR"/>
        </w:rPr>
        <w:t xml:space="preserve"> </w:t>
      </w:r>
      <w:r w:rsidR="00041AE9" w:rsidRPr="008544BB">
        <w:rPr>
          <w:lang w:val="fr-FR"/>
        </w:rPr>
        <w:t>le retour</w:t>
      </w:r>
      <w:r w:rsidR="0052225D" w:rsidRPr="008544BB">
        <w:rPr>
          <w:lang w:val="fr-FR"/>
        </w:rPr>
        <w:t xml:space="preserve"> des enfants</w:t>
      </w:r>
      <w:r w:rsidR="00041AE9" w:rsidRPr="008544BB">
        <w:rPr>
          <w:lang w:val="fr-FR"/>
        </w:rPr>
        <w:t xml:space="preserve"> chez la</w:t>
      </w:r>
      <w:r w:rsidR="008F2EDC" w:rsidRPr="008544BB">
        <w:rPr>
          <w:lang w:val="fr-FR"/>
        </w:rPr>
        <w:t xml:space="preserve"> </w:t>
      </w:r>
      <w:r w:rsidR="00F22317" w:rsidRPr="008544BB">
        <w:rPr>
          <w:lang w:val="fr-FR"/>
        </w:rPr>
        <w:t>première requérante</w:t>
      </w:r>
      <w:r w:rsidR="00CD6F5D" w:rsidRPr="008544BB">
        <w:rPr>
          <w:lang w:val="fr-FR"/>
        </w:rPr>
        <w:t xml:space="preserve"> n</w:t>
      </w:r>
      <w:r w:rsidR="008544BB" w:rsidRPr="008544BB">
        <w:rPr>
          <w:lang w:val="fr-FR"/>
        </w:rPr>
        <w:t>’</w:t>
      </w:r>
      <w:r w:rsidR="00CD6F5D" w:rsidRPr="008544BB">
        <w:rPr>
          <w:lang w:val="fr-FR"/>
        </w:rPr>
        <w:t>était</w:t>
      </w:r>
      <w:r w:rsidR="0005608C" w:rsidRPr="008544BB">
        <w:rPr>
          <w:lang w:val="fr-FR"/>
        </w:rPr>
        <w:t xml:space="preserve"> pas souhaitable et</w:t>
      </w:r>
      <w:r w:rsidR="008F2EDC" w:rsidRPr="008544BB">
        <w:rPr>
          <w:lang w:val="fr-FR"/>
        </w:rPr>
        <w:t xml:space="preserve"> </w:t>
      </w:r>
      <w:r w:rsidR="007C4922" w:rsidRPr="008544BB">
        <w:rPr>
          <w:lang w:val="fr-FR"/>
        </w:rPr>
        <w:t>qu</w:t>
      </w:r>
      <w:r w:rsidR="008544BB" w:rsidRPr="008544BB">
        <w:rPr>
          <w:lang w:val="fr-FR"/>
        </w:rPr>
        <w:t>’</w:t>
      </w:r>
      <w:r w:rsidR="007C4922" w:rsidRPr="008544BB">
        <w:rPr>
          <w:lang w:val="fr-FR"/>
        </w:rPr>
        <w:t>un</w:t>
      </w:r>
      <w:r w:rsidR="008F2EDC" w:rsidRPr="008544BB">
        <w:rPr>
          <w:lang w:val="fr-FR"/>
        </w:rPr>
        <w:t xml:space="preserve"> placement chez la deuxième requérant</w:t>
      </w:r>
      <w:r w:rsidR="0005608C" w:rsidRPr="008544BB">
        <w:rPr>
          <w:lang w:val="fr-FR"/>
        </w:rPr>
        <w:t>e</w:t>
      </w:r>
      <w:r w:rsidR="008F2EDC" w:rsidRPr="008544BB">
        <w:rPr>
          <w:lang w:val="fr-FR"/>
        </w:rPr>
        <w:t xml:space="preserve"> </w:t>
      </w:r>
      <w:r w:rsidR="007C4922" w:rsidRPr="008544BB">
        <w:rPr>
          <w:lang w:val="fr-FR"/>
        </w:rPr>
        <w:t>n</w:t>
      </w:r>
      <w:r w:rsidR="008544BB" w:rsidRPr="008544BB">
        <w:rPr>
          <w:lang w:val="fr-FR"/>
        </w:rPr>
        <w:t>’</w:t>
      </w:r>
      <w:r w:rsidR="007C4922" w:rsidRPr="008544BB">
        <w:rPr>
          <w:lang w:val="fr-FR"/>
        </w:rPr>
        <w:t xml:space="preserve">était pas </w:t>
      </w:r>
      <w:r w:rsidR="0005608C" w:rsidRPr="008544BB">
        <w:rPr>
          <w:lang w:val="fr-FR"/>
        </w:rPr>
        <w:t>envisageable</w:t>
      </w:r>
      <w:r w:rsidR="008F2EDC" w:rsidRPr="008544BB">
        <w:rPr>
          <w:lang w:val="fr-FR"/>
        </w:rPr>
        <w:t xml:space="preserve"> </w:t>
      </w:r>
      <w:r w:rsidR="0044361D" w:rsidRPr="008544BB">
        <w:rPr>
          <w:lang w:val="fr-FR"/>
        </w:rPr>
        <w:t>à cause</w:t>
      </w:r>
      <w:r w:rsidRPr="008544BB">
        <w:rPr>
          <w:lang w:val="fr-FR"/>
        </w:rPr>
        <w:t xml:space="preserve"> d</w:t>
      </w:r>
      <w:r w:rsidR="008F2EDC" w:rsidRPr="008544BB">
        <w:rPr>
          <w:lang w:val="fr-FR"/>
        </w:rPr>
        <w:t>u</w:t>
      </w:r>
      <w:r w:rsidRPr="008544BB">
        <w:rPr>
          <w:lang w:val="fr-FR"/>
        </w:rPr>
        <w:t xml:space="preserve"> </w:t>
      </w:r>
      <w:r w:rsidR="005F687E" w:rsidRPr="008544BB">
        <w:rPr>
          <w:lang w:val="fr-FR"/>
        </w:rPr>
        <w:t>profond</w:t>
      </w:r>
      <w:r w:rsidRPr="008544BB">
        <w:rPr>
          <w:lang w:val="fr-FR"/>
        </w:rPr>
        <w:t xml:space="preserve"> conflit </w:t>
      </w:r>
      <w:r w:rsidR="008D27D9" w:rsidRPr="008544BB">
        <w:rPr>
          <w:lang w:val="fr-FR"/>
        </w:rPr>
        <w:t>l</w:t>
      </w:r>
      <w:r w:rsidR="008544BB" w:rsidRPr="008544BB">
        <w:rPr>
          <w:lang w:val="fr-FR"/>
        </w:rPr>
        <w:t>’</w:t>
      </w:r>
      <w:r w:rsidR="005F687E" w:rsidRPr="008544BB">
        <w:rPr>
          <w:lang w:val="fr-FR"/>
        </w:rPr>
        <w:t xml:space="preserve">opposant </w:t>
      </w:r>
      <w:r w:rsidR="008D27D9" w:rsidRPr="008544BB">
        <w:rPr>
          <w:lang w:val="fr-FR"/>
        </w:rPr>
        <w:t>à sa fille</w:t>
      </w:r>
      <w:r w:rsidR="00B43CD8" w:rsidRPr="008544BB">
        <w:rPr>
          <w:lang w:val="fr-FR"/>
        </w:rPr>
        <w:t>.</w:t>
      </w:r>
    </w:p>
    <w:p w:rsidR="0040024F" w:rsidRPr="008544BB" w:rsidRDefault="004A4240" w:rsidP="008544BB">
      <w:pPr>
        <w:pStyle w:val="ECHRPara"/>
        <w:rPr>
          <w:lang w:val="fr-FR"/>
        </w:rPr>
      </w:pPr>
      <w:r w:rsidRPr="008544BB">
        <w:fldChar w:fldCharType="begin"/>
      </w:r>
      <w:r w:rsidRPr="008544BB">
        <w:rPr>
          <w:lang w:val="fr-FR"/>
        </w:rPr>
        <w:instrText xml:space="preserve"> SEQ level0 \*arabic </w:instrText>
      </w:r>
      <w:r w:rsidRPr="008544BB">
        <w:fldChar w:fldCharType="separate"/>
      </w:r>
      <w:r w:rsidR="008544BB" w:rsidRPr="008544BB">
        <w:rPr>
          <w:noProof/>
          <w:lang w:val="fr-FR"/>
        </w:rPr>
        <w:t>15</w:t>
      </w:r>
      <w:r w:rsidRPr="008544BB">
        <w:fldChar w:fldCharType="end"/>
      </w:r>
      <w:r w:rsidRPr="008544BB">
        <w:rPr>
          <w:lang w:val="fr-FR"/>
        </w:rPr>
        <w:t>.  </w:t>
      </w:r>
      <w:r w:rsidR="005F4919" w:rsidRPr="008544BB">
        <w:rPr>
          <w:lang w:val="fr-FR"/>
        </w:rPr>
        <w:t>À une date non précisée, l</w:t>
      </w:r>
      <w:r w:rsidR="0044361D" w:rsidRPr="008544BB">
        <w:rPr>
          <w:lang w:val="fr-FR"/>
        </w:rPr>
        <w:t>a deuxième requérante</w:t>
      </w:r>
      <w:r w:rsidR="0040024F" w:rsidRPr="008544BB">
        <w:rPr>
          <w:lang w:val="fr-FR"/>
        </w:rPr>
        <w:t xml:space="preserve"> </w:t>
      </w:r>
      <w:r w:rsidR="0044361D" w:rsidRPr="008544BB">
        <w:rPr>
          <w:lang w:val="fr-FR"/>
        </w:rPr>
        <w:t xml:space="preserve">demanda au tribunal </w:t>
      </w:r>
      <w:r w:rsidR="00A97CB2" w:rsidRPr="008544BB">
        <w:rPr>
          <w:lang w:val="fr-FR"/>
        </w:rPr>
        <w:t xml:space="preserve">pour enfants </w:t>
      </w:r>
      <w:r w:rsidR="0044361D" w:rsidRPr="008544BB">
        <w:rPr>
          <w:lang w:val="fr-FR"/>
        </w:rPr>
        <w:t>le</w:t>
      </w:r>
      <w:r w:rsidR="000401CF" w:rsidRPr="008544BB">
        <w:rPr>
          <w:lang w:val="fr-FR"/>
        </w:rPr>
        <w:t xml:space="preserve"> </w:t>
      </w:r>
      <w:r w:rsidR="003B754A" w:rsidRPr="008544BB">
        <w:rPr>
          <w:lang w:val="fr-FR"/>
        </w:rPr>
        <w:t>placement</w:t>
      </w:r>
      <w:r w:rsidR="000401CF" w:rsidRPr="008544BB">
        <w:rPr>
          <w:lang w:val="fr-FR"/>
        </w:rPr>
        <w:t xml:space="preserve"> des </w:t>
      </w:r>
      <w:r w:rsidR="00A97CB2" w:rsidRPr="008544BB">
        <w:rPr>
          <w:lang w:val="fr-FR"/>
        </w:rPr>
        <w:t>mineurs</w:t>
      </w:r>
      <w:r w:rsidR="003B754A" w:rsidRPr="008544BB">
        <w:rPr>
          <w:lang w:val="fr-FR"/>
        </w:rPr>
        <w:t xml:space="preserve"> à son domicile</w:t>
      </w:r>
      <w:r w:rsidR="0040024F" w:rsidRPr="008544BB">
        <w:rPr>
          <w:lang w:val="fr-FR"/>
        </w:rPr>
        <w:t>, en dénonçant l</w:t>
      </w:r>
      <w:r w:rsidR="0044361D" w:rsidRPr="008544BB">
        <w:rPr>
          <w:lang w:val="fr-FR"/>
        </w:rPr>
        <w:t xml:space="preserve">es </w:t>
      </w:r>
      <w:r w:rsidR="0040024F" w:rsidRPr="008544BB">
        <w:rPr>
          <w:lang w:val="fr-FR"/>
        </w:rPr>
        <w:t>effet</w:t>
      </w:r>
      <w:r w:rsidR="0044361D" w:rsidRPr="008544BB">
        <w:rPr>
          <w:lang w:val="fr-FR"/>
        </w:rPr>
        <w:t>s</w:t>
      </w:r>
      <w:r w:rsidR="0040024F" w:rsidRPr="008544BB">
        <w:rPr>
          <w:lang w:val="fr-FR"/>
        </w:rPr>
        <w:t xml:space="preserve"> d</w:t>
      </w:r>
      <w:r w:rsidR="0044361D" w:rsidRPr="008544BB">
        <w:rPr>
          <w:lang w:val="fr-FR"/>
        </w:rPr>
        <w:t>u séjour</w:t>
      </w:r>
      <w:r w:rsidR="0040024F" w:rsidRPr="008544BB">
        <w:rPr>
          <w:lang w:val="fr-FR"/>
        </w:rPr>
        <w:t xml:space="preserve"> </w:t>
      </w:r>
      <w:r w:rsidR="005F4919" w:rsidRPr="008544BB">
        <w:rPr>
          <w:lang w:val="fr-FR"/>
        </w:rPr>
        <w:t>en</w:t>
      </w:r>
      <w:r w:rsidR="0040024F" w:rsidRPr="008544BB">
        <w:rPr>
          <w:lang w:val="fr-FR"/>
        </w:rPr>
        <w:t xml:space="preserve"> maison d</w:t>
      </w:r>
      <w:r w:rsidR="008544BB" w:rsidRPr="008544BB">
        <w:rPr>
          <w:lang w:val="fr-FR"/>
        </w:rPr>
        <w:t>’</w:t>
      </w:r>
      <w:r w:rsidR="0040024F" w:rsidRPr="008544BB">
        <w:rPr>
          <w:lang w:val="fr-FR"/>
        </w:rPr>
        <w:t>accueil</w:t>
      </w:r>
      <w:r w:rsidR="007C4922" w:rsidRPr="008544BB">
        <w:rPr>
          <w:lang w:val="fr-FR"/>
        </w:rPr>
        <w:t>, qu</w:t>
      </w:r>
      <w:r w:rsidR="008544BB" w:rsidRPr="008544BB">
        <w:rPr>
          <w:lang w:val="fr-FR"/>
        </w:rPr>
        <w:t>’</w:t>
      </w:r>
      <w:r w:rsidR="007C4922" w:rsidRPr="008544BB">
        <w:rPr>
          <w:lang w:val="fr-FR"/>
        </w:rPr>
        <w:t>elle qualifiait de déstabilisants</w:t>
      </w:r>
      <w:r w:rsidR="0040024F" w:rsidRPr="008544BB">
        <w:rPr>
          <w:lang w:val="fr-FR"/>
        </w:rPr>
        <w:t xml:space="preserve">. </w:t>
      </w:r>
      <w:r w:rsidR="0044361D" w:rsidRPr="008544BB">
        <w:rPr>
          <w:lang w:val="fr-FR"/>
        </w:rPr>
        <w:t>À</w:t>
      </w:r>
      <w:r w:rsidR="0052225D" w:rsidRPr="008544BB">
        <w:rPr>
          <w:lang w:val="fr-FR"/>
        </w:rPr>
        <w:t xml:space="preserve"> l</w:t>
      </w:r>
      <w:r w:rsidR="008544BB" w:rsidRPr="008544BB">
        <w:rPr>
          <w:lang w:val="fr-FR"/>
        </w:rPr>
        <w:t>’</w:t>
      </w:r>
      <w:r w:rsidR="0052225D" w:rsidRPr="008544BB">
        <w:rPr>
          <w:lang w:val="fr-FR"/>
        </w:rPr>
        <w:t>audience du 30 juin 2009, l</w:t>
      </w:r>
      <w:r w:rsidR="0040024F" w:rsidRPr="008544BB">
        <w:rPr>
          <w:lang w:val="fr-FR"/>
        </w:rPr>
        <w:t>es requérantes demandèrent une expertise sur l</w:t>
      </w:r>
      <w:r w:rsidR="008544BB" w:rsidRPr="008544BB">
        <w:rPr>
          <w:lang w:val="fr-FR"/>
        </w:rPr>
        <w:t>’</w:t>
      </w:r>
      <w:r w:rsidR="0040024F" w:rsidRPr="008544BB">
        <w:rPr>
          <w:lang w:val="fr-FR"/>
        </w:rPr>
        <w:t xml:space="preserve">état de santé de la première </w:t>
      </w:r>
      <w:r w:rsidR="007C4922" w:rsidRPr="008544BB">
        <w:rPr>
          <w:lang w:val="fr-FR"/>
        </w:rPr>
        <w:t>d</w:t>
      </w:r>
      <w:r w:rsidR="008544BB" w:rsidRPr="008544BB">
        <w:rPr>
          <w:lang w:val="fr-FR"/>
        </w:rPr>
        <w:t>’</w:t>
      </w:r>
      <w:r w:rsidR="007C4922" w:rsidRPr="008544BB">
        <w:rPr>
          <w:lang w:val="fr-FR"/>
        </w:rPr>
        <w:t>entre elles</w:t>
      </w:r>
      <w:r w:rsidR="0040024F" w:rsidRPr="008544BB">
        <w:rPr>
          <w:lang w:val="fr-FR"/>
        </w:rPr>
        <w:t xml:space="preserve"> afin </w:t>
      </w:r>
      <w:r w:rsidR="007C4922" w:rsidRPr="008544BB">
        <w:rPr>
          <w:lang w:val="fr-FR"/>
        </w:rPr>
        <w:t>que</w:t>
      </w:r>
      <w:r w:rsidR="0040024F" w:rsidRPr="008544BB">
        <w:rPr>
          <w:lang w:val="fr-FR"/>
        </w:rPr>
        <w:t xml:space="preserve"> </w:t>
      </w:r>
      <w:r w:rsidR="007C4922" w:rsidRPr="008544BB">
        <w:rPr>
          <w:lang w:val="fr-FR"/>
        </w:rPr>
        <w:t>l</w:t>
      </w:r>
      <w:r w:rsidR="0040024F" w:rsidRPr="008544BB">
        <w:rPr>
          <w:lang w:val="fr-FR"/>
        </w:rPr>
        <w:t>es capacités parentales</w:t>
      </w:r>
      <w:r w:rsidR="007C4922" w:rsidRPr="008544BB">
        <w:rPr>
          <w:lang w:val="fr-FR"/>
        </w:rPr>
        <w:t xml:space="preserve"> de cette dernière fussent démontrées</w:t>
      </w:r>
      <w:r w:rsidR="0040024F" w:rsidRPr="008544BB">
        <w:rPr>
          <w:lang w:val="fr-FR"/>
        </w:rPr>
        <w:t>.</w:t>
      </w:r>
    </w:p>
    <w:bookmarkStart w:id="4" w:name="TRIBUNAL_5_7_09"/>
    <w:p w:rsidR="0040024F" w:rsidRPr="008544BB" w:rsidRDefault="005F4919"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16</w:t>
      </w:r>
      <w:r w:rsidRPr="008544BB">
        <w:rPr>
          <w:lang w:val="fr-FR"/>
        </w:rPr>
        <w:fldChar w:fldCharType="end"/>
      </w:r>
      <w:bookmarkEnd w:id="4"/>
      <w:r w:rsidRPr="008544BB">
        <w:rPr>
          <w:lang w:val="fr-FR"/>
        </w:rPr>
        <w:t>.  </w:t>
      </w:r>
      <w:r w:rsidR="0040024F" w:rsidRPr="008544BB">
        <w:rPr>
          <w:lang w:val="fr-FR"/>
        </w:rPr>
        <w:t>Le</w:t>
      </w:r>
      <w:r w:rsidR="004A4240" w:rsidRPr="008544BB">
        <w:rPr>
          <w:lang w:val="fr-FR"/>
        </w:rPr>
        <w:t xml:space="preserve"> </w:t>
      </w:r>
      <w:r w:rsidR="00096266" w:rsidRPr="008544BB">
        <w:rPr>
          <w:lang w:val="fr-FR"/>
        </w:rPr>
        <w:t>5</w:t>
      </w:r>
      <w:r w:rsidR="004A4240" w:rsidRPr="008544BB">
        <w:rPr>
          <w:lang w:val="fr-FR"/>
        </w:rPr>
        <w:t xml:space="preserve"> juillet 2009, </w:t>
      </w:r>
      <w:r w:rsidR="00177888" w:rsidRPr="008544BB">
        <w:rPr>
          <w:lang w:val="fr-FR"/>
        </w:rPr>
        <w:t xml:space="preserve">le tribunal </w:t>
      </w:r>
      <w:r w:rsidR="00A97CB2" w:rsidRPr="008544BB">
        <w:rPr>
          <w:lang w:val="fr-FR"/>
        </w:rPr>
        <w:t xml:space="preserve">pour enfants </w:t>
      </w:r>
      <w:r w:rsidR="004658F0" w:rsidRPr="008544BB">
        <w:rPr>
          <w:lang w:val="fr-FR"/>
        </w:rPr>
        <w:t>constata</w:t>
      </w:r>
      <w:r w:rsidR="00C07022" w:rsidRPr="008544BB">
        <w:rPr>
          <w:lang w:val="fr-FR"/>
        </w:rPr>
        <w:t>,</w:t>
      </w:r>
      <w:r w:rsidR="004A4240" w:rsidRPr="008544BB">
        <w:rPr>
          <w:lang w:val="fr-FR"/>
        </w:rPr>
        <w:t xml:space="preserve"> </w:t>
      </w:r>
      <w:r w:rsidR="00C07022" w:rsidRPr="008544BB">
        <w:rPr>
          <w:lang w:val="fr-FR"/>
        </w:rPr>
        <w:t>d</w:t>
      </w:r>
      <w:r w:rsidR="008544BB" w:rsidRPr="008544BB">
        <w:rPr>
          <w:lang w:val="fr-FR"/>
        </w:rPr>
        <w:t>’</w:t>
      </w:r>
      <w:r w:rsidR="00C07022" w:rsidRPr="008544BB">
        <w:rPr>
          <w:lang w:val="fr-FR"/>
        </w:rPr>
        <w:t xml:space="preserve">une part, </w:t>
      </w:r>
      <w:r w:rsidR="005F687E" w:rsidRPr="008544BB">
        <w:rPr>
          <w:lang w:val="fr-FR"/>
        </w:rPr>
        <w:t>la persistance du conflit entre les requérant</w:t>
      </w:r>
      <w:r w:rsidR="0040024F" w:rsidRPr="008544BB">
        <w:rPr>
          <w:lang w:val="fr-FR"/>
        </w:rPr>
        <w:t>e</w:t>
      </w:r>
      <w:r w:rsidR="005F687E" w:rsidRPr="008544BB">
        <w:rPr>
          <w:lang w:val="fr-FR"/>
        </w:rPr>
        <w:t>s</w:t>
      </w:r>
      <w:r w:rsidR="00C07022" w:rsidRPr="008544BB">
        <w:rPr>
          <w:lang w:val="fr-FR"/>
        </w:rPr>
        <w:t xml:space="preserve"> et, d</w:t>
      </w:r>
      <w:r w:rsidR="008544BB" w:rsidRPr="008544BB">
        <w:rPr>
          <w:lang w:val="fr-FR"/>
        </w:rPr>
        <w:t>’</w:t>
      </w:r>
      <w:r w:rsidR="00C07022" w:rsidRPr="008544BB">
        <w:rPr>
          <w:lang w:val="fr-FR"/>
        </w:rPr>
        <w:t xml:space="preserve">autre part, </w:t>
      </w:r>
      <w:r w:rsidR="004A4240" w:rsidRPr="008544BB">
        <w:rPr>
          <w:lang w:val="fr-FR"/>
        </w:rPr>
        <w:t>l</w:t>
      </w:r>
      <w:r w:rsidR="008544BB" w:rsidRPr="008544BB">
        <w:rPr>
          <w:lang w:val="fr-FR"/>
        </w:rPr>
        <w:t>’</w:t>
      </w:r>
      <w:r w:rsidR="004A4240" w:rsidRPr="008544BB">
        <w:rPr>
          <w:lang w:val="fr-FR"/>
        </w:rPr>
        <w:t xml:space="preserve">attitude hostile de </w:t>
      </w:r>
      <w:r w:rsidR="0040024F" w:rsidRPr="008544BB">
        <w:rPr>
          <w:lang w:val="fr-FR"/>
        </w:rPr>
        <w:t>la première requérante</w:t>
      </w:r>
      <w:r w:rsidR="004A4240" w:rsidRPr="008544BB">
        <w:rPr>
          <w:lang w:val="fr-FR"/>
        </w:rPr>
        <w:t xml:space="preserve"> à l</w:t>
      </w:r>
      <w:r w:rsidR="008544BB" w:rsidRPr="008544BB">
        <w:rPr>
          <w:lang w:val="fr-FR"/>
        </w:rPr>
        <w:t>’</w:t>
      </w:r>
      <w:r w:rsidR="004A4240" w:rsidRPr="008544BB">
        <w:rPr>
          <w:lang w:val="fr-FR"/>
        </w:rPr>
        <w:t>égard d</w:t>
      </w:r>
      <w:r w:rsidR="007C4922" w:rsidRPr="008544BB">
        <w:rPr>
          <w:lang w:val="fr-FR"/>
        </w:rPr>
        <w:t>u personnel</w:t>
      </w:r>
      <w:r w:rsidR="004A4240" w:rsidRPr="008544BB">
        <w:rPr>
          <w:lang w:val="fr-FR"/>
        </w:rPr>
        <w:t xml:space="preserve"> de l</w:t>
      </w:r>
      <w:r w:rsidR="0040024F" w:rsidRPr="008544BB">
        <w:rPr>
          <w:lang w:val="fr-FR"/>
        </w:rPr>
        <w:t>a maison</w:t>
      </w:r>
      <w:r w:rsidR="004A4240" w:rsidRPr="008544BB">
        <w:rPr>
          <w:lang w:val="fr-FR"/>
        </w:rPr>
        <w:t xml:space="preserve"> d</w:t>
      </w:r>
      <w:r w:rsidR="008544BB" w:rsidRPr="008544BB">
        <w:rPr>
          <w:lang w:val="fr-FR"/>
        </w:rPr>
        <w:t>’</w:t>
      </w:r>
      <w:r w:rsidR="004A4240" w:rsidRPr="008544BB">
        <w:rPr>
          <w:lang w:val="fr-FR"/>
        </w:rPr>
        <w:t xml:space="preserve">accueil </w:t>
      </w:r>
      <w:r w:rsidR="00177888" w:rsidRPr="008544BB">
        <w:rPr>
          <w:lang w:val="fr-FR"/>
        </w:rPr>
        <w:t>(expressions injurieuses</w:t>
      </w:r>
      <w:r w:rsidR="0040024F" w:rsidRPr="008544BB">
        <w:rPr>
          <w:lang w:val="fr-FR"/>
        </w:rPr>
        <w:t>,</w:t>
      </w:r>
      <w:r w:rsidR="00177888" w:rsidRPr="008544BB">
        <w:rPr>
          <w:lang w:val="fr-FR"/>
        </w:rPr>
        <w:t xml:space="preserve"> comportements agressifs</w:t>
      </w:r>
      <w:r w:rsidR="0040024F" w:rsidRPr="008544BB">
        <w:rPr>
          <w:lang w:val="fr-FR"/>
        </w:rPr>
        <w:t xml:space="preserve">, </w:t>
      </w:r>
      <w:r w:rsidR="0044361D" w:rsidRPr="008544BB">
        <w:rPr>
          <w:lang w:val="fr-FR"/>
        </w:rPr>
        <w:t>nombreux</w:t>
      </w:r>
      <w:r w:rsidR="0019677A" w:rsidRPr="008544BB">
        <w:rPr>
          <w:lang w:val="fr-FR"/>
        </w:rPr>
        <w:t xml:space="preserve"> </w:t>
      </w:r>
      <w:r w:rsidR="00177888" w:rsidRPr="008544BB">
        <w:rPr>
          <w:lang w:val="fr-FR"/>
        </w:rPr>
        <w:t>accès</w:t>
      </w:r>
      <w:r w:rsidR="0019677A" w:rsidRPr="008544BB">
        <w:rPr>
          <w:lang w:val="fr-FR"/>
        </w:rPr>
        <w:t xml:space="preserve"> non autorisés</w:t>
      </w:r>
      <w:r w:rsidR="00177888" w:rsidRPr="008544BB">
        <w:rPr>
          <w:lang w:val="fr-FR"/>
        </w:rPr>
        <w:t xml:space="preserve"> </w:t>
      </w:r>
      <w:r w:rsidR="008D27D9" w:rsidRPr="008544BB">
        <w:rPr>
          <w:lang w:val="fr-FR"/>
        </w:rPr>
        <w:t>dans l</w:t>
      </w:r>
      <w:r w:rsidR="008544BB" w:rsidRPr="008544BB">
        <w:rPr>
          <w:lang w:val="fr-FR"/>
        </w:rPr>
        <w:t>’</w:t>
      </w:r>
      <w:r w:rsidR="008D27D9" w:rsidRPr="008544BB">
        <w:rPr>
          <w:lang w:val="fr-FR"/>
        </w:rPr>
        <w:t>établissement</w:t>
      </w:r>
      <w:r w:rsidR="0040024F" w:rsidRPr="008544BB">
        <w:rPr>
          <w:lang w:val="fr-FR"/>
        </w:rPr>
        <w:t>)</w:t>
      </w:r>
      <w:r w:rsidR="00C07022" w:rsidRPr="008544BB">
        <w:rPr>
          <w:lang w:val="fr-FR"/>
        </w:rPr>
        <w:t>, que l</w:t>
      </w:r>
      <w:r w:rsidR="008544BB" w:rsidRPr="008544BB">
        <w:rPr>
          <w:lang w:val="fr-FR"/>
        </w:rPr>
        <w:t>’</w:t>
      </w:r>
      <w:r w:rsidR="00C07022" w:rsidRPr="008544BB">
        <w:rPr>
          <w:lang w:val="fr-FR"/>
        </w:rPr>
        <w:t xml:space="preserve">intéressée </w:t>
      </w:r>
      <w:r w:rsidR="00086485" w:rsidRPr="008544BB">
        <w:rPr>
          <w:lang w:val="fr-FR"/>
        </w:rPr>
        <w:t>justifia</w:t>
      </w:r>
      <w:r w:rsidR="00C07022" w:rsidRPr="008544BB">
        <w:rPr>
          <w:lang w:val="fr-FR"/>
        </w:rPr>
        <w:t>it</w:t>
      </w:r>
      <w:r w:rsidR="00086485" w:rsidRPr="008544BB">
        <w:rPr>
          <w:lang w:val="fr-FR"/>
        </w:rPr>
        <w:t xml:space="preserve"> comme </w:t>
      </w:r>
      <w:r w:rsidR="00C07022" w:rsidRPr="008544BB">
        <w:rPr>
          <w:lang w:val="fr-FR"/>
        </w:rPr>
        <w:t xml:space="preserve">étant </w:t>
      </w:r>
      <w:r w:rsidR="00C62A11" w:rsidRPr="008544BB">
        <w:rPr>
          <w:lang w:val="fr-FR"/>
        </w:rPr>
        <w:t>une</w:t>
      </w:r>
      <w:r w:rsidR="00086485" w:rsidRPr="008544BB">
        <w:rPr>
          <w:lang w:val="fr-FR"/>
        </w:rPr>
        <w:t xml:space="preserve"> réaction au</w:t>
      </w:r>
      <w:r w:rsidR="0044361D" w:rsidRPr="008544BB">
        <w:rPr>
          <w:lang w:val="fr-FR"/>
        </w:rPr>
        <w:t>x prétendues</w:t>
      </w:r>
      <w:r w:rsidR="0040024F" w:rsidRPr="008544BB">
        <w:rPr>
          <w:lang w:val="fr-FR"/>
        </w:rPr>
        <w:t xml:space="preserve"> vexations </w:t>
      </w:r>
      <w:r w:rsidR="0044361D" w:rsidRPr="008544BB">
        <w:rPr>
          <w:lang w:val="fr-FR"/>
        </w:rPr>
        <w:t xml:space="preserve">subies par L. </w:t>
      </w:r>
      <w:r w:rsidR="0040024F" w:rsidRPr="008544BB">
        <w:rPr>
          <w:lang w:val="fr-FR"/>
        </w:rPr>
        <w:t>de la part d</w:t>
      </w:r>
      <w:r w:rsidR="009B390C" w:rsidRPr="008544BB">
        <w:rPr>
          <w:lang w:val="fr-FR"/>
        </w:rPr>
        <w:t xml:space="preserve">es </w:t>
      </w:r>
      <w:r w:rsidR="008D27D9" w:rsidRPr="008544BB">
        <w:rPr>
          <w:lang w:val="fr-FR"/>
        </w:rPr>
        <w:t xml:space="preserve">autres </w:t>
      </w:r>
      <w:r w:rsidR="00086485" w:rsidRPr="008544BB">
        <w:rPr>
          <w:lang w:val="fr-FR"/>
        </w:rPr>
        <w:t xml:space="preserve">enfants </w:t>
      </w:r>
      <w:r w:rsidR="0044361D" w:rsidRPr="008544BB">
        <w:rPr>
          <w:lang w:val="fr-FR"/>
        </w:rPr>
        <w:t>hébergés dans</w:t>
      </w:r>
      <w:r w:rsidR="0040024F" w:rsidRPr="008544BB">
        <w:rPr>
          <w:lang w:val="fr-FR"/>
        </w:rPr>
        <w:t xml:space="preserve"> la structure.</w:t>
      </w:r>
    </w:p>
    <w:bookmarkStart w:id="5" w:name="RENCONTRES_EXPERTISE"/>
    <w:p w:rsidR="00121B2E" w:rsidRPr="008544BB" w:rsidRDefault="00865B5D"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17</w:t>
      </w:r>
      <w:r w:rsidRPr="008544BB">
        <w:rPr>
          <w:lang w:val="fr-FR"/>
        </w:rPr>
        <w:fldChar w:fldCharType="end"/>
      </w:r>
      <w:bookmarkEnd w:id="5"/>
      <w:r w:rsidRPr="008544BB">
        <w:rPr>
          <w:lang w:val="fr-FR"/>
        </w:rPr>
        <w:t>.  </w:t>
      </w:r>
      <w:r w:rsidR="0040024F" w:rsidRPr="008544BB">
        <w:rPr>
          <w:lang w:val="fr-FR"/>
        </w:rPr>
        <w:t xml:space="preserve">Le </w:t>
      </w:r>
      <w:r w:rsidR="00177888" w:rsidRPr="008544BB">
        <w:rPr>
          <w:lang w:val="fr-FR"/>
        </w:rPr>
        <w:t xml:space="preserve">tribunal </w:t>
      </w:r>
      <w:r w:rsidR="0040024F" w:rsidRPr="008544BB">
        <w:rPr>
          <w:lang w:val="fr-FR"/>
        </w:rPr>
        <w:t>considéra</w:t>
      </w:r>
      <w:r w:rsidR="00096266" w:rsidRPr="008544BB">
        <w:rPr>
          <w:lang w:val="fr-FR"/>
        </w:rPr>
        <w:t xml:space="preserve"> </w:t>
      </w:r>
      <w:r w:rsidR="0044361D" w:rsidRPr="008544BB">
        <w:rPr>
          <w:lang w:val="fr-FR"/>
        </w:rPr>
        <w:t xml:space="preserve">aussi </w:t>
      </w:r>
      <w:r w:rsidR="00096266" w:rsidRPr="008544BB">
        <w:rPr>
          <w:lang w:val="fr-FR"/>
        </w:rPr>
        <w:t>que l</w:t>
      </w:r>
      <w:r w:rsidR="008544BB" w:rsidRPr="008544BB">
        <w:rPr>
          <w:lang w:val="fr-FR"/>
        </w:rPr>
        <w:t>’</w:t>
      </w:r>
      <w:r w:rsidR="00096266" w:rsidRPr="008544BB">
        <w:rPr>
          <w:lang w:val="fr-FR"/>
        </w:rPr>
        <w:t xml:space="preserve">état des relations entre les requérantes était </w:t>
      </w:r>
      <w:r w:rsidR="008D27D9" w:rsidRPr="008544BB">
        <w:rPr>
          <w:lang w:val="fr-FR"/>
        </w:rPr>
        <w:t>conflictuel et préjudic</w:t>
      </w:r>
      <w:r w:rsidR="00E352FE" w:rsidRPr="008544BB">
        <w:rPr>
          <w:lang w:val="fr-FR"/>
        </w:rPr>
        <w:t>iable</w:t>
      </w:r>
      <w:r w:rsidR="008D27D9" w:rsidRPr="008544BB">
        <w:rPr>
          <w:lang w:val="fr-FR"/>
        </w:rPr>
        <w:t xml:space="preserve"> pour les enfants</w:t>
      </w:r>
      <w:r w:rsidR="00096266" w:rsidRPr="008544BB">
        <w:rPr>
          <w:lang w:val="fr-FR"/>
        </w:rPr>
        <w:t xml:space="preserve"> et qu</w:t>
      </w:r>
      <w:r w:rsidR="008D27D9" w:rsidRPr="008544BB">
        <w:rPr>
          <w:lang w:val="fr-FR"/>
        </w:rPr>
        <w:t xml:space="preserve">e </w:t>
      </w:r>
      <w:r w:rsidR="00096266" w:rsidRPr="008544BB">
        <w:rPr>
          <w:lang w:val="fr-FR"/>
        </w:rPr>
        <w:t>l</w:t>
      </w:r>
      <w:r w:rsidR="008544BB" w:rsidRPr="008544BB">
        <w:rPr>
          <w:lang w:val="fr-FR"/>
        </w:rPr>
        <w:t>’</w:t>
      </w:r>
      <w:r w:rsidR="00096266" w:rsidRPr="008544BB">
        <w:rPr>
          <w:lang w:val="fr-FR"/>
        </w:rPr>
        <w:t xml:space="preserve">état </w:t>
      </w:r>
      <w:r w:rsidRPr="008544BB">
        <w:rPr>
          <w:lang w:val="fr-FR"/>
        </w:rPr>
        <w:t xml:space="preserve">psychologique de la première </w:t>
      </w:r>
      <w:r w:rsidR="00C71039" w:rsidRPr="008544BB">
        <w:rPr>
          <w:lang w:val="fr-FR"/>
        </w:rPr>
        <w:t xml:space="preserve">requérante </w:t>
      </w:r>
      <w:r w:rsidRPr="008544BB">
        <w:rPr>
          <w:lang w:val="fr-FR"/>
        </w:rPr>
        <w:t xml:space="preserve">ne </w:t>
      </w:r>
      <w:r w:rsidR="00096266" w:rsidRPr="008544BB">
        <w:rPr>
          <w:lang w:val="fr-FR"/>
        </w:rPr>
        <w:t xml:space="preserve">permettait pas de </w:t>
      </w:r>
      <w:r w:rsidR="007C4922" w:rsidRPr="008544BB">
        <w:rPr>
          <w:lang w:val="fr-FR"/>
        </w:rPr>
        <w:t xml:space="preserve">décider le </w:t>
      </w:r>
      <w:r w:rsidR="00096266" w:rsidRPr="008544BB">
        <w:rPr>
          <w:lang w:val="fr-FR"/>
        </w:rPr>
        <w:t>place</w:t>
      </w:r>
      <w:r w:rsidR="007C4922" w:rsidRPr="008544BB">
        <w:rPr>
          <w:lang w:val="fr-FR"/>
        </w:rPr>
        <w:t>ment d</w:t>
      </w:r>
      <w:r w:rsidR="00096266" w:rsidRPr="008544BB">
        <w:rPr>
          <w:lang w:val="fr-FR"/>
        </w:rPr>
        <w:t xml:space="preserve">es </w:t>
      </w:r>
      <w:r w:rsidR="007C4922" w:rsidRPr="008544BB">
        <w:rPr>
          <w:lang w:val="fr-FR"/>
        </w:rPr>
        <w:t>mineurs</w:t>
      </w:r>
      <w:r w:rsidR="00096266" w:rsidRPr="008544BB">
        <w:rPr>
          <w:lang w:val="fr-FR"/>
        </w:rPr>
        <w:t xml:space="preserve"> chez elle. </w:t>
      </w:r>
      <w:r w:rsidR="008D27D9" w:rsidRPr="008544BB">
        <w:rPr>
          <w:lang w:val="fr-FR"/>
        </w:rPr>
        <w:t>Dès lors, i</w:t>
      </w:r>
      <w:r w:rsidR="00096266" w:rsidRPr="008544BB">
        <w:rPr>
          <w:lang w:val="fr-FR"/>
        </w:rPr>
        <w:t xml:space="preserve">l </w:t>
      </w:r>
      <w:r w:rsidR="00121B2E" w:rsidRPr="008544BB">
        <w:rPr>
          <w:lang w:val="fr-FR"/>
        </w:rPr>
        <w:t>ordonna</w:t>
      </w:r>
      <w:r w:rsidR="006F69C0" w:rsidRPr="008544BB">
        <w:rPr>
          <w:lang w:val="fr-FR"/>
        </w:rPr>
        <w:t> :</w:t>
      </w:r>
    </w:p>
    <w:p w:rsidR="0052225D" w:rsidRPr="008544BB" w:rsidRDefault="008544BB" w:rsidP="008544BB">
      <w:pPr>
        <w:pStyle w:val="ECHRPara"/>
        <w:rPr>
          <w:lang w:val="fr-FR"/>
        </w:rPr>
      </w:pPr>
      <w:r w:rsidRPr="008544BB">
        <w:rPr>
          <w:lang w:val="fr-FR"/>
        </w:rPr>
        <w:noBreakHyphen/>
        <w:t>  </w:t>
      </w:r>
      <w:r w:rsidR="0052225D" w:rsidRPr="008544BB">
        <w:rPr>
          <w:lang w:val="fr-FR"/>
        </w:rPr>
        <w:t xml:space="preserve">le maintien de la </w:t>
      </w:r>
      <w:r w:rsidR="00AE0CD2" w:rsidRPr="008544BB">
        <w:rPr>
          <w:lang w:val="fr-FR"/>
        </w:rPr>
        <w:t>garde</w:t>
      </w:r>
      <w:r w:rsidR="0052225D" w:rsidRPr="008544BB">
        <w:rPr>
          <w:lang w:val="fr-FR"/>
        </w:rPr>
        <w:t xml:space="preserve"> des enfants</w:t>
      </w:r>
      <w:r w:rsidR="00AE0CD2" w:rsidRPr="008544BB">
        <w:rPr>
          <w:lang w:val="fr-FR"/>
        </w:rPr>
        <w:t xml:space="preserve"> aux services sociaux</w:t>
      </w:r>
      <w:r w:rsidR="0052225D" w:rsidRPr="008544BB">
        <w:rPr>
          <w:lang w:val="fr-FR"/>
        </w:rPr>
        <w:t xml:space="preserve"> et </w:t>
      </w:r>
      <w:r w:rsidR="008D27D9" w:rsidRPr="008544BB">
        <w:rPr>
          <w:lang w:val="fr-FR"/>
        </w:rPr>
        <w:t>du placement à</w:t>
      </w:r>
      <w:r w:rsidR="007C4922" w:rsidRPr="008544BB">
        <w:rPr>
          <w:lang w:val="fr-FR"/>
        </w:rPr>
        <w:t xml:space="preserve"> la maison d</w:t>
      </w:r>
      <w:r w:rsidRPr="008544BB">
        <w:rPr>
          <w:lang w:val="fr-FR"/>
        </w:rPr>
        <w:t>’</w:t>
      </w:r>
      <w:r w:rsidR="007C4922" w:rsidRPr="008544BB">
        <w:rPr>
          <w:lang w:val="fr-FR"/>
        </w:rPr>
        <w:t xml:space="preserve">accueil </w:t>
      </w:r>
      <w:r w:rsidR="008D27D9" w:rsidRPr="008544BB">
        <w:rPr>
          <w:lang w:val="fr-FR"/>
        </w:rPr>
        <w:t>« </w:t>
      </w:r>
      <w:r w:rsidR="0064084A" w:rsidRPr="008544BB">
        <w:rPr>
          <w:lang w:val="fr-FR"/>
        </w:rPr>
        <w:t>Rocca di Papa</w:t>
      </w:r>
      <w:r w:rsidR="008D27D9" w:rsidRPr="008544BB">
        <w:rPr>
          <w:lang w:val="fr-FR"/>
        </w:rPr>
        <w:t> »</w:t>
      </w:r>
      <w:r w:rsidR="003B754A" w:rsidRPr="008544BB">
        <w:rPr>
          <w:lang w:val="fr-FR"/>
        </w:rPr>
        <w:t xml:space="preserve">, </w:t>
      </w:r>
      <w:r w:rsidR="007C4922" w:rsidRPr="008544BB">
        <w:rPr>
          <w:lang w:val="fr-FR"/>
        </w:rPr>
        <w:t xml:space="preserve">considérant que </w:t>
      </w:r>
      <w:r w:rsidR="003B754A" w:rsidRPr="008544BB">
        <w:rPr>
          <w:lang w:val="fr-FR"/>
        </w:rPr>
        <w:t>tout transfert pouvant perturber les mineurs</w:t>
      </w:r>
      <w:r w:rsidR="0064084A" w:rsidRPr="008544BB">
        <w:rPr>
          <w:lang w:val="fr-FR"/>
        </w:rPr>
        <w:t> ;</w:t>
      </w:r>
    </w:p>
    <w:p w:rsidR="00121B2E" w:rsidRPr="008544BB" w:rsidRDefault="008544BB" w:rsidP="008544BB">
      <w:pPr>
        <w:pStyle w:val="ECHRPara"/>
        <w:rPr>
          <w:lang w:val="fr-FR"/>
        </w:rPr>
      </w:pPr>
      <w:r w:rsidRPr="008544BB">
        <w:rPr>
          <w:lang w:val="fr-FR"/>
        </w:rPr>
        <w:noBreakHyphen/>
        <w:t>  </w:t>
      </w:r>
      <w:r w:rsidR="008D27D9" w:rsidRPr="008544BB">
        <w:rPr>
          <w:lang w:val="fr-FR"/>
        </w:rPr>
        <w:t>la mise en place de rencontres en mi</w:t>
      </w:r>
      <w:r w:rsidR="0067144B" w:rsidRPr="008544BB">
        <w:rPr>
          <w:lang w:val="fr-FR"/>
        </w:rPr>
        <w:t>lieu protégé</w:t>
      </w:r>
      <w:r w:rsidR="00502EF1" w:rsidRPr="008544BB">
        <w:rPr>
          <w:lang w:val="fr-FR"/>
        </w:rPr>
        <w:t>,</w:t>
      </w:r>
      <w:r w:rsidR="0040024F" w:rsidRPr="008544BB">
        <w:rPr>
          <w:lang w:val="fr-FR"/>
        </w:rPr>
        <w:t xml:space="preserve"> altern</w:t>
      </w:r>
      <w:r w:rsidR="009B2345" w:rsidRPr="008544BB">
        <w:rPr>
          <w:lang w:val="fr-FR"/>
        </w:rPr>
        <w:t xml:space="preserve">ativement au bénéfice de </w:t>
      </w:r>
      <w:r w:rsidR="000F2D02" w:rsidRPr="008544BB">
        <w:rPr>
          <w:lang w:val="fr-FR"/>
        </w:rPr>
        <w:t xml:space="preserve">la première </w:t>
      </w:r>
      <w:r w:rsidR="009B2345" w:rsidRPr="008544BB">
        <w:rPr>
          <w:lang w:val="fr-FR"/>
        </w:rPr>
        <w:t xml:space="preserve">requérante </w:t>
      </w:r>
      <w:r w:rsidR="000F2D02" w:rsidRPr="008544BB">
        <w:rPr>
          <w:lang w:val="fr-FR"/>
        </w:rPr>
        <w:t xml:space="preserve">et </w:t>
      </w:r>
      <w:r w:rsidR="009B2345" w:rsidRPr="008544BB">
        <w:rPr>
          <w:lang w:val="fr-FR"/>
        </w:rPr>
        <w:t xml:space="preserve">de </w:t>
      </w:r>
      <w:r w:rsidR="000F2D02" w:rsidRPr="008544BB">
        <w:rPr>
          <w:lang w:val="fr-FR"/>
        </w:rPr>
        <w:t>la deuxième requérante</w:t>
      </w:r>
      <w:r w:rsidR="006F69C0" w:rsidRPr="008544BB">
        <w:rPr>
          <w:lang w:val="fr-FR"/>
        </w:rPr>
        <w:t>, au</w:t>
      </w:r>
      <w:r w:rsidR="009B2345" w:rsidRPr="008544BB">
        <w:rPr>
          <w:lang w:val="fr-FR"/>
        </w:rPr>
        <w:t xml:space="preserve"> sein</w:t>
      </w:r>
      <w:r w:rsidR="006F69C0" w:rsidRPr="008544BB">
        <w:rPr>
          <w:lang w:val="fr-FR"/>
        </w:rPr>
        <w:t xml:space="preserve"> de </w:t>
      </w:r>
      <w:r w:rsidR="00502EF1" w:rsidRPr="008544BB">
        <w:rPr>
          <w:lang w:val="fr-FR"/>
        </w:rPr>
        <w:t>l</w:t>
      </w:r>
      <w:r w:rsidRPr="008544BB">
        <w:rPr>
          <w:lang w:val="fr-FR"/>
        </w:rPr>
        <w:t>’</w:t>
      </w:r>
      <w:r w:rsidR="000401CF" w:rsidRPr="008544BB">
        <w:rPr>
          <w:lang w:val="fr-FR"/>
        </w:rPr>
        <w:t xml:space="preserve">établissement </w:t>
      </w:r>
      <w:r w:rsidR="0040024F" w:rsidRPr="008544BB">
        <w:rPr>
          <w:lang w:val="fr-FR"/>
        </w:rPr>
        <w:t>« </w:t>
      </w:r>
      <w:r w:rsidR="0064084A" w:rsidRPr="008544BB">
        <w:rPr>
          <w:lang w:val="fr-FR"/>
        </w:rPr>
        <w:t>l</w:t>
      </w:r>
      <w:r w:rsidRPr="008544BB">
        <w:rPr>
          <w:lang w:val="fr-FR"/>
        </w:rPr>
        <w:t>’</w:t>
      </w:r>
      <w:r w:rsidR="0040024F" w:rsidRPr="008544BB">
        <w:rPr>
          <w:lang w:val="fr-FR"/>
        </w:rPr>
        <w:t xml:space="preserve">Espace </w:t>
      </w:r>
      <w:r w:rsidR="0064084A" w:rsidRPr="008544BB">
        <w:rPr>
          <w:lang w:val="fr-FR"/>
        </w:rPr>
        <w:t>n</w:t>
      </w:r>
      <w:r w:rsidR="0040024F" w:rsidRPr="008544BB">
        <w:rPr>
          <w:lang w:val="fr-FR"/>
        </w:rPr>
        <w:t>eutre » de Frascati</w:t>
      </w:r>
      <w:r w:rsidR="007B3C64" w:rsidRPr="008544BB">
        <w:rPr>
          <w:lang w:val="fr-FR"/>
        </w:rPr>
        <w:t xml:space="preserve"> (</w:t>
      </w:r>
      <w:r w:rsidR="009B2345" w:rsidRPr="008544BB">
        <w:rPr>
          <w:lang w:val="fr-FR"/>
        </w:rPr>
        <w:t xml:space="preserve">sans précision sur </w:t>
      </w:r>
      <w:r w:rsidR="007B3C64" w:rsidRPr="008544BB">
        <w:rPr>
          <w:lang w:val="fr-FR"/>
        </w:rPr>
        <w:t>la fréquence des rencontres)</w:t>
      </w:r>
      <w:r w:rsidR="009B2345" w:rsidRPr="008544BB">
        <w:rPr>
          <w:lang w:val="fr-FR"/>
        </w:rPr>
        <w:t xml:space="preserve">, </w:t>
      </w:r>
      <w:r w:rsidR="002A7047" w:rsidRPr="008544BB">
        <w:rPr>
          <w:lang w:val="fr-FR"/>
        </w:rPr>
        <w:t>tout en interdisant</w:t>
      </w:r>
      <w:r w:rsidR="009B2345" w:rsidRPr="008544BB">
        <w:rPr>
          <w:lang w:val="fr-FR"/>
        </w:rPr>
        <w:t xml:space="preserve"> à</w:t>
      </w:r>
      <w:r w:rsidR="0040024F" w:rsidRPr="008544BB">
        <w:rPr>
          <w:lang w:val="fr-FR"/>
        </w:rPr>
        <w:t xml:space="preserve"> la première requérante </w:t>
      </w:r>
      <w:r w:rsidR="009B2345" w:rsidRPr="008544BB">
        <w:rPr>
          <w:lang w:val="fr-FR"/>
        </w:rPr>
        <w:t>d</w:t>
      </w:r>
      <w:r w:rsidRPr="008544BB">
        <w:rPr>
          <w:lang w:val="fr-FR"/>
        </w:rPr>
        <w:t>’</w:t>
      </w:r>
      <w:r w:rsidR="009B2345" w:rsidRPr="008544BB">
        <w:rPr>
          <w:lang w:val="fr-FR"/>
        </w:rPr>
        <w:t>accéder</w:t>
      </w:r>
      <w:r w:rsidR="0040024F" w:rsidRPr="008544BB">
        <w:rPr>
          <w:lang w:val="fr-FR"/>
        </w:rPr>
        <w:t xml:space="preserve"> à la maison </w:t>
      </w:r>
      <w:r w:rsidR="004A4240" w:rsidRPr="008544BB">
        <w:rPr>
          <w:lang w:val="fr-FR"/>
        </w:rPr>
        <w:t>d</w:t>
      </w:r>
      <w:r w:rsidRPr="008544BB">
        <w:rPr>
          <w:lang w:val="fr-FR"/>
        </w:rPr>
        <w:t>’</w:t>
      </w:r>
      <w:r w:rsidR="004A4240" w:rsidRPr="008544BB">
        <w:rPr>
          <w:lang w:val="fr-FR"/>
        </w:rPr>
        <w:t>accueil et</w:t>
      </w:r>
      <w:r w:rsidR="0040024F" w:rsidRPr="008544BB">
        <w:rPr>
          <w:lang w:val="fr-FR"/>
        </w:rPr>
        <w:t xml:space="preserve"> </w:t>
      </w:r>
      <w:r w:rsidR="002A7047" w:rsidRPr="008544BB">
        <w:rPr>
          <w:lang w:val="fr-FR"/>
        </w:rPr>
        <w:t xml:space="preserve">en lui enjoignant </w:t>
      </w:r>
      <w:r w:rsidR="009B2345" w:rsidRPr="008544BB">
        <w:rPr>
          <w:lang w:val="fr-FR"/>
        </w:rPr>
        <w:t>d</w:t>
      </w:r>
      <w:r w:rsidR="002A7047" w:rsidRPr="008544BB">
        <w:rPr>
          <w:lang w:val="fr-FR"/>
        </w:rPr>
        <w:t>e ne pas se comporter de manière préjudiciable aux enfants</w:t>
      </w:r>
      <w:r w:rsidR="004A4240" w:rsidRPr="008544BB">
        <w:rPr>
          <w:lang w:val="fr-FR"/>
        </w:rPr>
        <w:t xml:space="preserve"> au cours des </w:t>
      </w:r>
      <w:r w:rsidR="0064084A" w:rsidRPr="008544BB">
        <w:rPr>
          <w:lang w:val="fr-FR"/>
        </w:rPr>
        <w:t>rencontres</w:t>
      </w:r>
      <w:r w:rsidR="004A4240" w:rsidRPr="008544BB">
        <w:rPr>
          <w:lang w:val="fr-FR"/>
        </w:rPr>
        <w:t> ;</w:t>
      </w:r>
    </w:p>
    <w:p w:rsidR="004A4240" w:rsidRPr="008544BB" w:rsidRDefault="008544BB" w:rsidP="008544BB">
      <w:pPr>
        <w:pStyle w:val="ECHRPara"/>
        <w:rPr>
          <w:lang w:val="fr-FR"/>
        </w:rPr>
      </w:pPr>
      <w:r w:rsidRPr="008544BB">
        <w:rPr>
          <w:lang w:val="fr-FR"/>
        </w:rPr>
        <w:noBreakHyphen/>
        <w:t>  </w:t>
      </w:r>
      <w:r w:rsidR="00F45260" w:rsidRPr="008544BB">
        <w:rPr>
          <w:lang w:val="fr-FR"/>
        </w:rPr>
        <w:t>l</w:t>
      </w:r>
      <w:r w:rsidR="00B813AD" w:rsidRPr="008544BB">
        <w:rPr>
          <w:lang w:val="fr-FR"/>
        </w:rPr>
        <w:t>a réalisation</w:t>
      </w:r>
      <w:r w:rsidR="00F45260" w:rsidRPr="008544BB">
        <w:rPr>
          <w:lang w:val="fr-FR"/>
        </w:rPr>
        <w:t xml:space="preserve"> d</w:t>
      </w:r>
      <w:r w:rsidRPr="008544BB">
        <w:rPr>
          <w:lang w:val="fr-FR"/>
        </w:rPr>
        <w:t>’</w:t>
      </w:r>
      <w:r w:rsidR="004A4240" w:rsidRPr="008544BB">
        <w:rPr>
          <w:lang w:val="fr-FR"/>
        </w:rPr>
        <w:t>une expertise sur l</w:t>
      </w:r>
      <w:r w:rsidRPr="008544BB">
        <w:rPr>
          <w:lang w:val="fr-FR"/>
        </w:rPr>
        <w:t>’</w:t>
      </w:r>
      <w:r w:rsidR="004A4240" w:rsidRPr="008544BB">
        <w:rPr>
          <w:lang w:val="fr-FR"/>
        </w:rPr>
        <w:t>état psychologique</w:t>
      </w:r>
      <w:r w:rsidR="0019677A" w:rsidRPr="008544BB">
        <w:rPr>
          <w:lang w:val="fr-FR"/>
        </w:rPr>
        <w:t xml:space="preserve"> et l</w:t>
      </w:r>
      <w:r w:rsidR="00954B8E" w:rsidRPr="008544BB">
        <w:rPr>
          <w:lang w:val="fr-FR"/>
        </w:rPr>
        <w:t>es</w:t>
      </w:r>
      <w:r w:rsidR="0019677A" w:rsidRPr="008544BB">
        <w:rPr>
          <w:lang w:val="fr-FR"/>
        </w:rPr>
        <w:t xml:space="preserve"> capacité</w:t>
      </w:r>
      <w:r w:rsidR="00954B8E" w:rsidRPr="008544BB">
        <w:rPr>
          <w:lang w:val="fr-FR"/>
        </w:rPr>
        <w:t>s</w:t>
      </w:r>
      <w:r w:rsidR="0019677A" w:rsidRPr="008544BB">
        <w:rPr>
          <w:lang w:val="fr-FR"/>
        </w:rPr>
        <w:t xml:space="preserve"> parentale</w:t>
      </w:r>
      <w:r w:rsidR="00954B8E" w:rsidRPr="008544BB">
        <w:rPr>
          <w:lang w:val="fr-FR"/>
        </w:rPr>
        <w:t>s</w:t>
      </w:r>
      <w:r w:rsidR="004A4240" w:rsidRPr="008544BB">
        <w:rPr>
          <w:lang w:val="fr-FR"/>
        </w:rPr>
        <w:t xml:space="preserve"> de la </w:t>
      </w:r>
      <w:r w:rsidR="00F22317" w:rsidRPr="008544BB">
        <w:rPr>
          <w:lang w:val="fr-FR"/>
        </w:rPr>
        <w:t>première requérante</w:t>
      </w:r>
      <w:r w:rsidR="00D62E74" w:rsidRPr="008544BB">
        <w:rPr>
          <w:lang w:val="fr-FR"/>
        </w:rPr>
        <w:t>, l</w:t>
      </w:r>
      <w:r w:rsidRPr="008544BB">
        <w:rPr>
          <w:lang w:val="fr-FR"/>
        </w:rPr>
        <w:t>’</w:t>
      </w:r>
      <w:r w:rsidR="004640DC" w:rsidRPr="008544BB">
        <w:rPr>
          <w:lang w:val="fr-FR"/>
        </w:rPr>
        <w:t>expert</w:t>
      </w:r>
      <w:r w:rsidR="00634858" w:rsidRPr="008544BB">
        <w:rPr>
          <w:lang w:val="fr-FR"/>
        </w:rPr>
        <w:t>e</w:t>
      </w:r>
      <w:r w:rsidR="004640DC" w:rsidRPr="008544BB">
        <w:rPr>
          <w:lang w:val="fr-FR"/>
        </w:rPr>
        <w:t xml:space="preserve"> </w:t>
      </w:r>
      <w:r w:rsidR="005111FB" w:rsidRPr="008544BB">
        <w:rPr>
          <w:lang w:val="fr-FR"/>
        </w:rPr>
        <w:t>judiciaire</w:t>
      </w:r>
      <w:r w:rsidR="00D62E74" w:rsidRPr="008544BB">
        <w:rPr>
          <w:lang w:val="fr-FR"/>
        </w:rPr>
        <w:t xml:space="preserve"> </w:t>
      </w:r>
      <w:r w:rsidR="004640DC" w:rsidRPr="008544BB">
        <w:rPr>
          <w:lang w:val="fr-FR"/>
        </w:rPr>
        <w:t>éta</w:t>
      </w:r>
      <w:r w:rsidR="00D62E74" w:rsidRPr="008544BB">
        <w:rPr>
          <w:lang w:val="fr-FR"/>
        </w:rPr>
        <w:t>n</w:t>
      </w:r>
      <w:r w:rsidR="004640DC" w:rsidRPr="008544BB">
        <w:rPr>
          <w:lang w:val="fr-FR"/>
        </w:rPr>
        <w:t>t</w:t>
      </w:r>
      <w:r w:rsidR="0019677A" w:rsidRPr="008544BB">
        <w:rPr>
          <w:lang w:val="fr-FR"/>
        </w:rPr>
        <w:t xml:space="preserve"> en particulier</w:t>
      </w:r>
      <w:r w:rsidR="004640DC" w:rsidRPr="008544BB">
        <w:rPr>
          <w:lang w:val="fr-FR"/>
        </w:rPr>
        <w:t xml:space="preserve"> </w:t>
      </w:r>
      <w:r w:rsidR="004640DC" w:rsidRPr="008544BB">
        <w:rPr>
          <w:lang w:val="fr-FR"/>
        </w:rPr>
        <w:lastRenderedPageBreak/>
        <w:t>chargé</w:t>
      </w:r>
      <w:r w:rsidR="00D62E74" w:rsidRPr="008544BB">
        <w:rPr>
          <w:lang w:val="fr-FR"/>
        </w:rPr>
        <w:t>e</w:t>
      </w:r>
      <w:r w:rsidR="004640DC" w:rsidRPr="008544BB">
        <w:rPr>
          <w:lang w:val="fr-FR"/>
        </w:rPr>
        <w:t xml:space="preserve"> d</w:t>
      </w:r>
      <w:r w:rsidRPr="008544BB">
        <w:rPr>
          <w:lang w:val="fr-FR"/>
        </w:rPr>
        <w:t>’</w:t>
      </w:r>
      <w:r w:rsidR="004640DC" w:rsidRPr="008544BB">
        <w:rPr>
          <w:lang w:val="fr-FR"/>
        </w:rPr>
        <w:t xml:space="preserve">identifier la meilleure solution pour les mineurs </w:t>
      </w:r>
      <w:r w:rsidR="00D62E74" w:rsidRPr="008544BB">
        <w:rPr>
          <w:lang w:val="fr-FR"/>
        </w:rPr>
        <w:t>s</w:t>
      </w:r>
      <w:r w:rsidRPr="008544BB">
        <w:rPr>
          <w:lang w:val="fr-FR"/>
        </w:rPr>
        <w:t>’</w:t>
      </w:r>
      <w:r w:rsidR="00D62E74" w:rsidRPr="008544BB">
        <w:rPr>
          <w:lang w:val="fr-FR"/>
        </w:rPr>
        <w:t>agissant de leur</w:t>
      </w:r>
      <w:r w:rsidR="0019677A" w:rsidRPr="008544BB">
        <w:rPr>
          <w:lang w:val="fr-FR"/>
        </w:rPr>
        <w:t xml:space="preserve"> bien</w:t>
      </w:r>
      <w:r w:rsidR="00D62E74" w:rsidRPr="008544BB">
        <w:rPr>
          <w:lang w:val="fr-FR"/>
        </w:rPr>
        <w:noBreakHyphen/>
      </w:r>
      <w:r w:rsidR="0019677A" w:rsidRPr="008544BB">
        <w:rPr>
          <w:lang w:val="fr-FR"/>
        </w:rPr>
        <w:t>être psych</w:t>
      </w:r>
      <w:r w:rsidR="00D62E74" w:rsidRPr="008544BB">
        <w:rPr>
          <w:lang w:val="fr-FR"/>
        </w:rPr>
        <w:t xml:space="preserve">ique et </w:t>
      </w:r>
      <w:r w:rsidR="0019677A" w:rsidRPr="008544BB">
        <w:rPr>
          <w:lang w:val="fr-FR"/>
        </w:rPr>
        <w:t>physique</w:t>
      </w:r>
      <w:r w:rsidR="004A4240" w:rsidRPr="008544BB">
        <w:rPr>
          <w:lang w:val="fr-FR"/>
        </w:rPr>
        <w:t>.</w:t>
      </w:r>
    </w:p>
    <w:bookmarkStart w:id="6" w:name="EXPERTISE_1"/>
    <w:p w:rsidR="001F3C47" w:rsidRPr="008544BB" w:rsidRDefault="004A4240" w:rsidP="008544BB">
      <w:pPr>
        <w:pStyle w:val="ECHRPara"/>
        <w:rPr>
          <w:lang w:val="fr-FR"/>
        </w:rPr>
      </w:pPr>
      <w:r w:rsidRPr="008544BB">
        <w:fldChar w:fldCharType="begin"/>
      </w:r>
      <w:r w:rsidRPr="008544BB">
        <w:rPr>
          <w:lang w:val="fr-FR"/>
        </w:rPr>
        <w:instrText xml:space="preserve"> SEQ level0 \*arabic </w:instrText>
      </w:r>
      <w:r w:rsidRPr="008544BB">
        <w:fldChar w:fldCharType="separate"/>
      </w:r>
      <w:r w:rsidR="008544BB" w:rsidRPr="008544BB">
        <w:rPr>
          <w:noProof/>
          <w:lang w:val="fr-FR"/>
        </w:rPr>
        <w:t>18</w:t>
      </w:r>
      <w:r w:rsidRPr="008544BB">
        <w:fldChar w:fldCharType="end"/>
      </w:r>
      <w:bookmarkEnd w:id="6"/>
      <w:r w:rsidR="004658F0" w:rsidRPr="008544BB">
        <w:rPr>
          <w:lang w:val="fr-FR"/>
        </w:rPr>
        <w:t>.  </w:t>
      </w:r>
      <w:r w:rsidR="00096266" w:rsidRPr="008544BB">
        <w:rPr>
          <w:lang w:val="fr-FR"/>
        </w:rPr>
        <w:t>L</w:t>
      </w:r>
      <w:r w:rsidR="005A64AB" w:rsidRPr="008544BB">
        <w:rPr>
          <w:lang w:val="fr-FR"/>
        </w:rPr>
        <w:t>e déroulement de l</w:t>
      </w:r>
      <w:r w:rsidR="008544BB" w:rsidRPr="008544BB">
        <w:rPr>
          <w:lang w:val="fr-FR"/>
        </w:rPr>
        <w:t>’</w:t>
      </w:r>
      <w:r w:rsidR="00066D4E" w:rsidRPr="008544BB">
        <w:rPr>
          <w:lang w:val="fr-FR"/>
        </w:rPr>
        <w:t xml:space="preserve">expertise </w:t>
      </w:r>
      <w:r w:rsidR="005A64AB" w:rsidRPr="008544BB">
        <w:rPr>
          <w:lang w:val="fr-FR"/>
        </w:rPr>
        <w:t xml:space="preserve">se fit en plusieurs étapes : </w:t>
      </w:r>
      <w:r w:rsidR="00066D4E" w:rsidRPr="008544BB">
        <w:rPr>
          <w:lang w:val="fr-FR"/>
        </w:rPr>
        <w:t>le 23</w:t>
      </w:r>
      <w:r w:rsidR="005A64AB" w:rsidRPr="008544BB">
        <w:rPr>
          <w:lang w:val="fr-FR"/>
        </w:rPr>
        <w:t> </w:t>
      </w:r>
      <w:r w:rsidR="00066D4E" w:rsidRPr="008544BB">
        <w:rPr>
          <w:lang w:val="fr-FR"/>
        </w:rPr>
        <w:t xml:space="preserve">novembre 2009, </w:t>
      </w:r>
      <w:r w:rsidR="005A64AB" w:rsidRPr="008544BB">
        <w:rPr>
          <w:lang w:val="fr-FR"/>
        </w:rPr>
        <w:t>l</w:t>
      </w:r>
      <w:r w:rsidR="008544BB" w:rsidRPr="008544BB">
        <w:rPr>
          <w:lang w:val="fr-FR"/>
        </w:rPr>
        <w:t>’</w:t>
      </w:r>
      <w:r w:rsidR="005A64AB" w:rsidRPr="008544BB">
        <w:rPr>
          <w:lang w:val="fr-FR"/>
        </w:rPr>
        <w:t xml:space="preserve">experte entendit </w:t>
      </w:r>
      <w:r w:rsidR="00066D4E" w:rsidRPr="008544BB">
        <w:rPr>
          <w:lang w:val="fr-FR"/>
        </w:rPr>
        <w:t>la première requérante</w:t>
      </w:r>
      <w:r w:rsidR="005A64AB" w:rsidRPr="008544BB">
        <w:rPr>
          <w:lang w:val="fr-FR"/>
        </w:rPr>
        <w:t xml:space="preserve"> ; </w:t>
      </w:r>
      <w:r w:rsidR="00066D4E" w:rsidRPr="008544BB">
        <w:rPr>
          <w:lang w:val="fr-FR"/>
        </w:rPr>
        <w:t>le 1</w:t>
      </w:r>
      <w:r w:rsidR="00066D4E" w:rsidRPr="008544BB">
        <w:rPr>
          <w:vertAlign w:val="superscript"/>
          <w:lang w:val="fr-FR"/>
        </w:rPr>
        <w:t>er</w:t>
      </w:r>
      <w:r w:rsidR="009640BC" w:rsidRPr="008544BB">
        <w:rPr>
          <w:vertAlign w:val="superscript"/>
          <w:lang w:val="fr-FR"/>
        </w:rPr>
        <w:t> </w:t>
      </w:r>
      <w:r w:rsidR="00066D4E" w:rsidRPr="008544BB">
        <w:rPr>
          <w:lang w:val="fr-FR"/>
        </w:rPr>
        <w:t>mars</w:t>
      </w:r>
      <w:r w:rsidR="008B1BC9" w:rsidRPr="008544BB">
        <w:rPr>
          <w:lang w:val="fr-FR"/>
        </w:rPr>
        <w:t xml:space="preserve"> 2010</w:t>
      </w:r>
      <w:r w:rsidR="00066D4E" w:rsidRPr="008544BB">
        <w:rPr>
          <w:lang w:val="fr-FR"/>
        </w:rPr>
        <w:t xml:space="preserve">, </w:t>
      </w:r>
      <w:r w:rsidR="005A64AB" w:rsidRPr="008544BB">
        <w:rPr>
          <w:lang w:val="fr-FR"/>
        </w:rPr>
        <w:t>elle s</w:t>
      </w:r>
      <w:r w:rsidR="008544BB" w:rsidRPr="008544BB">
        <w:rPr>
          <w:lang w:val="fr-FR"/>
        </w:rPr>
        <w:t>’</w:t>
      </w:r>
      <w:r w:rsidR="00066D4E" w:rsidRPr="008544BB">
        <w:rPr>
          <w:lang w:val="fr-FR"/>
        </w:rPr>
        <w:t>entretin</w:t>
      </w:r>
      <w:r w:rsidR="005A64AB" w:rsidRPr="008544BB">
        <w:rPr>
          <w:lang w:val="fr-FR"/>
        </w:rPr>
        <w:t>t</w:t>
      </w:r>
      <w:r w:rsidR="00066D4E" w:rsidRPr="008544BB">
        <w:rPr>
          <w:lang w:val="fr-FR"/>
        </w:rPr>
        <w:t xml:space="preserve"> </w:t>
      </w:r>
      <w:r w:rsidR="008D27D9" w:rsidRPr="008544BB">
        <w:rPr>
          <w:lang w:val="fr-FR"/>
        </w:rPr>
        <w:t>avec</w:t>
      </w:r>
      <w:r w:rsidR="00066D4E" w:rsidRPr="008544BB">
        <w:rPr>
          <w:lang w:val="fr-FR"/>
        </w:rPr>
        <w:t xml:space="preserve"> la deuxième requérante</w:t>
      </w:r>
      <w:r w:rsidR="005A64AB" w:rsidRPr="008544BB">
        <w:rPr>
          <w:lang w:val="fr-FR"/>
        </w:rPr>
        <w:t> ;</w:t>
      </w:r>
      <w:r w:rsidR="00066D4E" w:rsidRPr="008544BB">
        <w:rPr>
          <w:lang w:val="fr-FR"/>
        </w:rPr>
        <w:t xml:space="preserve"> et</w:t>
      </w:r>
      <w:r w:rsidR="005A64AB" w:rsidRPr="008544BB">
        <w:rPr>
          <w:lang w:val="fr-FR"/>
        </w:rPr>
        <w:t>,</w:t>
      </w:r>
      <w:r w:rsidR="00066D4E" w:rsidRPr="008544BB">
        <w:rPr>
          <w:lang w:val="fr-FR"/>
        </w:rPr>
        <w:t xml:space="preserve"> le 14 avril 2010</w:t>
      </w:r>
      <w:r w:rsidR="005A64AB" w:rsidRPr="008544BB">
        <w:rPr>
          <w:lang w:val="fr-FR"/>
        </w:rPr>
        <w:t>, elle</w:t>
      </w:r>
      <w:r w:rsidR="008D27D9" w:rsidRPr="008544BB">
        <w:rPr>
          <w:lang w:val="fr-FR"/>
        </w:rPr>
        <w:t xml:space="preserve"> rencontra les</w:t>
      </w:r>
      <w:r w:rsidR="00066D4E" w:rsidRPr="008544BB">
        <w:rPr>
          <w:lang w:val="fr-FR"/>
        </w:rPr>
        <w:t xml:space="preserve"> enfants</w:t>
      </w:r>
      <w:r w:rsidR="00CA16F6" w:rsidRPr="008544BB">
        <w:rPr>
          <w:lang w:val="fr-FR"/>
        </w:rPr>
        <w:t xml:space="preserve">, </w:t>
      </w:r>
      <w:r w:rsidR="008B1BC9" w:rsidRPr="008544BB">
        <w:rPr>
          <w:lang w:val="fr-FR"/>
        </w:rPr>
        <w:t>d</w:t>
      </w:r>
      <w:r w:rsidR="008544BB" w:rsidRPr="008544BB">
        <w:rPr>
          <w:lang w:val="fr-FR"/>
        </w:rPr>
        <w:t>’</w:t>
      </w:r>
      <w:r w:rsidR="008B1BC9" w:rsidRPr="008544BB">
        <w:rPr>
          <w:lang w:val="fr-FR"/>
        </w:rPr>
        <w:t xml:space="preserve">abord </w:t>
      </w:r>
      <w:r w:rsidR="00CA16F6" w:rsidRPr="008544BB">
        <w:rPr>
          <w:lang w:val="fr-FR"/>
        </w:rPr>
        <w:t>seuls</w:t>
      </w:r>
      <w:r w:rsidR="008D27D9" w:rsidRPr="008544BB">
        <w:rPr>
          <w:lang w:val="fr-FR"/>
        </w:rPr>
        <w:t>, puis</w:t>
      </w:r>
      <w:r w:rsidR="00CA16F6" w:rsidRPr="008544BB">
        <w:rPr>
          <w:lang w:val="fr-FR"/>
        </w:rPr>
        <w:t xml:space="preserve"> </w:t>
      </w:r>
      <w:r w:rsidR="008B1BC9" w:rsidRPr="008544BB">
        <w:rPr>
          <w:lang w:val="fr-FR"/>
        </w:rPr>
        <w:t>en présence des</w:t>
      </w:r>
      <w:r w:rsidR="009C2DBF" w:rsidRPr="008544BB">
        <w:rPr>
          <w:lang w:val="fr-FR"/>
        </w:rPr>
        <w:t xml:space="preserve"> </w:t>
      </w:r>
      <w:r w:rsidR="00CA16F6" w:rsidRPr="008544BB">
        <w:rPr>
          <w:lang w:val="fr-FR"/>
        </w:rPr>
        <w:t>requérantes</w:t>
      </w:r>
      <w:r w:rsidR="00066D4E" w:rsidRPr="008544BB">
        <w:rPr>
          <w:lang w:val="fr-FR"/>
        </w:rPr>
        <w:t>. Le</w:t>
      </w:r>
      <w:r w:rsidR="00096266" w:rsidRPr="008544BB">
        <w:rPr>
          <w:lang w:val="fr-FR"/>
        </w:rPr>
        <w:t xml:space="preserve"> 19</w:t>
      </w:r>
      <w:r w:rsidR="005A64AB" w:rsidRPr="008544BB">
        <w:rPr>
          <w:lang w:val="fr-FR"/>
        </w:rPr>
        <w:t> </w:t>
      </w:r>
      <w:r w:rsidR="00096266" w:rsidRPr="008544BB">
        <w:rPr>
          <w:lang w:val="fr-FR"/>
        </w:rPr>
        <w:t>mai 2010, l</w:t>
      </w:r>
      <w:r w:rsidR="008544BB" w:rsidRPr="008544BB">
        <w:rPr>
          <w:lang w:val="fr-FR"/>
        </w:rPr>
        <w:t>’</w:t>
      </w:r>
      <w:r w:rsidR="00096266" w:rsidRPr="008544BB">
        <w:rPr>
          <w:lang w:val="fr-FR"/>
        </w:rPr>
        <w:t xml:space="preserve">experte </w:t>
      </w:r>
      <w:r w:rsidR="008D27D9" w:rsidRPr="008544BB">
        <w:rPr>
          <w:lang w:val="fr-FR"/>
        </w:rPr>
        <w:t>rend</w:t>
      </w:r>
      <w:r w:rsidR="0019677A" w:rsidRPr="008544BB">
        <w:rPr>
          <w:lang w:val="fr-FR"/>
        </w:rPr>
        <w:t>it ses conclusions</w:t>
      </w:r>
      <w:r w:rsidR="00096266" w:rsidRPr="008544BB">
        <w:rPr>
          <w:lang w:val="fr-FR"/>
        </w:rPr>
        <w:t xml:space="preserve"> au tribunal</w:t>
      </w:r>
      <w:r w:rsidR="005111FB" w:rsidRPr="008544BB">
        <w:rPr>
          <w:lang w:val="fr-FR"/>
        </w:rPr>
        <w:t xml:space="preserve"> pour enfants</w:t>
      </w:r>
      <w:r w:rsidR="00096266" w:rsidRPr="008544BB">
        <w:rPr>
          <w:lang w:val="fr-FR"/>
        </w:rPr>
        <w:t>.</w:t>
      </w:r>
      <w:r w:rsidR="00634858" w:rsidRPr="008544BB">
        <w:rPr>
          <w:lang w:val="fr-FR"/>
        </w:rPr>
        <w:t xml:space="preserve"> </w:t>
      </w:r>
      <w:r w:rsidR="004B0DBD" w:rsidRPr="008544BB">
        <w:rPr>
          <w:lang w:val="fr-FR"/>
        </w:rPr>
        <w:t>Dans son rapport d</w:t>
      </w:r>
      <w:r w:rsidR="008544BB" w:rsidRPr="008544BB">
        <w:rPr>
          <w:lang w:val="fr-FR"/>
        </w:rPr>
        <w:t>’</w:t>
      </w:r>
      <w:r w:rsidR="004B0DBD" w:rsidRPr="008544BB">
        <w:rPr>
          <w:lang w:val="fr-FR"/>
        </w:rPr>
        <w:t>expertise, e</w:t>
      </w:r>
      <w:r w:rsidR="00634858" w:rsidRPr="008544BB">
        <w:rPr>
          <w:lang w:val="fr-FR"/>
        </w:rPr>
        <w:t xml:space="preserve">lle </w:t>
      </w:r>
      <w:r w:rsidR="00D83DB0" w:rsidRPr="008544BB">
        <w:rPr>
          <w:lang w:val="fr-FR"/>
        </w:rPr>
        <w:t>indiqua</w:t>
      </w:r>
      <w:r w:rsidR="004B0DBD" w:rsidRPr="008544BB">
        <w:rPr>
          <w:lang w:val="fr-FR"/>
        </w:rPr>
        <w:t>it</w:t>
      </w:r>
      <w:r w:rsidR="00634858" w:rsidRPr="008544BB">
        <w:rPr>
          <w:lang w:val="fr-FR"/>
        </w:rPr>
        <w:t xml:space="preserve"> </w:t>
      </w:r>
      <w:r w:rsidR="00AD4AE7" w:rsidRPr="008544BB">
        <w:rPr>
          <w:lang w:val="fr-FR"/>
        </w:rPr>
        <w:t>notamment</w:t>
      </w:r>
      <w:r w:rsidR="00634858" w:rsidRPr="008544BB">
        <w:rPr>
          <w:lang w:val="fr-FR"/>
        </w:rPr>
        <w:t xml:space="preserve"> </w:t>
      </w:r>
      <w:r w:rsidRPr="008544BB">
        <w:rPr>
          <w:lang w:val="fr-FR"/>
        </w:rPr>
        <w:t xml:space="preserve">que </w:t>
      </w:r>
      <w:r w:rsidR="006F69C0" w:rsidRPr="008544BB">
        <w:rPr>
          <w:lang w:val="fr-FR"/>
        </w:rPr>
        <w:t>la première requérante souffrait</w:t>
      </w:r>
      <w:r w:rsidRPr="008544BB">
        <w:rPr>
          <w:lang w:val="fr-FR"/>
        </w:rPr>
        <w:t xml:space="preserve"> de troubles psychologiques de type </w:t>
      </w:r>
      <w:r w:rsidR="00865B5D" w:rsidRPr="008544BB">
        <w:rPr>
          <w:lang w:val="fr-FR"/>
        </w:rPr>
        <w:t>« </w:t>
      </w:r>
      <w:r w:rsidR="0031172B" w:rsidRPr="008544BB">
        <w:rPr>
          <w:lang w:val="fr-FR"/>
        </w:rPr>
        <w:t>borderline</w:t>
      </w:r>
      <w:r w:rsidR="00865B5D" w:rsidRPr="008544BB">
        <w:rPr>
          <w:lang w:val="fr-FR"/>
        </w:rPr>
        <w:t> »</w:t>
      </w:r>
      <w:r w:rsidR="00634858" w:rsidRPr="008544BB">
        <w:rPr>
          <w:lang w:val="fr-FR"/>
        </w:rPr>
        <w:t>, présentant</w:t>
      </w:r>
      <w:r w:rsidRPr="008544BB">
        <w:rPr>
          <w:lang w:val="fr-FR"/>
        </w:rPr>
        <w:t xml:space="preserve"> </w:t>
      </w:r>
      <w:r w:rsidR="004658F0" w:rsidRPr="008544BB">
        <w:rPr>
          <w:lang w:val="fr-FR"/>
        </w:rPr>
        <w:t>un</w:t>
      </w:r>
      <w:r w:rsidR="00F5573D" w:rsidRPr="008544BB">
        <w:rPr>
          <w:lang w:val="fr-FR"/>
        </w:rPr>
        <w:t>e personnalité fragile</w:t>
      </w:r>
      <w:r w:rsidR="00634858" w:rsidRPr="008544BB">
        <w:rPr>
          <w:lang w:val="fr-FR"/>
        </w:rPr>
        <w:t>,</w:t>
      </w:r>
      <w:r w:rsidR="00F5573D" w:rsidRPr="008544BB">
        <w:rPr>
          <w:lang w:val="fr-FR"/>
        </w:rPr>
        <w:t xml:space="preserve"> caractérisée par des réactions émotionnelles contrastées et une tendance à la </w:t>
      </w:r>
      <w:r w:rsidR="00BA7D07" w:rsidRPr="008544BB">
        <w:rPr>
          <w:lang w:val="fr-FR"/>
        </w:rPr>
        <w:t>dépression</w:t>
      </w:r>
      <w:r w:rsidR="00AD4AE7" w:rsidRPr="008544BB">
        <w:rPr>
          <w:lang w:val="fr-FR"/>
        </w:rPr>
        <w:t>, qu</w:t>
      </w:r>
      <w:r w:rsidR="008544BB" w:rsidRPr="008544BB">
        <w:rPr>
          <w:lang w:val="fr-FR"/>
        </w:rPr>
        <w:t>’</w:t>
      </w:r>
      <w:r w:rsidR="00AD4AE7" w:rsidRPr="008544BB">
        <w:rPr>
          <w:lang w:val="fr-FR"/>
        </w:rPr>
        <w:t>e</w:t>
      </w:r>
      <w:r w:rsidRPr="008544BB">
        <w:rPr>
          <w:lang w:val="fr-FR"/>
        </w:rPr>
        <w:t xml:space="preserve">lle </w:t>
      </w:r>
      <w:r w:rsidR="00AD4AE7" w:rsidRPr="008544BB">
        <w:rPr>
          <w:lang w:val="fr-FR"/>
        </w:rPr>
        <w:t>pensai</w:t>
      </w:r>
      <w:r w:rsidRPr="008544BB">
        <w:rPr>
          <w:lang w:val="fr-FR"/>
        </w:rPr>
        <w:t xml:space="preserve">t plus </w:t>
      </w:r>
      <w:r w:rsidR="00AD4AE7" w:rsidRPr="008544BB">
        <w:rPr>
          <w:lang w:val="fr-FR"/>
        </w:rPr>
        <w:t>à ses</w:t>
      </w:r>
      <w:r w:rsidRPr="008544BB">
        <w:rPr>
          <w:lang w:val="fr-FR"/>
        </w:rPr>
        <w:t xml:space="preserve"> animaux qu</w:t>
      </w:r>
      <w:r w:rsidR="008544BB" w:rsidRPr="008544BB">
        <w:rPr>
          <w:lang w:val="fr-FR"/>
        </w:rPr>
        <w:t>’</w:t>
      </w:r>
      <w:r w:rsidRPr="008544BB">
        <w:rPr>
          <w:lang w:val="fr-FR"/>
        </w:rPr>
        <w:t xml:space="preserve">à ses enfants et </w:t>
      </w:r>
      <w:r w:rsidR="00AD4AE7" w:rsidRPr="008544BB">
        <w:rPr>
          <w:lang w:val="fr-FR"/>
        </w:rPr>
        <w:t>qu</w:t>
      </w:r>
      <w:r w:rsidR="008544BB" w:rsidRPr="008544BB">
        <w:rPr>
          <w:lang w:val="fr-FR"/>
        </w:rPr>
        <w:t>’</w:t>
      </w:r>
      <w:r w:rsidRPr="008544BB">
        <w:rPr>
          <w:lang w:val="fr-FR"/>
        </w:rPr>
        <w:t xml:space="preserve">un traitement psychothérapeutique </w:t>
      </w:r>
      <w:r w:rsidR="00AD4AE7" w:rsidRPr="008544BB">
        <w:rPr>
          <w:lang w:val="fr-FR"/>
        </w:rPr>
        <w:t>serait</w:t>
      </w:r>
      <w:r w:rsidRPr="008544BB">
        <w:rPr>
          <w:lang w:val="fr-FR"/>
        </w:rPr>
        <w:t xml:space="preserve"> en </w:t>
      </w:r>
      <w:r w:rsidR="008B1BC9" w:rsidRPr="008544BB">
        <w:rPr>
          <w:lang w:val="fr-FR"/>
        </w:rPr>
        <w:t>principe</w:t>
      </w:r>
      <w:r w:rsidRPr="008544BB">
        <w:rPr>
          <w:lang w:val="fr-FR"/>
        </w:rPr>
        <w:t xml:space="preserve"> inutile</w:t>
      </w:r>
      <w:r w:rsidR="00634858" w:rsidRPr="008544BB">
        <w:rPr>
          <w:lang w:val="fr-FR"/>
        </w:rPr>
        <w:t>,</w:t>
      </w:r>
      <w:r w:rsidR="00F5573D" w:rsidRPr="008544BB">
        <w:rPr>
          <w:lang w:val="fr-FR"/>
        </w:rPr>
        <w:t xml:space="preserve"> compte tenu de sa difficulté à </w:t>
      </w:r>
      <w:r w:rsidR="00E960F0" w:rsidRPr="008544BB">
        <w:rPr>
          <w:lang w:val="fr-FR"/>
        </w:rPr>
        <w:t>faire</w:t>
      </w:r>
      <w:r w:rsidR="00F5573D" w:rsidRPr="008544BB">
        <w:rPr>
          <w:lang w:val="fr-FR"/>
        </w:rPr>
        <w:t xml:space="preserve"> confiance </w:t>
      </w:r>
      <w:r w:rsidR="00E960F0" w:rsidRPr="008544BB">
        <w:rPr>
          <w:lang w:val="fr-FR"/>
        </w:rPr>
        <w:t>aux autres</w:t>
      </w:r>
      <w:r w:rsidR="00F5573D" w:rsidRPr="008544BB">
        <w:rPr>
          <w:lang w:val="fr-FR"/>
        </w:rPr>
        <w:t xml:space="preserve"> et à établir des relations </w:t>
      </w:r>
      <w:r w:rsidR="00000227" w:rsidRPr="008544BB">
        <w:rPr>
          <w:lang w:val="fr-FR"/>
        </w:rPr>
        <w:t>personnelles</w:t>
      </w:r>
      <w:r w:rsidR="00634858" w:rsidRPr="008544BB">
        <w:rPr>
          <w:lang w:val="fr-FR"/>
        </w:rPr>
        <w:t xml:space="preserve">. </w:t>
      </w:r>
      <w:r w:rsidR="00AD4AE7" w:rsidRPr="008544BB">
        <w:rPr>
          <w:lang w:val="fr-FR"/>
        </w:rPr>
        <w:t>Elle indiqua</w:t>
      </w:r>
      <w:r w:rsidR="004B0DBD" w:rsidRPr="008544BB">
        <w:rPr>
          <w:lang w:val="fr-FR"/>
        </w:rPr>
        <w:t>it</w:t>
      </w:r>
      <w:r w:rsidR="00AD4AE7" w:rsidRPr="008544BB">
        <w:rPr>
          <w:lang w:val="fr-FR"/>
        </w:rPr>
        <w:t xml:space="preserve"> aussi que l</w:t>
      </w:r>
      <w:r w:rsidR="00634858" w:rsidRPr="008544BB">
        <w:rPr>
          <w:lang w:val="fr-FR"/>
        </w:rPr>
        <w:t>a deuxième requérante</w:t>
      </w:r>
      <w:r w:rsidRPr="008544BB">
        <w:rPr>
          <w:lang w:val="fr-FR"/>
        </w:rPr>
        <w:t xml:space="preserve"> avait une attitude hostile</w:t>
      </w:r>
      <w:r w:rsidR="00634858" w:rsidRPr="008544BB">
        <w:rPr>
          <w:lang w:val="fr-FR"/>
        </w:rPr>
        <w:t xml:space="preserve"> à l</w:t>
      </w:r>
      <w:r w:rsidR="008544BB" w:rsidRPr="008544BB">
        <w:rPr>
          <w:lang w:val="fr-FR"/>
        </w:rPr>
        <w:t>’</w:t>
      </w:r>
      <w:r w:rsidR="00634858" w:rsidRPr="008544BB">
        <w:rPr>
          <w:lang w:val="fr-FR"/>
        </w:rPr>
        <w:t>égard d</w:t>
      </w:r>
      <w:r w:rsidR="0081169C" w:rsidRPr="008544BB">
        <w:rPr>
          <w:lang w:val="fr-FR"/>
        </w:rPr>
        <w:t>es autres</w:t>
      </w:r>
      <w:r w:rsidR="00AD4AE7" w:rsidRPr="008544BB">
        <w:rPr>
          <w:lang w:val="fr-FR"/>
        </w:rPr>
        <w:t xml:space="preserve"> </w:t>
      </w:r>
      <w:r w:rsidRPr="008544BB">
        <w:rPr>
          <w:lang w:val="fr-FR"/>
        </w:rPr>
        <w:t xml:space="preserve">et </w:t>
      </w:r>
      <w:r w:rsidR="00AD4AE7" w:rsidRPr="008544BB">
        <w:rPr>
          <w:lang w:val="fr-FR"/>
        </w:rPr>
        <w:t>qu</w:t>
      </w:r>
      <w:r w:rsidR="008544BB" w:rsidRPr="008544BB">
        <w:rPr>
          <w:lang w:val="fr-FR"/>
        </w:rPr>
        <w:t>’</w:t>
      </w:r>
      <w:r w:rsidR="00AD4AE7" w:rsidRPr="008544BB">
        <w:rPr>
          <w:lang w:val="fr-FR"/>
        </w:rPr>
        <w:t xml:space="preserve">elle </w:t>
      </w:r>
      <w:r w:rsidRPr="008544BB">
        <w:rPr>
          <w:lang w:val="fr-FR"/>
        </w:rPr>
        <w:t>était incapable d</w:t>
      </w:r>
      <w:r w:rsidR="008544BB" w:rsidRPr="008544BB">
        <w:rPr>
          <w:lang w:val="fr-FR"/>
        </w:rPr>
        <w:t>’</w:t>
      </w:r>
      <w:r w:rsidRPr="008544BB">
        <w:rPr>
          <w:lang w:val="fr-FR"/>
        </w:rPr>
        <w:t xml:space="preserve">assumer sa </w:t>
      </w:r>
      <w:r w:rsidR="00AD4AE7" w:rsidRPr="008544BB">
        <w:rPr>
          <w:lang w:val="fr-FR"/>
        </w:rPr>
        <w:t xml:space="preserve">part de </w:t>
      </w:r>
      <w:r w:rsidRPr="008544BB">
        <w:rPr>
          <w:lang w:val="fr-FR"/>
        </w:rPr>
        <w:t>responsabilité</w:t>
      </w:r>
      <w:r w:rsidR="009C2DBF" w:rsidRPr="008544BB">
        <w:rPr>
          <w:lang w:val="fr-FR"/>
        </w:rPr>
        <w:t xml:space="preserve"> </w:t>
      </w:r>
      <w:r w:rsidR="0071626F" w:rsidRPr="008544BB">
        <w:rPr>
          <w:lang w:val="fr-FR"/>
        </w:rPr>
        <w:t>dans</w:t>
      </w:r>
      <w:r w:rsidR="00634858" w:rsidRPr="008544BB">
        <w:rPr>
          <w:lang w:val="fr-FR"/>
        </w:rPr>
        <w:t xml:space="preserve"> </w:t>
      </w:r>
      <w:r w:rsidR="006F69C0" w:rsidRPr="008544BB">
        <w:rPr>
          <w:lang w:val="fr-FR"/>
        </w:rPr>
        <w:t>la situation litigieuse</w:t>
      </w:r>
      <w:r w:rsidR="00AD4AE7" w:rsidRPr="008544BB">
        <w:rPr>
          <w:lang w:val="fr-FR"/>
        </w:rPr>
        <w:t xml:space="preserve"> existant avec sa fille</w:t>
      </w:r>
      <w:r w:rsidR="00634858" w:rsidRPr="008544BB">
        <w:rPr>
          <w:lang w:val="fr-FR"/>
        </w:rPr>
        <w:t xml:space="preserve">. </w:t>
      </w:r>
      <w:r w:rsidR="00AD4AE7" w:rsidRPr="008544BB">
        <w:rPr>
          <w:lang w:val="fr-FR"/>
        </w:rPr>
        <w:t>Elle précisa</w:t>
      </w:r>
      <w:r w:rsidR="004B0DBD" w:rsidRPr="008544BB">
        <w:rPr>
          <w:lang w:val="fr-FR"/>
        </w:rPr>
        <w:t>it</w:t>
      </w:r>
      <w:r w:rsidR="00AD4AE7" w:rsidRPr="008544BB">
        <w:rPr>
          <w:lang w:val="fr-FR"/>
        </w:rPr>
        <w:t xml:space="preserve"> que la relation des requérantes </w:t>
      </w:r>
      <w:r w:rsidR="003615E9" w:rsidRPr="008544BB">
        <w:rPr>
          <w:lang w:val="fr-FR"/>
        </w:rPr>
        <w:t xml:space="preserve">était </w:t>
      </w:r>
      <w:r w:rsidR="00244868" w:rsidRPr="008544BB">
        <w:rPr>
          <w:lang w:val="fr-FR"/>
        </w:rPr>
        <w:t>hautement conflictuel</w:t>
      </w:r>
      <w:r w:rsidR="00AD4AE7" w:rsidRPr="008544BB">
        <w:rPr>
          <w:lang w:val="fr-FR"/>
        </w:rPr>
        <w:t>le</w:t>
      </w:r>
      <w:r w:rsidR="00244868" w:rsidRPr="008544BB">
        <w:rPr>
          <w:lang w:val="fr-FR"/>
        </w:rPr>
        <w:t>, ce qui avait de</w:t>
      </w:r>
      <w:r w:rsidR="00AD4AE7" w:rsidRPr="008544BB">
        <w:rPr>
          <w:lang w:val="fr-FR"/>
        </w:rPr>
        <w:t>s</w:t>
      </w:r>
      <w:r w:rsidR="00244868" w:rsidRPr="008544BB">
        <w:rPr>
          <w:lang w:val="fr-FR"/>
        </w:rPr>
        <w:t xml:space="preserve"> répercussions sur le</w:t>
      </w:r>
      <w:r w:rsidR="00F67C08" w:rsidRPr="008544BB">
        <w:rPr>
          <w:lang w:val="fr-FR"/>
        </w:rPr>
        <w:t xml:space="preserve"> bien-être de</w:t>
      </w:r>
      <w:r w:rsidR="00244868" w:rsidRPr="008544BB">
        <w:rPr>
          <w:lang w:val="fr-FR"/>
        </w:rPr>
        <w:t>s enfants</w:t>
      </w:r>
      <w:r w:rsidR="00BA7D07" w:rsidRPr="008544BB">
        <w:rPr>
          <w:lang w:val="fr-FR"/>
        </w:rPr>
        <w:t xml:space="preserve">, en particulier </w:t>
      </w:r>
      <w:r w:rsidR="004B0DBD" w:rsidRPr="008544BB">
        <w:rPr>
          <w:lang w:val="fr-FR"/>
        </w:rPr>
        <w:t xml:space="preserve">sur celui </w:t>
      </w:r>
      <w:r w:rsidR="00BA7D07" w:rsidRPr="008544BB">
        <w:rPr>
          <w:lang w:val="fr-FR"/>
        </w:rPr>
        <w:t>de L.</w:t>
      </w:r>
    </w:p>
    <w:p w:rsidR="004A4240" w:rsidRPr="008544BB" w:rsidRDefault="004B0DBD" w:rsidP="008544BB">
      <w:pPr>
        <w:pStyle w:val="ECHRPara"/>
        <w:rPr>
          <w:lang w:val="fr-FR"/>
        </w:rPr>
      </w:pPr>
      <w:r w:rsidRPr="008544BB">
        <w:rPr>
          <w:lang w:val="fr-FR"/>
        </w:rPr>
        <w:t>L</w:t>
      </w:r>
      <w:r w:rsidR="008544BB" w:rsidRPr="008544BB">
        <w:rPr>
          <w:lang w:val="fr-FR"/>
        </w:rPr>
        <w:t>’</w:t>
      </w:r>
      <w:r w:rsidRPr="008544BB">
        <w:rPr>
          <w:lang w:val="fr-FR"/>
        </w:rPr>
        <w:t>experte indiquait en outre que les</w:t>
      </w:r>
      <w:r w:rsidR="00634858" w:rsidRPr="008544BB">
        <w:rPr>
          <w:lang w:val="fr-FR"/>
        </w:rPr>
        <w:t xml:space="preserve"> </w:t>
      </w:r>
      <w:r w:rsidR="004A4240" w:rsidRPr="008544BB">
        <w:rPr>
          <w:lang w:val="fr-FR"/>
        </w:rPr>
        <w:t>mineurs essayaient d</w:t>
      </w:r>
      <w:r w:rsidR="008544BB" w:rsidRPr="008544BB">
        <w:rPr>
          <w:lang w:val="fr-FR"/>
        </w:rPr>
        <w:t>’</w:t>
      </w:r>
      <w:r w:rsidR="004A4240" w:rsidRPr="008544BB">
        <w:rPr>
          <w:lang w:val="fr-FR"/>
        </w:rPr>
        <w:t>apaiser les quere</w:t>
      </w:r>
      <w:r w:rsidR="00F67C08" w:rsidRPr="008544BB">
        <w:rPr>
          <w:lang w:val="fr-FR"/>
        </w:rPr>
        <w:t xml:space="preserve">lles entre </w:t>
      </w:r>
      <w:r w:rsidR="00634858" w:rsidRPr="008544BB">
        <w:rPr>
          <w:lang w:val="fr-FR"/>
        </w:rPr>
        <w:t>les requérantes</w:t>
      </w:r>
      <w:r w:rsidRPr="008544BB">
        <w:rPr>
          <w:lang w:val="fr-FR"/>
        </w:rPr>
        <w:t xml:space="preserve"> : elle soulignait </w:t>
      </w:r>
      <w:r w:rsidR="00634858" w:rsidRPr="008544BB">
        <w:rPr>
          <w:lang w:val="fr-FR"/>
        </w:rPr>
        <w:t>e</w:t>
      </w:r>
      <w:r w:rsidR="00F67C08" w:rsidRPr="008544BB">
        <w:rPr>
          <w:lang w:val="fr-FR"/>
        </w:rPr>
        <w:t xml:space="preserve">n particulier </w:t>
      </w:r>
      <w:r w:rsidRPr="008544BB">
        <w:rPr>
          <w:lang w:val="fr-FR"/>
        </w:rPr>
        <w:t xml:space="preserve">que </w:t>
      </w:r>
      <w:r w:rsidR="004658F0" w:rsidRPr="008544BB">
        <w:rPr>
          <w:lang w:val="fr-FR"/>
        </w:rPr>
        <w:t xml:space="preserve">L. </w:t>
      </w:r>
      <w:r w:rsidR="008D27D9" w:rsidRPr="008544BB">
        <w:rPr>
          <w:lang w:val="fr-FR"/>
        </w:rPr>
        <w:t xml:space="preserve">jouait un rôle de médiateur, </w:t>
      </w:r>
      <w:r w:rsidRPr="008544BB">
        <w:rPr>
          <w:lang w:val="fr-FR"/>
        </w:rPr>
        <w:t>c</w:t>
      </w:r>
      <w:r w:rsidR="00634858" w:rsidRPr="008544BB">
        <w:rPr>
          <w:lang w:val="fr-FR"/>
        </w:rPr>
        <w:t>herchant</w:t>
      </w:r>
      <w:r w:rsidR="00F67C08" w:rsidRPr="008544BB">
        <w:rPr>
          <w:lang w:val="fr-FR"/>
        </w:rPr>
        <w:t xml:space="preserve"> </w:t>
      </w:r>
      <w:r w:rsidRPr="008544BB">
        <w:rPr>
          <w:lang w:val="fr-FR"/>
        </w:rPr>
        <w:t xml:space="preserve">à </w:t>
      </w:r>
      <w:r w:rsidR="00F67C08" w:rsidRPr="008544BB">
        <w:rPr>
          <w:lang w:val="fr-FR"/>
        </w:rPr>
        <w:t>convaincre</w:t>
      </w:r>
      <w:r w:rsidR="00634858" w:rsidRPr="008544BB">
        <w:rPr>
          <w:lang w:val="fr-FR"/>
        </w:rPr>
        <w:t xml:space="preserve"> </w:t>
      </w:r>
      <w:r w:rsidRPr="008544BB">
        <w:rPr>
          <w:lang w:val="fr-FR"/>
        </w:rPr>
        <w:t>sa mère et sa grand-mère de</w:t>
      </w:r>
      <w:r w:rsidR="00F67C08" w:rsidRPr="008544BB">
        <w:rPr>
          <w:lang w:val="fr-FR"/>
        </w:rPr>
        <w:t xml:space="preserve"> se réconcilier</w:t>
      </w:r>
      <w:r w:rsidRPr="008544BB">
        <w:rPr>
          <w:lang w:val="fr-FR"/>
        </w:rPr>
        <w:t>, et que, f</w:t>
      </w:r>
      <w:r w:rsidR="00F67C08" w:rsidRPr="008544BB">
        <w:rPr>
          <w:lang w:val="fr-FR"/>
        </w:rPr>
        <w:t>ace à son échec, des</w:t>
      </w:r>
      <w:r w:rsidR="004A4240" w:rsidRPr="008544BB">
        <w:rPr>
          <w:lang w:val="fr-FR"/>
        </w:rPr>
        <w:t xml:space="preserve"> crises d</w:t>
      </w:r>
      <w:r w:rsidR="008544BB" w:rsidRPr="008544BB">
        <w:rPr>
          <w:lang w:val="fr-FR"/>
        </w:rPr>
        <w:t>’</w:t>
      </w:r>
      <w:r w:rsidR="00634858" w:rsidRPr="008544BB">
        <w:rPr>
          <w:lang w:val="fr-FR"/>
        </w:rPr>
        <w:t xml:space="preserve">agressivité survenaient. </w:t>
      </w:r>
      <w:r w:rsidR="00BA7D07" w:rsidRPr="008544BB">
        <w:rPr>
          <w:lang w:val="fr-FR"/>
        </w:rPr>
        <w:t>L</w:t>
      </w:r>
      <w:r w:rsidR="008544BB" w:rsidRPr="008544BB">
        <w:rPr>
          <w:lang w:val="fr-FR"/>
        </w:rPr>
        <w:t>’</w:t>
      </w:r>
      <w:r w:rsidR="00BA7D07" w:rsidRPr="008544BB">
        <w:rPr>
          <w:lang w:val="fr-FR"/>
        </w:rPr>
        <w:t>expert</w:t>
      </w:r>
      <w:r w:rsidR="00176EE8" w:rsidRPr="008544BB">
        <w:rPr>
          <w:lang w:val="fr-FR"/>
        </w:rPr>
        <w:t>e</w:t>
      </w:r>
      <w:r w:rsidR="00BA7D07" w:rsidRPr="008544BB">
        <w:rPr>
          <w:lang w:val="fr-FR"/>
        </w:rPr>
        <w:t xml:space="preserve"> conclu</w:t>
      </w:r>
      <w:r w:rsidRPr="008544BB">
        <w:rPr>
          <w:lang w:val="fr-FR"/>
        </w:rPr>
        <w:t>ai</w:t>
      </w:r>
      <w:r w:rsidR="00BA7D07" w:rsidRPr="008544BB">
        <w:rPr>
          <w:lang w:val="fr-FR"/>
        </w:rPr>
        <w:t>t qu</w:t>
      </w:r>
      <w:r w:rsidR="009D3928" w:rsidRPr="008544BB">
        <w:rPr>
          <w:lang w:val="fr-FR"/>
        </w:rPr>
        <w:t>e</w:t>
      </w:r>
      <w:r w:rsidR="00EF2A8D" w:rsidRPr="008544BB">
        <w:rPr>
          <w:lang w:val="fr-FR"/>
        </w:rPr>
        <w:t xml:space="preserve"> L. avait des besoins auxquels ni la première ni la deuxième requérante </w:t>
      </w:r>
      <w:r w:rsidRPr="008544BB">
        <w:rPr>
          <w:lang w:val="fr-FR"/>
        </w:rPr>
        <w:t xml:space="preserve">ne </w:t>
      </w:r>
      <w:r w:rsidR="009D3928" w:rsidRPr="008544BB">
        <w:rPr>
          <w:lang w:val="fr-FR"/>
        </w:rPr>
        <w:t>savaient répondre</w:t>
      </w:r>
      <w:r w:rsidR="00EF2A8D" w:rsidRPr="008544BB">
        <w:rPr>
          <w:lang w:val="fr-FR"/>
        </w:rPr>
        <w:t xml:space="preserve"> et que</w:t>
      </w:r>
      <w:r w:rsidR="00BA7D07" w:rsidRPr="008544BB">
        <w:rPr>
          <w:lang w:val="fr-FR"/>
        </w:rPr>
        <w:t xml:space="preserve"> S.</w:t>
      </w:r>
      <w:r w:rsidR="004A4240" w:rsidRPr="008544BB">
        <w:rPr>
          <w:lang w:val="fr-FR"/>
        </w:rPr>
        <w:t xml:space="preserve"> </w:t>
      </w:r>
      <w:r w:rsidRPr="008544BB">
        <w:rPr>
          <w:lang w:val="fr-FR"/>
        </w:rPr>
        <w:t xml:space="preserve">pouvait </w:t>
      </w:r>
      <w:r w:rsidR="007553A0" w:rsidRPr="008544BB">
        <w:rPr>
          <w:lang w:val="fr-FR"/>
        </w:rPr>
        <w:t xml:space="preserve">réussir à </w:t>
      </w:r>
      <w:r w:rsidR="00BA7D07" w:rsidRPr="008544BB">
        <w:rPr>
          <w:lang w:val="fr-FR"/>
        </w:rPr>
        <w:t>s</w:t>
      </w:r>
      <w:r w:rsidR="008544BB" w:rsidRPr="008544BB">
        <w:rPr>
          <w:lang w:val="fr-FR"/>
        </w:rPr>
        <w:t>’</w:t>
      </w:r>
      <w:r w:rsidR="00BA7D07" w:rsidRPr="008544BB">
        <w:rPr>
          <w:lang w:val="fr-FR"/>
        </w:rPr>
        <w:t xml:space="preserve">adapter </w:t>
      </w:r>
      <w:r w:rsidR="00EF2A8D" w:rsidRPr="008544BB">
        <w:rPr>
          <w:lang w:val="fr-FR"/>
        </w:rPr>
        <w:t>dans une famille d</w:t>
      </w:r>
      <w:r w:rsidR="008544BB" w:rsidRPr="008544BB">
        <w:rPr>
          <w:lang w:val="fr-FR"/>
        </w:rPr>
        <w:t>’</w:t>
      </w:r>
      <w:r w:rsidR="00EF2A8D" w:rsidRPr="008544BB">
        <w:rPr>
          <w:lang w:val="fr-FR"/>
        </w:rPr>
        <w:t xml:space="preserve">accueil ou </w:t>
      </w:r>
      <w:r w:rsidRPr="008544BB">
        <w:rPr>
          <w:lang w:val="fr-FR"/>
        </w:rPr>
        <w:t>d</w:t>
      </w:r>
      <w:r w:rsidR="008544BB" w:rsidRPr="008544BB">
        <w:rPr>
          <w:lang w:val="fr-FR"/>
        </w:rPr>
        <w:t>’</w:t>
      </w:r>
      <w:r w:rsidR="00BA7D07" w:rsidRPr="008544BB">
        <w:rPr>
          <w:lang w:val="fr-FR"/>
        </w:rPr>
        <w:t>adopti</w:t>
      </w:r>
      <w:r w:rsidRPr="008544BB">
        <w:rPr>
          <w:lang w:val="fr-FR"/>
        </w:rPr>
        <w:t>on</w:t>
      </w:r>
      <w:r w:rsidR="004A4240" w:rsidRPr="008544BB">
        <w:rPr>
          <w:lang w:val="fr-FR"/>
        </w:rPr>
        <w:t>.</w:t>
      </w:r>
    </w:p>
    <w:bookmarkStart w:id="7" w:name="CONSULTANTE_1"/>
    <w:p w:rsidR="001F3C47" w:rsidRPr="008544BB" w:rsidRDefault="004A4240" w:rsidP="008544BB">
      <w:pPr>
        <w:pStyle w:val="ECHRPara"/>
        <w:rPr>
          <w:lang w:val="fr-FR"/>
        </w:rPr>
      </w:pPr>
      <w:r w:rsidRPr="008544BB">
        <w:fldChar w:fldCharType="begin"/>
      </w:r>
      <w:r w:rsidRPr="008544BB">
        <w:rPr>
          <w:lang w:val="fr-FR"/>
        </w:rPr>
        <w:instrText xml:space="preserve"> SEQ level0 \*arabic </w:instrText>
      </w:r>
      <w:r w:rsidRPr="008544BB">
        <w:fldChar w:fldCharType="separate"/>
      </w:r>
      <w:r w:rsidR="008544BB" w:rsidRPr="008544BB">
        <w:rPr>
          <w:noProof/>
          <w:lang w:val="fr-FR"/>
        </w:rPr>
        <w:t>19</w:t>
      </w:r>
      <w:r w:rsidRPr="008544BB">
        <w:fldChar w:fldCharType="end"/>
      </w:r>
      <w:bookmarkEnd w:id="7"/>
      <w:r w:rsidRPr="008544BB">
        <w:rPr>
          <w:lang w:val="fr-FR"/>
        </w:rPr>
        <w:t>.  </w:t>
      </w:r>
      <w:r w:rsidR="00A27D51" w:rsidRPr="008544BB">
        <w:rPr>
          <w:lang w:val="fr-FR"/>
        </w:rPr>
        <w:t>Le</w:t>
      </w:r>
      <w:r w:rsidR="00C9077C" w:rsidRPr="008544BB">
        <w:rPr>
          <w:lang w:val="fr-FR"/>
        </w:rPr>
        <w:t xml:space="preserve"> 7 juin 2010, </w:t>
      </w:r>
      <w:r w:rsidR="001E3264" w:rsidRPr="008544BB">
        <w:rPr>
          <w:lang w:val="fr-FR"/>
        </w:rPr>
        <w:t>une experte</w:t>
      </w:r>
      <w:r w:rsidRPr="008544BB">
        <w:rPr>
          <w:lang w:val="fr-FR"/>
        </w:rPr>
        <w:t xml:space="preserve"> </w:t>
      </w:r>
      <w:r w:rsidR="00EF6C05" w:rsidRPr="008544BB">
        <w:rPr>
          <w:lang w:val="fr-FR"/>
        </w:rPr>
        <w:t>choisie</w:t>
      </w:r>
      <w:r w:rsidR="004A580F" w:rsidRPr="008544BB">
        <w:rPr>
          <w:lang w:val="fr-FR"/>
        </w:rPr>
        <w:t xml:space="preserve"> </w:t>
      </w:r>
      <w:r w:rsidR="00C9077C" w:rsidRPr="008544BB">
        <w:rPr>
          <w:lang w:val="fr-FR"/>
        </w:rPr>
        <w:t>par</w:t>
      </w:r>
      <w:r w:rsidRPr="008544BB">
        <w:rPr>
          <w:lang w:val="fr-FR"/>
        </w:rPr>
        <w:t xml:space="preserve"> la première requérante</w:t>
      </w:r>
      <w:r w:rsidR="000660A2" w:rsidRPr="008544BB">
        <w:rPr>
          <w:lang w:val="fr-FR"/>
        </w:rPr>
        <w:t xml:space="preserve"> présenta ses conclusions.</w:t>
      </w:r>
      <w:r w:rsidR="00E960F0" w:rsidRPr="008544BB">
        <w:rPr>
          <w:lang w:val="fr-FR"/>
        </w:rPr>
        <w:t xml:space="preserve"> </w:t>
      </w:r>
      <w:r w:rsidR="001E3264" w:rsidRPr="008544BB">
        <w:rPr>
          <w:lang w:val="fr-FR"/>
        </w:rPr>
        <w:t>Cette experte</w:t>
      </w:r>
      <w:r w:rsidR="00097636" w:rsidRPr="008544BB">
        <w:rPr>
          <w:lang w:val="fr-FR"/>
        </w:rPr>
        <w:t xml:space="preserve"> </w:t>
      </w:r>
      <w:r w:rsidR="006F69C0" w:rsidRPr="008544BB">
        <w:rPr>
          <w:lang w:val="fr-FR"/>
        </w:rPr>
        <w:t xml:space="preserve">confirma </w:t>
      </w:r>
      <w:r w:rsidR="001E3264" w:rsidRPr="008544BB">
        <w:rPr>
          <w:lang w:val="fr-FR"/>
        </w:rPr>
        <w:t>l</w:t>
      </w:r>
      <w:r w:rsidR="008544BB" w:rsidRPr="008544BB">
        <w:rPr>
          <w:lang w:val="fr-FR"/>
        </w:rPr>
        <w:t>’</w:t>
      </w:r>
      <w:r w:rsidR="001E3264" w:rsidRPr="008544BB">
        <w:rPr>
          <w:lang w:val="fr-FR"/>
        </w:rPr>
        <w:t xml:space="preserve">existence du conflit </w:t>
      </w:r>
      <w:r w:rsidR="00E960F0" w:rsidRPr="008544BB">
        <w:rPr>
          <w:lang w:val="fr-FR"/>
        </w:rPr>
        <w:t>entre</w:t>
      </w:r>
      <w:r w:rsidR="00216A54" w:rsidRPr="008544BB">
        <w:rPr>
          <w:lang w:val="fr-FR"/>
        </w:rPr>
        <w:t xml:space="preserve"> les requérantes</w:t>
      </w:r>
      <w:r w:rsidR="00CA16F6" w:rsidRPr="008544BB">
        <w:rPr>
          <w:lang w:val="fr-FR"/>
        </w:rPr>
        <w:t xml:space="preserve"> </w:t>
      </w:r>
      <w:r w:rsidR="001E3264" w:rsidRPr="008544BB">
        <w:rPr>
          <w:lang w:val="fr-FR"/>
        </w:rPr>
        <w:t>et</w:t>
      </w:r>
      <w:r w:rsidR="00216A54" w:rsidRPr="008544BB">
        <w:rPr>
          <w:lang w:val="fr-FR"/>
        </w:rPr>
        <w:t xml:space="preserve"> </w:t>
      </w:r>
      <w:r w:rsidR="009D3928" w:rsidRPr="008544BB">
        <w:rPr>
          <w:lang w:val="fr-FR"/>
        </w:rPr>
        <w:t>ajouta</w:t>
      </w:r>
      <w:r w:rsidR="006F69C0" w:rsidRPr="008544BB">
        <w:rPr>
          <w:lang w:val="fr-FR"/>
        </w:rPr>
        <w:t xml:space="preserve"> qu</w:t>
      </w:r>
      <w:r w:rsidR="001E3264" w:rsidRPr="008544BB">
        <w:rPr>
          <w:lang w:val="fr-FR"/>
        </w:rPr>
        <w:t xml:space="preserve">e </w:t>
      </w:r>
      <w:r w:rsidR="00EF6C05" w:rsidRPr="008544BB">
        <w:rPr>
          <w:lang w:val="fr-FR"/>
        </w:rPr>
        <w:t>celles-ci</w:t>
      </w:r>
      <w:r w:rsidR="00CA16F6" w:rsidRPr="008544BB">
        <w:rPr>
          <w:lang w:val="fr-FR"/>
        </w:rPr>
        <w:t xml:space="preserve"> avai</w:t>
      </w:r>
      <w:r w:rsidR="00EF6C05" w:rsidRPr="008544BB">
        <w:rPr>
          <w:lang w:val="fr-FR"/>
        </w:rPr>
        <w:t>en</w:t>
      </w:r>
      <w:r w:rsidR="00CA16F6" w:rsidRPr="008544BB">
        <w:rPr>
          <w:lang w:val="fr-FR"/>
        </w:rPr>
        <w:t>t</w:t>
      </w:r>
      <w:r w:rsidR="002A58D3" w:rsidRPr="008544BB">
        <w:rPr>
          <w:lang w:val="fr-FR"/>
        </w:rPr>
        <w:t xml:space="preserve"> tissé</w:t>
      </w:r>
      <w:r w:rsidR="00865B5D" w:rsidRPr="008544BB">
        <w:rPr>
          <w:lang w:val="fr-FR"/>
        </w:rPr>
        <w:t>, individuellement,</w:t>
      </w:r>
      <w:r w:rsidR="002A58D3" w:rsidRPr="008544BB">
        <w:rPr>
          <w:lang w:val="fr-FR"/>
        </w:rPr>
        <w:t xml:space="preserve"> </w:t>
      </w:r>
      <w:r w:rsidR="000660A2" w:rsidRPr="008544BB">
        <w:rPr>
          <w:lang w:val="fr-FR"/>
        </w:rPr>
        <w:t xml:space="preserve">une relation </w:t>
      </w:r>
      <w:r w:rsidR="009B390C" w:rsidRPr="008544BB">
        <w:rPr>
          <w:lang w:val="fr-FR"/>
        </w:rPr>
        <w:t xml:space="preserve">complice et </w:t>
      </w:r>
      <w:r w:rsidR="000660A2" w:rsidRPr="008544BB">
        <w:rPr>
          <w:lang w:val="fr-FR"/>
        </w:rPr>
        <w:t xml:space="preserve">profonde </w:t>
      </w:r>
      <w:r w:rsidR="002A58D3" w:rsidRPr="008544BB">
        <w:rPr>
          <w:lang w:val="fr-FR"/>
        </w:rPr>
        <w:t>avec les enfants.</w:t>
      </w:r>
      <w:r w:rsidR="00733ED7" w:rsidRPr="008544BB">
        <w:rPr>
          <w:lang w:val="fr-FR"/>
        </w:rPr>
        <w:t xml:space="preserve"> Elle </w:t>
      </w:r>
      <w:r w:rsidR="001E3264" w:rsidRPr="008544BB">
        <w:rPr>
          <w:lang w:val="fr-FR"/>
        </w:rPr>
        <w:t>estima</w:t>
      </w:r>
      <w:r w:rsidR="00EF6C05" w:rsidRPr="008544BB">
        <w:rPr>
          <w:lang w:val="fr-FR"/>
        </w:rPr>
        <w:t xml:space="preserve"> que les enfants étaient lucides au sujet </w:t>
      </w:r>
      <w:r w:rsidR="00733ED7" w:rsidRPr="008544BB">
        <w:rPr>
          <w:lang w:val="fr-FR"/>
        </w:rPr>
        <w:t xml:space="preserve">du conflit </w:t>
      </w:r>
      <w:r w:rsidR="000660A2" w:rsidRPr="008544BB">
        <w:rPr>
          <w:lang w:val="fr-FR"/>
        </w:rPr>
        <w:t>entre les deux adultes</w:t>
      </w:r>
      <w:r w:rsidR="0053181B" w:rsidRPr="008544BB">
        <w:rPr>
          <w:lang w:val="fr-FR"/>
        </w:rPr>
        <w:t xml:space="preserve"> et</w:t>
      </w:r>
      <w:r w:rsidR="000660A2" w:rsidRPr="008544BB">
        <w:rPr>
          <w:lang w:val="fr-FR"/>
        </w:rPr>
        <w:t xml:space="preserve"> conclut que l</w:t>
      </w:r>
      <w:r w:rsidR="0053181B" w:rsidRPr="008544BB">
        <w:rPr>
          <w:lang w:val="fr-FR"/>
        </w:rPr>
        <w:t>eur</w:t>
      </w:r>
      <w:r w:rsidR="000660A2" w:rsidRPr="008544BB">
        <w:rPr>
          <w:lang w:val="fr-FR"/>
        </w:rPr>
        <w:t xml:space="preserve"> séparation d</w:t>
      </w:r>
      <w:r w:rsidR="008544BB" w:rsidRPr="008544BB">
        <w:rPr>
          <w:lang w:val="fr-FR"/>
        </w:rPr>
        <w:t>’</w:t>
      </w:r>
      <w:r w:rsidR="00942F43" w:rsidRPr="008544BB">
        <w:rPr>
          <w:lang w:val="fr-FR"/>
        </w:rPr>
        <w:t>avec</w:t>
      </w:r>
      <w:r w:rsidR="00857C7D" w:rsidRPr="008544BB">
        <w:rPr>
          <w:lang w:val="fr-FR"/>
        </w:rPr>
        <w:t xml:space="preserve"> leur</w:t>
      </w:r>
      <w:r w:rsidR="000660A2" w:rsidRPr="008544BB">
        <w:rPr>
          <w:lang w:val="fr-FR"/>
        </w:rPr>
        <w:t xml:space="preserve"> famil</w:t>
      </w:r>
      <w:r w:rsidR="00857C7D" w:rsidRPr="008544BB">
        <w:rPr>
          <w:lang w:val="fr-FR"/>
        </w:rPr>
        <w:t>le</w:t>
      </w:r>
      <w:r w:rsidR="000660A2" w:rsidRPr="008544BB">
        <w:rPr>
          <w:lang w:val="fr-FR"/>
        </w:rPr>
        <w:t xml:space="preserve"> </w:t>
      </w:r>
      <w:r w:rsidR="00857C7D" w:rsidRPr="008544BB">
        <w:rPr>
          <w:lang w:val="fr-FR"/>
        </w:rPr>
        <w:t>était</w:t>
      </w:r>
      <w:r w:rsidR="00144266" w:rsidRPr="008544BB">
        <w:rPr>
          <w:lang w:val="fr-FR"/>
        </w:rPr>
        <w:t xml:space="preserve"> extrêmement </w:t>
      </w:r>
      <w:r w:rsidR="00857C7D" w:rsidRPr="008544BB">
        <w:rPr>
          <w:lang w:val="fr-FR"/>
        </w:rPr>
        <w:t>préjudiciable</w:t>
      </w:r>
      <w:r w:rsidR="00144266" w:rsidRPr="008544BB">
        <w:rPr>
          <w:lang w:val="fr-FR"/>
        </w:rPr>
        <w:t xml:space="preserve"> à leur </w:t>
      </w:r>
      <w:r w:rsidR="00E960F0" w:rsidRPr="008544BB">
        <w:rPr>
          <w:lang w:val="fr-FR"/>
        </w:rPr>
        <w:t>bien</w:t>
      </w:r>
      <w:r w:rsidR="00942F43" w:rsidRPr="008544BB">
        <w:rPr>
          <w:lang w:val="fr-FR"/>
        </w:rPr>
        <w:noBreakHyphen/>
      </w:r>
      <w:r w:rsidR="00E960F0" w:rsidRPr="008544BB">
        <w:rPr>
          <w:lang w:val="fr-FR"/>
        </w:rPr>
        <w:t>être</w:t>
      </w:r>
      <w:r w:rsidR="00004597" w:rsidRPr="008544BB">
        <w:rPr>
          <w:lang w:val="fr-FR"/>
        </w:rPr>
        <w:t>.</w:t>
      </w:r>
    </w:p>
    <w:bookmarkStart w:id="8" w:name="PROCUREUR_EXPERTISE"/>
    <w:p w:rsidR="00091E56" w:rsidRPr="008544BB" w:rsidRDefault="00091E56"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20</w:t>
      </w:r>
      <w:r w:rsidRPr="008544BB">
        <w:rPr>
          <w:lang w:val="fr-FR"/>
        </w:rPr>
        <w:fldChar w:fldCharType="end"/>
      </w:r>
      <w:bookmarkEnd w:id="8"/>
      <w:r w:rsidRPr="008544BB">
        <w:rPr>
          <w:lang w:val="fr-FR"/>
        </w:rPr>
        <w:t xml:space="preserve">.  Le 24 juillet 2010, le procureur de la République près </w:t>
      </w:r>
      <w:r w:rsidR="00EF6C05" w:rsidRPr="008544BB">
        <w:rPr>
          <w:lang w:val="fr-FR"/>
        </w:rPr>
        <w:t>le</w:t>
      </w:r>
      <w:r w:rsidRPr="008544BB">
        <w:rPr>
          <w:lang w:val="fr-FR"/>
        </w:rPr>
        <w:t xml:space="preserve"> tribunal</w:t>
      </w:r>
      <w:r w:rsidR="005111FB" w:rsidRPr="008544BB">
        <w:rPr>
          <w:lang w:val="fr-FR"/>
        </w:rPr>
        <w:t xml:space="preserve"> pour enfants</w:t>
      </w:r>
      <w:r w:rsidR="000C18E4" w:rsidRPr="008544BB">
        <w:rPr>
          <w:lang w:val="fr-FR"/>
        </w:rPr>
        <w:t xml:space="preserve"> demanda</w:t>
      </w:r>
      <w:r w:rsidRPr="008544BB">
        <w:rPr>
          <w:lang w:val="fr-FR"/>
        </w:rPr>
        <w:t>, à la lumière d</w:t>
      </w:r>
      <w:r w:rsidR="009D3928" w:rsidRPr="008544BB">
        <w:rPr>
          <w:lang w:val="fr-FR"/>
        </w:rPr>
        <w:t>u rapport d</w:t>
      </w:r>
      <w:r w:rsidR="008544BB" w:rsidRPr="008544BB">
        <w:rPr>
          <w:lang w:val="fr-FR"/>
        </w:rPr>
        <w:t>’</w:t>
      </w:r>
      <w:r w:rsidR="009D3928" w:rsidRPr="008544BB">
        <w:rPr>
          <w:lang w:val="fr-FR"/>
        </w:rPr>
        <w:t>expertise</w:t>
      </w:r>
      <w:r w:rsidR="00EF6C05" w:rsidRPr="008544BB">
        <w:rPr>
          <w:lang w:val="fr-FR"/>
        </w:rPr>
        <w:t xml:space="preserve"> du 19 mai 2010</w:t>
      </w:r>
      <w:r w:rsidR="009D3928" w:rsidRPr="008544BB">
        <w:rPr>
          <w:lang w:val="fr-FR"/>
        </w:rPr>
        <w:t>,</w:t>
      </w:r>
      <w:r w:rsidR="000C18E4" w:rsidRPr="008544BB">
        <w:rPr>
          <w:lang w:val="fr-FR"/>
        </w:rPr>
        <w:t xml:space="preserve"> </w:t>
      </w:r>
      <w:r w:rsidR="00EF6C05" w:rsidRPr="008544BB">
        <w:rPr>
          <w:lang w:val="fr-FR"/>
        </w:rPr>
        <w:t>la</w:t>
      </w:r>
      <w:r w:rsidRPr="008544BB">
        <w:rPr>
          <w:lang w:val="fr-FR"/>
        </w:rPr>
        <w:t xml:space="preserve"> poursui</w:t>
      </w:r>
      <w:r w:rsidR="00EF6C05" w:rsidRPr="008544BB">
        <w:rPr>
          <w:lang w:val="fr-FR"/>
        </w:rPr>
        <w:t>te de</w:t>
      </w:r>
      <w:r w:rsidRPr="008544BB">
        <w:rPr>
          <w:lang w:val="fr-FR"/>
        </w:rPr>
        <w:t xml:space="preserve"> l</w:t>
      </w:r>
      <w:r w:rsidR="008544BB" w:rsidRPr="008544BB">
        <w:rPr>
          <w:lang w:val="fr-FR"/>
        </w:rPr>
        <w:t>’</w:t>
      </w:r>
      <w:r w:rsidRPr="008544BB">
        <w:rPr>
          <w:lang w:val="fr-FR"/>
        </w:rPr>
        <w:t xml:space="preserve">activité de soutien </w:t>
      </w:r>
      <w:r w:rsidR="00EF6C05" w:rsidRPr="008544BB">
        <w:rPr>
          <w:lang w:val="fr-FR"/>
        </w:rPr>
        <w:t>à</w:t>
      </w:r>
      <w:r w:rsidR="00395444" w:rsidRPr="008544BB">
        <w:rPr>
          <w:lang w:val="fr-FR"/>
        </w:rPr>
        <w:t xml:space="preserve"> la première requérante</w:t>
      </w:r>
      <w:r w:rsidRPr="008544BB">
        <w:rPr>
          <w:lang w:val="fr-FR"/>
        </w:rPr>
        <w:t xml:space="preserve"> en vue d</w:t>
      </w:r>
      <w:r w:rsidR="008544BB" w:rsidRPr="008544BB">
        <w:rPr>
          <w:lang w:val="fr-FR"/>
        </w:rPr>
        <w:t>’</w:t>
      </w:r>
      <w:r w:rsidRPr="008544BB">
        <w:rPr>
          <w:lang w:val="fr-FR"/>
        </w:rPr>
        <w:t xml:space="preserve">un rapprochement </w:t>
      </w:r>
      <w:r w:rsidR="00EF6C05" w:rsidRPr="008544BB">
        <w:rPr>
          <w:lang w:val="fr-FR"/>
        </w:rPr>
        <w:t>entre celle-ci et les enfants</w:t>
      </w:r>
      <w:r w:rsidR="00DC2030" w:rsidRPr="008544BB">
        <w:rPr>
          <w:lang w:val="fr-FR"/>
        </w:rPr>
        <w:t xml:space="preserve"> fondé sur </w:t>
      </w:r>
      <w:r w:rsidR="00E960F0" w:rsidRPr="008544BB">
        <w:rPr>
          <w:lang w:val="fr-FR"/>
        </w:rPr>
        <w:t xml:space="preserve">une alternance entre </w:t>
      </w:r>
      <w:r w:rsidR="006F69C0" w:rsidRPr="008544BB">
        <w:rPr>
          <w:lang w:val="fr-FR"/>
        </w:rPr>
        <w:t>des périodes</w:t>
      </w:r>
      <w:r w:rsidR="00E960F0" w:rsidRPr="008544BB">
        <w:rPr>
          <w:lang w:val="fr-FR"/>
        </w:rPr>
        <w:t xml:space="preserve"> </w:t>
      </w:r>
      <w:r w:rsidR="00DC2030" w:rsidRPr="008544BB">
        <w:rPr>
          <w:lang w:val="fr-FR"/>
        </w:rPr>
        <w:t xml:space="preserve">de placement </w:t>
      </w:r>
      <w:r w:rsidR="00E960F0" w:rsidRPr="008544BB">
        <w:rPr>
          <w:lang w:val="fr-FR"/>
        </w:rPr>
        <w:t>en maison d</w:t>
      </w:r>
      <w:r w:rsidR="008544BB" w:rsidRPr="008544BB">
        <w:rPr>
          <w:lang w:val="fr-FR"/>
        </w:rPr>
        <w:t>’</w:t>
      </w:r>
      <w:r w:rsidR="00E960F0" w:rsidRPr="008544BB">
        <w:rPr>
          <w:lang w:val="fr-FR"/>
        </w:rPr>
        <w:t xml:space="preserve">accueil et des </w:t>
      </w:r>
      <w:r w:rsidR="006F69C0" w:rsidRPr="008544BB">
        <w:rPr>
          <w:lang w:val="fr-FR"/>
        </w:rPr>
        <w:t xml:space="preserve">séjours </w:t>
      </w:r>
      <w:r w:rsidRPr="008544BB">
        <w:rPr>
          <w:lang w:val="fr-FR"/>
        </w:rPr>
        <w:t>avec l</w:t>
      </w:r>
      <w:r w:rsidR="009D3928" w:rsidRPr="008544BB">
        <w:rPr>
          <w:lang w:val="fr-FR"/>
        </w:rPr>
        <w:t>a première requérante</w:t>
      </w:r>
      <w:r w:rsidRPr="008544BB">
        <w:rPr>
          <w:lang w:val="fr-FR"/>
        </w:rPr>
        <w:t>.</w:t>
      </w:r>
    </w:p>
    <w:p w:rsidR="004A4240" w:rsidRPr="008544BB" w:rsidRDefault="004A4240" w:rsidP="008544BB">
      <w:pPr>
        <w:pStyle w:val="ECHRPara"/>
        <w:rPr>
          <w:lang w:val="fr-FR"/>
        </w:rPr>
      </w:pPr>
      <w:r w:rsidRPr="008544BB">
        <w:fldChar w:fldCharType="begin"/>
      </w:r>
      <w:r w:rsidRPr="008544BB">
        <w:rPr>
          <w:lang w:val="fr-FR"/>
        </w:rPr>
        <w:instrText xml:space="preserve"> SEQ level0 \*arabic </w:instrText>
      </w:r>
      <w:r w:rsidRPr="008544BB">
        <w:fldChar w:fldCharType="separate"/>
      </w:r>
      <w:r w:rsidR="008544BB" w:rsidRPr="008544BB">
        <w:rPr>
          <w:noProof/>
          <w:lang w:val="fr-FR"/>
        </w:rPr>
        <w:t>21</w:t>
      </w:r>
      <w:r w:rsidRPr="008544BB">
        <w:fldChar w:fldCharType="end"/>
      </w:r>
      <w:r w:rsidRPr="008544BB">
        <w:rPr>
          <w:lang w:val="fr-FR"/>
        </w:rPr>
        <w:t>.  Le 7 octobre 2010, la psychothérapeute de l</w:t>
      </w:r>
      <w:r w:rsidR="008544BB" w:rsidRPr="008544BB">
        <w:rPr>
          <w:lang w:val="fr-FR"/>
        </w:rPr>
        <w:t>’</w:t>
      </w:r>
      <w:r w:rsidRPr="008544BB">
        <w:rPr>
          <w:lang w:val="fr-FR"/>
        </w:rPr>
        <w:t xml:space="preserve">établissement </w:t>
      </w:r>
      <w:r w:rsidR="00DC397B" w:rsidRPr="008544BB">
        <w:rPr>
          <w:lang w:val="fr-FR"/>
        </w:rPr>
        <w:t>« </w:t>
      </w:r>
      <w:r w:rsidR="00E960F0" w:rsidRPr="008544BB">
        <w:rPr>
          <w:lang w:val="fr-FR"/>
        </w:rPr>
        <w:t>l</w:t>
      </w:r>
      <w:r w:rsidR="008544BB" w:rsidRPr="008544BB">
        <w:rPr>
          <w:lang w:val="fr-FR"/>
        </w:rPr>
        <w:t>’</w:t>
      </w:r>
      <w:r w:rsidR="00DC397B" w:rsidRPr="008544BB">
        <w:rPr>
          <w:lang w:val="fr-FR"/>
        </w:rPr>
        <w:t xml:space="preserve">Espace </w:t>
      </w:r>
      <w:r w:rsidR="00DC2030" w:rsidRPr="008544BB">
        <w:rPr>
          <w:lang w:val="fr-FR"/>
        </w:rPr>
        <w:t>n</w:t>
      </w:r>
      <w:r w:rsidR="00DC397B" w:rsidRPr="008544BB">
        <w:rPr>
          <w:lang w:val="fr-FR"/>
        </w:rPr>
        <w:t>eutre » de Frascati</w:t>
      </w:r>
      <w:r w:rsidR="00AE391F" w:rsidRPr="008544BB">
        <w:rPr>
          <w:lang w:val="fr-FR"/>
        </w:rPr>
        <w:t xml:space="preserve"> </w:t>
      </w:r>
      <w:r w:rsidR="00E72B3F" w:rsidRPr="008544BB">
        <w:rPr>
          <w:lang w:val="fr-FR"/>
        </w:rPr>
        <w:t xml:space="preserve">informa la municipalité </w:t>
      </w:r>
      <w:r w:rsidR="00C322DE" w:rsidRPr="008544BB">
        <w:rPr>
          <w:lang w:val="fr-FR"/>
        </w:rPr>
        <w:t>de son intention de</w:t>
      </w:r>
      <w:r w:rsidR="00E72B3F" w:rsidRPr="008544BB">
        <w:rPr>
          <w:lang w:val="fr-FR"/>
        </w:rPr>
        <w:t xml:space="preserve"> suspendre les rencontres jusqu</w:t>
      </w:r>
      <w:r w:rsidR="008544BB" w:rsidRPr="008544BB">
        <w:rPr>
          <w:lang w:val="fr-FR"/>
        </w:rPr>
        <w:t>’</w:t>
      </w:r>
      <w:r w:rsidR="00E72B3F" w:rsidRPr="008544BB">
        <w:rPr>
          <w:lang w:val="fr-FR"/>
        </w:rPr>
        <w:t>à la mise en place d</w:t>
      </w:r>
      <w:r w:rsidR="008544BB" w:rsidRPr="008544BB">
        <w:rPr>
          <w:lang w:val="fr-FR"/>
        </w:rPr>
        <w:t>’</w:t>
      </w:r>
      <w:r w:rsidR="00E72B3F" w:rsidRPr="008544BB">
        <w:rPr>
          <w:lang w:val="fr-FR"/>
        </w:rPr>
        <w:t>un soutien neuropsychiatri</w:t>
      </w:r>
      <w:r w:rsidR="00DC2030" w:rsidRPr="008544BB">
        <w:rPr>
          <w:lang w:val="fr-FR"/>
        </w:rPr>
        <w:t>que au</w:t>
      </w:r>
      <w:r w:rsidR="00E72B3F" w:rsidRPr="008544BB">
        <w:rPr>
          <w:lang w:val="fr-FR"/>
        </w:rPr>
        <w:t xml:space="preserve"> bénéfice des enfants.</w:t>
      </w:r>
    </w:p>
    <w:p w:rsidR="004A4240" w:rsidRPr="008544BB" w:rsidRDefault="004A4240" w:rsidP="008544BB">
      <w:pPr>
        <w:pStyle w:val="ECHRPara"/>
        <w:rPr>
          <w:lang w:val="fr-FR"/>
        </w:rPr>
      </w:pPr>
      <w:r w:rsidRPr="008544BB">
        <w:lastRenderedPageBreak/>
        <w:fldChar w:fldCharType="begin"/>
      </w:r>
      <w:r w:rsidRPr="008544BB">
        <w:rPr>
          <w:lang w:val="fr-FR"/>
        </w:rPr>
        <w:instrText xml:space="preserve"> SEQ level0 \*arabic </w:instrText>
      </w:r>
      <w:r w:rsidRPr="008544BB">
        <w:fldChar w:fldCharType="separate"/>
      </w:r>
      <w:r w:rsidR="008544BB" w:rsidRPr="008544BB">
        <w:rPr>
          <w:noProof/>
          <w:lang w:val="fr-FR"/>
        </w:rPr>
        <w:t>22</w:t>
      </w:r>
      <w:r w:rsidRPr="008544BB">
        <w:fldChar w:fldCharType="end"/>
      </w:r>
      <w:r w:rsidRPr="008544BB">
        <w:rPr>
          <w:lang w:val="fr-FR"/>
        </w:rPr>
        <w:t xml:space="preserve">.  Le 14 juin 2011, le tribunal </w:t>
      </w:r>
      <w:r w:rsidR="005111FB" w:rsidRPr="008544BB">
        <w:rPr>
          <w:lang w:val="fr-FR"/>
        </w:rPr>
        <w:t xml:space="preserve">pour enfants </w:t>
      </w:r>
      <w:r w:rsidRPr="008544BB">
        <w:rPr>
          <w:lang w:val="fr-FR"/>
        </w:rPr>
        <w:t>entendit L.</w:t>
      </w:r>
      <w:r w:rsidR="00887714" w:rsidRPr="008544BB">
        <w:rPr>
          <w:lang w:val="fr-FR"/>
        </w:rPr>
        <w:t xml:space="preserve">, </w:t>
      </w:r>
      <w:r w:rsidRPr="008544BB">
        <w:rPr>
          <w:lang w:val="fr-FR"/>
        </w:rPr>
        <w:t xml:space="preserve">qui répondit favorablement </w:t>
      </w:r>
      <w:r w:rsidR="009D3928" w:rsidRPr="008544BB">
        <w:rPr>
          <w:lang w:val="fr-FR"/>
        </w:rPr>
        <w:t>à la proposition</w:t>
      </w:r>
      <w:r w:rsidRPr="008544BB">
        <w:rPr>
          <w:lang w:val="fr-FR"/>
        </w:rPr>
        <w:t xml:space="preserve"> de placement en famille d</w:t>
      </w:r>
      <w:r w:rsidR="008544BB" w:rsidRPr="008544BB">
        <w:rPr>
          <w:lang w:val="fr-FR"/>
        </w:rPr>
        <w:t>’</w:t>
      </w:r>
      <w:r w:rsidR="002E6C4D" w:rsidRPr="008544BB">
        <w:rPr>
          <w:lang w:val="fr-FR"/>
        </w:rPr>
        <w:t>accueil</w:t>
      </w:r>
      <w:r w:rsidR="009D1BC2" w:rsidRPr="008544BB">
        <w:rPr>
          <w:lang w:val="fr-FR"/>
        </w:rPr>
        <w:t>.</w:t>
      </w:r>
    </w:p>
    <w:bookmarkStart w:id="9" w:name="RAPPORT_ESPACE_NEUTRE"/>
    <w:p w:rsidR="004A4240" w:rsidRPr="008544BB" w:rsidRDefault="00777495"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23</w:t>
      </w:r>
      <w:r w:rsidRPr="008544BB">
        <w:rPr>
          <w:lang w:val="fr-FR"/>
        </w:rPr>
        <w:fldChar w:fldCharType="end"/>
      </w:r>
      <w:bookmarkEnd w:id="9"/>
      <w:r w:rsidRPr="008544BB">
        <w:rPr>
          <w:lang w:val="fr-FR"/>
        </w:rPr>
        <w:t>.  Le 17 novembre 2011, l</w:t>
      </w:r>
      <w:r w:rsidR="008544BB" w:rsidRPr="008544BB">
        <w:rPr>
          <w:lang w:val="fr-FR"/>
        </w:rPr>
        <w:t>’</w:t>
      </w:r>
      <w:r w:rsidRPr="008544BB">
        <w:rPr>
          <w:lang w:val="fr-FR"/>
        </w:rPr>
        <w:t xml:space="preserve">équipe </w:t>
      </w:r>
      <w:r w:rsidR="00D747A6" w:rsidRPr="008544BB">
        <w:rPr>
          <w:lang w:val="fr-FR"/>
        </w:rPr>
        <w:t xml:space="preserve">de </w:t>
      </w:r>
      <w:r w:rsidRPr="008544BB">
        <w:rPr>
          <w:lang w:val="fr-FR"/>
        </w:rPr>
        <w:t>« </w:t>
      </w:r>
      <w:r w:rsidR="00E960F0" w:rsidRPr="008544BB">
        <w:rPr>
          <w:lang w:val="fr-FR"/>
        </w:rPr>
        <w:t>l</w:t>
      </w:r>
      <w:r w:rsidR="008544BB" w:rsidRPr="008544BB">
        <w:rPr>
          <w:lang w:val="fr-FR"/>
        </w:rPr>
        <w:t>’</w:t>
      </w:r>
      <w:r w:rsidRPr="008544BB">
        <w:rPr>
          <w:lang w:val="fr-FR"/>
        </w:rPr>
        <w:t xml:space="preserve">Espace </w:t>
      </w:r>
      <w:r w:rsidR="00DC2030" w:rsidRPr="008544BB">
        <w:rPr>
          <w:lang w:val="fr-FR"/>
        </w:rPr>
        <w:t>n</w:t>
      </w:r>
      <w:r w:rsidRPr="008544BB">
        <w:rPr>
          <w:lang w:val="fr-FR"/>
        </w:rPr>
        <w:t xml:space="preserve">eutre » de Frascati rédigea un rapport sur les rencontres </w:t>
      </w:r>
      <w:r w:rsidR="00CF741E" w:rsidRPr="008544BB">
        <w:rPr>
          <w:lang w:val="fr-FR"/>
        </w:rPr>
        <w:t>organis</w:t>
      </w:r>
      <w:r w:rsidRPr="008544BB">
        <w:rPr>
          <w:lang w:val="fr-FR"/>
        </w:rPr>
        <w:t>é</w:t>
      </w:r>
      <w:r w:rsidR="00DC2030" w:rsidRPr="008544BB">
        <w:rPr>
          <w:lang w:val="fr-FR"/>
        </w:rPr>
        <w:t>e</w:t>
      </w:r>
      <w:r w:rsidRPr="008544BB">
        <w:rPr>
          <w:lang w:val="fr-FR"/>
        </w:rPr>
        <w:t>s entre la</w:t>
      </w:r>
      <w:r w:rsidR="00B80D52" w:rsidRPr="008544BB">
        <w:rPr>
          <w:lang w:val="fr-FR"/>
        </w:rPr>
        <w:t xml:space="preserve"> première requérante</w:t>
      </w:r>
      <w:r w:rsidRPr="008544BB">
        <w:rPr>
          <w:lang w:val="fr-FR"/>
        </w:rPr>
        <w:t xml:space="preserve"> et les enfants.</w:t>
      </w:r>
      <w:r w:rsidR="0016299F" w:rsidRPr="008544BB">
        <w:rPr>
          <w:lang w:val="fr-FR"/>
        </w:rPr>
        <w:t xml:space="preserve"> </w:t>
      </w:r>
      <w:r w:rsidRPr="008544BB">
        <w:rPr>
          <w:lang w:val="fr-FR"/>
        </w:rPr>
        <w:t>Ce rapport fai</w:t>
      </w:r>
      <w:r w:rsidR="00DC2030" w:rsidRPr="008544BB">
        <w:rPr>
          <w:lang w:val="fr-FR"/>
        </w:rPr>
        <w:t>sai</w:t>
      </w:r>
      <w:r w:rsidRPr="008544BB">
        <w:rPr>
          <w:lang w:val="fr-FR"/>
        </w:rPr>
        <w:t>t état</w:t>
      </w:r>
      <w:r w:rsidR="0053171F" w:rsidRPr="008544BB">
        <w:rPr>
          <w:lang w:val="fr-FR"/>
        </w:rPr>
        <w:t xml:space="preserve"> d</w:t>
      </w:r>
      <w:r w:rsidR="008544BB" w:rsidRPr="008544BB">
        <w:rPr>
          <w:lang w:val="fr-FR"/>
        </w:rPr>
        <w:t>’</w:t>
      </w:r>
      <w:r w:rsidR="00DC2030" w:rsidRPr="008544BB">
        <w:rPr>
          <w:lang w:val="fr-FR"/>
        </w:rPr>
        <w:t>un</w:t>
      </w:r>
      <w:r w:rsidRPr="008544BB">
        <w:rPr>
          <w:lang w:val="fr-FR"/>
        </w:rPr>
        <w:t xml:space="preserve"> changement d</w:t>
      </w:r>
      <w:r w:rsidR="008544BB" w:rsidRPr="008544BB">
        <w:rPr>
          <w:lang w:val="fr-FR"/>
        </w:rPr>
        <w:t>’</w:t>
      </w:r>
      <w:r w:rsidRPr="008544BB">
        <w:rPr>
          <w:lang w:val="fr-FR"/>
        </w:rPr>
        <w:t>attitude de la</w:t>
      </w:r>
      <w:r w:rsidR="00F22317" w:rsidRPr="008544BB">
        <w:rPr>
          <w:lang w:val="fr-FR"/>
        </w:rPr>
        <w:t xml:space="preserve"> première requérante</w:t>
      </w:r>
      <w:r w:rsidRPr="008544BB">
        <w:rPr>
          <w:lang w:val="fr-FR"/>
        </w:rPr>
        <w:t xml:space="preserve">, </w:t>
      </w:r>
      <w:r w:rsidR="006B5EC5" w:rsidRPr="008544BB">
        <w:rPr>
          <w:lang w:val="fr-FR"/>
        </w:rPr>
        <w:t xml:space="preserve">qui se montrait </w:t>
      </w:r>
      <w:r w:rsidRPr="008544BB">
        <w:rPr>
          <w:lang w:val="fr-FR"/>
        </w:rPr>
        <w:t xml:space="preserve">plus conciliante et </w:t>
      </w:r>
      <w:r w:rsidR="00140D03" w:rsidRPr="008544BB">
        <w:rPr>
          <w:lang w:val="fr-FR"/>
        </w:rPr>
        <w:t>encline</w:t>
      </w:r>
      <w:r w:rsidR="00887714" w:rsidRPr="008544BB">
        <w:rPr>
          <w:lang w:val="fr-FR"/>
        </w:rPr>
        <w:t xml:space="preserve"> à suivre</w:t>
      </w:r>
      <w:r w:rsidR="00664D28" w:rsidRPr="008544BB">
        <w:rPr>
          <w:lang w:val="fr-FR"/>
        </w:rPr>
        <w:t xml:space="preserve"> </w:t>
      </w:r>
      <w:r w:rsidR="00B80D52" w:rsidRPr="008544BB">
        <w:rPr>
          <w:lang w:val="fr-FR"/>
        </w:rPr>
        <w:t xml:space="preserve">les prescriptions encadrant les rencontres et les propositions visant à </w:t>
      </w:r>
      <w:r w:rsidR="006B5EC5" w:rsidRPr="008544BB">
        <w:rPr>
          <w:lang w:val="fr-FR"/>
        </w:rPr>
        <w:t>l</w:t>
      </w:r>
      <w:r w:rsidR="008544BB" w:rsidRPr="008544BB">
        <w:rPr>
          <w:lang w:val="fr-FR"/>
        </w:rPr>
        <w:t>’</w:t>
      </w:r>
      <w:r w:rsidR="00B80D52" w:rsidRPr="008544BB">
        <w:rPr>
          <w:lang w:val="fr-FR"/>
        </w:rPr>
        <w:t>apaise</w:t>
      </w:r>
      <w:r w:rsidR="006B5EC5" w:rsidRPr="008544BB">
        <w:rPr>
          <w:lang w:val="fr-FR"/>
        </w:rPr>
        <w:t>ment du</w:t>
      </w:r>
      <w:r w:rsidR="00B80D52" w:rsidRPr="008544BB">
        <w:rPr>
          <w:lang w:val="fr-FR"/>
        </w:rPr>
        <w:t xml:space="preserve"> conflit</w:t>
      </w:r>
      <w:r w:rsidR="006B5EC5" w:rsidRPr="008544BB">
        <w:rPr>
          <w:lang w:val="fr-FR"/>
        </w:rPr>
        <w:t xml:space="preserve"> avec sa mère</w:t>
      </w:r>
      <w:r w:rsidR="00B80D52" w:rsidRPr="008544BB">
        <w:rPr>
          <w:lang w:val="fr-FR"/>
        </w:rPr>
        <w:t xml:space="preserve">. </w:t>
      </w:r>
      <w:r w:rsidR="006B5EC5" w:rsidRPr="008544BB">
        <w:rPr>
          <w:lang w:val="fr-FR"/>
        </w:rPr>
        <w:t>Selon le rapport, c</w:t>
      </w:r>
      <w:r w:rsidR="000F2D02" w:rsidRPr="008544BB">
        <w:rPr>
          <w:lang w:val="fr-FR"/>
        </w:rPr>
        <w:t>ette « alliance positive » entre l</w:t>
      </w:r>
      <w:r w:rsidR="00D747A6" w:rsidRPr="008544BB">
        <w:rPr>
          <w:lang w:val="fr-FR"/>
        </w:rPr>
        <w:t>es membres de l</w:t>
      </w:r>
      <w:r w:rsidR="008544BB" w:rsidRPr="008544BB">
        <w:rPr>
          <w:lang w:val="fr-FR"/>
        </w:rPr>
        <w:t>’</w:t>
      </w:r>
      <w:r w:rsidR="00D747A6" w:rsidRPr="008544BB">
        <w:rPr>
          <w:lang w:val="fr-FR"/>
        </w:rPr>
        <w:t>équipe de « l</w:t>
      </w:r>
      <w:r w:rsidR="008544BB" w:rsidRPr="008544BB">
        <w:rPr>
          <w:lang w:val="fr-FR"/>
        </w:rPr>
        <w:t>’</w:t>
      </w:r>
      <w:r w:rsidR="00D747A6" w:rsidRPr="008544BB">
        <w:rPr>
          <w:lang w:val="fr-FR"/>
        </w:rPr>
        <w:t>Espace neutre »</w:t>
      </w:r>
      <w:r w:rsidR="000F2D02" w:rsidRPr="008544BB">
        <w:rPr>
          <w:lang w:val="fr-FR"/>
        </w:rPr>
        <w:t xml:space="preserve"> et la première requérante </w:t>
      </w:r>
      <w:r w:rsidR="00184425" w:rsidRPr="008544BB">
        <w:rPr>
          <w:lang w:val="fr-FR"/>
        </w:rPr>
        <w:t xml:space="preserve">avait permis à celle-ci </w:t>
      </w:r>
      <w:r w:rsidR="006B5EC5" w:rsidRPr="008544BB">
        <w:rPr>
          <w:lang w:val="fr-FR"/>
        </w:rPr>
        <w:t>de</w:t>
      </w:r>
      <w:r w:rsidR="0053171F" w:rsidRPr="008544BB">
        <w:rPr>
          <w:lang w:val="fr-FR"/>
        </w:rPr>
        <w:t xml:space="preserve"> pr</w:t>
      </w:r>
      <w:r w:rsidR="006B5EC5" w:rsidRPr="008544BB">
        <w:rPr>
          <w:lang w:val="fr-FR"/>
        </w:rPr>
        <w:t>endre</w:t>
      </w:r>
      <w:r w:rsidR="0053171F" w:rsidRPr="008544BB">
        <w:rPr>
          <w:lang w:val="fr-FR"/>
        </w:rPr>
        <w:t xml:space="preserve"> conscience</w:t>
      </w:r>
      <w:r w:rsidR="000F2D02" w:rsidRPr="008544BB">
        <w:rPr>
          <w:lang w:val="fr-FR"/>
        </w:rPr>
        <w:t xml:space="preserve"> </w:t>
      </w:r>
      <w:r w:rsidR="0053181B" w:rsidRPr="008544BB">
        <w:rPr>
          <w:lang w:val="fr-FR"/>
        </w:rPr>
        <w:t>de</w:t>
      </w:r>
      <w:r w:rsidR="000F2D02" w:rsidRPr="008544BB">
        <w:rPr>
          <w:lang w:val="fr-FR"/>
        </w:rPr>
        <w:t xml:space="preserve"> ses</w:t>
      </w:r>
      <w:r w:rsidR="00B80D52" w:rsidRPr="008544BB">
        <w:rPr>
          <w:lang w:val="fr-FR"/>
        </w:rPr>
        <w:t xml:space="preserve"> difficultés à s</w:t>
      </w:r>
      <w:r w:rsidR="008544BB" w:rsidRPr="008544BB">
        <w:rPr>
          <w:lang w:val="fr-FR"/>
        </w:rPr>
        <w:t>’</w:t>
      </w:r>
      <w:r w:rsidR="00B80D52" w:rsidRPr="008544BB">
        <w:rPr>
          <w:lang w:val="fr-FR"/>
        </w:rPr>
        <w:t xml:space="preserve">occuper des enfants et </w:t>
      </w:r>
      <w:r w:rsidR="0053181B" w:rsidRPr="008544BB">
        <w:rPr>
          <w:lang w:val="fr-FR"/>
        </w:rPr>
        <w:t>de</w:t>
      </w:r>
      <w:r w:rsidR="00B80D52" w:rsidRPr="008544BB">
        <w:rPr>
          <w:lang w:val="fr-FR"/>
        </w:rPr>
        <w:t xml:space="preserve"> </w:t>
      </w:r>
      <w:r w:rsidR="0053171F" w:rsidRPr="008544BB">
        <w:rPr>
          <w:lang w:val="fr-FR"/>
        </w:rPr>
        <w:t>l</w:t>
      </w:r>
      <w:r w:rsidR="008544BB" w:rsidRPr="008544BB">
        <w:rPr>
          <w:lang w:val="fr-FR"/>
        </w:rPr>
        <w:t>’</w:t>
      </w:r>
      <w:r w:rsidR="0053171F" w:rsidRPr="008544BB">
        <w:rPr>
          <w:lang w:val="fr-FR"/>
        </w:rPr>
        <w:t xml:space="preserve">état de délabrement de </w:t>
      </w:r>
      <w:r w:rsidR="0053181B" w:rsidRPr="008544BB">
        <w:rPr>
          <w:lang w:val="fr-FR"/>
        </w:rPr>
        <w:t>sa maison</w:t>
      </w:r>
      <w:r w:rsidR="0053171F" w:rsidRPr="008544BB">
        <w:rPr>
          <w:lang w:val="fr-FR"/>
        </w:rPr>
        <w:t xml:space="preserve">. </w:t>
      </w:r>
      <w:r w:rsidR="006B5EC5" w:rsidRPr="008544BB">
        <w:rPr>
          <w:lang w:val="fr-FR"/>
        </w:rPr>
        <w:t>Toujours selon ce rapport, l</w:t>
      </w:r>
      <w:r w:rsidR="009D3928" w:rsidRPr="008544BB">
        <w:rPr>
          <w:lang w:val="fr-FR"/>
        </w:rPr>
        <w:t xml:space="preserve">a relation </w:t>
      </w:r>
      <w:r w:rsidR="00390BAE" w:rsidRPr="008544BB">
        <w:rPr>
          <w:lang w:val="fr-FR"/>
        </w:rPr>
        <w:t>avec</w:t>
      </w:r>
      <w:r w:rsidR="009D3928" w:rsidRPr="008544BB">
        <w:rPr>
          <w:lang w:val="fr-FR"/>
        </w:rPr>
        <w:t xml:space="preserve"> les enfants</w:t>
      </w:r>
      <w:r w:rsidR="00531D5C" w:rsidRPr="008544BB">
        <w:rPr>
          <w:lang w:val="fr-FR"/>
        </w:rPr>
        <w:t xml:space="preserve"> </w:t>
      </w:r>
      <w:r w:rsidR="006B5EC5" w:rsidRPr="008544BB">
        <w:rPr>
          <w:lang w:val="fr-FR"/>
        </w:rPr>
        <w:t>était</w:t>
      </w:r>
      <w:r w:rsidR="00531D5C" w:rsidRPr="008544BB">
        <w:rPr>
          <w:lang w:val="fr-FR"/>
        </w:rPr>
        <w:t xml:space="preserve"> évaluée positivement</w:t>
      </w:r>
      <w:r w:rsidR="009D3928" w:rsidRPr="008544BB">
        <w:rPr>
          <w:lang w:val="fr-FR"/>
        </w:rPr>
        <w:t xml:space="preserve">, </w:t>
      </w:r>
      <w:r w:rsidR="006B5EC5" w:rsidRPr="008544BB">
        <w:rPr>
          <w:lang w:val="fr-FR"/>
        </w:rPr>
        <w:t>l</w:t>
      </w:r>
      <w:r w:rsidR="008544BB" w:rsidRPr="008544BB">
        <w:rPr>
          <w:lang w:val="fr-FR"/>
        </w:rPr>
        <w:t>’</w:t>
      </w:r>
      <w:r w:rsidR="006B5EC5" w:rsidRPr="008544BB">
        <w:rPr>
          <w:lang w:val="fr-FR"/>
        </w:rPr>
        <w:t>existence de</w:t>
      </w:r>
      <w:r w:rsidR="009D3928" w:rsidRPr="008544BB">
        <w:rPr>
          <w:lang w:val="fr-FR"/>
        </w:rPr>
        <w:t xml:space="preserve"> lien</w:t>
      </w:r>
      <w:r w:rsidR="00390BAE" w:rsidRPr="008544BB">
        <w:rPr>
          <w:lang w:val="fr-FR"/>
        </w:rPr>
        <w:t>s</w:t>
      </w:r>
      <w:r w:rsidR="009D3928" w:rsidRPr="008544BB">
        <w:rPr>
          <w:lang w:val="fr-FR"/>
        </w:rPr>
        <w:t xml:space="preserve"> affecti</w:t>
      </w:r>
      <w:r w:rsidR="0047302E" w:rsidRPr="008544BB">
        <w:rPr>
          <w:lang w:val="fr-FR"/>
        </w:rPr>
        <w:t>fs</w:t>
      </w:r>
      <w:r w:rsidR="009D3928" w:rsidRPr="008544BB">
        <w:rPr>
          <w:lang w:val="fr-FR"/>
        </w:rPr>
        <w:t xml:space="preserve"> fort</w:t>
      </w:r>
      <w:r w:rsidR="0047302E" w:rsidRPr="008544BB">
        <w:rPr>
          <w:lang w:val="fr-FR"/>
        </w:rPr>
        <w:t>s</w:t>
      </w:r>
      <w:r w:rsidR="009D3928" w:rsidRPr="008544BB">
        <w:rPr>
          <w:lang w:val="fr-FR"/>
        </w:rPr>
        <w:t xml:space="preserve"> et authentique</w:t>
      </w:r>
      <w:r w:rsidR="0047302E" w:rsidRPr="008544BB">
        <w:rPr>
          <w:lang w:val="fr-FR"/>
        </w:rPr>
        <w:t>s</w:t>
      </w:r>
      <w:r w:rsidR="009D3928" w:rsidRPr="008544BB">
        <w:rPr>
          <w:lang w:val="fr-FR"/>
        </w:rPr>
        <w:t xml:space="preserve"> </w:t>
      </w:r>
      <w:r w:rsidR="00390BAE" w:rsidRPr="008544BB">
        <w:rPr>
          <w:lang w:val="fr-FR"/>
        </w:rPr>
        <w:t xml:space="preserve">entre </w:t>
      </w:r>
      <w:r w:rsidR="00531D5C" w:rsidRPr="008544BB">
        <w:rPr>
          <w:lang w:val="fr-FR"/>
        </w:rPr>
        <w:t>mère et enfants</w:t>
      </w:r>
      <w:r w:rsidR="006B5EC5" w:rsidRPr="008544BB">
        <w:rPr>
          <w:lang w:val="fr-FR"/>
        </w:rPr>
        <w:t xml:space="preserve"> étant soulignée</w:t>
      </w:r>
      <w:r w:rsidR="0054633A" w:rsidRPr="008544BB">
        <w:rPr>
          <w:lang w:val="fr-FR"/>
        </w:rPr>
        <w:t>.</w:t>
      </w:r>
    </w:p>
    <w:bookmarkStart w:id="10" w:name="LETTRE_L"/>
    <w:p w:rsidR="00121B2E" w:rsidRPr="008544BB" w:rsidRDefault="0016299F"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24</w:t>
      </w:r>
      <w:r w:rsidRPr="008544BB">
        <w:rPr>
          <w:lang w:val="fr-FR"/>
        </w:rPr>
        <w:fldChar w:fldCharType="end"/>
      </w:r>
      <w:bookmarkEnd w:id="10"/>
      <w:r w:rsidRPr="008544BB">
        <w:rPr>
          <w:lang w:val="fr-FR"/>
        </w:rPr>
        <w:t>.  </w:t>
      </w:r>
      <w:r w:rsidR="004A4240" w:rsidRPr="008544BB">
        <w:rPr>
          <w:lang w:val="fr-FR"/>
        </w:rPr>
        <w:t>Le 20 janvier 2012, L. écrivit au tribunal</w:t>
      </w:r>
      <w:r w:rsidR="0047302E" w:rsidRPr="008544BB">
        <w:rPr>
          <w:lang w:val="fr-FR"/>
        </w:rPr>
        <w:t xml:space="preserve"> </w:t>
      </w:r>
      <w:r w:rsidR="005111FB" w:rsidRPr="008544BB">
        <w:rPr>
          <w:lang w:val="fr-FR"/>
        </w:rPr>
        <w:t xml:space="preserve">pour enfants </w:t>
      </w:r>
      <w:r w:rsidR="0047302E" w:rsidRPr="008544BB">
        <w:rPr>
          <w:lang w:val="fr-FR"/>
        </w:rPr>
        <w:t xml:space="preserve">pour </w:t>
      </w:r>
      <w:r w:rsidR="00F22317" w:rsidRPr="008544BB">
        <w:rPr>
          <w:lang w:val="fr-FR"/>
        </w:rPr>
        <w:t>sollicit</w:t>
      </w:r>
      <w:r w:rsidR="0047302E" w:rsidRPr="008544BB">
        <w:rPr>
          <w:lang w:val="fr-FR"/>
        </w:rPr>
        <w:t>er un</w:t>
      </w:r>
      <w:r w:rsidR="00F22317" w:rsidRPr="008544BB">
        <w:rPr>
          <w:lang w:val="fr-FR"/>
        </w:rPr>
        <w:t xml:space="preserve"> placement </w:t>
      </w:r>
      <w:r w:rsidR="0047302E" w:rsidRPr="008544BB">
        <w:rPr>
          <w:lang w:val="fr-FR"/>
        </w:rPr>
        <w:t>en</w:t>
      </w:r>
      <w:r w:rsidR="004A4240" w:rsidRPr="008544BB">
        <w:rPr>
          <w:lang w:val="fr-FR"/>
        </w:rPr>
        <w:t xml:space="preserve"> famille d</w:t>
      </w:r>
      <w:r w:rsidR="008544BB" w:rsidRPr="008544BB">
        <w:rPr>
          <w:lang w:val="fr-FR"/>
        </w:rPr>
        <w:t>’</w:t>
      </w:r>
      <w:r w:rsidR="004A4240" w:rsidRPr="008544BB">
        <w:rPr>
          <w:lang w:val="fr-FR"/>
        </w:rPr>
        <w:t>accueil.</w:t>
      </w:r>
    </w:p>
    <w:bookmarkStart w:id="11" w:name="DECRET_TRIB_FAMILLE_ACCUEIL"/>
    <w:p w:rsidR="00DB686E" w:rsidRPr="008544BB" w:rsidRDefault="004A4240" w:rsidP="008544BB">
      <w:pPr>
        <w:pStyle w:val="ECHRPara"/>
        <w:rPr>
          <w:lang w:val="fr-FR"/>
        </w:rPr>
      </w:pPr>
      <w:r w:rsidRPr="008544BB">
        <w:fldChar w:fldCharType="begin"/>
      </w:r>
      <w:r w:rsidRPr="008544BB">
        <w:rPr>
          <w:lang w:val="fr-FR"/>
        </w:rPr>
        <w:instrText xml:space="preserve"> SEQ level0 \*arabic </w:instrText>
      </w:r>
      <w:r w:rsidRPr="008544BB">
        <w:fldChar w:fldCharType="separate"/>
      </w:r>
      <w:r w:rsidR="008544BB" w:rsidRPr="008544BB">
        <w:rPr>
          <w:noProof/>
          <w:lang w:val="fr-FR"/>
        </w:rPr>
        <w:t>25</w:t>
      </w:r>
      <w:r w:rsidRPr="008544BB">
        <w:fldChar w:fldCharType="end"/>
      </w:r>
      <w:bookmarkEnd w:id="11"/>
      <w:r w:rsidRPr="008544BB">
        <w:rPr>
          <w:lang w:val="fr-FR"/>
        </w:rPr>
        <w:t>.  </w:t>
      </w:r>
      <w:r w:rsidR="00395444" w:rsidRPr="008544BB">
        <w:rPr>
          <w:lang w:val="fr-FR"/>
        </w:rPr>
        <w:t xml:space="preserve">Par </w:t>
      </w:r>
      <w:r w:rsidR="0047302E" w:rsidRPr="008544BB">
        <w:rPr>
          <w:lang w:val="fr-FR"/>
        </w:rPr>
        <w:t xml:space="preserve">une </w:t>
      </w:r>
      <w:r w:rsidR="00395444" w:rsidRPr="008544BB">
        <w:rPr>
          <w:lang w:val="fr-FR"/>
        </w:rPr>
        <w:t>dé</w:t>
      </w:r>
      <w:r w:rsidR="002E6C4D" w:rsidRPr="008544BB">
        <w:rPr>
          <w:lang w:val="fr-FR"/>
        </w:rPr>
        <w:t>cision</w:t>
      </w:r>
      <w:r w:rsidR="00395444" w:rsidRPr="008544BB">
        <w:rPr>
          <w:lang w:val="fr-FR"/>
        </w:rPr>
        <w:t xml:space="preserve"> du</w:t>
      </w:r>
      <w:r w:rsidRPr="008544BB">
        <w:rPr>
          <w:lang w:val="fr-FR"/>
        </w:rPr>
        <w:t xml:space="preserve"> </w:t>
      </w:r>
      <w:r w:rsidR="00BE4208" w:rsidRPr="008544BB">
        <w:rPr>
          <w:lang w:val="fr-FR"/>
        </w:rPr>
        <w:t>8</w:t>
      </w:r>
      <w:r w:rsidRPr="008544BB">
        <w:rPr>
          <w:lang w:val="fr-FR"/>
        </w:rPr>
        <w:t xml:space="preserve"> février 2012, le</w:t>
      </w:r>
      <w:r w:rsidR="00C330D3" w:rsidRPr="008544BB">
        <w:rPr>
          <w:lang w:val="fr-FR"/>
        </w:rPr>
        <w:t xml:space="preserve"> tribunal</w:t>
      </w:r>
      <w:r w:rsidR="005111FB" w:rsidRPr="008544BB">
        <w:rPr>
          <w:lang w:val="fr-FR"/>
        </w:rPr>
        <w:t xml:space="preserve"> pour enfants</w:t>
      </w:r>
      <w:r w:rsidR="00C330D3" w:rsidRPr="008544BB">
        <w:rPr>
          <w:lang w:val="fr-FR"/>
        </w:rPr>
        <w:t xml:space="preserve"> </w:t>
      </w:r>
      <w:r w:rsidR="00915E6E" w:rsidRPr="008544BB">
        <w:rPr>
          <w:lang w:val="fr-FR"/>
        </w:rPr>
        <w:t>chargea</w:t>
      </w:r>
      <w:r w:rsidRPr="008544BB">
        <w:rPr>
          <w:lang w:val="fr-FR"/>
        </w:rPr>
        <w:t xml:space="preserve"> </w:t>
      </w:r>
      <w:r w:rsidR="00395444" w:rsidRPr="008544BB">
        <w:rPr>
          <w:lang w:val="fr-FR"/>
        </w:rPr>
        <w:t xml:space="preserve">les services sociaux </w:t>
      </w:r>
      <w:r w:rsidRPr="008544BB">
        <w:rPr>
          <w:lang w:val="fr-FR"/>
        </w:rPr>
        <w:t xml:space="preserve">de trouver en </w:t>
      </w:r>
      <w:r w:rsidR="00395444" w:rsidRPr="008544BB">
        <w:rPr>
          <w:lang w:val="fr-FR"/>
        </w:rPr>
        <w:t xml:space="preserve">urgence </w:t>
      </w:r>
      <w:r w:rsidRPr="008544BB">
        <w:rPr>
          <w:lang w:val="fr-FR"/>
        </w:rPr>
        <w:t>une famille d</w:t>
      </w:r>
      <w:r w:rsidR="008544BB" w:rsidRPr="008544BB">
        <w:rPr>
          <w:lang w:val="fr-FR"/>
        </w:rPr>
        <w:t>’</w:t>
      </w:r>
      <w:r w:rsidRPr="008544BB">
        <w:rPr>
          <w:lang w:val="fr-FR"/>
        </w:rPr>
        <w:t>accueil</w:t>
      </w:r>
      <w:r w:rsidR="00C330D3" w:rsidRPr="008544BB">
        <w:rPr>
          <w:lang w:val="fr-FR"/>
        </w:rPr>
        <w:t>.</w:t>
      </w:r>
      <w:r w:rsidR="00DB686E" w:rsidRPr="008544BB">
        <w:rPr>
          <w:lang w:val="fr-FR"/>
        </w:rPr>
        <w:t xml:space="preserve"> </w:t>
      </w:r>
      <w:r w:rsidR="00767797" w:rsidRPr="008544BB">
        <w:rPr>
          <w:lang w:val="fr-FR"/>
        </w:rPr>
        <w:t>Il</w:t>
      </w:r>
      <w:r w:rsidR="00390DCE" w:rsidRPr="008544BB">
        <w:rPr>
          <w:lang w:val="fr-FR"/>
        </w:rPr>
        <w:t xml:space="preserve"> considéra</w:t>
      </w:r>
      <w:r w:rsidR="00C330D3" w:rsidRPr="008544BB">
        <w:rPr>
          <w:lang w:val="fr-FR"/>
        </w:rPr>
        <w:t xml:space="preserve"> </w:t>
      </w:r>
      <w:r w:rsidR="00767797" w:rsidRPr="008544BB">
        <w:rPr>
          <w:lang w:val="fr-FR"/>
        </w:rPr>
        <w:t xml:space="preserve">en effet </w:t>
      </w:r>
      <w:r w:rsidR="00C330D3" w:rsidRPr="008544BB">
        <w:rPr>
          <w:lang w:val="fr-FR"/>
        </w:rPr>
        <w:t xml:space="preserve">que </w:t>
      </w:r>
      <w:r w:rsidR="0047302E" w:rsidRPr="008544BB">
        <w:rPr>
          <w:lang w:val="fr-FR"/>
        </w:rPr>
        <w:t>le placement</w:t>
      </w:r>
      <w:r w:rsidRPr="008544BB">
        <w:rPr>
          <w:lang w:val="fr-FR"/>
        </w:rPr>
        <w:t xml:space="preserve"> des </w:t>
      </w:r>
      <w:r w:rsidR="0050229C" w:rsidRPr="008544BB">
        <w:rPr>
          <w:lang w:val="fr-FR"/>
        </w:rPr>
        <w:t>mineurs</w:t>
      </w:r>
      <w:r w:rsidRPr="008544BB">
        <w:rPr>
          <w:lang w:val="fr-FR"/>
        </w:rPr>
        <w:t xml:space="preserve"> </w:t>
      </w:r>
      <w:r w:rsidR="00395444" w:rsidRPr="008544BB">
        <w:rPr>
          <w:lang w:val="fr-FR"/>
        </w:rPr>
        <w:t>en</w:t>
      </w:r>
      <w:r w:rsidRPr="008544BB">
        <w:rPr>
          <w:lang w:val="fr-FR"/>
        </w:rPr>
        <w:t xml:space="preserve"> maison d</w:t>
      </w:r>
      <w:r w:rsidR="008544BB" w:rsidRPr="008544BB">
        <w:rPr>
          <w:lang w:val="fr-FR"/>
        </w:rPr>
        <w:t>’</w:t>
      </w:r>
      <w:r w:rsidRPr="008544BB">
        <w:rPr>
          <w:lang w:val="fr-FR"/>
        </w:rPr>
        <w:t xml:space="preserve">accueil ne répondait </w:t>
      </w:r>
      <w:r w:rsidR="00BE4208" w:rsidRPr="008544BB">
        <w:rPr>
          <w:lang w:val="fr-FR"/>
        </w:rPr>
        <w:t>plus</w:t>
      </w:r>
      <w:r w:rsidRPr="008544BB">
        <w:rPr>
          <w:lang w:val="fr-FR"/>
        </w:rPr>
        <w:t xml:space="preserve"> </w:t>
      </w:r>
      <w:r w:rsidR="0047302E" w:rsidRPr="008544BB">
        <w:rPr>
          <w:lang w:val="fr-FR"/>
        </w:rPr>
        <w:t>aux</w:t>
      </w:r>
      <w:r w:rsidRPr="008544BB">
        <w:rPr>
          <w:lang w:val="fr-FR"/>
        </w:rPr>
        <w:t xml:space="preserve"> </w:t>
      </w:r>
      <w:r w:rsidR="0047302E" w:rsidRPr="008544BB">
        <w:rPr>
          <w:lang w:val="fr-FR"/>
        </w:rPr>
        <w:t>besoins de ces derniers</w:t>
      </w:r>
      <w:r w:rsidR="00767797" w:rsidRPr="008544BB">
        <w:rPr>
          <w:lang w:val="fr-FR"/>
        </w:rPr>
        <w:t xml:space="preserve"> et que, s</w:t>
      </w:r>
      <w:r w:rsidR="008544BB" w:rsidRPr="008544BB">
        <w:rPr>
          <w:lang w:val="fr-FR"/>
        </w:rPr>
        <w:t>’</w:t>
      </w:r>
      <w:r w:rsidR="00390DCE" w:rsidRPr="008544BB">
        <w:rPr>
          <w:lang w:val="fr-FR"/>
        </w:rPr>
        <w:t>agissant des requérantes,</w:t>
      </w:r>
      <w:r w:rsidR="00BE4208" w:rsidRPr="008544BB">
        <w:rPr>
          <w:lang w:val="fr-FR"/>
        </w:rPr>
        <w:t xml:space="preserve"> </w:t>
      </w:r>
      <w:r w:rsidR="00C330D3" w:rsidRPr="008544BB">
        <w:rPr>
          <w:lang w:val="fr-FR"/>
        </w:rPr>
        <w:t xml:space="preserve">aucun changement significatif </w:t>
      </w:r>
      <w:r w:rsidR="00390DCE" w:rsidRPr="008544BB">
        <w:rPr>
          <w:lang w:val="fr-FR"/>
        </w:rPr>
        <w:t>ne permettait d</w:t>
      </w:r>
      <w:r w:rsidR="00B04A4F" w:rsidRPr="008544BB">
        <w:rPr>
          <w:lang w:val="fr-FR"/>
        </w:rPr>
        <w:t>e se prononcer en faveur du</w:t>
      </w:r>
      <w:r w:rsidR="00390DCE" w:rsidRPr="008544BB">
        <w:rPr>
          <w:lang w:val="fr-FR"/>
        </w:rPr>
        <w:t xml:space="preserve"> </w:t>
      </w:r>
      <w:r w:rsidR="00915E6E" w:rsidRPr="008544BB">
        <w:rPr>
          <w:lang w:val="fr-FR"/>
        </w:rPr>
        <w:t>retour des enfants</w:t>
      </w:r>
      <w:r w:rsidR="00390DCE" w:rsidRPr="008544BB">
        <w:rPr>
          <w:lang w:val="fr-FR"/>
        </w:rPr>
        <w:t xml:space="preserve"> auprès </w:t>
      </w:r>
      <w:r w:rsidR="00915E6E" w:rsidRPr="008544BB">
        <w:rPr>
          <w:lang w:val="fr-FR"/>
        </w:rPr>
        <w:t>de l</w:t>
      </w:r>
      <w:r w:rsidR="00F22317" w:rsidRPr="008544BB">
        <w:rPr>
          <w:lang w:val="fr-FR"/>
        </w:rPr>
        <w:t>a</w:t>
      </w:r>
      <w:r w:rsidR="00915E6E" w:rsidRPr="008544BB">
        <w:rPr>
          <w:lang w:val="fr-FR"/>
        </w:rPr>
        <w:t xml:space="preserve"> </w:t>
      </w:r>
      <w:r w:rsidR="00F22317" w:rsidRPr="008544BB">
        <w:rPr>
          <w:lang w:val="fr-FR"/>
        </w:rPr>
        <w:t>première requérante</w:t>
      </w:r>
      <w:r w:rsidR="00915E6E" w:rsidRPr="008544BB">
        <w:rPr>
          <w:lang w:val="fr-FR"/>
        </w:rPr>
        <w:t xml:space="preserve"> </w:t>
      </w:r>
      <w:r w:rsidR="00BE4208" w:rsidRPr="008544BB">
        <w:rPr>
          <w:lang w:val="fr-FR"/>
        </w:rPr>
        <w:t>ou</w:t>
      </w:r>
      <w:r w:rsidR="00915E6E" w:rsidRPr="008544BB">
        <w:rPr>
          <w:lang w:val="fr-FR"/>
        </w:rPr>
        <w:t xml:space="preserve"> </w:t>
      </w:r>
      <w:r w:rsidR="00B04A4F" w:rsidRPr="008544BB">
        <w:rPr>
          <w:lang w:val="fr-FR"/>
        </w:rPr>
        <w:t>de</w:t>
      </w:r>
      <w:r w:rsidR="00767797" w:rsidRPr="008544BB">
        <w:rPr>
          <w:lang w:val="fr-FR"/>
        </w:rPr>
        <w:t xml:space="preserve"> leur placement</w:t>
      </w:r>
      <w:r w:rsidR="00915E6E" w:rsidRPr="008544BB">
        <w:rPr>
          <w:lang w:val="fr-FR"/>
        </w:rPr>
        <w:t xml:space="preserve"> chez l</w:t>
      </w:r>
      <w:r w:rsidR="00F22317" w:rsidRPr="008544BB">
        <w:rPr>
          <w:lang w:val="fr-FR"/>
        </w:rPr>
        <w:t>a deuxième requérante</w:t>
      </w:r>
      <w:r w:rsidRPr="008544BB">
        <w:rPr>
          <w:lang w:val="fr-FR"/>
        </w:rPr>
        <w:t>.</w:t>
      </w:r>
    </w:p>
    <w:bookmarkStart w:id="12" w:name="RECOURS_MARS_2012"/>
    <w:p w:rsidR="00DE7288" w:rsidRPr="008544BB" w:rsidRDefault="00281647"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26</w:t>
      </w:r>
      <w:r w:rsidRPr="008544BB">
        <w:rPr>
          <w:lang w:val="fr-FR"/>
        </w:rPr>
        <w:fldChar w:fldCharType="end"/>
      </w:r>
      <w:bookmarkEnd w:id="12"/>
      <w:r w:rsidRPr="008544BB">
        <w:rPr>
          <w:lang w:val="fr-FR"/>
        </w:rPr>
        <w:t>.  Le</w:t>
      </w:r>
      <w:r w:rsidR="00BE4208" w:rsidRPr="008544BB">
        <w:rPr>
          <w:lang w:val="fr-FR"/>
        </w:rPr>
        <w:t xml:space="preserve"> 3 mars 2012, l</w:t>
      </w:r>
      <w:r w:rsidR="002A183B" w:rsidRPr="008544BB">
        <w:rPr>
          <w:lang w:val="fr-FR"/>
        </w:rPr>
        <w:t>e</w:t>
      </w:r>
      <w:r w:rsidRPr="008544BB">
        <w:rPr>
          <w:lang w:val="fr-FR"/>
        </w:rPr>
        <w:t xml:space="preserve">s requérantes </w:t>
      </w:r>
      <w:r w:rsidR="002E6C4D" w:rsidRPr="008544BB">
        <w:rPr>
          <w:lang w:val="fr-FR"/>
        </w:rPr>
        <w:t>firent appel de la décision</w:t>
      </w:r>
      <w:r w:rsidR="00767797" w:rsidRPr="008544BB">
        <w:rPr>
          <w:lang w:val="fr-FR"/>
        </w:rPr>
        <w:t xml:space="preserve"> susmentionnée</w:t>
      </w:r>
      <w:r w:rsidR="00380A51" w:rsidRPr="008544BB">
        <w:rPr>
          <w:lang w:val="fr-FR"/>
        </w:rPr>
        <w:t xml:space="preserve"> devant la cour d</w:t>
      </w:r>
      <w:r w:rsidR="008544BB" w:rsidRPr="008544BB">
        <w:rPr>
          <w:lang w:val="fr-FR"/>
        </w:rPr>
        <w:t>’</w:t>
      </w:r>
      <w:r w:rsidR="00380A51" w:rsidRPr="008544BB">
        <w:rPr>
          <w:lang w:val="fr-FR"/>
        </w:rPr>
        <w:t>appel de Rome</w:t>
      </w:r>
      <w:r w:rsidR="0054633A" w:rsidRPr="008544BB">
        <w:rPr>
          <w:lang w:val="fr-FR"/>
        </w:rPr>
        <w:t>,</w:t>
      </w:r>
      <w:r w:rsidR="00872155" w:rsidRPr="008544BB">
        <w:rPr>
          <w:lang w:val="fr-FR"/>
        </w:rPr>
        <w:t xml:space="preserve"> demandant </w:t>
      </w:r>
      <w:r w:rsidR="00E60766" w:rsidRPr="008544BB">
        <w:rPr>
          <w:lang w:val="fr-FR"/>
        </w:rPr>
        <w:t>l</w:t>
      </w:r>
      <w:r w:rsidR="00395444" w:rsidRPr="008544BB">
        <w:rPr>
          <w:lang w:val="fr-FR"/>
        </w:rPr>
        <w:t>a suspension</w:t>
      </w:r>
      <w:r w:rsidR="00E84579" w:rsidRPr="008544BB">
        <w:rPr>
          <w:lang w:val="fr-FR"/>
        </w:rPr>
        <w:t xml:space="preserve"> </w:t>
      </w:r>
      <w:r w:rsidR="00E60766" w:rsidRPr="008544BB">
        <w:rPr>
          <w:lang w:val="fr-FR"/>
        </w:rPr>
        <w:t xml:space="preserve">de ladite décision </w:t>
      </w:r>
      <w:r w:rsidR="00E84579" w:rsidRPr="008544BB">
        <w:rPr>
          <w:lang w:val="fr-FR"/>
        </w:rPr>
        <w:t>en urgence</w:t>
      </w:r>
      <w:r w:rsidR="00872155" w:rsidRPr="008544BB">
        <w:rPr>
          <w:lang w:val="fr-FR"/>
        </w:rPr>
        <w:t xml:space="preserve"> et </w:t>
      </w:r>
      <w:r w:rsidR="001744C4" w:rsidRPr="008544BB">
        <w:rPr>
          <w:lang w:val="fr-FR"/>
        </w:rPr>
        <w:t>l</w:t>
      </w:r>
      <w:r w:rsidR="008544BB" w:rsidRPr="008544BB">
        <w:rPr>
          <w:lang w:val="fr-FR"/>
        </w:rPr>
        <w:t>’</w:t>
      </w:r>
      <w:r w:rsidR="001744C4" w:rsidRPr="008544BB">
        <w:rPr>
          <w:lang w:val="fr-FR"/>
        </w:rPr>
        <w:t>attribution de la garde</w:t>
      </w:r>
      <w:r w:rsidR="002E6C4D" w:rsidRPr="008544BB">
        <w:rPr>
          <w:lang w:val="fr-FR"/>
        </w:rPr>
        <w:t xml:space="preserve"> des enfants</w:t>
      </w:r>
      <w:r w:rsidR="001744C4" w:rsidRPr="008544BB">
        <w:rPr>
          <w:lang w:val="fr-FR"/>
        </w:rPr>
        <w:t xml:space="preserve"> à la première requérante ou</w:t>
      </w:r>
      <w:r w:rsidR="002E6C4D" w:rsidRPr="008544BB">
        <w:rPr>
          <w:lang w:val="fr-FR"/>
        </w:rPr>
        <w:t>,</w:t>
      </w:r>
      <w:r w:rsidR="001744C4" w:rsidRPr="008544BB">
        <w:rPr>
          <w:lang w:val="fr-FR"/>
        </w:rPr>
        <w:t xml:space="preserve"> à titre subsidiaire</w:t>
      </w:r>
      <w:r w:rsidR="002E6C4D" w:rsidRPr="008544BB">
        <w:rPr>
          <w:lang w:val="fr-FR"/>
        </w:rPr>
        <w:t>,</w:t>
      </w:r>
      <w:r w:rsidR="001744C4" w:rsidRPr="008544BB">
        <w:rPr>
          <w:lang w:val="fr-FR"/>
        </w:rPr>
        <w:t xml:space="preserve"> le</w:t>
      </w:r>
      <w:r w:rsidR="00872155" w:rsidRPr="008544BB">
        <w:rPr>
          <w:lang w:val="fr-FR"/>
        </w:rPr>
        <w:t xml:space="preserve"> placement</w:t>
      </w:r>
      <w:r w:rsidR="00767797" w:rsidRPr="008544BB">
        <w:rPr>
          <w:lang w:val="fr-FR"/>
        </w:rPr>
        <w:t xml:space="preserve"> </w:t>
      </w:r>
      <w:r w:rsidR="008055BD" w:rsidRPr="008544BB">
        <w:rPr>
          <w:lang w:val="fr-FR"/>
        </w:rPr>
        <w:t xml:space="preserve">de ceux-ci </w:t>
      </w:r>
      <w:r w:rsidR="00767797" w:rsidRPr="008544BB">
        <w:rPr>
          <w:lang w:val="fr-FR"/>
        </w:rPr>
        <w:t xml:space="preserve">chez </w:t>
      </w:r>
      <w:r w:rsidR="004A580F" w:rsidRPr="008544BB">
        <w:rPr>
          <w:lang w:val="fr-FR"/>
        </w:rPr>
        <w:t>la deuxième requérante</w:t>
      </w:r>
      <w:r w:rsidR="002A183B" w:rsidRPr="008544BB">
        <w:rPr>
          <w:lang w:val="fr-FR"/>
        </w:rPr>
        <w:t xml:space="preserve">. </w:t>
      </w:r>
      <w:r w:rsidR="008055BD" w:rsidRPr="008544BB">
        <w:rPr>
          <w:lang w:val="fr-FR"/>
        </w:rPr>
        <w:t>Entre autres</w:t>
      </w:r>
      <w:r w:rsidR="00091E56" w:rsidRPr="008544BB">
        <w:rPr>
          <w:lang w:val="fr-FR"/>
        </w:rPr>
        <w:t xml:space="preserve"> motifs d</w:t>
      </w:r>
      <w:r w:rsidR="008544BB" w:rsidRPr="008544BB">
        <w:rPr>
          <w:lang w:val="fr-FR"/>
        </w:rPr>
        <w:t>’</w:t>
      </w:r>
      <w:r w:rsidR="00091E56" w:rsidRPr="008544BB">
        <w:rPr>
          <w:lang w:val="fr-FR"/>
        </w:rPr>
        <w:t>appel</w:t>
      </w:r>
      <w:r w:rsidR="002A183B" w:rsidRPr="008544BB">
        <w:rPr>
          <w:lang w:val="fr-FR"/>
        </w:rPr>
        <w:t>, elles</w:t>
      </w:r>
      <w:r w:rsidR="00091E56" w:rsidRPr="008544BB">
        <w:rPr>
          <w:lang w:val="fr-FR"/>
        </w:rPr>
        <w:t xml:space="preserve"> </w:t>
      </w:r>
      <w:r w:rsidR="0054633A" w:rsidRPr="008544BB">
        <w:rPr>
          <w:lang w:val="fr-FR"/>
        </w:rPr>
        <w:t>critiqu</w:t>
      </w:r>
      <w:r w:rsidR="00B04A4F" w:rsidRPr="008544BB">
        <w:rPr>
          <w:lang w:val="fr-FR"/>
        </w:rPr>
        <w:t>ai</w:t>
      </w:r>
      <w:r w:rsidR="0054633A" w:rsidRPr="008544BB">
        <w:rPr>
          <w:lang w:val="fr-FR"/>
        </w:rPr>
        <w:t>ent</w:t>
      </w:r>
      <w:r w:rsidR="00395444" w:rsidRPr="008544BB">
        <w:rPr>
          <w:lang w:val="fr-FR"/>
        </w:rPr>
        <w:t xml:space="preserve"> l</w:t>
      </w:r>
      <w:r w:rsidR="00AE0CD2" w:rsidRPr="008544BB">
        <w:rPr>
          <w:lang w:val="fr-FR"/>
        </w:rPr>
        <w:t>e constat</w:t>
      </w:r>
      <w:r w:rsidR="00395444" w:rsidRPr="008544BB">
        <w:rPr>
          <w:lang w:val="fr-FR"/>
        </w:rPr>
        <w:t xml:space="preserve"> du tribunal </w:t>
      </w:r>
      <w:r w:rsidR="005111FB" w:rsidRPr="008544BB">
        <w:rPr>
          <w:lang w:val="fr-FR"/>
        </w:rPr>
        <w:t xml:space="preserve">pour enfants </w:t>
      </w:r>
      <w:r w:rsidR="00395444" w:rsidRPr="008544BB">
        <w:rPr>
          <w:lang w:val="fr-FR"/>
        </w:rPr>
        <w:t>quant à un présumé déséquilibre psychique de la première requérante</w:t>
      </w:r>
      <w:r w:rsidR="00B04A4F" w:rsidRPr="008544BB">
        <w:rPr>
          <w:lang w:val="fr-FR"/>
        </w:rPr>
        <w:t>, estimant qu</w:t>
      </w:r>
      <w:r w:rsidR="008544BB" w:rsidRPr="008544BB">
        <w:rPr>
          <w:lang w:val="fr-FR"/>
        </w:rPr>
        <w:t>’</w:t>
      </w:r>
      <w:r w:rsidR="00B04A4F" w:rsidRPr="008544BB">
        <w:rPr>
          <w:lang w:val="fr-FR"/>
        </w:rPr>
        <w:t>un tel déséquilibre</w:t>
      </w:r>
      <w:r w:rsidR="0054633A" w:rsidRPr="008544BB">
        <w:rPr>
          <w:lang w:val="fr-FR"/>
        </w:rPr>
        <w:t xml:space="preserve"> </w:t>
      </w:r>
      <w:r w:rsidR="00395444" w:rsidRPr="008544BB">
        <w:rPr>
          <w:lang w:val="fr-FR"/>
        </w:rPr>
        <w:t>ne pouvait se déduire de l</w:t>
      </w:r>
      <w:r w:rsidR="008544BB" w:rsidRPr="008544BB">
        <w:rPr>
          <w:lang w:val="fr-FR"/>
        </w:rPr>
        <w:t>’</w:t>
      </w:r>
      <w:r w:rsidR="00395444" w:rsidRPr="008544BB">
        <w:rPr>
          <w:lang w:val="fr-FR"/>
        </w:rPr>
        <w:t>expertise</w:t>
      </w:r>
      <w:r w:rsidR="00B04A4F" w:rsidRPr="008544BB">
        <w:rPr>
          <w:lang w:val="fr-FR"/>
        </w:rPr>
        <w:t xml:space="preserve"> judiciaire</w:t>
      </w:r>
      <w:r w:rsidR="00AE0CD2" w:rsidRPr="008544BB">
        <w:rPr>
          <w:lang w:val="fr-FR"/>
        </w:rPr>
        <w:t xml:space="preserve"> et </w:t>
      </w:r>
      <w:r w:rsidR="00B04A4F" w:rsidRPr="008544BB">
        <w:rPr>
          <w:lang w:val="fr-FR"/>
        </w:rPr>
        <w:t>ajoutant que ce constat</w:t>
      </w:r>
      <w:r w:rsidR="0054633A" w:rsidRPr="008544BB">
        <w:rPr>
          <w:lang w:val="fr-FR"/>
        </w:rPr>
        <w:t xml:space="preserve"> était contredit </w:t>
      </w:r>
      <w:r w:rsidR="009B390C" w:rsidRPr="008544BB">
        <w:rPr>
          <w:lang w:val="fr-FR"/>
        </w:rPr>
        <w:t>par l</w:t>
      </w:r>
      <w:r w:rsidR="0054633A" w:rsidRPr="008544BB">
        <w:rPr>
          <w:lang w:val="fr-FR"/>
        </w:rPr>
        <w:t>es</w:t>
      </w:r>
      <w:r w:rsidR="00AE0CD2" w:rsidRPr="008544BB">
        <w:rPr>
          <w:lang w:val="fr-FR"/>
        </w:rPr>
        <w:t xml:space="preserve"> conclusions de l</w:t>
      </w:r>
      <w:r w:rsidR="008544BB" w:rsidRPr="008544BB">
        <w:rPr>
          <w:lang w:val="fr-FR"/>
        </w:rPr>
        <w:t>’</w:t>
      </w:r>
      <w:r w:rsidR="00B04A4F" w:rsidRPr="008544BB">
        <w:rPr>
          <w:lang w:val="fr-FR"/>
        </w:rPr>
        <w:t>experte choisie par l</w:t>
      </w:r>
      <w:r w:rsidR="008544BB" w:rsidRPr="008544BB">
        <w:rPr>
          <w:lang w:val="fr-FR"/>
        </w:rPr>
        <w:t>’</w:t>
      </w:r>
      <w:r w:rsidR="00B04A4F" w:rsidRPr="008544BB">
        <w:rPr>
          <w:lang w:val="fr-FR"/>
        </w:rPr>
        <w:t>intéressée</w:t>
      </w:r>
      <w:r w:rsidR="00AE0CD2" w:rsidRPr="008544BB">
        <w:rPr>
          <w:lang w:val="fr-FR"/>
        </w:rPr>
        <w:t xml:space="preserve">. </w:t>
      </w:r>
      <w:r w:rsidR="0054633A" w:rsidRPr="008544BB">
        <w:rPr>
          <w:lang w:val="fr-FR"/>
        </w:rPr>
        <w:t xml:space="preserve">Selon </w:t>
      </w:r>
      <w:r w:rsidR="00B04A4F" w:rsidRPr="008544BB">
        <w:rPr>
          <w:lang w:val="fr-FR"/>
        </w:rPr>
        <w:t>les requérantes</w:t>
      </w:r>
      <w:r w:rsidR="0054633A" w:rsidRPr="008544BB">
        <w:rPr>
          <w:lang w:val="fr-FR"/>
        </w:rPr>
        <w:t>, l</w:t>
      </w:r>
      <w:r w:rsidR="00A9446E" w:rsidRPr="008544BB">
        <w:rPr>
          <w:lang w:val="fr-FR"/>
        </w:rPr>
        <w:t>es</w:t>
      </w:r>
      <w:r w:rsidR="00915E6E" w:rsidRPr="008544BB">
        <w:rPr>
          <w:lang w:val="fr-FR"/>
        </w:rPr>
        <w:t xml:space="preserve"> capacité</w:t>
      </w:r>
      <w:r w:rsidR="00A9446E" w:rsidRPr="008544BB">
        <w:rPr>
          <w:lang w:val="fr-FR"/>
        </w:rPr>
        <w:t>s</w:t>
      </w:r>
      <w:r w:rsidR="00915E6E" w:rsidRPr="008544BB">
        <w:rPr>
          <w:lang w:val="fr-FR"/>
        </w:rPr>
        <w:t xml:space="preserve"> </w:t>
      </w:r>
      <w:r w:rsidR="004F345D" w:rsidRPr="008544BB">
        <w:rPr>
          <w:lang w:val="fr-FR"/>
        </w:rPr>
        <w:t>parentale</w:t>
      </w:r>
      <w:r w:rsidR="00A9446E" w:rsidRPr="008544BB">
        <w:rPr>
          <w:lang w:val="fr-FR"/>
        </w:rPr>
        <w:t>s</w:t>
      </w:r>
      <w:r w:rsidR="004F345D" w:rsidRPr="008544BB">
        <w:rPr>
          <w:lang w:val="fr-FR"/>
        </w:rPr>
        <w:t xml:space="preserve"> de la première requérante</w:t>
      </w:r>
      <w:r w:rsidR="00915E6E" w:rsidRPr="008544BB">
        <w:rPr>
          <w:lang w:val="fr-FR"/>
        </w:rPr>
        <w:t xml:space="preserve"> étai</w:t>
      </w:r>
      <w:r w:rsidR="00A9446E" w:rsidRPr="008544BB">
        <w:rPr>
          <w:lang w:val="fr-FR"/>
        </w:rPr>
        <w:t>en</w:t>
      </w:r>
      <w:r w:rsidR="00915E6E" w:rsidRPr="008544BB">
        <w:rPr>
          <w:lang w:val="fr-FR"/>
        </w:rPr>
        <w:t xml:space="preserve">t </w:t>
      </w:r>
      <w:r w:rsidR="00390BAE" w:rsidRPr="008544BB">
        <w:rPr>
          <w:lang w:val="fr-FR"/>
        </w:rPr>
        <w:t>prouvée</w:t>
      </w:r>
      <w:r w:rsidR="00A9446E" w:rsidRPr="008544BB">
        <w:rPr>
          <w:lang w:val="fr-FR"/>
        </w:rPr>
        <w:t>s</w:t>
      </w:r>
      <w:r w:rsidR="00AE0CD2" w:rsidRPr="008544BB">
        <w:rPr>
          <w:lang w:val="fr-FR"/>
        </w:rPr>
        <w:t xml:space="preserve"> par la relation </w:t>
      </w:r>
      <w:r w:rsidR="00B04A4F" w:rsidRPr="008544BB">
        <w:rPr>
          <w:lang w:val="fr-FR"/>
        </w:rPr>
        <w:t xml:space="preserve">établie avec </w:t>
      </w:r>
      <w:r w:rsidR="00AE0CD2" w:rsidRPr="008544BB">
        <w:rPr>
          <w:lang w:val="fr-FR"/>
        </w:rPr>
        <w:t>l</w:t>
      </w:r>
      <w:r w:rsidR="008544BB" w:rsidRPr="008544BB">
        <w:rPr>
          <w:lang w:val="fr-FR"/>
        </w:rPr>
        <w:t>’</w:t>
      </w:r>
      <w:r w:rsidR="00AE0CD2" w:rsidRPr="008544BB">
        <w:rPr>
          <w:lang w:val="fr-FR"/>
        </w:rPr>
        <w:t xml:space="preserve">équipe de </w:t>
      </w:r>
      <w:r w:rsidR="002E6C4D" w:rsidRPr="008544BB">
        <w:rPr>
          <w:lang w:val="fr-FR"/>
        </w:rPr>
        <w:t>« </w:t>
      </w:r>
      <w:r w:rsidR="00AE0CD2" w:rsidRPr="008544BB">
        <w:rPr>
          <w:lang w:val="fr-FR"/>
        </w:rPr>
        <w:t>l</w:t>
      </w:r>
      <w:r w:rsidR="008544BB" w:rsidRPr="008544BB">
        <w:rPr>
          <w:lang w:val="fr-FR"/>
        </w:rPr>
        <w:t>’</w:t>
      </w:r>
      <w:r w:rsidR="00AE0CD2" w:rsidRPr="008544BB">
        <w:rPr>
          <w:lang w:val="fr-FR"/>
        </w:rPr>
        <w:t>Espace neutre</w:t>
      </w:r>
      <w:r w:rsidR="002E6C4D" w:rsidRPr="008544BB">
        <w:rPr>
          <w:lang w:val="fr-FR"/>
        </w:rPr>
        <w:t> »</w:t>
      </w:r>
      <w:r w:rsidR="00AE0CD2" w:rsidRPr="008544BB">
        <w:rPr>
          <w:lang w:val="fr-FR"/>
        </w:rPr>
        <w:t xml:space="preserve"> (paragraphe </w:t>
      </w:r>
      <w:r w:rsidR="00AE0CD2" w:rsidRPr="008544BB">
        <w:rPr>
          <w:lang w:val="fr-FR"/>
        </w:rPr>
        <w:fldChar w:fldCharType="begin"/>
      </w:r>
      <w:r w:rsidR="00AE0CD2" w:rsidRPr="008544BB">
        <w:rPr>
          <w:lang w:val="fr-FR"/>
        </w:rPr>
        <w:instrText xml:space="preserve"> REF RAPPORT_ESPACE_NEUTRE \h </w:instrText>
      </w:r>
      <w:r w:rsidR="00AE0CD2" w:rsidRPr="008544BB">
        <w:rPr>
          <w:lang w:val="fr-FR"/>
        </w:rPr>
      </w:r>
      <w:r w:rsidR="00AE0CD2" w:rsidRPr="008544BB">
        <w:rPr>
          <w:lang w:val="fr-FR"/>
        </w:rPr>
        <w:fldChar w:fldCharType="separate"/>
      </w:r>
      <w:r w:rsidR="008544BB" w:rsidRPr="008544BB">
        <w:rPr>
          <w:noProof/>
          <w:lang w:val="fr-FR"/>
        </w:rPr>
        <w:t>23</w:t>
      </w:r>
      <w:r w:rsidR="00AE0CD2" w:rsidRPr="008544BB">
        <w:rPr>
          <w:lang w:val="fr-FR"/>
        </w:rPr>
        <w:fldChar w:fldCharType="end"/>
      </w:r>
      <w:r w:rsidR="00AE0CD2" w:rsidRPr="008544BB">
        <w:rPr>
          <w:lang w:val="fr-FR"/>
        </w:rPr>
        <w:t xml:space="preserve"> ci</w:t>
      </w:r>
      <w:r w:rsidR="00B04A4F" w:rsidRPr="008544BB">
        <w:rPr>
          <w:lang w:val="fr-FR"/>
        </w:rPr>
        <w:noBreakHyphen/>
      </w:r>
      <w:r w:rsidR="00AE0CD2" w:rsidRPr="008544BB">
        <w:rPr>
          <w:lang w:val="fr-FR"/>
        </w:rPr>
        <w:t>dessus) et</w:t>
      </w:r>
      <w:r w:rsidR="00915E6E" w:rsidRPr="008544BB">
        <w:rPr>
          <w:lang w:val="fr-FR"/>
        </w:rPr>
        <w:t xml:space="preserve"> par </w:t>
      </w:r>
      <w:r w:rsidR="00390BAE" w:rsidRPr="008544BB">
        <w:rPr>
          <w:lang w:val="fr-FR"/>
        </w:rPr>
        <w:t xml:space="preserve">trois </w:t>
      </w:r>
      <w:r w:rsidR="008B6237" w:rsidRPr="008544BB">
        <w:rPr>
          <w:lang w:val="fr-FR"/>
        </w:rPr>
        <w:t>décisions</w:t>
      </w:r>
      <w:r w:rsidR="00390BAE" w:rsidRPr="008544BB">
        <w:rPr>
          <w:lang w:val="fr-FR"/>
        </w:rPr>
        <w:t xml:space="preserve"> </w:t>
      </w:r>
      <w:r w:rsidR="002A183B" w:rsidRPr="008544BB">
        <w:rPr>
          <w:lang w:val="fr-FR"/>
        </w:rPr>
        <w:t>du procureur de la République</w:t>
      </w:r>
      <w:r w:rsidR="00B63E44" w:rsidRPr="008544BB">
        <w:rPr>
          <w:lang w:val="fr-FR"/>
        </w:rPr>
        <w:t xml:space="preserve"> près le tribunal pour enfants</w:t>
      </w:r>
      <w:r w:rsidR="008B6237" w:rsidRPr="008544BB">
        <w:rPr>
          <w:lang w:val="fr-FR"/>
        </w:rPr>
        <w:t xml:space="preserve">, </w:t>
      </w:r>
      <w:r w:rsidR="00B04A4F" w:rsidRPr="008544BB">
        <w:rPr>
          <w:lang w:val="fr-FR"/>
        </w:rPr>
        <w:t>en date des</w:t>
      </w:r>
      <w:r w:rsidR="002A183B" w:rsidRPr="008544BB">
        <w:rPr>
          <w:lang w:val="fr-FR"/>
        </w:rPr>
        <w:t xml:space="preserve"> 14</w:t>
      </w:r>
      <w:r w:rsidR="009152D9" w:rsidRPr="008544BB">
        <w:rPr>
          <w:lang w:val="fr-FR"/>
        </w:rPr>
        <w:t> </w:t>
      </w:r>
      <w:r w:rsidR="002A183B" w:rsidRPr="008544BB">
        <w:rPr>
          <w:lang w:val="fr-FR"/>
        </w:rPr>
        <w:t>février 2009, 24 juillet 2010 et 13 mai 2011</w:t>
      </w:r>
      <w:r w:rsidR="008B6237" w:rsidRPr="008544BB">
        <w:rPr>
          <w:lang w:val="fr-FR"/>
        </w:rPr>
        <w:t>, portant refus</w:t>
      </w:r>
      <w:r w:rsidR="002A183B" w:rsidRPr="008544BB">
        <w:rPr>
          <w:lang w:val="fr-FR"/>
        </w:rPr>
        <w:t xml:space="preserve"> d</w:t>
      </w:r>
      <w:r w:rsidR="008544BB" w:rsidRPr="008544BB">
        <w:rPr>
          <w:lang w:val="fr-FR"/>
        </w:rPr>
        <w:t>’</w:t>
      </w:r>
      <w:r w:rsidR="004F345D" w:rsidRPr="008544BB">
        <w:rPr>
          <w:lang w:val="fr-FR"/>
        </w:rPr>
        <w:t>ouvrir</w:t>
      </w:r>
      <w:r w:rsidR="002A183B" w:rsidRPr="008544BB">
        <w:rPr>
          <w:lang w:val="fr-FR"/>
        </w:rPr>
        <w:t xml:space="preserve"> </w:t>
      </w:r>
      <w:r w:rsidR="00B04A4F" w:rsidRPr="008544BB">
        <w:rPr>
          <w:lang w:val="fr-FR"/>
        </w:rPr>
        <w:t xml:space="preserve">une </w:t>
      </w:r>
      <w:r w:rsidR="002A183B" w:rsidRPr="008544BB">
        <w:rPr>
          <w:lang w:val="fr-FR"/>
        </w:rPr>
        <w:t xml:space="preserve">procédure de vérification de </w:t>
      </w:r>
      <w:r w:rsidR="00B04A4F" w:rsidRPr="008544BB">
        <w:rPr>
          <w:lang w:val="fr-FR"/>
        </w:rPr>
        <w:t>l</w:t>
      </w:r>
      <w:r w:rsidR="008544BB" w:rsidRPr="008544BB">
        <w:rPr>
          <w:lang w:val="fr-FR"/>
        </w:rPr>
        <w:t>’</w:t>
      </w:r>
      <w:r w:rsidR="00B04A4F" w:rsidRPr="008544BB">
        <w:rPr>
          <w:lang w:val="fr-FR"/>
        </w:rPr>
        <w:t>existence d</w:t>
      </w:r>
      <w:r w:rsidR="008544BB" w:rsidRPr="008544BB">
        <w:rPr>
          <w:lang w:val="fr-FR"/>
        </w:rPr>
        <w:t>’</w:t>
      </w:r>
      <w:r w:rsidR="00B04A4F" w:rsidRPr="008544BB">
        <w:rPr>
          <w:lang w:val="fr-FR"/>
        </w:rPr>
        <w:t xml:space="preserve">un </w:t>
      </w:r>
      <w:r w:rsidR="002A183B" w:rsidRPr="008544BB">
        <w:rPr>
          <w:lang w:val="fr-FR"/>
        </w:rPr>
        <w:t>état d</w:t>
      </w:r>
      <w:r w:rsidR="008544BB" w:rsidRPr="008544BB">
        <w:rPr>
          <w:lang w:val="fr-FR"/>
        </w:rPr>
        <w:t>’</w:t>
      </w:r>
      <w:r w:rsidR="002A183B" w:rsidRPr="008544BB">
        <w:rPr>
          <w:lang w:val="fr-FR"/>
        </w:rPr>
        <w:t>abandon des mineurs</w:t>
      </w:r>
      <w:r w:rsidR="001667F8" w:rsidRPr="008544BB">
        <w:rPr>
          <w:lang w:val="fr-FR"/>
        </w:rPr>
        <w:t>.</w:t>
      </w:r>
    </w:p>
    <w:p w:rsidR="00281647" w:rsidRPr="008544BB" w:rsidRDefault="00380A51" w:rsidP="008544BB">
      <w:pPr>
        <w:pStyle w:val="ECHRPara"/>
        <w:rPr>
          <w:lang w:val="fr-FR"/>
        </w:rPr>
      </w:pPr>
      <w:r w:rsidRPr="008544BB">
        <w:rPr>
          <w:lang w:val="fr-FR"/>
        </w:rPr>
        <w:t>La curatrice nommée par la cour d</w:t>
      </w:r>
      <w:r w:rsidR="008544BB" w:rsidRPr="008544BB">
        <w:rPr>
          <w:lang w:val="fr-FR"/>
        </w:rPr>
        <w:t>’</w:t>
      </w:r>
      <w:r w:rsidRPr="008544BB">
        <w:rPr>
          <w:lang w:val="fr-FR"/>
        </w:rPr>
        <w:t xml:space="preserve">appel pour représenter les enfants </w:t>
      </w:r>
      <w:r w:rsidR="00050181" w:rsidRPr="008544BB">
        <w:rPr>
          <w:lang w:val="fr-FR"/>
        </w:rPr>
        <w:t>émit un avis indiqua</w:t>
      </w:r>
      <w:r w:rsidR="00BE3095" w:rsidRPr="008544BB">
        <w:rPr>
          <w:lang w:val="fr-FR"/>
        </w:rPr>
        <w:t>nt son opposition</w:t>
      </w:r>
      <w:r w:rsidRPr="008544BB">
        <w:rPr>
          <w:lang w:val="fr-FR"/>
        </w:rPr>
        <w:t xml:space="preserve"> à la demande des requérantes.</w:t>
      </w:r>
    </w:p>
    <w:bookmarkStart w:id="13" w:name="COUR_APPEL_FAMILLE_ACCUEIL"/>
    <w:p w:rsidR="00F21E98" w:rsidRPr="008544BB" w:rsidRDefault="004A4240" w:rsidP="008544BB">
      <w:pPr>
        <w:pStyle w:val="ECHRPara"/>
        <w:rPr>
          <w:lang w:val="fr-FR"/>
        </w:rPr>
      </w:pPr>
      <w:r w:rsidRPr="008544BB">
        <w:fldChar w:fldCharType="begin"/>
      </w:r>
      <w:r w:rsidRPr="008544BB">
        <w:rPr>
          <w:lang w:val="fr-FR"/>
        </w:rPr>
        <w:instrText xml:space="preserve"> SEQ level0 \*arabic </w:instrText>
      </w:r>
      <w:r w:rsidRPr="008544BB">
        <w:fldChar w:fldCharType="separate"/>
      </w:r>
      <w:r w:rsidR="008544BB" w:rsidRPr="008544BB">
        <w:rPr>
          <w:noProof/>
          <w:lang w:val="fr-FR"/>
        </w:rPr>
        <w:t>27</w:t>
      </w:r>
      <w:r w:rsidRPr="008544BB">
        <w:fldChar w:fldCharType="end"/>
      </w:r>
      <w:bookmarkEnd w:id="13"/>
      <w:r w:rsidRPr="008544BB">
        <w:rPr>
          <w:lang w:val="fr-FR"/>
        </w:rPr>
        <w:t>.  Le 10 juillet 2012, la cour d</w:t>
      </w:r>
      <w:r w:rsidR="008544BB" w:rsidRPr="008544BB">
        <w:rPr>
          <w:lang w:val="fr-FR"/>
        </w:rPr>
        <w:t>’</w:t>
      </w:r>
      <w:r w:rsidRPr="008544BB">
        <w:rPr>
          <w:lang w:val="fr-FR"/>
        </w:rPr>
        <w:t>appel de Rome</w:t>
      </w:r>
      <w:r w:rsidR="006D0287" w:rsidRPr="008544BB">
        <w:rPr>
          <w:lang w:val="fr-FR"/>
        </w:rPr>
        <w:t xml:space="preserve"> (</w:t>
      </w:r>
      <w:r w:rsidRPr="008544BB">
        <w:rPr>
          <w:lang w:val="fr-FR"/>
        </w:rPr>
        <w:t>s</w:t>
      </w:r>
      <w:r w:rsidR="00E77429" w:rsidRPr="008544BB">
        <w:rPr>
          <w:lang w:val="fr-FR"/>
        </w:rPr>
        <w:t xml:space="preserve">ection pour </w:t>
      </w:r>
      <w:r w:rsidR="006D0287" w:rsidRPr="008544BB">
        <w:rPr>
          <w:lang w:val="fr-FR"/>
        </w:rPr>
        <w:t>les mi</w:t>
      </w:r>
      <w:r w:rsidR="00F83913" w:rsidRPr="008544BB">
        <w:rPr>
          <w:lang w:val="fr-FR"/>
        </w:rPr>
        <w:t>ne</w:t>
      </w:r>
      <w:r w:rsidR="006D0287" w:rsidRPr="008544BB">
        <w:rPr>
          <w:lang w:val="fr-FR"/>
        </w:rPr>
        <w:t>urs)</w:t>
      </w:r>
      <w:r w:rsidR="00E77429" w:rsidRPr="008544BB">
        <w:rPr>
          <w:lang w:val="fr-FR"/>
        </w:rPr>
        <w:t xml:space="preserve"> </w:t>
      </w:r>
      <w:r w:rsidR="009B390C" w:rsidRPr="008544BB">
        <w:rPr>
          <w:lang w:val="fr-FR"/>
        </w:rPr>
        <w:t>rejeta l</w:t>
      </w:r>
      <w:r w:rsidR="008544BB" w:rsidRPr="008544BB">
        <w:rPr>
          <w:lang w:val="fr-FR"/>
        </w:rPr>
        <w:t>’</w:t>
      </w:r>
      <w:r w:rsidR="009B390C" w:rsidRPr="008544BB">
        <w:rPr>
          <w:lang w:val="fr-FR"/>
        </w:rPr>
        <w:t>appel</w:t>
      </w:r>
      <w:r w:rsidR="00F44192" w:rsidRPr="008544BB">
        <w:rPr>
          <w:lang w:val="fr-FR"/>
        </w:rPr>
        <w:t>. Elle justifia l</w:t>
      </w:r>
      <w:r w:rsidR="008544BB" w:rsidRPr="008544BB">
        <w:rPr>
          <w:lang w:val="fr-FR"/>
        </w:rPr>
        <w:t>’</w:t>
      </w:r>
      <w:r w:rsidR="00F44192" w:rsidRPr="008544BB">
        <w:rPr>
          <w:lang w:val="fr-FR"/>
        </w:rPr>
        <w:t xml:space="preserve">urgence </w:t>
      </w:r>
      <w:r w:rsidR="00F21E98" w:rsidRPr="008544BB">
        <w:rPr>
          <w:lang w:val="fr-FR"/>
        </w:rPr>
        <w:t xml:space="preserve">de la décision </w:t>
      </w:r>
      <w:r w:rsidR="006D0287" w:rsidRPr="008544BB">
        <w:rPr>
          <w:lang w:val="fr-FR"/>
        </w:rPr>
        <w:t xml:space="preserve">attaquée </w:t>
      </w:r>
      <w:r w:rsidR="00F21E98" w:rsidRPr="008544BB">
        <w:rPr>
          <w:lang w:val="fr-FR"/>
        </w:rPr>
        <w:t xml:space="preserve">en relevant que les enfants avaient </w:t>
      </w:r>
      <w:r w:rsidR="006D0287" w:rsidRPr="008544BB">
        <w:rPr>
          <w:lang w:val="fr-FR"/>
        </w:rPr>
        <w:t xml:space="preserve">eux-mêmes </w:t>
      </w:r>
      <w:r w:rsidR="00F21E98" w:rsidRPr="008544BB">
        <w:rPr>
          <w:lang w:val="fr-FR"/>
        </w:rPr>
        <w:t xml:space="preserve">sollicité un changement de leur </w:t>
      </w:r>
      <w:r w:rsidR="0054633A" w:rsidRPr="008544BB">
        <w:rPr>
          <w:lang w:val="fr-FR"/>
        </w:rPr>
        <w:t>situat</w:t>
      </w:r>
      <w:r w:rsidR="00F21E98" w:rsidRPr="008544BB">
        <w:rPr>
          <w:lang w:val="fr-FR"/>
        </w:rPr>
        <w:t>ion</w:t>
      </w:r>
      <w:r w:rsidR="00E77429" w:rsidRPr="008544BB">
        <w:rPr>
          <w:lang w:val="fr-FR"/>
        </w:rPr>
        <w:t xml:space="preserve"> </w:t>
      </w:r>
      <w:r w:rsidR="0054633A" w:rsidRPr="008544BB">
        <w:rPr>
          <w:lang w:val="fr-FR"/>
        </w:rPr>
        <w:t>afin de</w:t>
      </w:r>
      <w:r w:rsidR="00E45DD3" w:rsidRPr="008544BB">
        <w:rPr>
          <w:lang w:val="fr-FR"/>
        </w:rPr>
        <w:t xml:space="preserve"> </w:t>
      </w:r>
      <w:r w:rsidR="00930461" w:rsidRPr="008544BB">
        <w:rPr>
          <w:lang w:val="fr-FR"/>
        </w:rPr>
        <w:t>trouver un cadre de vie plus stable</w:t>
      </w:r>
      <w:r w:rsidR="00E77429" w:rsidRPr="008544BB">
        <w:rPr>
          <w:lang w:val="fr-FR"/>
        </w:rPr>
        <w:t>.</w:t>
      </w:r>
      <w:r w:rsidRPr="008544BB">
        <w:rPr>
          <w:lang w:val="fr-FR"/>
        </w:rPr>
        <w:t xml:space="preserve"> </w:t>
      </w:r>
      <w:r w:rsidR="002E6C4D" w:rsidRPr="008544BB">
        <w:rPr>
          <w:lang w:val="fr-FR"/>
        </w:rPr>
        <w:t>Elle</w:t>
      </w:r>
      <w:r w:rsidR="00F21E98" w:rsidRPr="008544BB">
        <w:rPr>
          <w:lang w:val="fr-FR"/>
        </w:rPr>
        <w:t xml:space="preserve"> </w:t>
      </w:r>
      <w:r w:rsidR="006D0287" w:rsidRPr="008544BB">
        <w:rPr>
          <w:lang w:val="fr-FR"/>
        </w:rPr>
        <w:t>nota</w:t>
      </w:r>
      <w:r w:rsidR="00F21E98" w:rsidRPr="008544BB">
        <w:rPr>
          <w:lang w:val="fr-FR"/>
        </w:rPr>
        <w:t xml:space="preserve"> </w:t>
      </w:r>
      <w:r w:rsidR="00E77429" w:rsidRPr="008544BB">
        <w:rPr>
          <w:lang w:val="fr-FR"/>
        </w:rPr>
        <w:t xml:space="preserve">aussi </w:t>
      </w:r>
      <w:r w:rsidR="00F21E98" w:rsidRPr="008544BB">
        <w:rPr>
          <w:lang w:val="fr-FR"/>
        </w:rPr>
        <w:t>que</w:t>
      </w:r>
      <w:r w:rsidR="00F83913" w:rsidRPr="008544BB">
        <w:rPr>
          <w:lang w:val="fr-FR"/>
        </w:rPr>
        <w:t>,</w:t>
      </w:r>
      <w:r w:rsidR="0054633A" w:rsidRPr="008544BB">
        <w:rPr>
          <w:lang w:val="fr-FR"/>
        </w:rPr>
        <w:t xml:space="preserve"> </w:t>
      </w:r>
      <w:r w:rsidR="00F83913" w:rsidRPr="008544BB">
        <w:rPr>
          <w:lang w:val="fr-FR"/>
        </w:rPr>
        <w:lastRenderedPageBreak/>
        <w:t xml:space="preserve">même </w:t>
      </w:r>
      <w:r w:rsidR="0054633A" w:rsidRPr="008544BB">
        <w:rPr>
          <w:lang w:val="fr-FR"/>
        </w:rPr>
        <w:t>si</w:t>
      </w:r>
      <w:r w:rsidR="00F21E98" w:rsidRPr="008544BB">
        <w:rPr>
          <w:lang w:val="fr-FR"/>
        </w:rPr>
        <w:t xml:space="preserve"> </w:t>
      </w:r>
      <w:r w:rsidR="00E77429" w:rsidRPr="008544BB">
        <w:rPr>
          <w:lang w:val="fr-FR"/>
        </w:rPr>
        <w:t>la première requérante a</w:t>
      </w:r>
      <w:r w:rsidR="00F21E98" w:rsidRPr="008544BB">
        <w:rPr>
          <w:lang w:val="fr-FR"/>
        </w:rPr>
        <w:t xml:space="preserve">vait </w:t>
      </w:r>
      <w:r w:rsidR="00E77429" w:rsidRPr="008544BB">
        <w:rPr>
          <w:lang w:val="fr-FR"/>
        </w:rPr>
        <w:t>une attitude moins hostile à l</w:t>
      </w:r>
      <w:r w:rsidR="008544BB" w:rsidRPr="008544BB">
        <w:rPr>
          <w:lang w:val="fr-FR"/>
        </w:rPr>
        <w:t>’</w:t>
      </w:r>
      <w:r w:rsidR="00E77429" w:rsidRPr="008544BB">
        <w:rPr>
          <w:lang w:val="fr-FR"/>
        </w:rPr>
        <w:t>égard d</w:t>
      </w:r>
      <w:r w:rsidR="006D0287" w:rsidRPr="008544BB">
        <w:rPr>
          <w:lang w:val="fr-FR"/>
        </w:rPr>
        <w:t>u personnel de la maison d</w:t>
      </w:r>
      <w:r w:rsidR="008544BB" w:rsidRPr="008544BB">
        <w:rPr>
          <w:lang w:val="fr-FR"/>
        </w:rPr>
        <w:t>’</w:t>
      </w:r>
      <w:r w:rsidR="006D0287" w:rsidRPr="008544BB">
        <w:rPr>
          <w:lang w:val="fr-FR"/>
        </w:rPr>
        <w:t>accueil</w:t>
      </w:r>
      <w:r w:rsidR="00F83913" w:rsidRPr="008544BB">
        <w:rPr>
          <w:lang w:val="fr-FR"/>
        </w:rPr>
        <w:t xml:space="preserve"> et </w:t>
      </w:r>
      <w:r w:rsidR="009803D7" w:rsidRPr="008544BB">
        <w:rPr>
          <w:lang w:val="fr-FR"/>
        </w:rPr>
        <w:t xml:space="preserve">même </w:t>
      </w:r>
      <w:r w:rsidR="00F83913" w:rsidRPr="008544BB">
        <w:rPr>
          <w:lang w:val="fr-FR"/>
        </w:rPr>
        <w:t xml:space="preserve">si </w:t>
      </w:r>
      <w:r w:rsidR="00E77429" w:rsidRPr="008544BB">
        <w:rPr>
          <w:lang w:val="fr-FR"/>
        </w:rPr>
        <w:t xml:space="preserve">elle avait </w:t>
      </w:r>
      <w:r w:rsidR="00F21E98" w:rsidRPr="008544BB">
        <w:rPr>
          <w:lang w:val="fr-FR"/>
        </w:rPr>
        <w:t xml:space="preserve">récemment </w:t>
      </w:r>
      <w:r w:rsidR="003F7F39" w:rsidRPr="008544BB">
        <w:rPr>
          <w:lang w:val="fr-FR"/>
        </w:rPr>
        <w:t>changé</w:t>
      </w:r>
      <w:r w:rsidR="00F21E98" w:rsidRPr="008544BB">
        <w:rPr>
          <w:lang w:val="fr-FR"/>
        </w:rPr>
        <w:t xml:space="preserve"> d</w:t>
      </w:r>
      <w:r w:rsidR="008544BB" w:rsidRPr="008544BB">
        <w:rPr>
          <w:lang w:val="fr-FR"/>
        </w:rPr>
        <w:t>’</w:t>
      </w:r>
      <w:r w:rsidR="00F21E98" w:rsidRPr="008544BB">
        <w:rPr>
          <w:lang w:val="fr-FR"/>
        </w:rPr>
        <w:t>habitation</w:t>
      </w:r>
      <w:r w:rsidR="0054633A" w:rsidRPr="008544BB">
        <w:rPr>
          <w:lang w:val="fr-FR"/>
        </w:rPr>
        <w:t xml:space="preserve">, </w:t>
      </w:r>
      <w:r w:rsidR="006D0287" w:rsidRPr="008544BB">
        <w:rPr>
          <w:lang w:val="fr-FR"/>
        </w:rPr>
        <w:t>elle avait besoin</w:t>
      </w:r>
      <w:r w:rsidR="00F21E98" w:rsidRPr="008544BB">
        <w:rPr>
          <w:lang w:val="fr-FR"/>
        </w:rPr>
        <w:t xml:space="preserve"> de temps pour stabiliser sa </w:t>
      </w:r>
      <w:r w:rsidR="008525E2" w:rsidRPr="008544BB">
        <w:rPr>
          <w:lang w:val="fr-FR"/>
        </w:rPr>
        <w:t>situation</w:t>
      </w:r>
      <w:r w:rsidR="00F21E98" w:rsidRPr="008544BB">
        <w:rPr>
          <w:lang w:val="fr-FR"/>
        </w:rPr>
        <w:t xml:space="preserve"> personnelle</w:t>
      </w:r>
      <w:r w:rsidR="002E6C4D" w:rsidRPr="008544BB">
        <w:rPr>
          <w:lang w:val="fr-FR"/>
        </w:rPr>
        <w:t xml:space="preserve">. </w:t>
      </w:r>
      <w:r w:rsidR="0054633A" w:rsidRPr="008544BB">
        <w:rPr>
          <w:lang w:val="fr-FR"/>
        </w:rPr>
        <w:t>À cet égard</w:t>
      </w:r>
      <w:r w:rsidR="002E6C4D" w:rsidRPr="008544BB">
        <w:rPr>
          <w:lang w:val="fr-FR"/>
        </w:rPr>
        <w:t>,</w:t>
      </w:r>
      <w:r w:rsidR="0054633A" w:rsidRPr="008544BB">
        <w:rPr>
          <w:lang w:val="fr-FR"/>
        </w:rPr>
        <w:t xml:space="preserve"> la cour d</w:t>
      </w:r>
      <w:r w:rsidR="008544BB" w:rsidRPr="008544BB">
        <w:rPr>
          <w:lang w:val="fr-FR"/>
        </w:rPr>
        <w:t>’</w:t>
      </w:r>
      <w:r w:rsidR="0054633A" w:rsidRPr="008544BB">
        <w:rPr>
          <w:lang w:val="fr-FR"/>
        </w:rPr>
        <w:t>appel souligna que</w:t>
      </w:r>
      <w:r w:rsidR="00E77429" w:rsidRPr="008544BB">
        <w:rPr>
          <w:lang w:val="fr-FR"/>
        </w:rPr>
        <w:t xml:space="preserve"> la solution adoptée</w:t>
      </w:r>
      <w:r w:rsidR="0054633A" w:rsidRPr="008544BB">
        <w:rPr>
          <w:lang w:val="fr-FR"/>
        </w:rPr>
        <w:t xml:space="preserve"> avait</w:t>
      </w:r>
      <w:r w:rsidR="002E6C4D" w:rsidRPr="008544BB">
        <w:rPr>
          <w:lang w:val="fr-FR"/>
        </w:rPr>
        <w:t xml:space="preserve"> </w:t>
      </w:r>
      <w:r w:rsidR="006D0287" w:rsidRPr="008544BB">
        <w:rPr>
          <w:lang w:val="fr-FR"/>
        </w:rPr>
        <w:t xml:space="preserve">un </w:t>
      </w:r>
      <w:r w:rsidR="002E6C4D" w:rsidRPr="008544BB">
        <w:rPr>
          <w:lang w:val="fr-FR"/>
        </w:rPr>
        <w:t>caractère provisoire</w:t>
      </w:r>
      <w:r w:rsidR="0054633A" w:rsidRPr="008544BB">
        <w:rPr>
          <w:lang w:val="fr-FR"/>
        </w:rPr>
        <w:t xml:space="preserve"> et</w:t>
      </w:r>
      <w:r w:rsidR="00E77429" w:rsidRPr="008544BB">
        <w:rPr>
          <w:lang w:val="fr-FR"/>
        </w:rPr>
        <w:t xml:space="preserve"> </w:t>
      </w:r>
      <w:r w:rsidR="006D0287" w:rsidRPr="008544BB">
        <w:rPr>
          <w:lang w:val="fr-FR"/>
        </w:rPr>
        <w:t>qu</w:t>
      </w:r>
      <w:r w:rsidR="008544BB" w:rsidRPr="008544BB">
        <w:rPr>
          <w:lang w:val="fr-FR"/>
        </w:rPr>
        <w:t>’</w:t>
      </w:r>
      <w:r w:rsidR="006D0287" w:rsidRPr="008544BB">
        <w:rPr>
          <w:lang w:val="fr-FR"/>
        </w:rPr>
        <w:t xml:space="preserve">elle </w:t>
      </w:r>
      <w:r w:rsidR="00E77429" w:rsidRPr="008544BB">
        <w:rPr>
          <w:lang w:val="fr-FR"/>
        </w:rPr>
        <w:t xml:space="preserve">pouvait </w:t>
      </w:r>
      <w:r w:rsidR="006D0287" w:rsidRPr="008544BB">
        <w:rPr>
          <w:lang w:val="fr-FR"/>
        </w:rPr>
        <w:t>permettre,</w:t>
      </w:r>
      <w:r w:rsidR="002E6C4D" w:rsidRPr="008544BB">
        <w:rPr>
          <w:lang w:val="fr-FR"/>
        </w:rPr>
        <w:t xml:space="preserve"> à l</w:t>
      </w:r>
      <w:r w:rsidR="008544BB" w:rsidRPr="008544BB">
        <w:rPr>
          <w:lang w:val="fr-FR"/>
        </w:rPr>
        <w:t>’</w:t>
      </w:r>
      <w:r w:rsidR="002E6C4D" w:rsidRPr="008544BB">
        <w:rPr>
          <w:lang w:val="fr-FR"/>
        </w:rPr>
        <w:t>avenir</w:t>
      </w:r>
      <w:r w:rsidR="006D0287" w:rsidRPr="008544BB">
        <w:rPr>
          <w:lang w:val="fr-FR"/>
        </w:rPr>
        <w:t>, un</w:t>
      </w:r>
      <w:r w:rsidR="00E77429" w:rsidRPr="008544BB">
        <w:rPr>
          <w:lang w:val="fr-FR"/>
        </w:rPr>
        <w:t xml:space="preserve"> retour des enfants</w:t>
      </w:r>
      <w:r w:rsidR="006D0287" w:rsidRPr="008544BB">
        <w:rPr>
          <w:lang w:val="fr-FR"/>
        </w:rPr>
        <w:t xml:space="preserve"> au domicile familial</w:t>
      </w:r>
      <w:r w:rsidR="003F7F39" w:rsidRPr="008544BB">
        <w:rPr>
          <w:lang w:val="fr-FR"/>
        </w:rPr>
        <w:t>.</w:t>
      </w:r>
    </w:p>
    <w:p w:rsidR="004A4240" w:rsidRPr="008544BB" w:rsidRDefault="004A4240" w:rsidP="008544BB">
      <w:pPr>
        <w:pStyle w:val="ECHRPara"/>
        <w:rPr>
          <w:lang w:val="fr-FR"/>
        </w:rPr>
      </w:pPr>
      <w:r w:rsidRPr="008544BB">
        <w:fldChar w:fldCharType="begin"/>
      </w:r>
      <w:r w:rsidRPr="008544BB">
        <w:rPr>
          <w:lang w:val="fr-FR"/>
        </w:rPr>
        <w:instrText xml:space="preserve"> SEQ level0 \*arabic </w:instrText>
      </w:r>
      <w:r w:rsidRPr="008544BB">
        <w:fldChar w:fldCharType="separate"/>
      </w:r>
      <w:r w:rsidR="008544BB" w:rsidRPr="008544BB">
        <w:rPr>
          <w:noProof/>
          <w:lang w:val="fr-FR"/>
        </w:rPr>
        <w:t>28</w:t>
      </w:r>
      <w:r w:rsidRPr="008544BB">
        <w:fldChar w:fldCharType="end"/>
      </w:r>
      <w:r w:rsidRPr="008544BB">
        <w:rPr>
          <w:lang w:val="fr-FR"/>
        </w:rPr>
        <w:t>.  </w:t>
      </w:r>
      <w:r w:rsidR="00973C00" w:rsidRPr="008544BB">
        <w:rPr>
          <w:lang w:val="fr-FR"/>
        </w:rPr>
        <w:t>À une date non précisée</w:t>
      </w:r>
      <w:r w:rsidRPr="008544BB">
        <w:rPr>
          <w:lang w:val="fr-FR"/>
        </w:rPr>
        <w:t xml:space="preserve">, les enfants furent confiés à </w:t>
      </w:r>
      <w:r w:rsidR="00045B21" w:rsidRPr="008544BB">
        <w:rPr>
          <w:lang w:val="fr-FR"/>
        </w:rPr>
        <w:t>la</w:t>
      </w:r>
      <w:r w:rsidRPr="008544BB">
        <w:rPr>
          <w:lang w:val="fr-FR"/>
        </w:rPr>
        <w:t xml:space="preserve"> famille</w:t>
      </w:r>
      <w:r w:rsidR="00045B21" w:rsidRPr="008544BB">
        <w:rPr>
          <w:lang w:val="fr-FR"/>
        </w:rPr>
        <w:t xml:space="preserve"> d</w:t>
      </w:r>
      <w:r w:rsidR="008544BB" w:rsidRPr="008544BB">
        <w:rPr>
          <w:lang w:val="fr-FR"/>
        </w:rPr>
        <w:t>’</w:t>
      </w:r>
      <w:r w:rsidR="00045B21" w:rsidRPr="008544BB">
        <w:rPr>
          <w:lang w:val="fr-FR"/>
        </w:rPr>
        <w:t xml:space="preserve">accueil </w:t>
      </w:r>
      <w:r w:rsidR="00A70A9C" w:rsidRPr="008544BB">
        <w:rPr>
          <w:lang w:val="fr-FR"/>
        </w:rPr>
        <w:t>sélectionnée</w:t>
      </w:r>
      <w:r w:rsidRPr="008544BB">
        <w:rPr>
          <w:lang w:val="fr-FR"/>
        </w:rPr>
        <w:t>.</w:t>
      </w:r>
    </w:p>
    <w:p w:rsidR="001F3C47" w:rsidRPr="008544BB" w:rsidRDefault="002E6C4D"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29</w:t>
      </w:r>
      <w:r w:rsidRPr="008544BB">
        <w:rPr>
          <w:lang w:val="fr-FR"/>
        </w:rPr>
        <w:fldChar w:fldCharType="end"/>
      </w:r>
      <w:r w:rsidRPr="008544BB">
        <w:rPr>
          <w:lang w:val="fr-FR"/>
        </w:rPr>
        <w:t>.  </w:t>
      </w:r>
      <w:r w:rsidR="004A4240" w:rsidRPr="008544BB">
        <w:rPr>
          <w:lang w:val="fr-FR"/>
        </w:rPr>
        <w:t xml:space="preserve">Le 17 septembre 2012, </w:t>
      </w:r>
      <w:r w:rsidR="00E77429" w:rsidRPr="008544BB">
        <w:rPr>
          <w:lang w:val="fr-FR"/>
        </w:rPr>
        <w:t>les enfants retour</w:t>
      </w:r>
      <w:r w:rsidR="003C3B71" w:rsidRPr="008544BB">
        <w:rPr>
          <w:lang w:val="fr-FR"/>
        </w:rPr>
        <w:t>nèrent</w:t>
      </w:r>
      <w:r w:rsidR="00E77429" w:rsidRPr="008544BB">
        <w:rPr>
          <w:lang w:val="fr-FR"/>
        </w:rPr>
        <w:t xml:space="preserve"> à la maison d</w:t>
      </w:r>
      <w:r w:rsidR="008544BB" w:rsidRPr="008544BB">
        <w:rPr>
          <w:lang w:val="fr-FR"/>
        </w:rPr>
        <w:t>’</w:t>
      </w:r>
      <w:r w:rsidR="00E77429" w:rsidRPr="008544BB">
        <w:rPr>
          <w:lang w:val="fr-FR"/>
        </w:rPr>
        <w:t>accueil « Rocca di Papa »</w:t>
      </w:r>
      <w:r w:rsidR="0010755D" w:rsidRPr="008544BB">
        <w:rPr>
          <w:lang w:val="fr-FR"/>
        </w:rPr>
        <w:t>, le placement dans la famille d</w:t>
      </w:r>
      <w:r w:rsidR="008544BB" w:rsidRPr="008544BB">
        <w:rPr>
          <w:lang w:val="fr-FR"/>
        </w:rPr>
        <w:t>’</w:t>
      </w:r>
      <w:r w:rsidR="0010755D" w:rsidRPr="008544BB">
        <w:rPr>
          <w:lang w:val="fr-FR"/>
        </w:rPr>
        <w:t>accueil choisie ayant échoué</w:t>
      </w:r>
      <w:r w:rsidR="00E77429" w:rsidRPr="008544BB">
        <w:rPr>
          <w:lang w:val="fr-FR"/>
        </w:rPr>
        <w:t>.</w:t>
      </w:r>
      <w:r w:rsidR="003F7F39" w:rsidRPr="008544BB">
        <w:rPr>
          <w:lang w:val="fr-FR"/>
        </w:rPr>
        <w:t xml:space="preserve"> </w:t>
      </w:r>
      <w:r w:rsidR="004A4240" w:rsidRPr="008544BB">
        <w:rPr>
          <w:lang w:val="fr-FR"/>
        </w:rPr>
        <w:t>Selon l</w:t>
      </w:r>
      <w:r w:rsidR="004F345D" w:rsidRPr="008544BB">
        <w:rPr>
          <w:lang w:val="fr-FR"/>
        </w:rPr>
        <w:t>e</w:t>
      </w:r>
      <w:r w:rsidR="004A4240" w:rsidRPr="008544BB">
        <w:rPr>
          <w:lang w:val="fr-FR"/>
        </w:rPr>
        <w:t xml:space="preserve"> </w:t>
      </w:r>
      <w:r w:rsidR="004F345D" w:rsidRPr="008544BB">
        <w:rPr>
          <w:lang w:val="fr-FR"/>
        </w:rPr>
        <w:t>p</w:t>
      </w:r>
      <w:r w:rsidR="004A4240" w:rsidRPr="008544BB">
        <w:rPr>
          <w:lang w:val="fr-FR"/>
        </w:rPr>
        <w:t xml:space="preserve">ère de </w:t>
      </w:r>
      <w:r w:rsidR="00045B21" w:rsidRPr="008544BB">
        <w:rPr>
          <w:lang w:val="fr-FR"/>
        </w:rPr>
        <w:t xml:space="preserve">la </w:t>
      </w:r>
      <w:r w:rsidR="004A4240" w:rsidRPr="008544BB">
        <w:rPr>
          <w:lang w:val="fr-FR"/>
        </w:rPr>
        <w:t>famille</w:t>
      </w:r>
      <w:r w:rsidR="00E45DD3" w:rsidRPr="008544BB">
        <w:rPr>
          <w:lang w:val="fr-FR"/>
        </w:rPr>
        <w:t xml:space="preserve"> </w:t>
      </w:r>
      <w:r w:rsidR="00915E6E" w:rsidRPr="008544BB">
        <w:rPr>
          <w:lang w:val="fr-FR"/>
        </w:rPr>
        <w:t>d</w:t>
      </w:r>
      <w:r w:rsidR="008544BB" w:rsidRPr="008544BB">
        <w:rPr>
          <w:lang w:val="fr-FR"/>
        </w:rPr>
        <w:t>’</w:t>
      </w:r>
      <w:r w:rsidR="00915E6E" w:rsidRPr="008544BB">
        <w:rPr>
          <w:lang w:val="fr-FR"/>
        </w:rPr>
        <w:t>accueil</w:t>
      </w:r>
      <w:r w:rsidR="00930461" w:rsidRPr="008544BB">
        <w:rPr>
          <w:lang w:val="fr-FR"/>
        </w:rPr>
        <w:t>,</w:t>
      </w:r>
      <w:r w:rsidR="004A4240" w:rsidRPr="008544BB">
        <w:rPr>
          <w:lang w:val="fr-FR"/>
        </w:rPr>
        <w:t xml:space="preserve"> </w:t>
      </w:r>
      <w:r w:rsidR="003C3B71" w:rsidRPr="008544BB">
        <w:rPr>
          <w:lang w:val="fr-FR"/>
        </w:rPr>
        <w:t xml:space="preserve">qui était </w:t>
      </w:r>
      <w:r w:rsidR="004A4240" w:rsidRPr="008544BB">
        <w:rPr>
          <w:lang w:val="fr-FR"/>
        </w:rPr>
        <w:t>pédiatre, S. avait besoin d</w:t>
      </w:r>
      <w:r w:rsidR="008544BB" w:rsidRPr="008544BB">
        <w:rPr>
          <w:lang w:val="fr-FR"/>
        </w:rPr>
        <w:t>’</w:t>
      </w:r>
      <w:r w:rsidR="004A4240" w:rsidRPr="008544BB">
        <w:rPr>
          <w:lang w:val="fr-FR"/>
        </w:rPr>
        <w:t>une évaluation neuropsychiatrique, compte tenu de son comportement violent et ingérable</w:t>
      </w:r>
      <w:r w:rsidR="0010755D" w:rsidRPr="008544BB">
        <w:rPr>
          <w:lang w:val="fr-FR"/>
        </w:rPr>
        <w:t>,</w:t>
      </w:r>
      <w:r w:rsidR="009B390C" w:rsidRPr="008544BB">
        <w:rPr>
          <w:lang w:val="fr-FR"/>
        </w:rPr>
        <w:t xml:space="preserve"> et</w:t>
      </w:r>
      <w:r w:rsidR="00E77429" w:rsidRPr="008544BB">
        <w:rPr>
          <w:lang w:val="fr-FR"/>
        </w:rPr>
        <w:t xml:space="preserve"> </w:t>
      </w:r>
      <w:r w:rsidR="004A4240" w:rsidRPr="008544BB">
        <w:rPr>
          <w:lang w:val="fr-FR"/>
        </w:rPr>
        <w:t xml:space="preserve">L. montrait une profonde tristesse en réaction au comportement de sa </w:t>
      </w:r>
      <w:r w:rsidR="007C6BBF" w:rsidRPr="008544BB">
        <w:rPr>
          <w:lang w:val="fr-FR"/>
        </w:rPr>
        <w:t>sœur</w:t>
      </w:r>
      <w:r w:rsidR="004A4240" w:rsidRPr="008544BB">
        <w:rPr>
          <w:lang w:val="fr-FR"/>
        </w:rPr>
        <w:t xml:space="preserve"> et à l</w:t>
      </w:r>
      <w:r w:rsidR="008544BB" w:rsidRPr="008544BB">
        <w:rPr>
          <w:lang w:val="fr-FR"/>
        </w:rPr>
        <w:t>’</w:t>
      </w:r>
      <w:r w:rsidR="004A4240" w:rsidRPr="008544BB">
        <w:rPr>
          <w:lang w:val="fr-FR"/>
        </w:rPr>
        <w:t>échec du</w:t>
      </w:r>
      <w:r w:rsidR="00045B21" w:rsidRPr="008544BB">
        <w:rPr>
          <w:lang w:val="fr-FR"/>
        </w:rPr>
        <w:t xml:space="preserve"> projet de</w:t>
      </w:r>
      <w:r w:rsidR="004A4240" w:rsidRPr="008544BB">
        <w:rPr>
          <w:lang w:val="fr-FR"/>
        </w:rPr>
        <w:t xml:space="preserve"> placement.</w:t>
      </w:r>
    </w:p>
    <w:p w:rsidR="004A4240" w:rsidRPr="008544BB" w:rsidRDefault="004A4240" w:rsidP="008544BB">
      <w:pPr>
        <w:pStyle w:val="ECHRPara"/>
        <w:rPr>
          <w:lang w:val="fr-FR"/>
        </w:rPr>
      </w:pPr>
      <w:r w:rsidRPr="008544BB">
        <w:fldChar w:fldCharType="begin"/>
      </w:r>
      <w:r w:rsidRPr="008544BB">
        <w:rPr>
          <w:lang w:val="fr-FR"/>
        </w:rPr>
        <w:instrText xml:space="preserve"> SEQ level0 \*arabic </w:instrText>
      </w:r>
      <w:r w:rsidRPr="008544BB">
        <w:fldChar w:fldCharType="separate"/>
      </w:r>
      <w:r w:rsidR="008544BB" w:rsidRPr="008544BB">
        <w:rPr>
          <w:noProof/>
          <w:lang w:val="fr-FR"/>
        </w:rPr>
        <w:t>30</w:t>
      </w:r>
      <w:r w:rsidRPr="008544BB">
        <w:fldChar w:fldCharType="end"/>
      </w:r>
      <w:r w:rsidRPr="008544BB">
        <w:rPr>
          <w:lang w:val="fr-FR"/>
        </w:rPr>
        <w:t>.  </w:t>
      </w:r>
      <w:r w:rsidR="0054633A" w:rsidRPr="008544BB">
        <w:rPr>
          <w:lang w:val="fr-FR"/>
        </w:rPr>
        <w:t>Lors</w:t>
      </w:r>
      <w:r w:rsidR="00930461" w:rsidRPr="008544BB">
        <w:rPr>
          <w:lang w:val="fr-FR"/>
        </w:rPr>
        <w:t xml:space="preserve"> des </w:t>
      </w:r>
      <w:r w:rsidR="00216A48" w:rsidRPr="008544BB">
        <w:rPr>
          <w:lang w:val="fr-FR"/>
        </w:rPr>
        <w:t>audiences d</w:t>
      </w:r>
      <w:r w:rsidR="00954B8E" w:rsidRPr="008544BB">
        <w:rPr>
          <w:lang w:val="fr-FR"/>
        </w:rPr>
        <w:t>es</w:t>
      </w:r>
      <w:r w:rsidR="00216A48" w:rsidRPr="008544BB">
        <w:rPr>
          <w:lang w:val="fr-FR"/>
        </w:rPr>
        <w:t xml:space="preserve"> 25 septembre et 11 octobre 2012, </w:t>
      </w:r>
      <w:r w:rsidRPr="008544BB">
        <w:rPr>
          <w:lang w:val="fr-FR"/>
        </w:rPr>
        <w:t>la psychologue de l</w:t>
      </w:r>
      <w:r w:rsidR="008544BB" w:rsidRPr="008544BB">
        <w:rPr>
          <w:lang w:val="fr-FR"/>
        </w:rPr>
        <w:t>’</w:t>
      </w:r>
      <w:r w:rsidRPr="008544BB">
        <w:rPr>
          <w:lang w:val="fr-FR"/>
        </w:rPr>
        <w:t xml:space="preserve">« Espace </w:t>
      </w:r>
      <w:r w:rsidR="00DC2030" w:rsidRPr="008544BB">
        <w:rPr>
          <w:lang w:val="fr-FR"/>
        </w:rPr>
        <w:t>n</w:t>
      </w:r>
      <w:r w:rsidRPr="008544BB">
        <w:rPr>
          <w:lang w:val="fr-FR"/>
        </w:rPr>
        <w:t xml:space="preserve">eutre » </w:t>
      </w:r>
      <w:r w:rsidR="00A70A9C" w:rsidRPr="008544BB">
        <w:rPr>
          <w:lang w:val="fr-FR"/>
        </w:rPr>
        <w:t>attribu</w:t>
      </w:r>
      <w:r w:rsidR="0079027D" w:rsidRPr="008544BB">
        <w:rPr>
          <w:lang w:val="fr-FR"/>
        </w:rPr>
        <w:t xml:space="preserve">a </w:t>
      </w:r>
      <w:r w:rsidR="00A70A9C" w:rsidRPr="008544BB">
        <w:rPr>
          <w:lang w:val="fr-FR"/>
        </w:rPr>
        <w:t>la responsabilité de l</w:t>
      </w:r>
      <w:r w:rsidR="008544BB" w:rsidRPr="008544BB">
        <w:rPr>
          <w:lang w:val="fr-FR"/>
        </w:rPr>
        <w:t>’</w:t>
      </w:r>
      <w:r w:rsidR="00A70A9C" w:rsidRPr="008544BB">
        <w:rPr>
          <w:lang w:val="fr-FR"/>
        </w:rPr>
        <w:t>échec</w:t>
      </w:r>
      <w:r w:rsidR="00954B8E" w:rsidRPr="008544BB">
        <w:rPr>
          <w:lang w:val="fr-FR"/>
        </w:rPr>
        <w:t xml:space="preserve"> du placement en famille d</w:t>
      </w:r>
      <w:r w:rsidR="008544BB" w:rsidRPr="008544BB">
        <w:rPr>
          <w:lang w:val="fr-FR"/>
        </w:rPr>
        <w:t>’</w:t>
      </w:r>
      <w:r w:rsidR="00954B8E" w:rsidRPr="008544BB">
        <w:rPr>
          <w:lang w:val="fr-FR"/>
        </w:rPr>
        <w:t>accueil à la première requérante</w:t>
      </w:r>
      <w:r w:rsidR="00E77429" w:rsidRPr="008544BB">
        <w:rPr>
          <w:lang w:val="fr-FR"/>
        </w:rPr>
        <w:t>.</w:t>
      </w:r>
      <w:r w:rsidR="004F345D" w:rsidRPr="008544BB">
        <w:rPr>
          <w:lang w:val="fr-FR"/>
        </w:rPr>
        <w:t xml:space="preserve"> </w:t>
      </w:r>
      <w:r w:rsidR="00954B8E" w:rsidRPr="008544BB">
        <w:rPr>
          <w:lang w:val="fr-FR"/>
        </w:rPr>
        <w:t>Selon elle, c</w:t>
      </w:r>
      <w:r w:rsidR="004F345D" w:rsidRPr="008544BB">
        <w:rPr>
          <w:lang w:val="fr-FR"/>
        </w:rPr>
        <w:t xml:space="preserve">ette dernière </w:t>
      </w:r>
      <w:r w:rsidR="00E77429" w:rsidRPr="008544BB">
        <w:rPr>
          <w:lang w:val="fr-FR"/>
        </w:rPr>
        <w:t>a</w:t>
      </w:r>
      <w:r w:rsidR="00954B8E" w:rsidRPr="008544BB">
        <w:rPr>
          <w:lang w:val="fr-FR"/>
        </w:rPr>
        <w:t>v</w:t>
      </w:r>
      <w:r w:rsidR="00E77429" w:rsidRPr="008544BB">
        <w:rPr>
          <w:lang w:val="fr-FR"/>
        </w:rPr>
        <w:t>ait</w:t>
      </w:r>
      <w:r w:rsidR="00930461" w:rsidRPr="008544BB">
        <w:rPr>
          <w:lang w:val="fr-FR"/>
        </w:rPr>
        <w:t xml:space="preserve"> dé</w:t>
      </w:r>
      <w:r w:rsidR="00954B8E" w:rsidRPr="008544BB">
        <w:rPr>
          <w:lang w:val="fr-FR"/>
        </w:rPr>
        <w:t>nigré</w:t>
      </w:r>
      <w:r w:rsidRPr="008544BB">
        <w:rPr>
          <w:lang w:val="fr-FR"/>
        </w:rPr>
        <w:t xml:space="preserve"> la famille d</w:t>
      </w:r>
      <w:r w:rsidR="008544BB" w:rsidRPr="008544BB">
        <w:rPr>
          <w:lang w:val="fr-FR"/>
        </w:rPr>
        <w:t>’</w:t>
      </w:r>
      <w:r w:rsidRPr="008544BB">
        <w:rPr>
          <w:lang w:val="fr-FR"/>
        </w:rPr>
        <w:t>accueil</w:t>
      </w:r>
      <w:r w:rsidR="00930461" w:rsidRPr="008544BB">
        <w:rPr>
          <w:lang w:val="fr-FR"/>
        </w:rPr>
        <w:t xml:space="preserve"> et donné</w:t>
      </w:r>
      <w:r w:rsidRPr="008544BB">
        <w:rPr>
          <w:lang w:val="fr-FR"/>
        </w:rPr>
        <w:t xml:space="preserve"> aux enfants des informations contradictoires et négatives.</w:t>
      </w:r>
    </w:p>
    <w:bookmarkStart w:id="14" w:name="PERSISTANCE_INCAPACITE"/>
    <w:bookmarkStart w:id="15" w:name="TRIBUNAL_NOVEMBRE_2012_SUSPENSION"/>
    <w:p w:rsidR="00DA01D3" w:rsidRPr="008544BB" w:rsidRDefault="004A4240" w:rsidP="008544BB">
      <w:pPr>
        <w:pStyle w:val="ECHRPara"/>
        <w:rPr>
          <w:lang w:val="fr-FR"/>
        </w:rPr>
      </w:pPr>
      <w:r w:rsidRPr="008544BB">
        <w:fldChar w:fldCharType="begin"/>
      </w:r>
      <w:r w:rsidRPr="008544BB">
        <w:rPr>
          <w:lang w:val="fr-FR"/>
        </w:rPr>
        <w:instrText xml:space="preserve"> SEQ level0 \*arabic </w:instrText>
      </w:r>
      <w:r w:rsidRPr="008544BB">
        <w:fldChar w:fldCharType="separate"/>
      </w:r>
      <w:r w:rsidR="008544BB" w:rsidRPr="008544BB">
        <w:rPr>
          <w:noProof/>
          <w:lang w:val="fr-FR"/>
        </w:rPr>
        <w:t>31</w:t>
      </w:r>
      <w:r w:rsidRPr="008544BB">
        <w:fldChar w:fldCharType="end"/>
      </w:r>
      <w:bookmarkEnd w:id="14"/>
      <w:bookmarkEnd w:id="15"/>
      <w:r w:rsidRPr="008544BB">
        <w:rPr>
          <w:lang w:val="fr-FR"/>
        </w:rPr>
        <w:t xml:space="preserve">.  Le </w:t>
      </w:r>
      <w:r w:rsidR="00091601" w:rsidRPr="008544BB">
        <w:rPr>
          <w:lang w:val="fr-FR"/>
        </w:rPr>
        <w:t>9</w:t>
      </w:r>
      <w:r w:rsidR="00C40C06" w:rsidRPr="008544BB">
        <w:rPr>
          <w:lang w:val="fr-FR"/>
        </w:rPr>
        <w:t xml:space="preserve"> </w:t>
      </w:r>
      <w:r w:rsidRPr="008544BB">
        <w:rPr>
          <w:lang w:val="fr-FR"/>
        </w:rPr>
        <w:t xml:space="preserve">novembre 2012, le tribunal </w:t>
      </w:r>
      <w:r w:rsidR="00B66769" w:rsidRPr="008544BB">
        <w:rPr>
          <w:lang w:val="fr-FR"/>
        </w:rPr>
        <w:t xml:space="preserve">pour enfants </w:t>
      </w:r>
      <w:r w:rsidRPr="008544BB">
        <w:rPr>
          <w:lang w:val="fr-FR"/>
        </w:rPr>
        <w:t xml:space="preserve">rejeta </w:t>
      </w:r>
      <w:r w:rsidR="004F345D" w:rsidRPr="008544BB">
        <w:rPr>
          <w:lang w:val="fr-FR"/>
        </w:rPr>
        <w:t>une nouvelle</w:t>
      </w:r>
      <w:r w:rsidRPr="008544BB">
        <w:rPr>
          <w:lang w:val="fr-FR"/>
        </w:rPr>
        <w:t xml:space="preserve"> demande </w:t>
      </w:r>
      <w:r w:rsidR="00954B8E" w:rsidRPr="008544BB">
        <w:rPr>
          <w:lang w:val="fr-FR"/>
        </w:rPr>
        <w:t xml:space="preserve">de la première requérante </w:t>
      </w:r>
      <w:r w:rsidRPr="008544BB">
        <w:rPr>
          <w:lang w:val="fr-FR"/>
        </w:rPr>
        <w:t xml:space="preserve">visant à </w:t>
      </w:r>
      <w:r w:rsidR="00954B8E" w:rsidRPr="008544BB">
        <w:rPr>
          <w:lang w:val="fr-FR"/>
        </w:rPr>
        <w:t>l</w:t>
      </w:r>
      <w:r w:rsidR="008544BB" w:rsidRPr="008544BB">
        <w:rPr>
          <w:lang w:val="fr-FR"/>
        </w:rPr>
        <w:t>’</w:t>
      </w:r>
      <w:r w:rsidRPr="008544BB">
        <w:rPr>
          <w:lang w:val="fr-FR"/>
        </w:rPr>
        <w:t>obten</w:t>
      </w:r>
      <w:r w:rsidR="00954B8E" w:rsidRPr="008544BB">
        <w:rPr>
          <w:lang w:val="fr-FR"/>
        </w:rPr>
        <w:t xml:space="preserve">tion de </w:t>
      </w:r>
      <w:r w:rsidRPr="008544BB">
        <w:rPr>
          <w:lang w:val="fr-FR"/>
        </w:rPr>
        <w:t>la garde des enfants. Le</w:t>
      </w:r>
      <w:r w:rsidR="00954B8E" w:rsidRPr="008544BB">
        <w:rPr>
          <w:lang w:val="fr-FR"/>
        </w:rPr>
        <w:t xml:space="preserve"> tribunal ne retint pas les</w:t>
      </w:r>
      <w:r w:rsidRPr="008544BB">
        <w:rPr>
          <w:lang w:val="fr-FR"/>
        </w:rPr>
        <w:t xml:space="preserve"> motifs sur lesquels la demande était </w:t>
      </w:r>
      <w:r w:rsidR="00216A48" w:rsidRPr="008544BB">
        <w:rPr>
          <w:lang w:val="fr-FR"/>
        </w:rPr>
        <w:t>fondée</w:t>
      </w:r>
      <w:r w:rsidR="00A70A9C" w:rsidRPr="008544BB">
        <w:rPr>
          <w:lang w:val="fr-FR"/>
        </w:rPr>
        <w:t xml:space="preserve"> –</w:t>
      </w:r>
      <w:r w:rsidRPr="008544BB">
        <w:rPr>
          <w:lang w:val="fr-FR"/>
        </w:rPr>
        <w:t xml:space="preserve"> </w:t>
      </w:r>
      <w:r w:rsidR="00A70A9C" w:rsidRPr="008544BB">
        <w:rPr>
          <w:lang w:val="fr-FR"/>
        </w:rPr>
        <w:t xml:space="preserve">entre </w:t>
      </w:r>
      <w:r w:rsidR="00216A48" w:rsidRPr="008544BB">
        <w:rPr>
          <w:lang w:val="fr-FR"/>
        </w:rPr>
        <w:t xml:space="preserve">autres </w:t>
      </w:r>
      <w:r w:rsidRPr="008544BB">
        <w:rPr>
          <w:lang w:val="fr-FR"/>
        </w:rPr>
        <w:t>la disponibilité d</w:t>
      </w:r>
      <w:r w:rsidR="008544BB" w:rsidRPr="008544BB">
        <w:rPr>
          <w:lang w:val="fr-FR"/>
        </w:rPr>
        <w:t>’</w:t>
      </w:r>
      <w:r w:rsidRPr="008544BB">
        <w:rPr>
          <w:lang w:val="fr-FR"/>
        </w:rPr>
        <w:t>un nouvel appartement à Rome et l</w:t>
      </w:r>
      <w:r w:rsidR="008544BB" w:rsidRPr="008544BB">
        <w:rPr>
          <w:lang w:val="fr-FR"/>
        </w:rPr>
        <w:t>’</w:t>
      </w:r>
      <w:r w:rsidRPr="008544BB">
        <w:rPr>
          <w:lang w:val="fr-FR"/>
        </w:rPr>
        <w:t>achat d</w:t>
      </w:r>
      <w:r w:rsidR="008544BB" w:rsidRPr="008544BB">
        <w:rPr>
          <w:lang w:val="fr-FR"/>
        </w:rPr>
        <w:t>’</w:t>
      </w:r>
      <w:r w:rsidRPr="008544BB">
        <w:rPr>
          <w:lang w:val="fr-FR"/>
        </w:rPr>
        <w:t>une voiture</w:t>
      </w:r>
      <w:r w:rsidR="00A70A9C" w:rsidRPr="008544BB">
        <w:rPr>
          <w:lang w:val="fr-FR"/>
        </w:rPr>
        <w:t xml:space="preserve"> –</w:t>
      </w:r>
      <w:r w:rsidR="00954B8E" w:rsidRPr="008544BB">
        <w:rPr>
          <w:lang w:val="fr-FR"/>
        </w:rPr>
        <w:t>, et il</w:t>
      </w:r>
      <w:r w:rsidRPr="008544BB">
        <w:rPr>
          <w:lang w:val="fr-FR"/>
        </w:rPr>
        <w:t xml:space="preserve"> considéra, </w:t>
      </w:r>
      <w:r w:rsidR="004F345D" w:rsidRPr="008544BB">
        <w:rPr>
          <w:lang w:val="fr-FR"/>
        </w:rPr>
        <w:t>au contraire</w:t>
      </w:r>
      <w:r w:rsidRPr="008544BB">
        <w:rPr>
          <w:lang w:val="fr-FR"/>
        </w:rPr>
        <w:t>, qu</w:t>
      </w:r>
      <w:r w:rsidR="00954B8E" w:rsidRPr="008544BB">
        <w:rPr>
          <w:lang w:val="fr-FR"/>
        </w:rPr>
        <w:t>e ces éléments</w:t>
      </w:r>
      <w:r w:rsidR="00045B21" w:rsidRPr="008544BB">
        <w:rPr>
          <w:lang w:val="fr-FR"/>
        </w:rPr>
        <w:t xml:space="preserve"> prouvaient que </w:t>
      </w:r>
      <w:r w:rsidR="0054633A" w:rsidRPr="008544BB">
        <w:rPr>
          <w:lang w:val="fr-FR"/>
        </w:rPr>
        <w:t>la première requérante</w:t>
      </w:r>
      <w:r w:rsidRPr="008544BB">
        <w:rPr>
          <w:lang w:val="fr-FR"/>
        </w:rPr>
        <w:t xml:space="preserve"> n</w:t>
      </w:r>
      <w:r w:rsidR="008544BB" w:rsidRPr="008544BB">
        <w:rPr>
          <w:lang w:val="fr-FR"/>
        </w:rPr>
        <w:t>’</w:t>
      </w:r>
      <w:r w:rsidRPr="008544BB">
        <w:rPr>
          <w:lang w:val="fr-FR"/>
        </w:rPr>
        <w:t xml:space="preserve">avait pas compris </w:t>
      </w:r>
      <w:r w:rsidR="00216A48" w:rsidRPr="008544BB">
        <w:rPr>
          <w:lang w:val="fr-FR"/>
        </w:rPr>
        <w:t xml:space="preserve">que la raison </w:t>
      </w:r>
      <w:r w:rsidR="00F37540" w:rsidRPr="008544BB">
        <w:rPr>
          <w:lang w:val="fr-FR"/>
        </w:rPr>
        <w:t>de l</w:t>
      </w:r>
      <w:r w:rsidR="008544BB" w:rsidRPr="008544BB">
        <w:rPr>
          <w:lang w:val="fr-FR"/>
        </w:rPr>
        <w:t>’</w:t>
      </w:r>
      <w:r w:rsidR="00F37540" w:rsidRPr="008544BB">
        <w:rPr>
          <w:lang w:val="fr-FR"/>
        </w:rPr>
        <w:t>éloignement des</w:t>
      </w:r>
      <w:r w:rsidRPr="008544BB">
        <w:rPr>
          <w:lang w:val="fr-FR"/>
        </w:rPr>
        <w:t xml:space="preserve"> mineurs</w:t>
      </w:r>
      <w:r w:rsidR="00216A48" w:rsidRPr="008544BB">
        <w:rPr>
          <w:lang w:val="fr-FR"/>
        </w:rPr>
        <w:t xml:space="preserve"> était liée</w:t>
      </w:r>
      <w:r w:rsidR="009145E6" w:rsidRPr="008544BB">
        <w:rPr>
          <w:lang w:val="fr-FR"/>
        </w:rPr>
        <w:t xml:space="preserve"> à son incapacité parentale</w:t>
      </w:r>
      <w:r w:rsidRPr="008544BB">
        <w:rPr>
          <w:lang w:val="fr-FR"/>
        </w:rPr>
        <w:t>.</w:t>
      </w:r>
      <w:r w:rsidR="002E6C4D" w:rsidRPr="008544BB">
        <w:rPr>
          <w:lang w:val="fr-FR"/>
        </w:rPr>
        <w:t xml:space="preserve"> </w:t>
      </w:r>
      <w:r w:rsidRPr="008544BB">
        <w:rPr>
          <w:lang w:val="fr-FR"/>
        </w:rPr>
        <w:t>De plus</w:t>
      </w:r>
      <w:r w:rsidR="00E45DD3" w:rsidRPr="008544BB">
        <w:rPr>
          <w:lang w:val="fr-FR"/>
        </w:rPr>
        <w:t>,</w:t>
      </w:r>
      <w:r w:rsidR="002E6C4D" w:rsidRPr="008544BB">
        <w:rPr>
          <w:lang w:val="fr-FR"/>
        </w:rPr>
        <w:t xml:space="preserve"> le tribunal releva </w:t>
      </w:r>
      <w:r w:rsidRPr="008544BB">
        <w:rPr>
          <w:lang w:val="fr-FR"/>
        </w:rPr>
        <w:t>que</w:t>
      </w:r>
      <w:r w:rsidR="00216A48" w:rsidRPr="008544BB">
        <w:rPr>
          <w:lang w:val="fr-FR"/>
        </w:rPr>
        <w:t xml:space="preserve"> la</w:t>
      </w:r>
      <w:r w:rsidR="00184425" w:rsidRPr="008544BB">
        <w:rPr>
          <w:lang w:val="fr-FR"/>
        </w:rPr>
        <w:t xml:space="preserve"> première</w:t>
      </w:r>
      <w:r w:rsidR="00216A48" w:rsidRPr="008544BB">
        <w:rPr>
          <w:lang w:val="fr-FR"/>
        </w:rPr>
        <w:t xml:space="preserve"> requérant</w:t>
      </w:r>
      <w:r w:rsidR="00184425" w:rsidRPr="008544BB">
        <w:rPr>
          <w:lang w:val="fr-FR"/>
        </w:rPr>
        <w:t>e</w:t>
      </w:r>
      <w:r w:rsidR="0079027D" w:rsidRPr="008544BB">
        <w:rPr>
          <w:lang w:val="fr-FR"/>
        </w:rPr>
        <w:t xml:space="preserve"> a</w:t>
      </w:r>
      <w:r w:rsidR="0084369B" w:rsidRPr="008544BB">
        <w:rPr>
          <w:lang w:val="fr-FR"/>
        </w:rPr>
        <w:t>v</w:t>
      </w:r>
      <w:r w:rsidR="0079027D" w:rsidRPr="008544BB">
        <w:rPr>
          <w:lang w:val="fr-FR"/>
        </w:rPr>
        <w:t>ait</w:t>
      </w:r>
      <w:r w:rsidRPr="008544BB">
        <w:rPr>
          <w:lang w:val="fr-FR"/>
        </w:rPr>
        <w:t xml:space="preserve"> </w:t>
      </w:r>
      <w:r w:rsidR="0079027D" w:rsidRPr="008544BB">
        <w:rPr>
          <w:lang w:val="fr-FR"/>
        </w:rPr>
        <w:t>cré</w:t>
      </w:r>
      <w:r w:rsidRPr="008544BB">
        <w:rPr>
          <w:lang w:val="fr-FR"/>
        </w:rPr>
        <w:t xml:space="preserve">é </w:t>
      </w:r>
      <w:r w:rsidR="0079027D" w:rsidRPr="008544BB">
        <w:rPr>
          <w:lang w:val="fr-FR"/>
        </w:rPr>
        <w:t>un</w:t>
      </w:r>
      <w:r w:rsidR="00216A48" w:rsidRPr="008544BB">
        <w:rPr>
          <w:lang w:val="fr-FR"/>
        </w:rPr>
        <w:t xml:space="preserve"> blog</w:t>
      </w:r>
      <w:r w:rsidRPr="008544BB">
        <w:rPr>
          <w:lang w:val="fr-FR"/>
        </w:rPr>
        <w:t xml:space="preserve"> </w:t>
      </w:r>
      <w:r w:rsidR="0079027D" w:rsidRPr="008544BB">
        <w:rPr>
          <w:lang w:val="fr-FR"/>
        </w:rPr>
        <w:t xml:space="preserve">et publié </w:t>
      </w:r>
      <w:r w:rsidRPr="008544BB">
        <w:rPr>
          <w:lang w:val="fr-FR"/>
        </w:rPr>
        <w:t>des photos des mineurs</w:t>
      </w:r>
      <w:r w:rsidR="0079027D" w:rsidRPr="008544BB">
        <w:rPr>
          <w:lang w:val="fr-FR"/>
        </w:rPr>
        <w:t>, l</w:t>
      </w:r>
      <w:r w:rsidR="008544BB" w:rsidRPr="008544BB">
        <w:rPr>
          <w:lang w:val="fr-FR"/>
        </w:rPr>
        <w:t>’</w:t>
      </w:r>
      <w:r w:rsidR="007B120F" w:rsidRPr="008544BB">
        <w:rPr>
          <w:lang w:val="fr-FR"/>
        </w:rPr>
        <w:t>adresse de l</w:t>
      </w:r>
      <w:r w:rsidR="00216A48" w:rsidRPr="008544BB">
        <w:rPr>
          <w:lang w:val="fr-FR"/>
        </w:rPr>
        <w:t>a maison d</w:t>
      </w:r>
      <w:r w:rsidR="008544BB" w:rsidRPr="008544BB">
        <w:rPr>
          <w:lang w:val="fr-FR"/>
        </w:rPr>
        <w:t>’</w:t>
      </w:r>
      <w:r w:rsidR="00216A48" w:rsidRPr="008544BB">
        <w:rPr>
          <w:lang w:val="fr-FR"/>
        </w:rPr>
        <w:t xml:space="preserve">accueil </w:t>
      </w:r>
      <w:r w:rsidR="007B120F" w:rsidRPr="008544BB">
        <w:rPr>
          <w:lang w:val="fr-FR"/>
        </w:rPr>
        <w:t xml:space="preserve">et </w:t>
      </w:r>
      <w:r w:rsidR="00216A48" w:rsidRPr="008544BB">
        <w:rPr>
          <w:lang w:val="fr-FR"/>
        </w:rPr>
        <w:t xml:space="preserve">des extraits des </w:t>
      </w:r>
      <w:r w:rsidR="007B120F" w:rsidRPr="008544BB">
        <w:rPr>
          <w:lang w:val="fr-FR"/>
        </w:rPr>
        <w:t xml:space="preserve">décisions </w:t>
      </w:r>
      <w:r w:rsidR="002E6C4D" w:rsidRPr="008544BB">
        <w:rPr>
          <w:lang w:val="fr-FR"/>
        </w:rPr>
        <w:t>judiciaires</w:t>
      </w:r>
      <w:r w:rsidR="009145E6" w:rsidRPr="008544BB">
        <w:rPr>
          <w:lang w:val="fr-FR"/>
        </w:rPr>
        <w:t>.</w:t>
      </w:r>
    </w:p>
    <w:p w:rsidR="004A4240" w:rsidRPr="008544BB" w:rsidRDefault="004F345D" w:rsidP="008544BB">
      <w:pPr>
        <w:pStyle w:val="ECHRPara"/>
        <w:rPr>
          <w:lang w:val="fr-FR"/>
        </w:rPr>
      </w:pPr>
      <w:r w:rsidRPr="008544BB">
        <w:rPr>
          <w:lang w:val="fr-FR"/>
        </w:rPr>
        <w:t>Le tribunal</w:t>
      </w:r>
      <w:r w:rsidR="009145E6" w:rsidRPr="008544BB">
        <w:rPr>
          <w:lang w:val="fr-FR"/>
        </w:rPr>
        <w:t xml:space="preserve"> </w:t>
      </w:r>
      <w:r w:rsidR="009B390C" w:rsidRPr="008544BB">
        <w:rPr>
          <w:lang w:val="fr-FR"/>
        </w:rPr>
        <w:t>observa</w:t>
      </w:r>
      <w:r w:rsidR="009145E6" w:rsidRPr="008544BB">
        <w:rPr>
          <w:lang w:val="fr-FR"/>
        </w:rPr>
        <w:t xml:space="preserve"> </w:t>
      </w:r>
      <w:r w:rsidRPr="008544BB">
        <w:rPr>
          <w:lang w:val="fr-FR"/>
        </w:rPr>
        <w:t xml:space="preserve">en outre </w:t>
      </w:r>
      <w:r w:rsidR="004A4240" w:rsidRPr="008544BB">
        <w:rPr>
          <w:lang w:val="fr-FR"/>
        </w:rPr>
        <w:t>qu</w:t>
      </w:r>
      <w:r w:rsidR="00985ED9" w:rsidRPr="008544BB">
        <w:rPr>
          <w:lang w:val="fr-FR"/>
        </w:rPr>
        <w:t>e, d</w:t>
      </w:r>
      <w:r w:rsidR="008544BB" w:rsidRPr="008544BB">
        <w:rPr>
          <w:lang w:val="fr-FR"/>
        </w:rPr>
        <w:t>’</w:t>
      </w:r>
      <w:r w:rsidR="00985ED9" w:rsidRPr="008544BB">
        <w:rPr>
          <w:lang w:val="fr-FR"/>
        </w:rPr>
        <w:t xml:space="preserve">après les services sociaux, </w:t>
      </w:r>
      <w:r w:rsidR="00954B8E" w:rsidRPr="008544BB">
        <w:rPr>
          <w:lang w:val="fr-FR"/>
        </w:rPr>
        <w:t>l</w:t>
      </w:r>
      <w:r w:rsidR="008544BB" w:rsidRPr="008544BB">
        <w:rPr>
          <w:lang w:val="fr-FR"/>
        </w:rPr>
        <w:t>’</w:t>
      </w:r>
      <w:r w:rsidR="00954B8E" w:rsidRPr="008544BB">
        <w:rPr>
          <w:lang w:val="fr-FR"/>
        </w:rPr>
        <w:t>intéressée</w:t>
      </w:r>
      <w:r w:rsidR="004A4240" w:rsidRPr="008544BB">
        <w:rPr>
          <w:lang w:val="fr-FR"/>
        </w:rPr>
        <w:t xml:space="preserve"> continuait à </w:t>
      </w:r>
      <w:r w:rsidR="00954B8E" w:rsidRPr="008544BB">
        <w:rPr>
          <w:lang w:val="fr-FR"/>
        </w:rPr>
        <w:t xml:space="preserve">se </w:t>
      </w:r>
      <w:r w:rsidR="004A4240" w:rsidRPr="008544BB">
        <w:rPr>
          <w:lang w:val="fr-FR"/>
        </w:rPr>
        <w:t>comporte</w:t>
      </w:r>
      <w:r w:rsidR="00954B8E" w:rsidRPr="008544BB">
        <w:rPr>
          <w:lang w:val="fr-FR"/>
        </w:rPr>
        <w:t>r de manière</w:t>
      </w:r>
      <w:r w:rsidR="004A4240" w:rsidRPr="008544BB">
        <w:rPr>
          <w:lang w:val="fr-FR"/>
        </w:rPr>
        <w:t xml:space="preserve"> préjudiciable </w:t>
      </w:r>
      <w:r w:rsidR="00954B8E" w:rsidRPr="008544BB">
        <w:rPr>
          <w:lang w:val="fr-FR"/>
        </w:rPr>
        <w:t>au bien-être</w:t>
      </w:r>
      <w:r w:rsidR="004A4240" w:rsidRPr="008544BB">
        <w:rPr>
          <w:lang w:val="fr-FR"/>
        </w:rPr>
        <w:t xml:space="preserve"> de ses enfants, </w:t>
      </w:r>
      <w:r w:rsidR="009B390C" w:rsidRPr="008544BB">
        <w:rPr>
          <w:lang w:val="fr-FR"/>
        </w:rPr>
        <w:t>ce qui</w:t>
      </w:r>
      <w:r w:rsidR="00954B8E" w:rsidRPr="008544BB">
        <w:rPr>
          <w:lang w:val="fr-FR"/>
        </w:rPr>
        <w:t>, pour lui,</w:t>
      </w:r>
      <w:r w:rsidR="009B390C" w:rsidRPr="008544BB">
        <w:rPr>
          <w:lang w:val="fr-FR"/>
        </w:rPr>
        <w:t xml:space="preserve"> </w:t>
      </w:r>
      <w:r w:rsidR="00954B8E" w:rsidRPr="008544BB">
        <w:rPr>
          <w:lang w:val="fr-FR"/>
        </w:rPr>
        <w:t>démontrait</w:t>
      </w:r>
      <w:r w:rsidR="009B390C" w:rsidRPr="008544BB">
        <w:rPr>
          <w:lang w:val="fr-FR"/>
        </w:rPr>
        <w:t xml:space="preserve"> l</w:t>
      </w:r>
      <w:r w:rsidR="008544BB" w:rsidRPr="008544BB">
        <w:rPr>
          <w:lang w:val="fr-FR"/>
        </w:rPr>
        <w:t>’</w:t>
      </w:r>
      <w:r w:rsidR="009B390C" w:rsidRPr="008544BB">
        <w:rPr>
          <w:lang w:val="fr-FR"/>
        </w:rPr>
        <w:t>absence</w:t>
      </w:r>
      <w:r w:rsidR="00E45DD3" w:rsidRPr="008544BB">
        <w:rPr>
          <w:lang w:val="fr-FR"/>
        </w:rPr>
        <w:t xml:space="preserve"> de progrès </w:t>
      </w:r>
      <w:r w:rsidR="00954B8E" w:rsidRPr="008544BB">
        <w:rPr>
          <w:lang w:val="fr-FR"/>
        </w:rPr>
        <w:t>quant à</w:t>
      </w:r>
      <w:r w:rsidR="00E45DD3" w:rsidRPr="008544BB">
        <w:rPr>
          <w:lang w:val="fr-FR"/>
        </w:rPr>
        <w:t xml:space="preserve"> s</w:t>
      </w:r>
      <w:r w:rsidR="00954B8E" w:rsidRPr="008544BB">
        <w:rPr>
          <w:lang w:val="fr-FR"/>
        </w:rPr>
        <w:t>es</w:t>
      </w:r>
      <w:r w:rsidR="00E45DD3" w:rsidRPr="008544BB">
        <w:rPr>
          <w:lang w:val="fr-FR"/>
        </w:rPr>
        <w:t xml:space="preserve"> capacité</w:t>
      </w:r>
      <w:r w:rsidR="00954B8E" w:rsidRPr="008544BB">
        <w:rPr>
          <w:lang w:val="fr-FR"/>
        </w:rPr>
        <w:t>s</w:t>
      </w:r>
      <w:r w:rsidR="00E45DD3" w:rsidRPr="008544BB">
        <w:rPr>
          <w:lang w:val="fr-FR"/>
        </w:rPr>
        <w:t xml:space="preserve"> parentale</w:t>
      </w:r>
      <w:r w:rsidR="00954B8E" w:rsidRPr="008544BB">
        <w:rPr>
          <w:lang w:val="fr-FR"/>
        </w:rPr>
        <w:t>s</w:t>
      </w:r>
      <w:r w:rsidR="004A4240" w:rsidRPr="008544BB">
        <w:rPr>
          <w:lang w:val="fr-FR"/>
        </w:rPr>
        <w:t>.</w:t>
      </w:r>
      <w:r w:rsidR="009145E6" w:rsidRPr="008544BB">
        <w:rPr>
          <w:lang w:val="fr-FR"/>
        </w:rPr>
        <w:t xml:space="preserve"> </w:t>
      </w:r>
      <w:r w:rsidR="004A4240" w:rsidRPr="008544BB">
        <w:rPr>
          <w:lang w:val="fr-FR"/>
        </w:rPr>
        <w:t xml:space="preserve">À ce </w:t>
      </w:r>
      <w:r w:rsidR="00954B8E" w:rsidRPr="008544BB">
        <w:rPr>
          <w:lang w:val="fr-FR"/>
        </w:rPr>
        <w:t>sujet</w:t>
      </w:r>
      <w:r w:rsidR="004A4240" w:rsidRPr="008544BB">
        <w:rPr>
          <w:lang w:val="fr-FR"/>
        </w:rPr>
        <w:t>, l</w:t>
      </w:r>
      <w:r w:rsidRPr="008544BB">
        <w:rPr>
          <w:lang w:val="fr-FR"/>
        </w:rPr>
        <w:t>e tribunal</w:t>
      </w:r>
      <w:r w:rsidR="004A4240" w:rsidRPr="008544BB">
        <w:rPr>
          <w:lang w:val="fr-FR"/>
        </w:rPr>
        <w:t xml:space="preserve"> faisait référence </w:t>
      </w:r>
      <w:r w:rsidR="009145E6" w:rsidRPr="008544BB">
        <w:rPr>
          <w:lang w:val="fr-FR"/>
        </w:rPr>
        <w:t>à</w:t>
      </w:r>
      <w:r w:rsidR="004A4240" w:rsidRPr="008544BB">
        <w:rPr>
          <w:lang w:val="fr-FR"/>
        </w:rPr>
        <w:t xml:space="preserve"> l</w:t>
      </w:r>
      <w:r w:rsidR="008544BB" w:rsidRPr="008544BB">
        <w:rPr>
          <w:lang w:val="fr-FR"/>
        </w:rPr>
        <w:t>’</w:t>
      </w:r>
      <w:r w:rsidR="004A4240" w:rsidRPr="008544BB">
        <w:rPr>
          <w:lang w:val="fr-FR"/>
        </w:rPr>
        <w:t xml:space="preserve">expertise du </w:t>
      </w:r>
      <w:r w:rsidR="00045B21" w:rsidRPr="008544BB">
        <w:rPr>
          <w:lang w:val="fr-FR"/>
        </w:rPr>
        <w:t>19 mai 2010</w:t>
      </w:r>
      <w:r w:rsidR="004A4240" w:rsidRPr="008544BB">
        <w:rPr>
          <w:lang w:val="fr-FR"/>
        </w:rPr>
        <w:t>.</w:t>
      </w:r>
      <w:r w:rsidRPr="008544BB">
        <w:rPr>
          <w:lang w:val="fr-FR"/>
        </w:rPr>
        <w:t xml:space="preserve"> </w:t>
      </w:r>
      <w:r w:rsidR="0040592F" w:rsidRPr="008544BB">
        <w:rPr>
          <w:lang w:val="fr-FR"/>
        </w:rPr>
        <w:t>En conséquence, i</w:t>
      </w:r>
      <w:r w:rsidRPr="008544BB">
        <w:rPr>
          <w:lang w:val="fr-FR"/>
        </w:rPr>
        <w:t xml:space="preserve">l ordonna </w:t>
      </w:r>
      <w:r w:rsidR="009145E6" w:rsidRPr="008544BB">
        <w:rPr>
          <w:lang w:val="fr-FR"/>
        </w:rPr>
        <w:t>la suspension de l</w:t>
      </w:r>
      <w:r w:rsidR="008544BB" w:rsidRPr="008544BB">
        <w:rPr>
          <w:lang w:val="fr-FR"/>
        </w:rPr>
        <w:t>’</w:t>
      </w:r>
      <w:r w:rsidR="009145E6" w:rsidRPr="008544BB">
        <w:rPr>
          <w:lang w:val="fr-FR"/>
        </w:rPr>
        <w:t>autorité parentale de la première requérante, en désignant un tuteur temporaire</w:t>
      </w:r>
      <w:r w:rsidR="00954B8E" w:rsidRPr="008544BB">
        <w:rPr>
          <w:lang w:val="fr-FR"/>
        </w:rPr>
        <w:t xml:space="preserve"> </w:t>
      </w:r>
      <w:r w:rsidR="00F37540" w:rsidRPr="008544BB">
        <w:rPr>
          <w:lang w:val="fr-FR"/>
        </w:rPr>
        <w:t>des</w:t>
      </w:r>
      <w:r w:rsidR="009145E6" w:rsidRPr="008544BB">
        <w:rPr>
          <w:lang w:val="fr-FR"/>
        </w:rPr>
        <w:t xml:space="preserve"> mineurs, </w:t>
      </w:r>
      <w:r w:rsidR="0040592F" w:rsidRPr="008544BB">
        <w:rPr>
          <w:lang w:val="fr-FR"/>
        </w:rPr>
        <w:t>ainsi que l</w:t>
      </w:r>
      <w:r w:rsidR="008544BB" w:rsidRPr="008544BB">
        <w:rPr>
          <w:lang w:val="fr-FR"/>
        </w:rPr>
        <w:t>’</w:t>
      </w:r>
      <w:r w:rsidR="0040592F" w:rsidRPr="008544BB">
        <w:rPr>
          <w:lang w:val="fr-FR"/>
        </w:rPr>
        <w:t>établissement d</w:t>
      </w:r>
      <w:r w:rsidR="008544BB" w:rsidRPr="008544BB">
        <w:rPr>
          <w:lang w:val="fr-FR"/>
        </w:rPr>
        <w:t>’</w:t>
      </w:r>
      <w:r w:rsidR="00252586" w:rsidRPr="008544BB">
        <w:rPr>
          <w:lang w:val="fr-FR"/>
        </w:rPr>
        <w:t xml:space="preserve">une évaluation psychologique des enfants et </w:t>
      </w:r>
      <w:r w:rsidR="00184425" w:rsidRPr="008544BB">
        <w:rPr>
          <w:lang w:val="fr-FR"/>
        </w:rPr>
        <w:t>l</w:t>
      </w:r>
      <w:r w:rsidR="0040592F" w:rsidRPr="008544BB">
        <w:rPr>
          <w:lang w:val="fr-FR"/>
        </w:rPr>
        <w:t>a</w:t>
      </w:r>
      <w:r w:rsidR="00252586" w:rsidRPr="008544BB">
        <w:rPr>
          <w:lang w:val="fr-FR"/>
        </w:rPr>
        <w:t xml:space="preserve"> prise en charge thérapeutique</w:t>
      </w:r>
      <w:r w:rsidR="0040592F" w:rsidRPr="008544BB">
        <w:rPr>
          <w:lang w:val="fr-FR"/>
        </w:rPr>
        <w:t xml:space="preserve"> de ceux-ci</w:t>
      </w:r>
      <w:r w:rsidR="00252586" w:rsidRPr="008544BB">
        <w:rPr>
          <w:lang w:val="fr-FR"/>
        </w:rPr>
        <w:t xml:space="preserve">. </w:t>
      </w:r>
      <w:r w:rsidR="00216A48" w:rsidRPr="008544BB">
        <w:rPr>
          <w:lang w:val="fr-FR"/>
        </w:rPr>
        <w:t>Enfin</w:t>
      </w:r>
      <w:r w:rsidR="00252586" w:rsidRPr="008544BB">
        <w:rPr>
          <w:lang w:val="fr-FR"/>
        </w:rPr>
        <w:t>,</w:t>
      </w:r>
      <w:r w:rsidR="009145E6" w:rsidRPr="008544BB">
        <w:rPr>
          <w:lang w:val="fr-FR"/>
        </w:rPr>
        <w:t xml:space="preserve"> </w:t>
      </w:r>
      <w:r w:rsidR="00252586" w:rsidRPr="008544BB">
        <w:rPr>
          <w:lang w:val="fr-FR"/>
        </w:rPr>
        <w:t xml:space="preserve">il chargea </w:t>
      </w:r>
      <w:r w:rsidR="00A70A9C" w:rsidRPr="008544BB">
        <w:rPr>
          <w:lang w:val="fr-FR"/>
        </w:rPr>
        <w:t>les services sociaux</w:t>
      </w:r>
      <w:r w:rsidR="00252586" w:rsidRPr="008544BB">
        <w:rPr>
          <w:lang w:val="fr-FR"/>
        </w:rPr>
        <w:t xml:space="preserve"> de trouver un nouvel établissement d</w:t>
      </w:r>
      <w:r w:rsidR="008544BB" w:rsidRPr="008544BB">
        <w:rPr>
          <w:lang w:val="fr-FR"/>
        </w:rPr>
        <w:t>’</w:t>
      </w:r>
      <w:r w:rsidR="00184425" w:rsidRPr="008544BB">
        <w:rPr>
          <w:lang w:val="fr-FR"/>
        </w:rPr>
        <w:t>accueil</w:t>
      </w:r>
      <w:r w:rsidR="00F37540" w:rsidRPr="008544BB">
        <w:rPr>
          <w:lang w:val="fr-FR"/>
        </w:rPr>
        <w:t>, dont l</w:t>
      </w:r>
      <w:r w:rsidR="008544BB" w:rsidRPr="008544BB">
        <w:rPr>
          <w:lang w:val="fr-FR"/>
        </w:rPr>
        <w:t>’</w:t>
      </w:r>
      <w:r w:rsidR="00F37540" w:rsidRPr="008544BB">
        <w:rPr>
          <w:lang w:val="fr-FR"/>
        </w:rPr>
        <w:t xml:space="preserve">adresse </w:t>
      </w:r>
      <w:r w:rsidR="00702142" w:rsidRPr="008544BB">
        <w:rPr>
          <w:lang w:val="fr-FR"/>
        </w:rPr>
        <w:t xml:space="preserve">ne </w:t>
      </w:r>
      <w:r w:rsidR="00F37540" w:rsidRPr="008544BB">
        <w:rPr>
          <w:lang w:val="fr-FR"/>
        </w:rPr>
        <w:t>devait</w:t>
      </w:r>
      <w:r w:rsidR="00702142" w:rsidRPr="008544BB">
        <w:rPr>
          <w:lang w:val="fr-FR"/>
        </w:rPr>
        <w:t xml:space="preserve"> pas être communiqué</w:t>
      </w:r>
      <w:r w:rsidR="0040592F" w:rsidRPr="008544BB">
        <w:rPr>
          <w:lang w:val="fr-FR"/>
        </w:rPr>
        <w:t>e</w:t>
      </w:r>
      <w:r w:rsidR="00702142" w:rsidRPr="008544BB">
        <w:rPr>
          <w:lang w:val="fr-FR"/>
        </w:rPr>
        <w:t xml:space="preserve"> à la première requérante</w:t>
      </w:r>
      <w:r w:rsidR="00F37540" w:rsidRPr="008544BB">
        <w:rPr>
          <w:lang w:val="fr-FR"/>
        </w:rPr>
        <w:t xml:space="preserve"> afin d</w:t>
      </w:r>
      <w:r w:rsidR="008544BB" w:rsidRPr="008544BB">
        <w:rPr>
          <w:lang w:val="fr-FR"/>
        </w:rPr>
        <w:t>’</w:t>
      </w:r>
      <w:r w:rsidR="00F37540" w:rsidRPr="008544BB">
        <w:rPr>
          <w:lang w:val="fr-FR"/>
        </w:rPr>
        <w:t xml:space="preserve">éviter </w:t>
      </w:r>
      <w:r w:rsidR="0040592F" w:rsidRPr="008544BB">
        <w:rPr>
          <w:lang w:val="fr-FR"/>
        </w:rPr>
        <w:t>d</w:t>
      </w:r>
      <w:r w:rsidR="00F37540" w:rsidRPr="008544BB">
        <w:rPr>
          <w:lang w:val="fr-FR"/>
        </w:rPr>
        <w:t xml:space="preserve">es interférences </w:t>
      </w:r>
      <w:r w:rsidR="0040592F" w:rsidRPr="008544BB">
        <w:rPr>
          <w:lang w:val="fr-FR"/>
        </w:rPr>
        <w:t xml:space="preserve">telles que celles </w:t>
      </w:r>
      <w:r w:rsidR="00F37540" w:rsidRPr="008544BB">
        <w:rPr>
          <w:lang w:val="fr-FR"/>
        </w:rPr>
        <w:t>commises auparavant</w:t>
      </w:r>
      <w:r w:rsidR="0040592F" w:rsidRPr="008544BB">
        <w:rPr>
          <w:lang w:val="fr-FR"/>
        </w:rPr>
        <w:t xml:space="preserve"> par cette dernière</w:t>
      </w:r>
      <w:r w:rsidR="00702142" w:rsidRPr="008544BB">
        <w:rPr>
          <w:lang w:val="fr-FR"/>
        </w:rPr>
        <w:t>. Le</w:t>
      </w:r>
      <w:r w:rsidR="00A70A9C" w:rsidRPr="008544BB">
        <w:rPr>
          <w:lang w:val="fr-FR"/>
        </w:rPr>
        <w:t xml:space="preserve"> tribunal ordonna aussi </w:t>
      </w:r>
      <w:r w:rsidR="0049670F" w:rsidRPr="008544BB">
        <w:rPr>
          <w:lang w:val="fr-FR"/>
        </w:rPr>
        <w:t>la poursuite d</w:t>
      </w:r>
      <w:r w:rsidR="00702142" w:rsidRPr="008544BB">
        <w:rPr>
          <w:lang w:val="fr-FR"/>
        </w:rPr>
        <w:t>es</w:t>
      </w:r>
      <w:r w:rsidR="00042D00" w:rsidRPr="008544BB">
        <w:rPr>
          <w:lang w:val="fr-FR"/>
        </w:rPr>
        <w:t xml:space="preserve"> rencontres</w:t>
      </w:r>
      <w:r w:rsidR="00702142" w:rsidRPr="008544BB">
        <w:rPr>
          <w:lang w:val="fr-FR"/>
        </w:rPr>
        <w:t xml:space="preserve"> </w:t>
      </w:r>
      <w:r w:rsidR="00A70A9C" w:rsidRPr="008544BB">
        <w:rPr>
          <w:lang w:val="fr-FR"/>
        </w:rPr>
        <w:t>en milieu protégé</w:t>
      </w:r>
      <w:r w:rsidR="0040592F" w:rsidRPr="008544BB">
        <w:rPr>
          <w:lang w:val="fr-FR"/>
        </w:rPr>
        <w:t>, une fois par mois</w:t>
      </w:r>
      <w:r w:rsidR="00042D00" w:rsidRPr="008544BB">
        <w:rPr>
          <w:lang w:val="fr-FR"/>
        </w:rPr>
        <w:t>.</w:t>
      </w:r>
    </w:p>
    <w:p w:rsidR="00DA01D3" w:rsidRPr="008544BB" w:rsidRDefault="004A4240" w:rsidP="008544BB">
      <w:pPr>
        <w:pStyle w:val="ECHRPara"/>
        <w:rPr>
          <w:lang w:val="fr-FR"/>
        </w:rPr>
      </w:pPr>
      <w:r w:rsidRPr="008544BB">
        <w:fldChar w:fldCharType="begin"/>
      </w:r>
      <w:r w:rsidRPr="008544BB">
        <w:rPr>
          <w:lang w:val="fr-FR"/>
        </w:rPr>
        <w:instrText xml:space="preserve"> SEQ level0 \*arabic </w:instrText>
      </w:r>
      <w:r w:rsidRPr="008544BB">
        <w:fldChar w:fldCharType="separate"/>
      </w:r>
      <w:r w:rsidR="008544BB" w:rsidRPr="008544BB">
        <w:rPr>
          <w:noProof/>
          <w:lang w:val="fr-FR"/>
        </w:rPr>
        <w:t>32</w:t>
      </w:r>
      <w:r w:rsidRPr="008544BB">
        <w:fldChar w:fldCharType="end"/>
      </w:r>
      <w:r w:rsidRPr="008544BB">
        <w:rPr>
          <w:lang w:val="fr-FR"/>
        </w:rPr>
        <w:t xml:space="preserve">.  Le 15 janvier 2013, </w:t>
      </w:r>
      <w:r w:rsidR="00F37540" w:rsidRPr="008544BB">
        <w:rPr>
          <w:lang w:val="fr-FR"/>
        </w:rPr>
        <w:t>la première requérante</w:t>
      </w:r>
      <w:r w:rsidRPr="008544BB">
        <w:rPr>
          <w:lang w:val="fr-FR"/>
        </w:rPr>
        <w:t xml:space="preserve"> </w:t>
      </w:r>
      <w:r w:rsidR="0012335B" w:rsidRPr="008544BB">
        <w:rPr>
          <w:lang w:val="fr-FR"/>
        </w:rPr>
        <w:t>interjeta appel de la décision du 9 novembre 2012 devant</w:t>
      </w:r>
      <w:r w:rsidRPr="008544BB">
        <w:rPr>
          <w:lang w:val="fr-FR"/>
        </w:rPr>
        <w:t xml:space="preserve"> la cour d</w:t>
      </w:r>
      <w:r w:rsidR="008544BB" w:rsidRPr="008544BB">
        <w:rPr>
          <w:lang w:val="fr-FR"/>
        </w:rPr>
        <w:t>’</w:t>
      </w:r>
      <w:r w:rsidRPr="008544BB">
        <w:rPr>
          <w:lang w:val="fr-FR"/>
        </w:rPr>
        <w:t>appel de Rome</w:t>
      </w:r>
      <w:r w:rsidR="00F73A7E" w:rsidRPr="008544BB">
        <w:rPr>
          <w:lang w:val="fr-FR"/>
        </w:rPr>
        <w:t xml:space="preserve">. Elle </w:t>
      </w:r>
      <w:r w:rsidR="00F73A7E" w:rsidRPr="008544BB">
        <w:rPr>
          <w:lang w:val="fr-FR"/>
        </w:rPr>
        <w:lastRenderedPageBreak/>
        <w:t>contesta</w:t>
      </w:r>
      <w:r w:rsidR="0012335B" w:rsidRPr="008544BB">
        <w:rPr>
          <w:lang w:val="fr-FR"/>
        </w:rPr>
        <w:t>it</w:t>
      </w:r>
      <w:r w:rsidR="00F73A7E" w:rsidRPr="008544BB">
        <w:rPr>
          <w:lang w:val="fr-FR"/>
        </w:rPr>
        <w:t xml:space="preserve"> </w:t>
      </w:r>
      <w:r w:rsidR="00DA01D3" w:rsidRPr="008544BB">
        <w:rPr>
          <w:lang w:val="fr-FR"/>
        </w:rPr>
        <w:t>entre autres</w:t>
      </w:r>
      <w:r w:rsidR="00F73A7E" w:rsidRPr="008544BB">
        <w:rPr>
          <w:lang w:val="fr-FR"/>
        </w:rPr>
        <w:t xml:space="preserve"> la suspension de son autorité parentale, fondée sur l</w:t>
      </w:r>
      <w:r w:rsidR="008544BB" w:rsidRPr="008544BB">
        <w:rPr>
          <w:lang w:val="fr-FR"/>
        </w:rPr>
        <w:t>’</w:t>
      </w:r>
      <w:r w:rsidR="00F73A7E" w:rsidRPr="008544BB">
        <w:rPr>
          <w:lang w:val="fr-FR"/>
        </w:rPr>
        <w:t xml:space="preserve">expertise </w:t>
      </w:r>
      <w:r w:rsidR="0012335B" w:rsidRPr="008544BB">
        <w:rPr>
          <w:lang w:val="fr-FR"/>
        </w:rPr>
        <w:t>en date du 19 mai</w:t>
      </w:r>
      <w:r w:rsidR="00F73A7E" w:rsidRPr="008544BB">
        <w:rPr>
          <w:lang w:val="fr-FR"/>
        </w:rPr>
        <w:t xml:space="preserve"> 2010, et </w:t>
      </w:r>
      <w:r w:rsidR="00042D00" w:rsidRPr="008544BB">
        <w:rPr>
          <w:lang w:val="fr-FR"/>
        </w:rPr>
        <w:t>sollicita</w:t>
      </w:r>
      <w:r w:rsidR="009803D7" w:rsidRPr="008544BB">
        <w:rPr>
          <w:lang w:val="fr-FR"/>
        </w:rPr>
        <w:t>it</w:t>
      </w:r>
      <w:r w:rsidR="00F73A7E" w:rsidRPr="008544BB">
        <w:rPr>
          <w:lang w:val="fr-FR"/>
        </w:rPr>
        <w:t xml:space="preserve"> à cet égard </w:t>
      </w:r>
      <w:r w:rsidRPr="008544BB">
        <w:rPr>
          <w:lang w:val="fr-FR"/>
        </w:rPr>
        <w:t xml:space="preserve">une nouvelle </w:t>
      </w:r>
      <w:r w:rsidR="00F73A7E" w:rsidRPr="008544BB">
        <w:rPr>
          <w:lang w:val="fr-FR"/>
        </w:rPr>
        <w:t>évaluation de</w:t>
      </w:r>
      <w:r w:rsidRPr="008544BB">
        <w:rPr>
          <w:lang w:val="fr-FR"/>
        </w:rPr>
        <w:t xml:space="preserve"> s</w:t>
      </w:r>
      <w:r w:rsidR="00F37540" w:rsidRPr="008544BB">
        <w:rPr>
          <w:lang w:val="fr-FR"/>
        </w:rPr>
        <w:t>on état psychologique</w:t>
      </w:r>
      <w:r w:rsidR="007C5982" w:rsidRPr="008544BB">
        <w:rPr>
          <w:lang w:val="fr-FR"/>
        </w:rPr>
        <w:t xml:space="preserve"> </w:t>
      </w:r>
      <w:r w:rsidR="00487360" w:rsidRPr="008544BB">
        <w:rPr>
          <w:lang w:val="fr-FR"/>
        </w:rPr>
        <w:t>afin qu</w:t>
      </w:r>
      <w:r w:rsidR="008544BB" w:rsidRPr="008544BB">
        <w:rPr>
          <w:lang w:val="fr-FR"/>
        </w:rPr>
        <w:t>’</w:t>
      </w:r>
      <w:r w:rsidR="00487360" w:rsidRPr="008544BB">
        <w:rPr>
          <w:lang w:val="fr-FR"/>
        </w:rPr>
        <w:t>une</w:t>
      </w:r>
      <w:r w:rsidR="0049670F" w:rsidRPr="008544BB">
        <w:rPr>
          <w:lang w:val="fr-FR"/>
        </w:rPr>
        <w:t xml:space="preserve"> réunification familial</w:t>
      </w:r>
      <w:r w:rsidR="00F73A7E" w:rsidRPr="008544BB">
        <w:rPr>
          <w:lang w:val="fr-FR"/>
        </w:rPr>
        <w:t>e</w:t>
      </w:r>
      <w:r w:rsidR="00487360" w:rsidRPr="008544BB">
        <w:rPr>
          <w:lang w:val="fr-FR"/>
        </w:rPr>
        <w:t xml:space="preserve"> fût rendue possible</w:t>
      </w:r>
      <w:r w:rsidR="007C5982" w:rsidRPr="008544BB">
        <w:rPr>
          <w:lang w:val="fr-FR"/>
        </w:rPr>
        <w:t>.</w:t>
      </w:r>
    </w:p>
    <w:bookmarkStart w:id="16" w:name="Separation_enfants"/>
    <w:p w:rsidR="001F3C47" w:rsidRPr="008544BB" w:rsidRDefault="00FB7DB0"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33</w:t>
      </w:r>
      <w:r w:rsidRPr="008544BB">
        <w:rPr>
          <w:lang w:val="fr-FR"/>
        </w:rPr>
        <w:fldChar w:fldCharType="end"/>
      </w:r>
      <w:bookmarkEnd w:id="16"/>
      <w:r w:rsidRPr="008544BB">
        <w:rPr>
          <w:lang w:val="fr-FR"/>
        </w:rPr>
        <w:t>.  À partir du mois de mars 2013, les enfants furent placés dans deux structures</w:t>
      </w:r>
      <w:r w:rsidR="00E16F56" w:rsidRPr="008544BB">
        <w:rPr>
          <w:lang w:val="fr-FR"/>
        </w:rPr>
        <w:t xml:space="preserve"> d</w:t>
      </w:r>
      <w:r w:rsidR="008544BB" w:rsidRPr="008544BB">
        <w:rPr>
          <w:lang w:val="fr-FR"/>
        </w:rPr>
        <w:t>’</w:t>
      </w:r>
      <w:r w:rsidR="00E16F56" w:rsidRPr="008544BB">
        <w:rPr>
          <w:lang w:val="fr-FR"/>
        </w:rPr>
        <w:t>accueil</w:t>
      </w:r>
      <w:r w:rsidR="005F68A4" w:rsidRPr="008544BB">
        <w:rPr>
          <w:lang w:val="fr-FR"/>
        </w:rPr>
        <w:t xml:space="preserve"> distinctes</w:t>
      </w:r>
      <w:r w:rsidRPr="008544BB">
        <w:rPr>
          <w:lang w:val="fr-FR"/>
        </w:rPr>
        <w:t>.</w:t>
      </w:r>
      <w:r w:rsidR="005F68A4" w:rsidRPr="008544BB">
        <w:rPr>
          <w:lang w:val="fr-FR"/>
        </w:rPr>
        <w:t xml:space="preserve"> D</w:t>
      </w:r>
      <w:r w:rsidR="008544BB" w:rsidRPr="008544BB">
        <w:rPr>
          <w:lang w:val="fr-FR"/>
        </w:rPr>
        <w:t>’</w:t>
      </w:r>
      <w:r w:rsidR="005F68A4" w:rsidRPr="008544BB">
        <w:rPr>
          <w:lang w:val="fr-FR"/>
        </w:rPr>
        <w:t xml:space="preserve">après les autorités, </w:t>
      </w:r>
      <w:r w:rsidR="000401CF" w:rsidRPr="008544BB">
        <w:rPr>
          <w:lang w:val="fr-FR"/>
        </w:rPr>
        <w:t>ces établissements étaient suffisamment proches</w:t>
      </w:r>
      <w:r w:rsidR="000968DE" w:rsidRPr="008544BB">
        <w:rPr>
          <w:lang w:val="fr-FR"/>
        </w:rPr>
        <w:t xml:space="preserve"> pour permettre</w:t>
      </w:r>
      <w:r w:rsidR="005F68A4" w:rsidRPr="008544BB">
        <w:rPr>
          <w:lang w:val="fr-FR"/>
        </w:rPr>
        <w:t xml:space="preserve"> le maintien du lien affectif entre </w:t>
      </w:r>
      <w:r w:rsidR="0012335B" w:rsidRPr="008544BB">
        <w:rPr>
          <w:lang w:val="fr-FR"/>
        </w:rPr>
        <w:t>eux</w:t>
      </w:r>
      <w:r w:rsidR="005F68A4" w:rsidRPr="008544BB">
        <w:rPr>
          <w:lang w:val="fr-FR"/>
        </w:rPr>
        <w:t>.</w:t>
      </w:r>
      <w:r w:rsidR="000401CF" w:rsidRPr="008544BB">
        <w:rPr>
          <w:lang w:val="fr-FR"/>
        </w:rPr>
        <w:t xml:space="preserve"> </w:t>
      </w:r>
      <w:r w:rsidR="0012335B" w:rsidRPr="008544BB">
        <w:rPr>
          <w:rFonts w:cstheme="minorHAnsi"/>
          <w:lang w:val="fr-FR"/>
        </w:rPr>
        <w:t>À</w:t>
      </w:r>
      <w:r w:rsidR="000401CF" w:rsidRPr="008544BB">
        <w:rPr>
          <w:lang w:val="fr-FR"/>
        </w:rPr>
        <w:t xml:space="preserve"> la même période, </w:t>
      </w:r>
      <w:r w:rsidR="0012335B" w:rsidRPr="008544BB">
        <w:rPr>
          <w:lang w:val="fr-FR"/>
        </w:rPr>
        <w:t>les mineurs</w:t>
      </w:r>
      <w:r w:rsidR="000401CF" w:rsidRPr="008544BB">
        <w:rPr>
          <w:lang w:val="fr-FR"/>
        </w:rPr>
        <w:t xml:space="preserve"> commencèrent </w:t>
      </w:r>
      <w:r w:rsidR="0012335B" w:rsidRPr="008544BB">
        <w:rPr>
          <w:lang w:val="fr-FR"/>
        </w:rPr>
        <w:t xml:space="preserve">à suivre </w:t>
      </w:r>
      <w:r w:rsidR="000401CF" w:rsidRPr="008544BB">
        <w:rPr>
          <w:lang w:val="fr-FR"/>
        </w:rPr>
        <w:t>un parcours psychothérapeutique adapté à leur</w:t>
      </w:r>
      <w:r w:rsidR="0012335B" w:rsidRPr="008544BB">
        <w:rPr>
          <w:lang w:val="fr-FR"/>
        </w:rPr>
        <w:t>s</w:t>
      </w:r>
      <w:r w:rsidR="000401CF" w:rsidRPr="008544BB">
        <w:rPr>
          <w:lang w:val="fr-FR"/>
        </w:rPr>
        <w:t xml:space="preserve"> âge</w:t>
      </w:r>
      <w:r w:rsidR="0012335B" w:rsidRPr="008544BB">
        <w:rPr>
          <w:lang w:val="fr-FR"/>
        </w:rPr>
        <w:t>s</w:t>
      </w:r>
      <w:r w:rsidR="000401CF" w:rsidRPr="008544BB">
        <w:rPr>
          <w:lang w:val="fr-FR"/>
        </w:rPr>
        <w:t xml:space="preserve"> et besoins</w:t>
      </w:r>
      <w:r w:rsidR="00184425" w:rsidRPr="008544BB">
        <w:rPr>
          <w:lang w:val="fr-FR"/>
        </w:rPr>
        <w:t xml:space="preserve"> respectifs</w:t>
      </w:r>
      <w:r w:rsidR="000401CF" w:rsidRPr="008544BB">
        <w:rPr>
          <w:lang w:val="fr-FR"/>
        </w:rPr>
        <w:t>.</w:t>
      </w:r>
    </w:p>
    <w:p w:rsidR="004A4240" w:rsidRPr="008544BB" w:rsidRDefault="002F266D"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34</w:t>
      </w:r>
      <w:r w:rsidRPr="008544BB">
        <w:rPr>
          <w:lang w:val="fr-FR"/>
        </w:rPr>
        <w:fldChar w:fldCharType="end"/>
      </w:r>
      <w:r w:rsidRPr="008544BB">
        <w:rPr>
          <w:lang w:val="fr-FR"/>
        </w:rPr>
        <w:t>.  Le 3 avril 2013, la cour d</w:t>
      </w:r>
      <w:r w:rsidR="008544BB" w:rsidRPr="008544BB">
        <w:rPr>
          <w:lang w:val="fr-FR"/>
        </w:rPr>
        <w:t>’</w:t>
      </w:r>
      <w:r w:rsidRPr="008544BB">
        <w:rPr>
          <w:lang w:val="fr-FR"/>
        </w:rPr>
        <w:t>appel de Rome rejeta l</w:t>
      </w:r>
      <w:r w:rsidR="008544BB" w:rsidRPr="008544BB">
        <w:rPr>
          <w:lang w:val="fr-FR"/>
        </w:rPr>
        <w:t>’</w:t>
      </w:r>
      <w:r w:rsidR="00FB7DB0" w:rsidRPr="008544BB">
        <w:rPr>
          <w:lang w:val="fr-FR"/>
        </w:rPr>
        <w:t>appel</w:t>
      </w:r>
      <w:r w:rsidR="0012335B" w:rsidRPr="008544BB">
        <w:rPr>
          <w:lang w:val="fr-FR"/>
        </w:rPr>
        <w:t xml:space="preserve"> de la première requérante, </w:t>
      </w:r>
      <w:r w:rsidR="00271A98" w:rsidRPr="008544BB">
        <w:rPr>
          <w:lang w:val="fr-FR"/>
        </w:rPr>
        <w:t>considérant que l</w:t>
      </w:r>
      <w:r w:rsidR="00985ED9" w:rsidRPr="008544BB">
        <w:rPr>
          <w:lang w:val="fr-FR"/>
        </w:rPr>
        <w:t>a décision</w:t>
      </w:r>
      <w:r w:rsidR="00271A98" w:rsidRPr="008544BB">
        <w:rPr>
          <w:lang w:val="fr-FR"/>
        </w:rPr>
        <w:t xml:space="preserve"> entrepris</w:t>
      </w:r>
      <w:r w:rsidR="00985ED9" w:rsidRPr="008544BB">
        <w:rPr>
          <w:lang w:val="fr-FR"/>
        </w:rPr>
        <w:t>e</w:t>
      </w:r>
      <w:r w:rsidR="00271A98" w:rsidRPr="008544BB">
        <w:rPr>
          <w:lang w:val="fr-FR"/>
        </w:rPr>
        <w:t xml:space="preserve"> </w:t>
      </w:r>
      <w:r w:rsidR="008173BF" w:rsidRPr="008544BB">
        <w:rPr>
          <w:lang w:val="fr-FR"/>
        </w:rPr>
        <w:t xml:space="preserve">visait à </w:t>
      </w:r>
      <w:r w:rsidR="00271A98" w:rsidRPr="008544BB">
        <w:rPr>
          <w:lang w:val="fr-FR"/>
        </w:rPr>
        <w:t>garantir le déroulement d</w:t>
      </w:r>
      <w:r w:rsidR="008544BB" w:rsidRPr="008544BB">
        <w:rPr>
          <w:lang w:val="fr-FR"/>
        </w:rPr>
        <w:t>’</w:t>
      </w:r>
      <w:r w:rsidR="00271A98" w:rsidRPr="008544BB">
        <w:rPr>
          <w:lang w:val="fr-FR"/>
        </w:rPr>
        <w:t>u</w:t>
      </w:r>
      <w:r w:rsidR="004523D8" w:rsidRPr="008544BB">
        <w:rPr>
          <w:lang w:val="fr-FR"/>
        </w:rPr>
        <w:t>n</w:t>
      </w:r>
      <w:r w:rsidR="00271A98" w:rsidRPr="008544BB">
        <w:rPr>
          <w:lang w:val="fr-FR"/>
        </w:rPr>
        <w:t xml:space="preserve"> parcours </w:t>
      </w:r>
      <w:r w:rsidR="009B390C" w:rsidRPr="008544BB">
        <w:rPr>
          <w:lang w:val="fr-FR"/>
        </w:rPr>
        <w:t>thérapeutique adapté à cha</w:t>
      </w:r>
      <w:r w:rsidR="0012335B" w:rsidRPr="008544BB">
        <w:rPr>
          <w:lang w:val="fr-FR"/>
        </w:rPr>
        <w:t>cun des</w:t>
      </w:r>
      <w:r w:rsidR="009B390C" w:rsidRPr="008544BB">
        <w:rPr>
          <w:lang w:val="fr-FR"/>
        </w:rPr>
        <w:t xml:space="preserve"> enfant</w:t>
      </w:r>
      <w:r w:rsidR="0012335B" w:rsidRPr="008544BB">
        <w:rPr>
          <w:lang w:val="fr-FR"/>
        </w:rPr>
        <w:t>s</w:t>
      </w:r>
      <w:r w:rsidRPr="008544BB">
        <w:rPr>
          <w:lang w:val="fr-FR"/>
        </w:rPr>
        <w:t>.</w:t>
      </w:r>
      <w:r w:rsidR="0012335B" w:rsidRPr="008544BB">
        <w:rPr>
          <w:lang w:val="fr-FR"/>
        </w:rPr>
        <w:t xml:space="preserve"> </w:t>
      </w:r>
      <w:r w:rsidR="00CA45E9" w:rsidRPr="008544BB">
        <w:rPr>
          <w:lang w:val="fr-FR"/>
        </w:rPr>
        <w:t xml:space="preserve">Elle constata </w:t>
      </w:r>
      <w:r w:rsidR="002A6C14" w:rsidRPr="008544BB">
        <w:rPr>
          <w:lang w:val="fr-FR"/>
        </w:rPr>
        <w:t>en outre</w:t>
      </w:r>
      <w:r w:rsidR="00CA45E9" w:rsidRPr="008544BB">
        <w:rPr>
          <w:lang w:val="fr-FR"/>
        </w:rPr>
        <w:t xml:space="preserve"> que les rencontres continuaient à avoir lieu</w:t>
      </w:r>
      <w:r w:rsidR="00985ED9" w:rsidRPr="008544BB">
        <w:rPr>
          <w:lang w:val="fr-FR"/>
        </w:rPr>
        <w:t>.</w:t>
      </w:r>
    </w:p>
    <w:p w:rsidR="004A4240" w:rsidRPr="008544BB" w:rsidRDefault="00121B2E"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35</w:t>
      </w:r>
      <w:r w:rsidRPr="008544BB">
        <w:rPr>
          <w:lang w:val="fr-FR"/>
        </w:rPr>
        <w:fldChar w:fldCharType="end"/>
      </w:r>
      <w:r w:rsidRPr="008544BB">
        <w:rPr>
          <w:lang w:val="fr-FR"/>
        </w:rPr>
        <w:t>.  </w:t>
      </w:r>
      <w:r w:rsidR="004523D8" w:rsidRPr="008544BB">
        <w:rPr>
          <w:lang w:val="fr-FR"/>
        </w:rPr>
        <w:t xml:space="preserve">Le 18 mars 2014, le tribunal </w:t>
      </w:r>
      <w:r w:rsidR="00B66769" w:rsidRPr="008544BB">
        <w:rPr>
          <w:lang w:val="fr-FR"/>
        </w:rPr>
        <w:t xml:space="preserve">pour enfants </w:t>
      </w:r>
      <w:r w:rsidR="004523D8" w:rsidRPr="008544BB">
        <w:rPr>
          <w:lang w:val="fr-FR"/>
        </w:rPr>
        <w:t>convoqua les requérantes, le tuteur et l</w:t>
      </w:r>
      <w:r w:rsidR="002B6D21" w:rsidRPr="008544BB">
        <w:rPr>
          <w:lang w:val="fr-FR"/>
        </w:rPr>
        <w:t>a</w:t>
      </w:r>
      <w:r w:rsidR="004523D8" w:rsidRPr="008544BB">
        <w:rPr>
          <w:lang w:val="fr-FR"/>
        </w:rPr>
        <w:t xml:space="preserve"> curat</w:t>
      </w:r>
      <w:r w:rsidR="002B6D21" w:rsidRPr="008544BB">
        <w:rPr>
          <w:lang w:val="fr-FR"/>
        </w:rPr>
        <w:t>rice</w:t>
      </w:r>
      <w:r w:rsidR="004523D8" w:rsidRPr="008544BB">
        <w:rPr>
          <w:lang w:val="fr-FR"/>
        </w:rPr>
        <w:t xml:space="preserve"> des enfants ainsi que les services sociaux de Grottaferrata afin d</w:t>
      </w:r>
      <w:r w:rsidR="008544BB" w:rsidRPr="008544BB">
        <w:rPr>
          <w:lang w:val="fr-FR"/>
        </w:rPr>
        <w:t>’</w:t>
      </w:r>
      <w:r w:rsidR="004523D8" w:rsidRPr="008544BB">
        <w:rPr>
          <w:lang w:val="fr-FR"/>
        </w:rPr>
        <w:t>évaluer la suspension de</w:t>
      </w:r>
      <w:r w:rsidR="00B7785F" w:rsidRPr="008544BB">
        <w:rPr>
          <w:lang w:val="fr-FR"/>
        </w:rPr>
        <w:t xml:space="preserve"> l</w:t>
      </w:r>
      <w:r w:rsidR="008544BB" w:rsidRPr="008544BB">
        <w:rPr>
          <w:lang w:val="fr-FR"/>
        </w:rPr>
        <w:t>’</w:t>
      </w:r>
      <w:r w:rsidR="00B7785F" w:rsidRPr="008544BB">
        <w:rPr>
          <w:lang w:val="fr-FR"/>
        </w:rPr>
        <w:t>autorité parentale.</w:t>
      </w:r>
      <w:r w:rsidR="008D7508" w:rsidRPr="008544BB">
        <w:rPr>
          <w:lang w:val="fr-FR"/>
        </w:rPr>
        <w:t xml:space="preserve"> </w:t>
      </w:r>
      <w:r w:rsidR="00FC2E4D" w:rsidRPr="008544BB">
        <w:rPr>
          <w:lang w:val="fr-FR"/>
        </w:rPr>
        <w:t>À</w:t>
      </w:r>
      <w:r w:rsidR="00706295" w:rsidRPr="008544BB">
        <w:rPr>
          <w:lang w:val="fr-FR"/>
        </w:rPr>
        <w:t xml:space="preserve"> l</w:t>
      </w:r>
      <w:r w:rsidR="008544BB" w:rsidRPr="008544BB">
        <w:rPr>
          <w:lang w:val="fr-FR"/>
        </w:rPr>
        <w:t>’</w:t>
      </w:r>
      <w:r w:rsidR="00706295" w:rsidRPr="008544BB">
        <w:rPr>
          <w:lang w:val="fr-FR"/>
        </w:rPr>
        <w:t>issue de l</w:t>
      </w:r>
      <w:r w:rsidR="008544BB" w:rsidRPr="008544BB">
        <w:rPr>
          <w:lang w:val="fr-FR"/>
        </w:rPr>
        <w:t>’</w:t>
      </w:r>
      <w:r w:rsidR="00706295" w:rsidRPr="008544BB">
        <w:rPr>
          <w:lang w:val="fr-FR"/>
        </w:rPr>
        <w:t>audience</w:t>
      </w:r>
      <w:r w:rsidR="008D7508" w:rsidRPr="008544BB">
        <w:rPr>
          <w:lang w:val="fr-FR"/>
        </w:rPr>
        <w:t>, le tribunal</w:t>
      </w:r>
      <w:r w:rsidR="00706295" w:rsidRPr="008544BB">
        <w:rPr>
          <w:lang w:val="fr-FR"/>
        </w:rPr>
        <w:t xml:space="preserve"> releva que les rapports entre la première et la deuxième requérante </w:t>
      </w:r>
      <w:r w:rsidR="008D7508" w:rsidRPr="008544BB">
        <w:rPr>
          <w:lang w:val="fr-FR"/>
        </w:rPr>
        <w:t>avaient radicalement changé</w:t>
      </w:r>
      <w:r w:rsidR="00985ED9" w:rsidRPr="008544BB">
        <w:rPr>
          <w:lang w:val="fr-FR"/>
        </w:rPr>
        <w:t xml:space="preserve"> et que depuis quelque temps </w:t>
      </w:r>
      <w:r w:rsidR="008173BF" w:rsidRPr="008544BB">
        <w:rPr>
          <w:lang w:val="fr-FR"/>
        </w:rPr>
        <w:t xml:space="preserve">la première requérante </w:t>
      </w:r>
      <w:r w:rsidR="00985ED9" w:rsidRPr="008544BB">
        <w:rPr>
          <w:lang w:val="fr-FR"/>
        </w:rPr>
        <w:t xml:space="preserve">habitait </w:t>
      </w:r>
      <w:r w:rsidR="008173BF" w:rsidRPr="008544BB">
        <w:rPr>
          <w:lang w:val="fr-FR"/>
        </w:rPr>
        <w:t xml:space="preserve">chez </w:t>
      </w:r>
      <w:r w:rsidR="00985ED9" w:rsidRPr="008544BB">
        <w:rPr>
          <w:lang w:val="fr-FR"/>
        </w:rPr>
        <w:t>la deuxième requérante</w:t>
      </w:r>
      <w:r w:rsidR="00706295" w:rsidRPr="008544BB">
        <w:rPr>
          <w:lang w:val="fr-FR"/>
        </w:rPr>
        <w:t xml:space="preserve">. </w:t>
      </w:r>
      <w:r w:rsidR="00985ED9" w:rsidRPr="008544BB">
        <w:rPr>
          <w:lang w:val="fr-FR"/>
        </w:rPr>
        <w:t>I</w:t>
      </w:r>
      <w:r w:rsidR="003F5BB7" w:rsidRPr="008544BB">
        <w:rPr>
          <w:lang w:val="fr-FR"/>
        </w:rPr>
        <w:t>l constata</w:t>
      </w:r>
      <w:r w:rsidR="00985ED9" w:rsidRPr="008544BB">
        <w:rPr>
          <w:lang w:val="fr-FR"/>
        </w:rPr>
        <w:t xml:space="preserve"> en outre</w:t>
      </w:r>
      <w:r w:rsidR="003F5BB7" w:rsidRPr="008544BB">
        <w:rPr>
          <w:lang w:val="fr-FR"/>
        </w:rPr>
        <w:t xml:space="preserve"> que la première requérante avait une</w:t>
      </w:r>
      <w:r w:rsidR="006027C5" w:rsidRPr="008544BB">
        <w:rPr>
          <w:lang w:val="fr-FR"/>
        </w:rPr>
        <w:t xml:space="preserve"> </w:t>
      </w:r>
      <w:r w:rsidR="00706295" w:rsidRPr="008544BB">
        <w:rPr>
          <w:lang w:val="fr-FR"/>
        </w:rPr>
        <w:t xml:space="preserve">attitude </w:t>
      </w:r>
      <w:r w:rsidR="003F5BB7" w:rsidRPr="008544BB">
        <w:rPr>
          <w:lang w:val="fr-FR"/>
        </w:rPr>
        <w:t xml:space="preserve">constructive </w:t>
      </w:r>
      <w:r w:rsidR="00706295" w:rsidRPr="008544BB">
        <w:rPr>
          <w:lang w:val="fr-FR"/>
        </w:rPr>
        <w:t>à l</w:t>
      </w:r>
      <w:r w:rsidR="008544BB" w:rsidRPr="008544BB">
        <w:rPr>
          <w:lang w:val="fr-FR"/>
        </w:rPr>
        <w:t>’</w:t>
      </w:r>
      <w:r w:rsidR="00706295" w:rsidRPr="008544BB">
        <w:rPr>
          <w:lang w:val="fr-FR"/>
        </w:rPr>
        <w:t>égard d</w:t>
      </w:r>
      <w:r w:rsidR="006027C5" w:rsidRPr="008544BB">
        <w:rPr>
          <w:lang w:val="fr-FR"/>
        </w:rPr>
        <w:t>u personnel d</w:t>
      </w:r>
      <w:r w:rsidR="003F5BB7" w:rsidRPr="008544BB">
        <w:rPr>
          <w:lang w:val="fr-FR"/>
        </w:rPr>
        <w:t>es structures d</w:t>
      </w:r>
      <w:r w:rsidR="008544BB" w:rsidRPr="008544BB">
        <w:rPr>
          <w:lang w:val="fr-FR"/>
        </w:rPr>
        <w:t>’</w:t>
      </w:r>
      <w:r w:rsidR="003F5BB7" w:rsidRPr="008544BB">
        <w:rPr>
          <w:lang w:val="fr-FR"/>
        </w:rPr>
        <w:t>accueil</w:t>
      </w:r>
      <w:r w:rsidR="00706295" w:rsidRPr="008544BB">
        <w:rPr>
          <w:lang w:val="fr-FR"/>
        </w:rPr>
        <w:t xml:space="preserve"> des enfants et</w:t>
      </w:r>
      <w:r w:rsidR="003F5BB7" w:rsidRPr="008544BB">
        <w:rPr>
          <w:lang w:val="fr-FR"/>
        </w:rPr>
        <w:t xml:space="preserve"> qu</w:t>
      </w:r>
      <w:r w:rsidR="008544BB" w:rsidRPr="008544BB">
        <w:rPr>
          <w:lang w:val="fr-FR"/>
        </w:rPr>
        <w:t>’</w:t>
      </w:r>
      <w:r w:rsidR="003F5BB7" w:rsidRPr="008544BB">
        <w:rPr>
          <w:lang w:val="fr-FR"/>
        </w:rPr>
        <w:t>elle</w:t>
      </w:r>
      <w:r w:rsidR="00706295" w:rsidRPr="008544BB">
        <w:rPr>
          <w:lang w:val="fr-FR"/>
        </w:rPr>
        <w:t xml:space="preserve"> prêtait beaucoup d</w:t>
      </w:r>
      <w:r w:rsidR="008544BB" w:rsidRPr="008544BB">
        <w:rPr>
          <w:lang w:val="fr-FR"/>
        </w:rPr>
        <w:t>’</w:t>
      </w:r>
      <w:r w:rsidR="00706295" w:rsidRPr="008544BB">
        <w:rPr>
          <w:lang w:val="fr-FR"/>
        </w:rPr>
        <w:t>attention au bien-être de</w:t>
      </w:r>
      <w:r w:rsidR="008173BF" w:rsidRPr="008544BB">
        <w:rPr>
          <w:lang w:val="fr-FR"/>
        </w:rPr>
        <w:t xml:space="preserve"> ces derniers</w:t>
      </w:r>
      <w:r w:rsidR="00706295" w:rsidRPr="008544BB">
        <w:rPr>
          <w:lang w:val="fr-FR"/>
        </w:rPr>
        <w:t xml:space="preserve"> et à leur développement en milieu scol</w:t>
      </w:r>
      <w:r w:rsidR="00A9446E" w:rsidRPr="008544BB">
        <w:rPr>
          <w:lang w:val="fr-FR"/>
        </w:rPr>
        <w:t>aire</w:t>
      </w:r>
      <w:r w:rsidR="00706295" w:rsidRPr="008544BB">
        <w:rPr>
          <w:lang w:val="fr-FR"/>
        </w:rPr>
        <w:t>.</w:t>
      </w:r>
    </w:p>
    <w:p w:rsidR="00B7785F" w:rsidRPr="008544BB" w:rsidRDefault="00B7785F"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36</w:t>
      </w:r>
      <w:r w:rsidRPr="008544BB">
        <w:rPr>
          <w:lang w:val="fr-FR"/>
        </w:rPr>
        <w:fldChar w:fldCharType="end"/>
      </w:r>
      <w:r w:rsidRPr="008544BB">
        <w:rPr>
          <w:lang w:val="fr-FR"/>
        </w:rPr>
        <w:t xml:space="preserve">.  Le 10 avril 2014, le tribunal </w:t>
      </w:r>
      <w:r w:rsidR="00B66769" w:rsidRPr="008544BB">
        <w:rPr>
          <w:lang w:val="fr-FR"/>
        </w:rPr>
        <w:t xml:space="preserve">pour enfants </w:t>
      </w:r>
      <w:r w:rsidR="00F13496" w:rsidRPr="008544BB">
        <w:rPr>
          <w:lang w:val="fr-FR"/>
        </w:rPr>
        <w:t>ordonna</w:t>
      </w:r>
      <w:r w:rsidRPr="008544BB">
        <w:rPr>
          <w:lang w:val="fr-FR"/>
        </w:rPr>
        <w:t xml:space="preserve"> un</w:t>
      </w:r>
      <w:r w:rsidR="00F13496" w:rsidRPr="008544BB">
        <w:rPr>
          <w:lang w:val="fr-FR"/>
        </w:rPr>
        <w:t xml:space="preserve">e </w:t>
      </w:r>
      <w:r w:rsidR="0066077A" w:rsidRPr="008544BB">
        <w:rPr>
          <w:lang w:val="fr-FR"/>
        </w:rPr>
        <w:t>expert</w:t>
      </w:r>
      <w:r w:rsidR="00F13496" w:rsidRPr="008544BB">
        <w:rPr>
          <w:lang w:val="fr-FR"/>
        </w:rPr>
        <w:t>ise</w:t>
      </w:r>
      <w:r w:rsidR="00F007FC" w:rsidRPr="008544BB">
        <w:rPr>
          <w:lang w:val="fr-FR"/>
        </w:rPr>
        <w:t xml:space="preserve"> sur</w:t>
      </w:r>
      <w:r w:rsidRPr="008544BB">
        <w:rPr>
          <w:lang w:val="fr-FR"/>
        </w:rPr>
        <w:t xml:space="preserve"> les progrès </w:t>
      </w:r>
      <w:r w:rsidR="00C873B1" w:rsidRPr="008544BB">
        <w:rPr>
          <w:lang w:val="fr-FR"/>
        </w:rPr>
        <w:t xml:space="preserve">réalisés par </w:t>
      </w:r>
      <w:r w:rsidRPr="008544BB">
        <w:rPr>
          <w:lang w:val="fr-FR"/>
        </w:rPr>
        <w:t>la première requérante</w:t>
      </w:r>
      <w:r w:rsidR="008D7508" w:rsidRPr="008544BB">
        <w:rPr>
          <w:lang w:val="fr-FR"/>
        </w:rPr>
        <w:t xml:space="preserve">, </w:t>
      </w:r>
      <w:r w:rsidR="005A73BC" w:rsidRPr="008544BB">
        <w:rPr>
          <w:lang w:val="fr-FR"/>
        </w:rPr>
        <w:t xml:space="preserve">sur </w:t>
      </w:r>
      <w:r w:rsidR="008D7508" w:rsidRPr="008544BB">
        <w:rPr>
          <w:lang w:val="fr-FR"/>
        </w:rPr>
        <w:t>l</w:t>
      </w:r>
      <w:r w:rsidR="008544BB" w:rsidRPr="008544BB">
        <w:rPr>
          <w:lang w:val="fr-FR"/>
        </w:rPr>
        <w:t>’</w:t>
      </w:r>
      <w:r w:rsidR="008D7508" w:rsidRPr="008544BB">
        <w:rPr>
          <w:lang w:val="fr-FR"/>
        </w:rPr>
        <w:t xml:space="preserve">état des relations </w:t>
      </w:r>
      <w:r w:rsidR="005A73BC" w:rsidRPr="008544BB">
        <w:rPr>
          <w:lang w:val="fr-FR"/>
        </w:rPr>
        <w:t>entre les</w:t>
      </w:r>
      <w:r w:rsidR="008D7508" w:rsidRPr="008544BB">
        <w:rPr>
          <w:lang w:val="fr-FR"/>
        </w:rPr>
        <w:t xml:space="preserve"> requérante</w:t>
      </w:r>
      <w:r w:rsidR="005A73BC" w:rsidRPr="008544BB">
        <w:rPr>
          <w:lang w:val="fr-FR"/>
        </w:rPr>
        <w:t>s</w:t>
      </w:r>
      <w:r w:rsidR="008D7508" w:rsidRPr="008544BB">
        <w:rPr>
          <w:lang w:val="fr-FR"/>
        </w:rPr>
        <w:t xml:space="preserve"> et </w:t>
      </w:r>
      <w:r w:rsidR="005A73BC" w:rsidRPr="008544BB">
        <w:rPr>
          <w:lang w:val="fr-FR"/>
        </w:rPr>
        <w:t xml:space="preserve">sur </w:t>
      </w:r>
      <w:r w:rsidR="008D7508" w:rsidRPr="008544BB">
        <w:rPr>
          <w:lang w:val="fr-FR"/>
        </w:rPr>
        <w:t>les rapports de</w:t>
      </w:r>
      <w:r w:rsidR="005A73BC" w:rsidRPr="008544BB">
        <w:rPr>
          <w:lang w:val="fr-FR"/>
        </w:rPr>
        <w:t xml:space="preserve"> ces dernières</w:t>
      </w:r>
      <w:r w:rsidR="008D7508" w:rsidRPr="008544BB">
        <w:rPr>
          <w:lang w:val="fr-FR"/>
        </w:rPr>
        <w:t xml:space="preserve"> avec les enfants</w:t>
      </w:r>
      <w:r w:rsidRPr="008544BB">
        <w:rPr>
          <w:lang w:val="fr-FR"/>
        </w:rPr>
        <w:t xml:space="preserve">. </w:t>
      </w:r>
      <w:r w:rsidR="008173BF" w:rsidRPr="008544BB">
        <w:rPr>
          <w:lang w:val="fr-FR"/>
        </w:rPr>
        <w:t>De plus, i</w:t>
      </w:r>
      <w:r w:rsidRPr="008544BB">
        <w:rPr>
          <w:lang w:val="fr-FR"/>
        </w:rPr>
        <w:t>l autorisa</w:t>
      </w:r>
      <w:r w:rsidR="00E16F56" w:rsidRPr="008544BB">
        <w:rPr>
          <w:lang w:val="fr-FR"/>
        </w:rPr>
        <w:t xml:space="preserve"> l</w:t>
      </w:r>
      <w:r w:rsidRPr="008544BB">
        <w:rPr>
          <w:lang w:val="fr-FR"/>
        </w:rPr>
        <w:t>es rencontres dans les établissements où les enfants étaient placés</w:t>
      </w:r>
      <w:r w:rsidR="00DB5FA8" w:rsidRPr="008544BB">
        <w:rPr>
          <w:lang w:val="fr-FR"/>
        </w:rPr>
        <w:t xml:space="preserve">, </w:t>
      </w:r>
      <w:r w:rsidR="008173BF" w:rsidRPr="008544BB">
        <w:rPr>
          <w:lang w:val="fr-FR"/>
        </w:rPr>
        <w:t xml:space="preserve">considérant que </w:t>
      </w:r>
      <w:r w:rsidR="00DB5FA8" w:rsidRPr="008544BB">
        <w:rPr>
          <w:lang w:val="fr-FR"/>
        </w:rPr>
        <w:t>les exigences justifiant la tenue de</w:t>
      </w:r>
      <w:r w:rsidR="00331385" w:rsidRPr="008544BB">
        <w:rPr>
          <w:lang w:val="fr-FR"/>
        </w:rPr>
        <w:t>s</w:t>
      </w:r>
      <w:r w:rsidR="00DB5FA8" w:rsidRPr="008544BB">
        <w:rPr>
          <w:lang w:val="fr-FR"/>
        </w:rPr>
        <w:t xml:space="preserve"> rencontres</w:t>
      </w:r>
      <w:r w:rsidR="003F5BB7" w:rsidRPr="008544BB">
        <w:rPr>
          <w:lang w:val="fr-FR"/>
        </w:rPr>
        <w:t xml:space="preserve"> en milieu protégé</w:t>
      </w:r>
      <w:r w:rsidR="00DB5FA8" w:rsidRPr="008544BB">
        <w:rPr>
          <w:lang w:val="fr-FR"/>
        </w:rPr>
        <w:t xml:space="preserve"> </w:t>
      </w:r>
      <w:r w:rsidR="008173BF" w:rsidRPr="008544BB">
        <w:rPr>
          <w:lang w:val="fr-FR"/>
        </w:rPr>
        <w:t>avaient</w:t>
      </w:r>
      <w:r w:rsidR="00456DD2" w:rsidRPr="008544BB">
        <w:rPr>
          <w:lang w:val="fr-FR"/>
        </w:rPr>
        <w:t xml:space="preserve"> disparu</w:t>
      </w:r>
      <w:r w:rsidRPr="008544BB">
        <w:rPr>
          <w:lang w:val="fr-FR"/>
        </w:rPr>
        <w:t>.</w:t>
      </w:r>
    </w:p>
    <w:bookmarkStart w:id="17" w:name="EXPERTISE_2"/>
    <w:p w:rsidR="00DA01D3" w:rsidRPr="008544BB" w:rsidRDefault="0066077A"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37</w:t>
      </w:r>
      <w:r w:rsidRPr="008544BB">
        <w:rPr>
          <w:lang w:val="fr-FR"/>
        </w:rPr>
        <w:fldChar w:fldCharType="end"/>
      </w:r>
      <w:bookmarkEnd w:id="17"/>
      <w:r w:rsidRPr="008544BB">
        <w:rPr>
          <w:lang w:val="fr-FR"/>
        </w:rPr>
        <w:t>.  </w:t>
      </w:r>
      <w:r w:rsidR="007B62B7" w:rsidRPr="008544BB">
        <w:rPr>
          <w:lang w:val="fr-FR"/>
        </w:rPr>
        <w:t>Le 17 novembre 2014, l</w:t>
      </w:r>
      <w:r w:rsidR="008544BB" w:rsidRPr="008544BB">
        <w:rPr>
          <w:lang w:val="fr-FR"/>
        </w:rPr>
        <w:t>’</w:t>
      </w:r>
      <w:r w:rsidR="007B62B7" w:rsidRPr="008544BB">
        <w:rPr>
          <w:lang w:val="fr-FR"/>
        </w:rPr>
        <w:t xml:space="preserve">expert nommé par le tribunal </w:t>
      </w:r>
      <w:r w:rsidR="00184425" w:rsidRPr="008544BB">
        <w:rPr>
          <w:lang w:val="fr-FR"/>
        </w:rPr>
        <w:t>rendit son rapport</w:t>
      </w:r>
      <w:r w:rsidR="007B62B7" w:rsidRPr="008544BB">
        <w:rPr>
          <w:lang w:val="fr-FR"/>
        </w:rPr>
        <w:t xml:space="preserve">. </w:t>
      </w:r>
      <w:r w:rsidR="00DA01D3" w:rsidRPr="008544BB">
        <w:rPr>
          <w:lang w:val="fr-FR"/>
        </w:rPr>
        <w:t>Il</w:t>
      </w:r>
      <w:r w:rsidR="00172903" w:rsidRPr="008544BB">
        <w:rPr>
          <w:lang w:val="fr-FR"/>
        </w:rPr>
        <w:t xml:space="preserve"> confirma </w:t>
      </w:r>
      <w:r w:rsidR="00BD52CB" w:rsidRPr="008544BB">
        <w:rPr>
          <w:lang w:val="fr-FR"/>
        </w:rPr>
        <w:t xml:space="preserve">le diagnostic de personnalité </w:t>
      </w:r>
      <w:r w:rsidR="00172903" w:rsidRPr="008544BB">
        <w:rPr>
          <w:lang w:val="fr-FR"/>
        </w:rPr>
        <w:t xml:space="preserve">de type </w:t>
      </w:r>
      <w:r w:rsidR="00BD52CB" w:rsidRPr="008544BB">
        <w:rPr>
          <w:lang w:val="fr-FR"/>
        </w:rPr>
        <w:t>« </w:t>
      </w:r>
      <w:r w:rsidR="00172903" w:rsidRPr="008544BB">
        <w:rPr>
          <w:lang w:val="fr-FR"/>
        </w:rPr>
        <w:t>borderline</w:t>
      </w:r>
      <w:r w:rsidR="00BD52CB" w:rsidRPr="008544BB">
        <w:rPr>
          <w:lang w:val="fr-FR"/>
        </w:rPr>
        <w:t> »</w:t>
      </w:r>
      <w:r w:rsidR="003F5BB7" w:rsidRPr="008544BB">
        <w:rPr>
          <w:lang w:val="fr-FR"/>
        </w:rPr>
        <w:t xml:space="preserve"> de la première requérante,</w:t>
      </w:r>
      <w:r w:rsidR="00172903" w:rsidRPr="008544BB">
        <w:rPr>
          <w:lang w:val="fr-FR"/>
        </w:rPr>
        <w:t xml:space="preserve"> </w:t>
      </w:r>
      <w:r w:rsidR="00BD52CB" w:rsidRPr="008544BB">
        <w:rPr>
          <w:lang w:val="fr-FR"/>
        </w:rPr>
        <w:t xml:space="preserve">en relevant </w:t>
      </w:r>
      <w:r w:rsidR="00172903" w:rsidRPr="008544BB">
        <w:rPr>
          <w:lang w:val="fr-FR"/>
        </w:rPr>
        <w:t>un bon niveau de compensation fonctionnell</w:t>
      </w:r>
      <w:r w:rsidR="00177907" w:rsidRPr="008544BB">
        <w:rPr>
          <w:lang w:val="fr-FR"/>
        </w:rPr>
        <w:t>e grâce au parcours psychothérapeutique suivi</w:t>
      </w:r>
      <w:r w:rsidR="00172903" w:rsidRPr="008544BB">
        <w:rPr>
          <w:lang w:val="fr-FR"/>
        </w:rPr>
        <w:t xml:space="preserve">. </w:t>
      </w:r>
      <w:r w:rsidR="00D65DE4" w:rsidRPr="008544BB">
        <w:rPr>
          <w:lang w:val="fr-FR"/>
        </w:rPr>
        <w:t>Il indiqua que le</w:t>
      </w:r>
      <w:r w:rsidR="00172903" w:rsidRPr="008544BB">
        <w:rPr>
          <w:lang w:val="fr-FR"/>
        </w:rPr>
        <w:t xml:space="preserve"> rapport entre les </w:t>
      </w:r>
      <w:r w:rsidR="00D65DE4" w:rsidRPr="008544BB">
        <w:rPr>
          <w:lang w:val="fr-FR"/>
        </w:rPr>
        <w:t>r</w:t>
      </w:r>
      <w:r w:rsidR="00172903" w:rsidRPr="008544BB">
        <w:rPr>
          <w:lang w:val="fr-FR"/>
        </w:rPr>
        <w:t>equérantes</w:t>
      </w:r>
      <w:r w:rsidR="00DA01D3" w:rsidRPr="008544BB">
        <w:rPr>
          <w:lang w:val="fr-FR"/>
        </w:rPr>
        <w:t xml:space="preserve"> éta</w:t>
      </w:r>
      <w:r w:rsidR="00096957" w:rsidRPr="008544BB">
        <w:rPr>
          <w:lang w:val="fr-FR"/>
        </w:rPr>
        <w:t>i</w:t>
      </w:r>
      <w:r w:rsidR="00DA01D3" w:rsidRPr="008544BB">
        <w:rPr>
          <w:lang w:val="fr-FR"/>
        </w:rPr>
        <w:t>t équilibré</w:t>
      </w:r>
      <w:r w:rsidR="00654F66" w:rsidRPr="008544BB">
        <w:rPr>
          <w:lang w:val="fr-FR"/>
        </w:rPr>
        <w:t>,</w:t>
      </w:r>
      <w:r w:rsidR="00096957" w:rsidRPr="008544BB">
        <w:rPr>
          <w:lang w:val="fr-FR"/>
        </w:rPr>
        <w:t xml:space="preserve"> mais</w:t>
      </w:r>
      <w:r w:rsidR="00184425" w:rsidRPr="008544BB">
        <w:rPr>
          <w:lang w:val="fr-FR"/>
        </w:rPr>
        <w:t xml:space="preserve"> </w:t>
      </w:r>
      <w:r w:rsidR="00D65DE4" w:rsidRPr="008544BB">
        <w:rPr>
          <w:lang w:val="fr-FR"/>
        </w:rPr>
        <w:t xml:space="preserve">que </w:t>
      </w:r>
      <w:r w:rsidR="00172903" w:rsidRPr="008544BB">
        <w:rPr>
          <w:lang w:val="fr-FR"/>
        </w:rPr>
        <w:t>le déclin intelle</w:t>
      </w:r>
      <w:r w:rsidR="0059246E" w:rsidRPr="008544BB">
        <w:rPr>
          <w:lang w:val="fr-FR"/>
        </w:rPr>
        <w:t>ctuel de la deuxième requérante,</w:t>
      </w:r>
      <w:r w:rsidR="00EB06AE" w:rsidRPr="008544BB">
        <w:rPr>
          <w:lang w:val="fr-FR"/>
        </w:rPr>
        <w:t xml:space="preserve"> </w:t>
      </w:r>
      <w:r w:rsidR="00DA01D3" w:rsidRPr="008544BB">
        <w:rPr>
          <w:lang w:val="fr-FR"/>
        </w:rPr>
        <w:t>dû</w:t>
      </w:r>
      <w:r w:rsidR="00EB06AE" w:rsidRPr="008544BB">
        <w:rPr>
          <w:lang w:val="fr-FR"/>
        </w:rPr>
        <w:t xml:space="preserve"> au vieillissement,</w:t>
      </w:r>
      <w:r w:rsidR="00DA01D3" w:rsidRPr="008544BB">
        <w:rPr>
          <w:lang w:val="fr-FR"/>
        </w:rPr>
        <w:t xml:space="preserve"> </w:t>
      </w:r>
      <w:r w:rsidR="00096957" w:rsidRPr="008544BB">
        <w:rPr>
          <w:lang w:val="fr-FR"/>
        </w:rPr>
        <w:t>pouvait représenter</w:t>
      </w:r>
      <w:r w:rsidR="00DA01D3" w:rsidRPr="008544BB">
        <w:rPr>
          <w:lang w:val="fr-FR"/>
        </w:rPr>
        <w:t xml:space="preserve"> un</w:t>
      </w:r>
      <w:r w:rsidR="0059246E" w:rsidRPr="008544BB">
        <w:rPr>
          <w:lang w:val="fr-FR"/>
        </w:rPr>
        <w:t xml:space="preserve"> nouve</w:t>
      </w:r>
      <w:r w:rsidR="00486E86" w:rsidRPr="008544BB">
        <w:rPr>
          <w:lang w:val="fr-FR"/>
        </w:rPr>
        <w:t>au paramètre</w:t>
      </w:r>
      <w:r w:rsidR="00BD52CB" w:rsidRPr="008544BB">
        <w:rPr>
          <w:lang w:val="fr-FR"/>
        </w:rPr>
        <w:t xml:space="preserve"> </w:t>
      </w:r>
      <w:r w:rsidR="006027C5" w:rsidRPr="008544BB">
        <w:rPr>
          <w:lang w:val="fr-FR"/>
        </w:rPr>
        <w:t xml:space="preserve">qui </w:t>
      </w:r>
      <w:r w:rsidR="00D65DE4" w:rsidRPr="008544BB">
        <w:rPr>
          <w:lang w:val="fr-FR"/>
        </w:rPr>
        <w:t xml:space="preserve">devrait </w:t>
      </w:r>
      <w:r w:rsidR="006027C5" w:rsidRPr="008544BB">
        <w:rPr>
          <w:lang w:val="fr-FR"/>
        </w:rPr>
        <w:t xml:space="preserve">être pris en considération </w:t>
      </w:r>
      <w:r w:rsidR="00DA01D3" w:rsidRPr="008544BB">
        <w:rPr>
          <w:lang w:val="fr-FR"/>
        </w:rPr>
        <w:t>a</w:t>
      </w:r>
      <w:r w:rsidR="00184425" w:rsidRPr="008544BB">
        <w:rPr>
          <w:lang w:val="fr-FR"/>
        </w:rPr>
        <w:t>fin d</w:t>
      </w:r>
      <w:r w:rsidR="008544BB" w:rsidRPr="008544BB">
        <w:rPr>
          <w:lang w:val="fr-FR"/>
        </w:rPr>
        <w:t>’</w:t>
      </w:r>
      <w:r w:rsidR="00EB06AE" w:rsidRPr="008544BB">
        <w:rPr>
          <w:lang w:val="fr-FR"/>
        </w:rPr>
        <w:t>éviter tout risque de</w:t>
      </w:r>
      <w:r w:rsidR="00DA01D3" w:rsidRPr="008544BB">
        <w:rPr>
          <w:lang w:val="fr-FR"/>
        </w:rPr>
        <w:t xml:space="preserve"> nouvelles</w:t>
      </w:r>
      <w:r w:rsidR="00EB06AE" w:rsidRPr="008544BB">
        <w:rPr>
          <w:lang w:val="fr-FR"/>
        </w:rPr>
        <w:t xml:space="preserve"> tension</w:t>
      </w:r>
      <w:r w:rsidR="00DA01D3" w:rsidRPr="008544BB">
        <w:rPr>
          <w:lang w:val="fr-FR"/>
        </w:rPr>
        <w:t>s</w:t>
      </w:r>
      <w:r w:rsidR="0059246E" w:rsidRPr="008544BB">
        <w:rPr>
          <w:lang w:val="fr-FR"/>
        </w:rPr>
        <w:t>.</w:t>
      </w:r>
      <w:r w:rsidR="002A6C14" w:rsidRPr="008544BB">
        <w:rPr>
          <w:lang w:val="fr-FR"/>
        </w:rPr>
        <w:t xml:space="preserve"> </w:t>
      </w:r>
      <w:r w:rsidR="0059246E" w:rsidRPr="008544BB">
        <w:rPr>
          <w:lang w:val="fr-FR"/>
        </w:rPr>
        <w:t>Quant aux enfants, l</w:t>
      </w:r>
      <w:r w:rsidR="008544BB" w:rsidRPr="008544BB">
        <w:rPr>
          <w:lang w:val="fr-FR"/>
        </w:rPr>
        <w:t>’</w:t>
      </w:r>
      <w:r w:rsidR="0059246E" w:rsidRPr="008544BB">
        <w:rPr>
          <w:lang w:val="fr-FR"/>
        </w:rPr>
        <w:t xml:space="preserve">expert </w:t>
      </w:r>
      <w:r w:rsidR="00096957" w:rsidRPr="008544BB">
        <w:rPr>
          <w:lang w:val="fr-FR"/>
        </w:rPr>
        <w:t>suggéra pour</w:t>
      </w:r>
      <w:r w:rsidR="0059246E" w:rsidRPr="008544BB">
        <w:rPr>
          <w:lang w:val="fr-FR"/>
        </w:rPr>
        <w:t xml:space="preserve"> L. un s</w:t>
      </w:r>
      <w:r w:rsidR="00F007FC" w:rsidRPr="008544BB">
        <w:rPr>
          <w:lang w:val="fr-FR"/>
        </w:rPr>
        <w:t>uivi</w:t>
      </w:r>
      <w:r w:rsidR="0059246E" w:rsidRPr="008544BB">
        <w:rPr>
          <w:lang w:val="fr-FR"/>
        </w:rPr>
        <w:t xml:space="preserve"> très scrupuleux</w:t>
      </w:r>
      <w:r w:rsidR="00DA01D3" w:rsidRPr="008544BB">
        <w:rPr>
          <w:lang w:val="fr-FR"/>
        </w:rPr>
        <w:t xml:space="preserve"> et</w:t>
      </w:r>
      <w:r w:rsidR="00455451" w:rsidRPr="008544BB">
        <w:rPr>
          <w:lang w:val="fr-FR"/>
        </w:rPr>
        <w:t xml:space="preserve"> il</w:t>
      </w:r>
      <w:r w:rsidR="00DA01D3" w:rsidRPr="008544BB">
        <w:rPr>
          <w:lang w:val="fr-FR"/>
        </w:rPr>
        <w:t xml:space="preserve"> </w:t>
      </w:r>
      <w:r w:rsidR="00096957" w:rsidRPr="008544BB">
        <w:rPr>
          <w:lang w:val="fr-FR"/>
        </w:rPr>
        <w:t xml:space="preserve">estima </w:t>
      </w:r>
      <w:r w:rsidR="00DA01D3" w:rsidRPr="008544BB">
        <w:rPr>
          <w:lang w:val="fr-FR"/>
        </w:rPr>
        <w:t>que p</w:t>
      </w:r>
      <w:r w:rsidR="0059246E" w:rsidRPr="008544BB">
        <w:rPr>
          <w:lang w:val="fr-FR"/>
        </w:rPr>
        <w:t>our S. les risques d</w:t>
      </w:r>
      <w:r w:rsidR="008544BB" w:rsidRPr="008544BB">
        <w:rPr>
          <w:lang w:val="fr-FR"/>
        </w:rPr>
        <w:t>’</w:t>
      </w:r>
      <w:r w:rsidR="00EB06AE" w:rsidRPr="008544BB">
        <w:rPr>
          <w:lang w:val="fr-FR"/>
        </w:rPr>
        <w:t>un</w:t>
      </w:r>
      <w:r w:rsidR="0059246E" w:rsidRPr="008544BB">
        <w:rPr>
          <w:lang w:val="fr-FR"/>
        </w:rPr>
        <w:t xml:space="preserve"> développement de la personnalité en sens </w:t>
      </w:r>
      <w:r w:rsidR="00567119" w:rsidRPr="008544BB">
        <w:rPr>
          <w:lang w:val="fr-FR"/>
        </w:rPr>
        <w:t>oppositi</w:t>
      </w:r>
      <w:r w:rsidR="005800A5" w:rsidRPr="008544BB">
        <w:rPr>
          <w:lang w:val="fr-FR"/>
        </w:rPr>
        <w:t>onnel</w:t>
      </w:r>
      <w:r w:rsidR="00567119" w:rsidRPr="008544BB">
        <w:rPr>
          <w:lang w:val="fr-FR"/>
        </w:rPr>
        <w:t xml:space="preserve"> </w:t>
      </w:r>
      <w:r w:rsidR="00E6046C" w:rsidRPr="008544BB">
        <w:rPr>
          <w:lang w:val="fr-FR"/>
        </w:rPr>
        <w:t>(</w:t>
      </w:r>
      <w:r w:rsidR="00E6046C" w:rsidRPr="008544BB">
        <w:rPr>
          <w:i/>
          <w:lang w:val="fr-FR"/>
        </w:rPr>
        <w:t>in senso oppositivo</w:t>
      </w:r>
      <w:r w:rsidR="00E6046C" w:rsidRPr="008544BB">
        <w:rPr>
          <w:lang w:val="fr-FR"/>
        </w:rPr>
        <w:t xml:space="preserve">) </w:t>
      </w:r>
      <w:r w:rsidR="00567119" w:rsidRPr="008544BB">
        <w:rPr>
          <w:lang w:val="fr-FR"/>
        </w:rPr>
        <w:t xml:space="preserve">étaient très marqués. </w:t>
      </w:r>
      <w:r w:rsidR="005800A5" w:rsidRPr="008544BB">
        <w:rPr>
          <w:lang w:val="fr-FR"/>
        </w:rPr>
        <w:t>S</w:t>
      </w:r>
      <w:r w:rsidR="008544BB" w:rsidRPr="008544BB">
        <w:rPr>
          <w:lang w:val="fr-FR"/>
        </w:rPr>
        <w:t>’</w:t>
      </w:r>
      <w:r w:rsidR="005800A5" w:rsidRPr="008544BB">
        <w:rPr>
          <w:lang w:val="fr-FR"/>
        </w:rPr>
        <w:t>agissant enfin du lien entre</w:t>
      </w:r>
      <w:r w:rsidR="0059246E" w:rsidRPr="008544BB">
        <w:rPr>
          <w:lang w:val="fr-FR"/>
        </w:rPr>
        <w:t xml:space="preserve"> l</w:t>
      </w:r>
      <w:r w:rsidR="00DB7DF6" w:rsidRPr="008544BB">
        <w:rPr>
          <w:lang w:val="fr-FR"/>
        </w:rPr>
        <w:t>a première requérante</w:t>
      </w:r>
      <w:r w:rsidR="0059246E" w:rsidRPr="008544BB">
        <w:rPr>
          <w:lang w:val="fr-FR"/>
        </w:rPr>
        <w:t xml:space="preserve"> et les </w:t>
      </w:r>
      <w:r w:rsidR="00BD7D87" w:rsidRPr="008544BB">
        <w:rPr>
          <w:lang w:val="fr-FR"/>
        </w:rPr>
        <w:t>mineurs</w:t>
      </w:r>
      <w:r w:rsidR="00096957" w:rsidRPr="008544BB">
        <w:rPr>
          <w:lang w:val="fr-FR"/>
        </w:rPr>
        <w:t>, l</w:t>
      </w:r>
      <w:r w:rsidR="008544BB" w:rsidRPr="008544BB">
        <w:rPr>
          <w:lang w:val="fr-FR"/>
        </w:rPr>
        <w:t>’</w:t>
      </w:r>
      <w:r w:rsidR="00096957" w:rsidRPr="008544BB">
        <w:rPr>
          <w:lang w:val="fr-FR"/>
        </w:rPr>
        <w:t xml:space="preserve">expert </w:t>
      </w:r>
      <w:r w:rsidR="005800A5" w:rsidRPr="008544BB">
        <w:rPr>
          <w:lang w:val="fr-FR"/>
        </w:rPr>
        <w:t>mentionna</w:t>
      </w:r>
      <w:r w:rsidR="0059246E" w:rsidRPr="008544BB">
        <w:rPr>
          <w:lang w:val="fr-FR"/>
        </w:rPr>
        <w:t xml:space="preserve"> l</w:t>
      </w:r>
      <w:r w:rsidR="008544BB" w:rsidRPr="008544BB">
        <w:rPr>
          <w:lang w:val="fr-FR"/>
        </w:rPr>
        <w:t>’</w:t>
      </w:r>
      <w:r w:rsidR="00096957" w:rsidRPr="008544BB">
        <w:rPr>
          <w:lang w:val="fr-FR"/>
        </w:rPr>
        <w:t>existence d</w:t>
      </w:r>
      <w:r w:rsidR="008544BB" w:rsidRPr="008544BB">
        <w:rPr>
          <w:lang w:val="fr-FR"/>
        </w:rPr>
        <w:t>’</w:t>
      </w:r>
      <w:r w:rsidR="00096957" w:rsidRPr="008544BB">
        <w:rPr>
          <w:lang w:val="fr-FR"/>
        </w:rPr>
        <w:t xml:space="preserve">une </w:t>
      </w:r>
      <w:r w:rsidR="0059246E" w:rsidRPr="008544BB">
        <w:rPr>
          <w:lang w:val="fr-FR"/>
        </w:rPr>
        <w:t>affection sincère</w:t>
      </w:r>
      <w:r w:rsidR="00421E37" w:rsidRPr="008544BB">
        <w:rPr>
          <w:lang w:val="fr-FR"/>
        </w:rPr>
        <w:t>,</w:t>
      </w:r>
      <w:r w:rsidR="00BD7D87" w:rsidRPr="008544BB">
        <w:rPr>
          <w:lang w:val="fr-FR"/>
        </w:rPr>
        <w:t xml:space="preserve"> tout en constatant</w:t>
      </w:r>
      <w:r w:rsidR="00DB7DF6" w:rsidRPr="008544BB">
        <w:rPr>
          <w:lang w:val="fr-FR"/>
        </w:rPr>
        <w:t xml:space="preserve"> que </w:t>
      </w:r>
      <w:r w:rsidR="00096957" w:rsidRPr="008544BB">
        <w:rPr>
          <w:lang w:val="fr-FR"/>
        </w:rPr>
        <w:t>l</w:t>
      </w:r>
      <w:r w:rsidR="0059246E" w:rsidRPr="008544BB">
        <w:rPr>
          <w:lang w:val="fr-FR"/>
        </w:rPr>
        <w:t>es modalités relationnelles</w:t>
      </w:r>
      <w:r w:rsidR="00DB7DF6" w:rsidRPr="008544BB">
        <w:rPr>
          <w:lang w:val="fr-FR"/>
        </w:rPr>
        <w:t xml:space="preserve"> étaient</w:t>
      </w:r>
      <w:r w:rsidR="0059246E" w:rsidRPr="008544BB">
        <w:rPr>
          <w:lang w:val="fr-FR"/>
        </w:rPr>
        <w:t xml:space="preserve"> désordonnées</w:t>
      </w:r>
      <w:r w:rsidR="00DB7DF6" w:rsidRPr="008544BB">
        <w:rPr>
          <w:lang w:val="fr-FR"/>
        </w:rPr>
        <w:t xml:space="preserve"> et que</w:t>
      </w:r>
      <w:r w:rsidR="00BD7D87" w:rsidRPr="008544BB">
        <w:rPr>
          <w:lang w:val="fr-FR"/>
        </w:rPr>
        <w:t xml:space="preserve"> </w:t>
      </w:r>
      <w:r w:rsidR="00096957" w:rsidRPr="008544BB">
        <w:rPr>
          <w:lang w:val="fr-FR"/>
        </w:rPr>
        <w:t>l</w:t>
      </w:r>
      <w:r w:rsidR="006027C5" w:rsidRPr="008544BB">
        <w:rPr>
          <w:lang w:val="fr-FR"/>
        </w:rPr>
        <w:t>es</w:t>
      </w:r>
      <w:r w:rsidR="00BD7D87" w:rsidRPr="008544BB">
        <w:rPr>
          <w:lang w:val="fr-FR"/>
        </w:rPr>
        <w:t xml:space="preserve"> capacité</w:t>
      </w:r>
      <w:r w:rsidR="006027C5" w:rsidRPr="008544BB">
        <w:rPr>
          <w:lang w:val="fr-FR"/>
        </w:rPr>
        <w:t>s</w:t>
      </w:r>
      <w:r w:rsidR="00BD7D87" w:rsidRPr="008544BB">
        <w:rPr>
          <w:lang w:val="fr-FR"/>
        </w:rPr>
        <w:t xml:space="preserve"> </w:t>
      </w:r>
      <w:r w:rsidR="00096957" w:rsidRPr="008544BB">
        <w:rPr>
          <w:lang w:val="fr-FR"/>
        </w:rPr>
        <w:t xml:space="preserve">de la première requérante </w:t>
      </w:r>
      <w:r w:rsidR="005800A5" w:rsidRPr="008544BB">
        <w:rPr>
          <w:lang w:val="fr-FR"/>
        </w:rPr>
        <w:t>à</w:t>
      </w:r>
      <w:r w:rsidR="00BD7D87" w:rsidRPr="008544BB">
        <w:rPr>
          <w:lang w:val="fr-FR"/>
        </w:rPr>
        <w:t xml:space="preserve"> </w:t>
      </w:r>
      <w:r w:rsidR="00DB7DF6" w:rsidRPr="008544BB">
        <w:rPr>
          <w:lang w:val="fr-FR"/>
        </w:rPr>
        <w:t xml:space="preserve">faire face aux </w:t>
      </w:r>
      <w:r w:rsidR="00D22118" w:rsidRPr="008544BB">
        <w:rPr>
          <w:lang w:val="fr-FR"/>
        </w:rPr>
        <w:t>exigences</w:t>
      </w:r>
      <w:r w:rsidR="00DB7DF6" w:rsidRPr="008544BB">
        <w:rPr>
          <w:lang w:val="fr-FR"/>
        </w:rPr>
        <w:t xml:space="preserve"> des enfants</w:t>
      </w:r>
      <w:r w:rsidR="00BD7D87" w:rsidRPr="008544BB">
        <w:rPr>
          <w:lang w:val="fr-FR"/>
        </w:rPr>
        <w:t xml:space="preserve">, </w:t>
      </w:r>
      <w:r w:rsidR="00173B41" w:rsidRPr="008544BB">
        <w:rPr>
          <w:lang w:val="fr-FR"/>
        </w:rPr>
        <w:t xml:space="preserve">qui </w:t>
      </w:r>
      <w:r w:rsidR="00F007FC" w:rsidRPr="008544BB">
        <w:rPr>
          <w:lang w:val="fr-FR"/>
        </w:rPr>
        <w:t>réclama</w:t>
      </w:r>
      <w:r w:rsidR="00173B41" w:rsidRPr="008544BB">
        <w:rPr>
          <w:lang w:val="fr-FR"/>
        </w:rPr>
        <w:t>ie</w:t>
      </w:r>
      <w:r w:rsidR="00F007FC" w:rsidRPr="008544BB">
        <w:rPr>
          <w:lang w:val="fr-FR"/>
        </w:rPr>
        <w:t>nt</w:t>
      </w:r>
      <w:r w:rsidR="00BD7D87" w:rsidRPr="008544BB">
        <w:rPr>
          <w:lang w:val="fr-FR"/>
        </w:rPr>
        <w:t xml:space="preserve"> d</w:t>
      </w:r>
      <w:r w:rsidR="005800A5" w:rsidRPr="008544BB">
        <w:rPr>
          <w:lang w:val="fr-FR"/>
        </w:rPr>
        <w:t xml:space="preserve">es </w:t>
      </w:r>
      <w:r w:rsidR="00DB7DF6" w:rsidRPr="008544BB">
        <w:rPr>
          <w:lang w:val="fr-FR"/>
        </w:rPr>
        <w:t xml:space="preserve">efforts </w:t>
      </w:r>
      <w:r w:rsidR="00BD7D87" w:rsidRPr="008544BB">
        <w:rPr>
          <w:lang w:val="fr-FR"/>
        </w:rPr>
        <w:t>considérables, pouvai</w:t>
      </w:r>
      <w:r w:rsidR="006027C5" w:rsidRPr="008544BB">
        <w:rPr>
          <w:lang w:val="fr-FR"/>
        </w:rPr>
        <w:t>en</w:t>
      </w:r>
      <w:r w:rsidR="00BD7D87" w:rsidRPr="008544BB">
        <w:rPr>
          <w:lang w:val="fr-FR"/>
        </w:rPr>
        <w:t>t faire défau</w:t>
      </w:r>
      <w:r w:rsidR="006027C5" w:rsidRPr="008544BB">
        <w:rPr>
          <w:lang w:val="fr-FR"/>
        </w:rPr>
        <w:t>t</w:t>
      </w:r>
      <w:r w:rsidR="00173B41" w:rsidRPr="008544BB">
        <w:rPr>
          <w:lang w:val="fr-FR"/>
        </w:rPr>
        <w:t xml:space="preserve"> à cette </w:t>
      </w:r>
      <w:r w:rsidR="00173B41" w:rsidRPr="008544BB">
        <w:rPr>
          <w:lang w:val="fr-FR"/>
        </w:rPr>
        <w:lastRenderedPageBreak/>
        <w:t>dernière</w:t>
      </w:r>
      <w:r w:rsidR="00F007FC" w:rsidRPr="008544BB">
        <w:rPr>
          <w:lang w:val="fr-FR"/>
        </w:rPr>
        <w:t>,</w:t>
      </w:r>
      <w:r w:rsidR="00BD7D87" w:rsidRPr="008544BB">
        <w:rPr>
          <w:lang w:val="fr-FR"/>
        </w:rPr>
        <w:t xml:space="preserve"> en particulier </w:t>
      </w:r>
      <w:r w:rsidR="005800A5" w:rsidRPr="008544BB">
        <w:rPr>
          <w:lang w:val="fr-FR"/>
        </w:rPr>
        <w:t xml:space="preserve">en cas de </w:t>
      </w:r>
      <w:r w:rsidR="00BD7D87" w:rsidRPr="008544BB">
        <w:rPr>
          <w:lang w:val="fr-FR"/>
        </w:rPr>
        <w:t>situation</w:t>
      </w:r>
      <w:r w:rsidR="006027C5" w:rsidRPr="008544BB">
        <w:rPr>
          <w:lang w:val="fr-FR"/>
        </w:rPr>
        <w:t>s</w:t>
      </w:r>
      <w:r w:rsidR="00BD7D87" w:rsidRPr="008544BB">
        <w:rPr>
          <w:lang w:val="fr-FR"/>
        </w:rPr>
        <w:t xml:space="preserve"> de stress.</w:t>
      </w:r>
      <w:r w:rsidR="009557A6" w:rsidRPr="008544BB">
        <w:rPr>
          <w:lang w:val="fr-FR"/>
        </w:rPr>
        <w:t xml:space="preserve"> </w:t>
      </w:r>
      <w:r w:rsidR="00DA01D3" w:rsidRPr="008544BB">
        <w:rPr>
          <w:lang w:val="fr-FR"/>
        </w:rPr>
        <w:t>La Cour n</w:t>
      </w:r>
      <w:r w:rsidR="008544BB" w:rsidRPr="008544BB">
        <w:rPr>
          <w:lang w:val="fr-FR"/>
        </w:rPr>
        <w:t>’</w:t>
      </w:r>
      <w:r w:rsidR="00DA01D3" w:rsidRPr="008544BB">
        <w:rPr>
          <w:lang w:val="fr-FR"/>
        </w:rPr>
        <w:t>a pas été informée des suites données à ce rapport d</w:t>
      </w:r>
      <w:r w:rsidR="008544BB" w:rsidRPr="008544BB">
        <w:rPr>
          <w:lang w:val="fr-FR"/>
        </w:rPr>
        <w:t>’</w:t>
      </w:r>
      <w:r w:rsidR="00DA01D3" w:rsidRPr="008544BB">
        <w:rPr>
          <w:lang w:val="fr-FR"/>
        </w:rPr>
        <w:t>expertise.</w:t>
      </w:r>
    </w:p>
    <w:p w:rsidR="00CA6556" w:rsidRPr="008544BB" w:rsidRDefault="00F007FC" w:rsidP="008544BB">
      <w:pPr>
        <w:pStyle w:val="ECHRPara"/>
        <w:rPr>
          <w:lang w:val="fr-FR"/>
        </w:rPr>
      </w:pPr>
      <w:r w:rsidRPr="008544BB">
        <w:rPr>
          <w:lang w:val="fr-FR"/>
        </w:rPr>
        <w:t>L</w:t>
      </w:r>
      <w:r w:rsidR="008544BB" w:rsidRPr="008544BB">
        <w:rPr>
          <w:lang w:val="fr-FR"/>
        </w:rPr>
        <w:t>’</w:t>
      </w:r>
      <w:r w:rsidR="00455451" w:rsidRPr="008544BB">
        <w:rPr>
          <w:lang w:val="fr-FR"/>
        </w:rPr>
        <w:t>expert choisi</w:t>
      </w:r>
      <w:r w:rsidRPr="008544BB">
        <w:rPr>
          <w:lang w:val="fr-FR"/>
        </w:rPr>
        <w:t xml:space="preserve"> par la </w:t>
      </w:r>
      <w:r w:rsidR="006027C5" w:rsidRPr="008544BB">
        <w:rPr>
          <w:lang w:val="fr-FR"/>
        </w:rPr>
        <w:t xml:space="preserve">première </w:t>
      </w:r>
      <w:r w:rsidRPr="008544BB">
        <w:rPr>
          <w:lang w:val="fr-FR"/>
        </w:rPr>
        <w:t xml:space="preserve">requérante </w:t>
      </w:r>
      <w:r w:rsidR="00455451" w:rsidRPr="008544BB">
        <w:rPr>
          <w:lang w:val="fr-FR"/>
        </w:rPr>
        <w:t>souscrivit</w:t>
      </w:r>
      <w:r w:rsidR="00A3790E" w:rsidRPr="008544BB">
        <w:rPr>
          <w:lang w:val="fr-FR"/>
        </w:rPr>
        <w:t xml:space="preserve"> aux conclusions de l</w:t>
      </w:r>
      <w:r w:rsidR="008544BB" w:rsidRPr="008544BB">
        <w:rPr>
          <w:lang w:val="fr-FR"/>
        </w:rPr>
        <w:t>’</w:t>
      </w:r>
      <w:r w:rsidR="00A3790E" w:rsidRPr="008544BB">
        <w:rPr>
          <w:lang w:val="fr-FR"/>
        </w:rPr>
        <w:t xml:space="preserve">expert </w:t>
      </w:r>
      <w:r w:rsidR="00455451" w:rsidRPr="008544BB">
        <w:rPr>
          <w:lang w:val="fr-FR"/>
        </w:rPr>
        <w:t xml:space="preserve">judiciaire </w:t>
      </w:r>
      <w:r w:rsidR="00A3790E" w:rsidRPr="008544BB">
        <w:rPr>
          <w:lang w:val="fr-FR"/>
        </w:rPr>
        <w:t xml:space="preserve">quant </w:t>
      </w:r>
      <w:r w:rsidR="00BB5BFF" w:rsidRPr="008544BB">
        <w:rPr>
          <w:lang w:val="fr-FR"/>
        </w:rPr>
        <w:t>aux progrès</w:t>
      </w:r>
      <w:r w:rsidR="00A3790E" w:rsidRPr="008544BB">
        <w:rPr>
          <w:lang w:val="fr-FR"/>
        </w:rPr>
        <w:t xml:space="preserve"> </w:t>
      </w:r>
      <w:r w:rsidR="00550931" w:rsidRPr="008544BB">
        <w:rPr>
          <w:lang w:val="fr-FR"/>
        </w:rPr>
        <w:t xml:space="preserve">réalisés par celle-ci </w:t>
      </w:r>
      <w:r w:rsidR="00A3790E" w:rsidRPr="008544BB">
        <w:rPr>
          <w:lang w:val="fr-FR"/>
        </w:rPr>
        <w:t xml:space="preserve">et </w:t>
      </w:r>
      <w:r w:rsidR="00096957" w:rsidRPr="008544BB">
        <w:rPr>
          <w:lang w:val="fr-FR"/>
        </w:rPr>
        <w:t>au</w:t>
      </w:r>
      <w:r w:rsidR="00A3790E" w:rsidRPr="008544BB">
        <w:rPr>
          <w:lang w:val="fr-FR"/>
        </w:rPr>
        <w:t xml:space="preserve"> rapport mère</w:t>
      </w:r>
      <w:r w:rsidR="00550931" w:rsidRPr="008544BB">
        <w:rPr>
          <w:lang w:val="fr-FR"/>
        </w:rPr>
        <w:noBreakHyphen/>
      </w:r>
      <w:r w:rsidR="00A3790E" w:rsidRPr="008544BB">
        <w:rPr>
          <w:lang w:val="fr-FR"/>
        </w:rPr>
        <w:t>enfants.</w:t>
      </w:r>
      <w:r w:rsidR="00567119" w:rsidRPr="008544BB">
        <w:rPr>
          <w:lang w:val="fr-FR"/>
        </w:rPr>
        <w:t xml:space="preserve"> </w:t>
      </w:r>
      <w:r w:rsidR="001B2A20" w:rsidRPr="008544BB">
        <w:rPr>
          <w:lang w:val="fr-FR"/>
        </w:rPr>
        <w:t xml:space="preserve">Il </w:t>
      </w:r>
      <w:r w:rsidR="00D217AE" w:rsidRPr="008544BB">
        <w:rPr>
          <w:lang w:val="fr-FR"/>
        </w:rPr>
        <w:t>indiqua</w:t>
      </w:r>
      <w:r w:rsidR="001B2A20" w:rsidRPr="008544BB">
        <w:rPr>
          <w:lang w:val="fr-FR"/>
        </w:rPr>
        <w:t xml:space="preserve"> </w:t>
      </w:r>
      <w:r w:rsidR="00096957" w:rsidRPr="008544BB">
        <w:rPr>
          <w:lang w:val="fr-FR"/>
        </w:rPr>
        <w:t>notamment</w:t>
      </w:r>
      <w:r w:rsidR="00343DCA" w:rsidRPr="008544BB">
        <w:rPr>
          <w:lang w:val="fr-FR"/>
        </w:rPr>
        <w:t>, dans ses propres conclusions,</w:t>
      </w:r>
      <w:r w:rsidR="0000756D" w:rsidRPr="008544BB">
        <w:rPr>
          <w:lang w:val="fr-FR"/>
        </w:rPr>
        <w:t xml:space="preserve"> </w:t>
      </w:r>
      <w:r w:rsidR="001B2A20" w:rsidRPr="008544BB">
        <w:rPr>
          <w:lang w:val="fr-FR"/>
        </w:rPr>
        <w:t>que la première requérante suivait un parcours de psychothérapie</w:t>
      </w:r>
      <w:r w:rsidR="00455451" w:rsidRPr="008544BB">
        <w:rPr>
          <w:lang w:val="fr-FR"/>
        </w:rPr>
        <w:t xml:space="preserve"> et que celui-ci</w:t>
      </w:r>
      <w:r w:rsidR="0000756D" w:rsidRPr="008544BB">
        <w:rPr>
          <w:lang w:val="fr-FR"/>
        </w:rPr>
        <w:t xml:space="preserve"> s</w:t>
      </w:r>
      <w:r w:rsidR="008544BB" w:rsidRPr="008544BB">
        <w:rPr>
          <w:lang w:val="fr-FR"/>
        </w:rPr>
        <w:t>’</w:t>
      </w:r>
      <w:r w:rsidR="0000756D" w:rsidRPr="008544BB">
        <w:rPr>
          <w:lang w:val="fr-FR"/>
        </w:rPr>
        <w:t>était révélé</w:t>
      </w:r>
      <w:r w:rsidR="001B2A20" w:rsidRPr="008544BB">
        <w:rPr>
          <w:lang w:val="fr-FR"/>
        </w:rPr>
        <w:t xml:space="preserve"> </w:t>
      </w:r>
      <w:r w:rsidR="00D217AE" w:rsidRPr="008544BB">
        <w:rPr>
          <w:lang w:val="fr-FR"/>
        </w:rPr>
        <w:t xml:space="preserve">salutaire, </w:t>
      </w:r>
      <w:r w:rsidR="00DA01D3" w:rsidRPr="008544BB">
        <w:rPr>
          <w:lang w:val="fr-FR"/>
        </w:rPr>
        <w:t xml:space="preserve">en particulier </w:t>
      </w:r>
      <w:r w:rsidR="00D217AE" w:rsidRPr="008544BB">
        <w:rPr>
          <w:lang w:val="fr-FR"/>
        </w:rPr>
        <w:t>après</w:t>
      </w:r>
      <w:r w:rsidR="0000756D" w:rsidRPr="008544BB">
        <w:rPr>
          <w:lang w:val="fr-FR"/>
        </w:rPr>
        <w:t xml:space="preserve"> </w:t>
      </w:r>
      <w:r w:rsidR="00455451" w:rsidRPr="008544BB">
        <w:rPr>
          <w:lang w:val="fr-FR"/>
        </w:rPr>
        <w:t xml:space="preserve">un </w:t>
      </w:r>
      <w:r w:rsidR="0000756D" w:rsidRPr="008544BB">
        <w:rPr>
          <w:lang w:val="fr-FR"/>
        </w:rPr>
        <w:t xml:space="preserve">apaisement des tensions entre </w:t>
      </w:r>
      <w:r w:rsidR="00455451" w:rsidRPr="008544BB">
        <w:rPr>
          <w:lang w:val="fr-FR"/>
        </w:rPr>
        <w:t>l</w:t>
      </w:r>
      <w:r w:rsidR="008544BB" w:rsidRPr="008544BB">
        <w:rPr>
          <w:lang w:val="fr-FR"/>
        </w:rPr>
        <w:t>’</w:t>
      </w:r>
      <w:r w:rsidR="00455451" w:rsidRPr="008544BB">
        <w:rPr>
          <w:lang w:val="fr-FR"/>
        </w:rPr>
        <w:t>intéressée</w:t>
      </w:r>
      <w:r w:rsidR="0000756D" w:rsidRPr="008544BB">
        <w:rPr>
          <w:lang w:val="fr-FR"/>
        </w:rPr>
        <w:t xml:space="preserve"> et les services sociaux</w:t>
      </w:r>
      <w:r w:rsidR="00455451" w:rsidRPr="008544BB">
        <w:rPr>
          <w:lang w:val="fr-FR"/>
        </w:rPr>
        <w:t xml:space="preserve">, </w:t>
      </w:r>
      <w:r w:rsidR="00096957" w:rsidRPr="008544BB">
        <w:rPr>
          <w:lang w:val="fr-FR"/>
        </w:rPr>
        <w:t>coïncidant avec le</w:t>
      </w:r>
      <w:r w:rsidR="00D217AE" w:rsidRPr="008544BB">
        <w:rPr>
          <w:lang w:val="fr-FR"/>
        </w:rPr>
        <w:t xml:space="preserve"> transfe</w:t>
      </w:r>
      <w:r w:rsidR="00096957" w:rsidRPr="008544BB">
        <w:rPr>
          <w:lang w:val="fr-FR"/>
        </w:rPr>
        <w:t>rt des enfants dans les nouveaux établissements</w:t>
      </w:r>
      <w:r w:rsidR="001B2A20" w:rsidRPr="008544BB">
        <w:rPr>
          <w:lang w:val="fr-FR"/>
        </w:rPr>
        <w:t>.</w:t>
      </w:r>
    </w:p>
    <w:bookmarkStart w:id="18" w:name="PREMIERE_FUITE"/>
    <w:p w:rsidR="00135C40" w:rsidRPr="008544BB" w:rsidRDefault="00567119"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38</w:t>
      </w:r>
      <w:r w:rsidRPr="008544BB">
        <w:rPr>
          <w:lang w:val="fr-FR"/>
        </w:rPr>
        <w:fldChar w:fldCharType="end"/>
      </w:r>
      <w:bookmarkEnd w:id="18"/>
      <w:r w:rsidRPr="008544BB">
        <w:rPr>
          <w:lang w:val="fr-FR"/>
        </w:rPr>
        <w:t>.  </w:t>
      </w:r>
      <w:r w:rsidR="00234A15" w:rsidRPr="008544BB">
        <w:rPr>
          <w:lang w:val="fr-FR"/>
        </w:rPr>
        <w:t xml:space="preserve">Le 18 avril 2015, L., alors âgé de 14 ans et 8 mois, </w:t>
      </w:r>
      <w:r w:rsidR="00810EF6" w:rsidRPr="008544BB">
        <w:rPr>
          <w:lang w:val="fr-FR"/>
        </w:rPr>
        <w:t>quitta</w:t>
      </w:r>
      <w:r w:rsidR="00177907" w:rsidRPr="008544BB">
        <w:rPr>
          <w:lang w:val="fr-FR"/>
        </w:rPr>
        <w:t xml:space="preserve"> soudainement l</w:t>
      </w:r>
      <w:r w:rsidR="00096957" w:rsidRPr="008544BB">
        <w:rPr>
          <w:lang w:val="fr-FR"/>
        </w:rPr>
        <w:t>a structure</w:t>
      </w:r>
      <w:r w:rsidR="00177907" w:rsidRPr="008544BB">
        <w:rPr>
          <w:lang w:val="fr-FR"/>
        </w:rPr>
        <w:t xml:space="preserve"> d</w:t>
      </w:r>
      <w:r w:rsidR="008544BB" w:rsidRPr="008544BB">
        <w:rPr>
          <w:lang w:val="fr-FR"/>
        </w:rPr>
        <w:t>’</w:t>
      </w:r>
      <w:r w:rsidR="00177907" w:rsidRPr="008544BB">
        <w:rPr>
          <w:lang w:val="fr-FR"/>
        </w:rPr>
        <w:t xml:space="preserve">accueil </w:t>
      </w:r>
      <w:r w:rsidR="002648F6" w:rsidRPr="008544BB">
        <w:rPr>
          <w:lang w:val="fr-FR"/>
        </w:rPr>
        <w:t>qui l</w:t>
      </w:r>
      <w:r w:rsidR="008544BB" w:rsidRPr="008544BB">
        <w:rPr>
          <w:lang w:val="fr-FR"/>
        </w:rPr>
        <w:t>’</w:t>
      </w:r>
      <w:r w:rsidR="00177907" w:rsidRPr="008544BB">
        <w:rPr>
          <w:lang w:val="fr-FR"/>
        </w:rPr>
        <w:t>hébergeait</w:t>
      </w:r>
      <w:r w:rsidR="00234A15" w:rsidRPr="008544BB">
        <w:rPr>
          <w:lang w:val="fr-FR"/>
        </w:rPr>
        <w:t xml:space="preserve"> pour </w:t>
      </w:r>
      <w:r w:rsidR="00177907" w:rsidRPr="008544BB">
        <w:rPr>
          <w:lang w:val="fr-FR"/>
        </w:rPr>
        <w:t>rejo</w:t>
      </w:r>
      <w:r w:rsidR="00096957" w:rsidRPr="008544BB">
        <w:rPr>
          <w:lang w:val="fr-FR"/>
        </w:rPr>
        <w:t xml:space="preserve">indre </w:t>
      </w:r>
      <w:r w:rsidR="00810EF6" w:rsidRPr="008544BB">
        <w:rPr>
          <w:lang w:val="fr-FR"/>
        </w:rPr>
        <w:t>le domic</w:t>
      </w:r>
      <w:r w:rsidR="00513FB6" w:rsidRPr="008544BB">
        <w:rPr>
          <w:lang w:val="fr-FR"/>
        </w:rPr>
        <w:t>i</w:t>
      </w:r>
      <w:r w:rsidR="00810EF6" w:rsidRPr="008544BB">
        <w:rPr>
          <w:lang w:val="fr-FR"/>
        </w:rPr>
        <w:t xml:space="preserve">le de </w:t>
      </w:r>
      <w:r w:rsidR="00513FB6" w:rsidRPr="008544BB">
        <w:rPr>
          <w:lang w:val="fr-FR"/>
        </w:rPr>
        <w:t>la deuxième requérante</w:t>
      </w:r>
      <w:r w:rsidR="00810EF6" w:rsidRPr="008544BB">
        <w:rPr>
          <w:lang w:val="fr-FR"/>
        </w:rPr>
        <w:t>, où habitait la première</w:t>
      </w:r>
      <w:r w:rsidR="00096957" w:rsidRPr="008544BB">
        <w:rPr>
          <w:lang w:val="fr-FR"/>
        </w:rPr>
        <w:t xml:space="preserve"> requérante</w:t>
      </w:r>
      <w:r w:rsidR="00234A15" w:rsidRPr="008544BB">
        <w:rPr>
          <w:lang w:val="fr-FR"/>
        </w:rPr>
        <w:t>.</w:t>
      </w:r>
    </w:p>
    <w:p w:rsidR="00234A15" w:rsidRPr="008544BB" w:rsidRDefault="00234A15"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39</w:t>
      </w:r>
      <w:r w:rsidRPr="008544BB">
        <w:rPr>
          <w:lang w:val="fr-FR"/>
        </w:rPr>
        <w:fldChar w:fldCharType="end"/>
      </w:r>
      <w:r w:rsidRPr="008544BB">
        <w:rPr>
          <w:lang w:val="fr-FR"/>
        </w:rPr>
        <w:t xml:space="preserve">.  Le 24 avril 2015, le tribunal </w:t>
      </w:r>
      <w:r w:rsidR="00B66769" w:rsidRPr="008544BB">
        <w:rPr>
          <w:lang w:val="fr-FR"/>
        </w:rPr>
        <w:t xml:space="preserve">pour enfants </w:t>
      </w:r>
      <w:r w:rsidRPr="008544BB">
        <w:rPr>
          <w:lang w:val="fr-FR"/>
        </w:rPr>
        <w:t>ordonna aux forces de l</w:t>
      </w:r>
      <w:r w:rsidR="008544BB" w:rsidRPr="008544BB">
        <w:rPr>
          <w:lang w:val="fr-FR"/>
        </w:rPr>
        <w:t>’</w:t>
      </w:r>
      <w:r w:rsidRPr="008544BB">
        <w:rPr>
          <w:lang w:val="fr-FR"/>
        </w:rPr>
        <w:t>ordre d</w:t>
      </w:r>
      <w:r w:rsidR="00082ECB" w:rsidRPr="008544BB">
        <w:rPr>
          <w:lang w:val="fr-FR"/>
        </w:rPr>
        <w:t xml:space="preserve">e </w:t>
      </w:r>
      <w:r w:rsidR="00167370" w:rsidRPr="008544BB">
        <w:rPr>
          <w:lang w:val="fr-FR"/>
        </w:rPr>
        <w:t>prélever</w:t>
      </w:r>
      <w:r w:rsidR="00513FB6" w:rsidRPr="008544BB">
        <w:rPr>
          <w:lang w:val="fr-FR"/>
        </w:rPr>
        <w:t xml:space="preserve"> </w:t>
      </w:r>
      <w:r w:rsidRPr="008544BB">
        <w:rPr>
          <w:lang w:val="fr-FR"/>
        </w:rPr>
        <w:t>le mineur</w:t>
      </w:r>
      <w:r w:rsidR="00082ECB" w:rsidRPr="008544BB">
        <w:rPr>
          <w:lang w:val="fr-FR"/>
        </w:rPr>
        <w:t xml:space="preserve"> </w:t>
      </w:r>
      <w:r w:rsidR="00513FB6" w:rsidRPr="008544BB">
        <w:rPr>
          <w:lang w:val="fr-FR"/>
        </w:rPr>
        <w:t>d</w:t>
      </w:r>
      <w:r w:rsidR="00A45A54" w:rsidRPr="008544BB">
        <w:rPr>
          <w:lang w:val="fr-FR"/>
        </w:rPr>
        <w:t xml:space="preserve">u domicile de la deuxième requérante </w:t>
      </w:r>
      <w:r w:rsidR="00082ECB" w:rsidRPr="008544BB">
        <w:rPr>
          <w:lang w:val="fr-FR"/>
        </w:rPr>
        <w:t>et de le reconduire da</w:t>
      </w:r>
      <w:r w:rsidRPr="008544BB">
        <w:rPr>
          <w:lang w:val="fr-FR"/>
        </w:rPr>
        <w:t xml:space="preserve">ns la structure </w:t>
      </w:r>
      <w:r w:rsidR="00502EF1" w:rsidRPr="008544BB">
        <w:rPr>
          <w:lang w:val="fr-FR"/>
        </w:rPr>
        <w:t>d</w:t>
      </w:r>
      <w:r w:rsidR="008544BB" w:rsidRPr="008544BB">
        <w:rPr>
          <w:lang w:val="fr-FR"/>
        </w:rPr>
        <w:t>’</w:t>
      </w:r>
      <w:r w:rsidR="00502EF1" w:rsidRPr="008544BB">
        <w:rPr>
          <w:lang w:val="fr-FR"/>
        </w:rPr>
        <w:t>accueil</w:t>
      </w:r>
      <w:r w:rsidRPr="008544BB">
        <w:rPr>
          <w:lang w:val="fr-FR"/>
        </w:rPr>
        <w:t xml:space="preserve">. </w:t>
      </w:r>
      <w:r w:rsidR="00A45A54" w:rsidRPr="008544BB">
        <w:rPr>
          <w:lang w:val="fr-FR"/>
        </w:rPr>
        <w:t>En</w:t>
      </w:r>
      <w:r w:rsidR="00502EF1" w:rsidRPr="008544BB">
        <w:rPr>
          <w:lang w:val="fr-FR"/>
        </w:rPr>
        <w:t xml:space="preserve"> </w:t>
      </w:r>
      <w:r w:rsidR="00A45A54" w:rsidRPr="008544BB">
        <w:rPr>
          <w:lang w:val="fr-FR"/>
        </w:rPr>
        <w:t>outre</w:t>
      </w:r>
      <w:r w:rsidR="00082ECB" w:rsidRPr="008544BB">
        <w:rPr>
          <w:lang w:val="fr-FR"/>
        </w:rPr>
        <w:t>, i</w:t>
      </w:r>
      <w:r w:rsidRPr="008544BB">
        <w:rPr>
          <w:lang w:val="fr-FR"/>
        </w:rPr>
        <w:t xml:space="preserve">l élabora un plan de réinsertion progressive des enfants dans </w:t>
      </w:r>
      <w:r w:rsidR="00082ECB" w:rsidRPr="008544BB">
        <w:rPr>
          <w:lang w:val="fr-FR"/>
        </w:rPr>
        <w:t>l</w:t>
      </w:r>
      <w:r w:rsidR="00FF47AF" w:rsidRPr="008544BB">
        <w:rPr>
          <w:lang w:val="fr-FR"/>
        </w:rPr>
        <w:t>a</w:t>
      </w:r>
      <w:r w:rsidR="00082ECB" w:rsidRPr="008544BB">
        <w:rPr>
          <w:lang w:val="fr-FR"/>
        </w:rPr>
        <w:t xml:space="preserve"> cellule familiale</w:t>
      </w:r>
      <w:r w:rsidRPr="008544BB">
        <w:rPr>
          <w:lang w:val="fr-FR"/>
        </w:rPr>
        <w:t xml:space="preserve">, en prévoyant </w:t>
      </w:r>
      <w:r w:rsidR="00502EF1" w:rsidRPr="008544BB">
        <w:rPr>
          <w:lang w:val="fr-FR"/>
        </w:rPr>
        <w:t xml:space="preserve">pour chaque fin de semaine </w:t>
      </w:r>
      <w:r w:rsidR="00082ECB" w:rsidRPr="008544BB">
        <w:rPr>
          <w:lang w:val="fr-FR"/>
        </w:rPr>
        <w:t>la</w:t>
      </w:r>
      <w:r w:rsidRPr="008544BB">
        <w:rPr>
          <w:lang w:val="fr-FR"/>
        </w:rPr>
        <w:t xml:space="preserve"> cohabitation</w:t>
      </w:r>
      <w:r w:rsidR="00502EF1" w:rsidRPr="008544BB">
        <w:rPr>
          <w:lang w:val="fr-FR"/>
        </w:rPr>
        <w:t xml:space="preserve"> au domi</w:t>
      </w:r>
      <w:r w:rsidR="000968DE" w:rsidRPr="008544BB">
        <w:rPr>
          <w:lang w:val="fr-FR"/>
        </w:rPr>
        <w:t>cile de la deuxième requérante</w:t>
      </w:r>
      <w:r w:rsidR="00096957" w:rsidRPr="008544BB">
        <w:rPr>
          <w:lang w:val="fr-FR"/>
        </w:rPr>
        <w:t>,</w:t>
      </w:r>
      <w:r w:rsidR="00F71E79" w:rsidRPr="008544BB">
        <w:rPr>
          <w:lang w:val="fr-FR"/>
        </w:rPr>
        <w:t xml:space="preserve"> sous la supervision des services sociaux</w:t>
      </w:r>
      <w:r w:rsidRPr="008544BB">
        <w:rPr>
          <w:lang w:val="fr-FR"/>
        </w:rPr>
        <w:t xml:space="preserve">. Il </w:t>
      </w:r>
      <w:r w:rsidR="00A45A54" w:rsidRPr="008544BB">
        <w:rPr>
          <w:lang w:val="fr-FR"/>
        </w:rPr>
        <w:t>enjoignit</w:t>
      </w:r>
      <w:r w:rsidRPr="008544BB">
        <w:rPr>
          <w:lang w:val="fr-FR"/>
        </w:rPr>
        <w:t xml:space="preserve"> à </w:t>
      </w:r>
      <w:r w:rsidR="006027C5" w:rsidRPr="008544BB">
        <w:rPr>
          <w:lang w:val="fr-FR"/>
        </w:rPr>
        <w:t>la première requérante de se conformer aux instructions des services sociaux et d</w:t>
      </w:r>
      <w:r w:rsidR="00F71E79" w:rsidRPr="008544BB">
        <w:rPr>
          <w:lang w:val="fr-FR"/>
        </w:rPr>
        <w:t>e fixer</w:t>
      </w:r>
      <w:r w:rsidR="006027C5" w:rsidRPr="008544BB">
        <w:rPr>
          <w:lang w:val="fr-FR"/>
        </w:rPr>
        <w:t xml:space="preserve"> sa</w:t>
      </w:r>
      <w:r w:rsidRPr="008544BB">
        <w:rPr>
          <w:lang w:val="fr-FR"/>
        </w:rPr>
        <w:t xml:space="preserve"> résidence chez </w:t>
      </w:r>
      <w:r w:rsidR="006027C5" w:rsidRPr="008544BB">
        <w:rPr>
          <w:lang w:val="fr-FR"/>
        </w:rPr>
        <w:t>la deuxième requérante</w:t>
      </w:r>
      <w:r w:rsidRPr="008544BB">
        <w:rPr>
          <w:lang w:val="fr-FR"/>
        </w:rPr>
        <w:t>.</w:t>
      </w:r>
    </w:p>
    <w:bookmarkStart w:id="19" w:name="DEUXIEME_FUITE"/>
    <w:p w:rsidR="00514294" w:rsidRPr="008544BB" w:rsidRDefault="00234A15"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40</w:t>
      </w:r>
      <w:r w:rsidRPr="008544BB">
        <w:rPr>
          <w:lang w:val="fr-FR"/>
        </w:rPr>
        <w:fldChar w:fldCharType="end"/>
      </w:r>
      <w:bookmarkEnd w:id="19"/>
      <w:r w:rsidRPr="008544BB">
        <w:rPr>
          <w:lang w:val="fr-FR"/>
        </w:rPr>
        <w:t>.  </w:t>
      </w:r>
      <w:r w:rsidR="007277B0" w:rsidRPr="008544BB">
        <w:rPr>
          <w:lang w:val="fr-FR"/>
        </w:rPr>
        <w:t xml:space="preserve">Le </w:t>
      </w:r>
      <w:r w:rsidR="00F71E79" w:rsidRPr="008544BB">
        <w:rPr>
          <w:lang w:val="fr-FR"/>
        </w:rPr>
        <w:t xml:space="preserve">20 mai 2015, la </w:t>
      </w:r>
      <w:r w:rsidR="009557A6" w:rsidRPr="008544BB">
        <w:rPr>
          <w:lang w:val="fr-FR"/>
        </w:rPr>
        <w:t>structure</w:t>
      </w:r>
      <w:r w:rsidR="00F71E79" w:rsidRPr="008544BB">
        <w:rPr>
          <w:lang w:val="fr-FR"/>
        </w:rPr>
        <w:t xml:space="preserve"> d</w:t>
      </w:r>
      <w:r w:rsidR="008544BB" w:rsidRPr="008544BB">
        <w:rPr>
          <w:lang w:val="fr-FR"/>
        </w:rPr>
        <w:t>’</w:t>
      </w:r>
      <w:r w:rsidR="00F71E79" w:rsidRPr="008544BB">
        <w:rPr>
          <w:lang w:val="fr-FR"/>
        </w:rPr>
        <w:t xml:space="preserve">accueil de L. informa le tribunal </w:t>
      </w:r>
      <w:r w:rsidR="00B66769" w:rsidRPr="008544BB">
        <w:rPr>
          <w:lang w:val="fr-FR"/>
        </w:rPr>
        <w:t xml:space="preserve">pour enfants </w:t>
      </w:r>
      <w:r w:rsidR="00F71E79" w:rsidRPr="008544BB">
        <w:rPr>
          <w:lang w:val="fr-FR"/>
        </w:rPr>
        <w:t>que</w:t>
      </w:r>
      <w:r w:rsidR="00514294" w:rsidRPr="008544BB">
        <w:rPr>
          <w:lang w:val="fr-FR"/>
        </w:rPr>
        <w:t>,</w:t>
      </w:r>
      <w:r w:rsidR="00F71E79" w:rsidRPr="008544BB">
        <w:rPr>
          <w:lang w:val="fr-FR"/>
        </w:rPr>
        <w:t xml:space="preserve"> depuis la veille</w:t>
      </w:r>
      <w:r w:rsidR="00514294" w:rsidRPr="008544BB">
        <w:rPr>
          <w:lang w:val="fr-FR"/>
        </w:rPr>
        <w:t>,</w:t>
      </w:r>
      <w:r w:rsidR="00F71E79" w:rsidRPr="008544BB">
        <w:rPr>
          <w:lang w:val="fr-FR"/>
        </w:rPr>
        <w:t xml:space="preserve"> L. avait </w:t>
      </w:r>
      <w:r w:rsidR="00096957" w:rsidRPr="008544BB">
        <w:rPr>
          <w:lang w:val="fr-FR"/>
        </w:rPr>
        <w:t xml:space="preserve">de nouveau </w:t>
      </w:r>
      <w:r w:rsidR="00513FB6" w:rsidRPr="008544BB">
        <w:rPr>
          <w:lang w:val="fr-FR"/>
        </w:rPr>
        <w:t>quitté</w:t>
      </w:r>
      <w:r w:rsidR="00F71E79" w:rsidRPr="008544BB">
        <w:rPr>
          <w:lang w:val="fr-FR"/>
        </w:rPr>
        <w:t xml:space="preserve"> l</w:t>
      </w:r>
      <w:r w:rsidR="008544BB" w:rsidRPr="008544BB">
        <w:rPr>
          <w:lang w:val="fr-FR"/>
        </w:rPr>
        <w:t>’</w:t>
      </w:r>
      <w:r w:rsidR="00F71E79" w:rsidRPr="008544BB">
        <w:rPr>
          <w:lang w:val="fr-FR"/>
        </w:rPr>
        <w:t xml:space="preserve">établissement pour se </w:t>
      </w:r>
      <w:r w:rsidR="00A45A54" w:rsidRPr="008544BB">
        <w:rPr>
          <w:lang w:val="fr-FR"/>
        </w:rPr>
        <w:t>rendre</w:t>
      </w:r>
      <w:r w:rsidR="00F71E79" w:rsidRPr="008544BB">
        <w:rPr>
          <w:lang w:val="fr-FR"/>
        </w:rPr>
        <w:t xml:space="preserve"> chez </w:t>
      </w:r>
      <w:r w:rsidR="00A45A54" w:rsidRPr="008544BB">
        <w:rPr>
          <w:lang w:val="fr-FR"/>
        </w:rPr>
        <w:t>la deuxième</w:t>
      </w:r>
      <w:r w:rsidR="00F71E79" w:rsidRPr="008544BB">
        <w:rPr>
          <w:lang w:val="fr-FR"/>
        </w:rPr>
        <w:t xml:space="preserve"> requérante. Dans </w:t>
      </w:r>
      <w:r w:rsidR="00A45A54" w:rsidRPr="008544BB">
        <w:rPr>
          <w:lang w:val="fr-FR"/>
        </w:rPr>
        <w:t>leur</w:t>
      </w:r>
      <w:r w:rsidR="00F71E79" w:rsidRPr="008544BB">
        <w:rPr>
          <w:lang w:val="fr-FR"/>
        </w:rPr>
        <w:t xml:space="preserve"> communication, les responsables de la </w:t>
      </w:r>
      <w:r w:rsidR="009557A6" w:rsidRPr="008544BB">
        <w:rPr>
          <w:lang w:val="fr-FR"/>
        </w:rPr>
        <w:t>structure</w:t>
      </w:r>
      <w:r w:rsidR="00514294" w:rsidRPr="008544BB">
        <w:rPr>
          <w:lang w:val="fr-FR"/>
        </w:rPr>
        <w:t xml:space="preserve"> </w:t>
      </w:r>
      <w:r w:rsidR="00A45A54" w:rsidRPr="008544BB">
        <w:rPr>
          <w:lang w:val="fr-FR"/>
        </w:rPr>
        <w:t>indiquaient</w:t>
      </w:r>
      <w:r w:rsidR="00F71E79" w:rsidRPr="008544BB">
        <w:rPr>
          <w:lang w:val="fr-FR"/>
        </w:rPr>
        <w:t xml:space="preserve"> que </w:t>
      </w:r>
      <w:r w:rsidR="00A45A54" w:rsidRPr="008544BB">
        <w:rPr>
          <w:lang w:val="fr-FR"/>
        </w:rPr>
        <w:t>le placement</w:t>
      </w:r>
      <w:r w:rsidR="00F71E79" w:rsidRPr="008544BB">
        <w:rPr>
          <w:lang w:val="fr-FR"/>
        </w:rPr>
        <w:t xml:space="preserve"> forcé du mineur dans l</w:t>
      </w:r>
      <w:r w:rsidR="008544BB" w:rsidRPr="008544BB">
        <w:rPr>
          <w:lang w:val="fr-FR"/>
        </w:rPr>
        <w:t>’</w:t>
      </w:r>
      <w:r w:rsidR="00514294" w:rsidRPr="008544BB">
        <w:rPr>
          <w:lang w:val="fr-FR"/>
        </w:rPr>
        <w:t>établissement n</w:t>
      </w:r>
      <w:r w:rsidR="008544BB" w:rsidRPr="008544BB">
        <w:rPr>
          <w:lang w:val="fr-FR"/>
        </w:rPr>
        <w:t>’</w:t>
      </w:r>
      <w:r w:rsidR="009557A6" w:rsidRPr="008544BB">
        <w:rPr>
          <w:lang w:val="fr-FR"/>
        </w:rPr>
        <w:t>était pas souhaitable</w:t>
      </w:r>
      <w:r w:rsidR="00F71E79" w:rsidRPr="008544BB">
        <w:rPr>
          <w:lang w:val="fr-FR"/>
        </w:rPr>
        <w:t>.</w:t>
      </w:r>
    </w:p>
    <w:p w:rsidR="00B80D52" w:rsidRPr="008544BB" w:rsidRDefault="00514294"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41</w:t>
      </w:r>
      <w:r w:rsidRPr="008544BB">
        <w:rPr>
          <w:lang w:val="fr-FR"/>
        </w:rPr>
        <w:fldChar w:fldCharType="end"/>
      </w:r>
      <w:r w:rsidRPr="008544BB">
        <w:rPr>
          <w:lang w:val="fr-FR"/>
        </w:rPr>
        <w:t xml:space="preserve">.  Le 25 </w:t>
      </w:r>
      <w:r w:rsidR="007277B0" w:rsidRPr="008544BB">
        <w:rPr>
          <w:lang w:val="fr-FR"/>
        </w:rPr>
        <w:t xml:space="preserve">mai 2015, le tribunal </w:t>
      </w:r>
      <w:r w:rsidR="00502EF1" w:rsidRPr="008544BB">
        <w:rPr>
          <w:lang w:val="fr-FR"/>
        </w:rPr>
        <w:t>ordonna le placement des</w:t>
      </w:r>
      <w:r w:rsidR="007277B0" w:rsidRPr="008544BB">
        <w:rPr>
          <w:lang w:val="fr-FR"/>
        </w:rPr>
        <w:t xml:space="preserve"> enfants </w:t>
      </w:r>
      <w:r w:rsidR="00A45A54" w:rsidRPr="008544BB">
        <w:rPr>
          <w:lang w:val="fr-FR"/>
        </w:rPr>
        <w:t>au domicile</w:t>
      </w:r>
      <w:r w:rsidR="007277B0" w:rsidRPr="008544BB">
        <w:rPr>
          <w:lang w:val="fr-FR"/>
        </w:rPr>
        <w:t xml:space="preserve"> de l</w:t>
      </w:r>
      <w:r w:rsidR="00502EF1" w:rsidRPr="008544BB">
        <w:rPr>
          <w:lang w:val="fr-FR"/>
        </w:rPr>
        <w:t>a deuxième requérante, en cohabitation avec la première requérante</w:t>
      </w:r>
      <w:r w:rsidR="007277B0" w:rsidRPr="008544BB">
        <w:rPr>
          <w:lang w:val="fr-FR"/>
        </w:rPr>
        <w:t>. Il maintint la suspension de l</w:t>
      </w:r>
      <w:r w:rsidR="008544BB" w:rsidRPr="008544BB">
        <w:rPr>
          <w:lang w:val="fr-FR"/>
        </w:rPr>
        <w:t>’</w:t>
      </w:r>
      <w:r w:rsidR="007277B0" w:rsidRPr="008544BB">
        <w:rPr>
          <w:lang w:val="fr-FR"/>
        </w:rPr>
        <w:t xml:space="preserve">autorité parentale de </w:t>
      </w:r>
      <w:r w:rsidR="00A876A7" w:rsidRPr="008544BB">
        <w:rPr>
          <w:lang w:val="fr-FR"/>
        </w:rPr>
        <w:t>cette dernière</w:t>
      </w:r>
      <w:r w:rsidR="007277B0" w:rsidRPr="008544BB">
        <w:rPr>
          <w:lang w:val="fr-FR"/>
        </w:rPr>
        <w:t xml:space="preserve"> et ordonna aux différents acteurs impliqués (tuteur, curat</w:t>
      </w:r>
      <w:r w:rsidR="002B6D21" w:rsidRPr="008544BB">
        <w:rPr>
          <w:lang w:val="fr-FR"/>
        </w:rPr>
        <w:t>rice</w:t>
      </w:r>
      <w:r w:rsidR="007277B0" w:rsidRPr="008544BB">
        <w:rPr>
          <w:lang w:val="fr-FR"/>
        </w:rPr>
        <w:t>, services sociaux) de mettre en place un parcours d</w:t>
      </w:r>
      <w:r w:rsidR="008544BB" w:rsidRPr="008544BB">
        <w:rPr>
          <w:lang w:val="fr-FR"/>
        </w:rPr>
        <w:t>’</w:t>
      </w:r>
      <w:r w:rsidR="007277B0" w:rsidRPr="008544BB">
        <w:rPr>
          <w:lang w:val="fr-FR"/>
        </w:rPr>
        <w:t xml:space="preserve">assistance éducative </w:t>
      </w:r>
      <w:r w:rsidR="00A45A54" w:rsidRPr="008544BB">
        <w:rPr>
          <w:lang w:val="fr-FR"/>
        </w:rPr>
        <w:t xml:space="preserve">à </w:t>
      </w:r>
      <w:r w:rsidR="007277B0" w:rsidRPr="008544BB">
        <w:rPr>
          <w:lang w:val="fr-FR"/>
        </w:rPr>
        <w:t>domicile</w:t>
      </w:r>
      <w:r w:rsidR="00984ED2" w:rsidRPr="008544BB">
        <w:rPr>
          <w:lang w:val="fr-FR"/>
        </w:rPr>
        <w:t xml:space="preserve"> et </w:t>
      </w:r>
      <w:r w:rsidR="007277B0" w:rsidRPr="008544BB">
        <w:rPr>
          <w:lang w:val="fr-FR"/>
        </w:rPr>
        <w:t xml:space="preserve">de </w:t>
      </w:r>
      <w:r w:rsidR="00380F43" w:rsidRPr="008544BB">
        <w:rPr>
          <w:lang w:val="fr-FR"/>
        </w:rPr>
        <w:t xml:space="preserve">poursuivre </w:t>
      </w:r>
      <w:r w:rsidR="007277B0" w:rsidRPr="008544BB">
        <w:rPr>
          <w:lang w:val="fr-FR"/>
        </w:rPr>
        <w:t xml:space="preserve">les thérapies psychologiques en cours. </w:t>
      </w:r>
      <w:r w:rsidR="00FF47AF" w:rsidRPr="008544BB">
        <w:rPr>
          <w:lang w:val="fr-FR"/>
        </w:rPr>
        <w:t>Enfin, i</w:t>
      </w:r>
      <w:r w:rsidR="007277B0" w:rsidRPr="008544BB">
        <w:rPr>
          <w:lang w:val="fr-FR"/>
        </w:rPr>
        <w:t xml:space="preserve">l </w:t>
      </w:r>
      <w:r w:rsidR="00567459" w:rsidRPr="008544BB">
        <w:rPr>
          <w:lang w:val="fr-FR"/>
        </w:rPr>
        <w:t>enjoignit</w:t>
      </w:r>
      <w:r w:rsidR="007277B0" w:rsidRPr="008544BB">
        <w:rPr>
          <w:lang w:val="fr-FR"/>
        </w:rPr>
        <w:t xml:space="preserve"> à</w:t>
      </w:r>
      <w:r w:rsidR="00A876A7" w:rsidRPr="008544BB">
        <w:rPr>
          <w:lang w:val="fr-FR"/>
        </w:rPr>
        <w:t xml:space="preserve"> la première requérante</w:t>
      </w:r>
      <w:r w:rsidR="007277B0" w:rsidRPr="008544BB">
        <w:rPr>
          <w:lang w:val="fr-FR"/>
        </w:rPr>
        <w:t xml:space="preserve"> d</w:t>
      </w:r>
      <w:r w:rsidR="008544BB" w:rsidRPr="008544BB">
        <w:rPr>
          <w:lang w:val="fr-FR"/>
        </w:rPr>
        <w:t>’</w:t>
      </w:r>
      <w:r w:rsidR="007277B0" w:rsidRPr="008544BB">
        <w:rPr>
          <w:lang w:val="fr-FR"/>
        </w:rPr>
        <w:t xml:space="preserve">entamer un parcours de soutien à la </w:t>
      </w:r>
      <w:r w:rsidR="00826AAA" w:rsidRPr="008544BB">
        <w:rPr>
          <w:lang w:val="fr-FR"/>
        </w:rPr>
        <w:t>parent</w:t>
      </w:r>
      <w:r w:rsidR="007277B0" w:rsidRPr="008544BB">
        <w:rPr>
          <w:lang w:val="fr-FR"/>
        </w:rPr>
        <w:t>alité.</w:t>
      </w:r>
    </w:p>
    <w:p w:rsidR="00B80D52" w:rsidRPr="008544BB" w:rsidRDefault="000A2B01" w:rsidP="008544BB">
      <w:pPr>
        <w:pStyle w:val="ECHRHeading2"/>
        <w:rPr>
          <w:lang w:val="fr-FR"/>
        </w:rPr>
      </w:pPr>
      <w:r w:rsidRPr="008544BB">
        <w:rPr>
          <w:lang w:val="fr-FR"/>
        </w:rPr>
        <w:t>B.  </w:t>
      </w:r>
      <w:r w:rsidR="00B80D52" w:rsidRPr="008544BB">
        <w:rPr>
          <w:lang w:val="fr-FR"/>
        </w:rPr>
        <w:t>Sur les plaintes déposées par la première requérante</w:t>
      </w:r>
    </w:p>
    <w:p w:rsidR="00B80D52" w:rsidRPr="008544BB" w:rsidRDefault="00B80D52"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42</w:t>
      </w:r>
      <w:r w:rsidRPr="008544BB">
        <w:rPr>
          <w:lang w:val="fr-FR"/>
        </w:rPr>
        <w:fldChar w:fldCharType="end"/>
      </w:r>
      <w:r w:rsidRPr="008544BB">
        <w:rPr>
          <w:lang w:val="fr-FR"/>
        </w:rPr>
        <w:t xml:space="preserve">.  À partir de 2010, la première requérante déposa plusieurs plaintes </w:t>
      </w:r>
      <w:r w:rsidR="00BB6B7E" w:rsidRPr="008544BB">
        <w:rPr>
          <w:lang w:val="fr-FR"/>
        </w:rPr>
        <w:t xml:space="preserve">au sujet de </w:t>
      </w:r>
      <w:r w:rsidRPr="008544BB">
        <w:rPr>
          <w:lang w:val="fr-FR"/>
        </w:rPr>
        <w:t>mauvais traitements dont ses enfants a</w:t>
      </w:r>
      <w:r w:rsidR="00EA5DAB" w:rsidRPr="008544BB">
        <w:rPr>
          <w:lang w:val="fr-FR"/>
        </w:rPr>
        <w:t>uraient</w:t>
      </w:r>
      <w:r w:rsidRPr="008544BB">
        <w:rPr>
          <w:lang w:val="fr-FR"/>
        </w:rPr>
        <w:t xml:space="preserve"> été victimes. E</w:t>
      </w:r>
      <w:r w:rsidR="00966FCB" w:rsidRPr="008544BB">
        <w:rPr>
          <w:lang w:val="fr-FR"/>
        </w:rPr>
        <w:t>lle dénonçait en</w:t>
      </w:r>
      <w:r w:rsidRPr="008544BB">
        <w:rPr>
          <w:lang w:val="fr-FR"/>
        </w:rPr>
        <w:t xml:space="preserve"> particulier</w:t>
      </w:r>
      <w:r w:rsidR="00EA5DAB" w:rsidRPr="008544BB">
        <w:rPr>
          <w:lang w:val="fr-FR"/>
        </w:rPr>
        <w:t xml:space="preserve"> </w:t>
      </w:r>
      <w:r w:rsidR="00BB6B7E" w:rsidRPr="008544BB">
        <w:rPr>
          <w:lang w:val="fr-FR"/>
        </w:rPr>
        <w:t>d</w:t>
      </w:r>
      <w:r w:rsidR="00EA5DAB" w:rsidRPr="008544BB">
        <w:rPr>
          <w:lang w:val="fr-FR"/>
        </w:rPr>
        <w:t>es</w:t>
      </w:r>
      <w:r w:rsidRPr="008544BB">
        <w:rPr>
          <w:lang w:val="fr-FR"/>
        </w:rPr>
        <w:t xml:space="preserve"> violences</w:t>
      </w:r>
      <w:r w:rsidR="00984ED2" w:rsidRPr="008544BB">
        <w:rPr>
          <w:lang w:val="fr-FR"/>
        </w:rPr>
        <w:t xml:space="preserve"> physiques</w:t>
      </w:r>
      <w:r w:rsidRPr="008544BB">
        <w:rPr>
          <w:lang w:val="fr-FR"/>
        </w:rPr>
        <w:t xml:space="preserve"> </w:t>
      </w:r>
      <w:r w:rsidR="00DB4947" w:rsidRPr="008544BB">
        <w:rPr>
          <w:lang w:val="fr-FR"/>
        </w:rPr>
        <w:t xml:space="preserve">que L. aurait </w:t>
      </w:r>
      <w:r w:rsidR="00EA5DAB" w:rsidRPr="008544BB">
        <w:rPr>
          <w:lang w:val="fr-FR"/>
        </w:rPr>
        <w:t>subi</w:t>
      </w:r>
      <w:r w:rsidR="00BB6B7E" w:rsidRPr="008544BB">
        <w:rPr>
          <w:lang w:val="fr-FR"/>
        </w:rPr>
        <w:t>es</w:t>
      </w:r>
      <w:r w:rsidR="00984ED2" w:rsidRPr="008544BB">
        <w:rPr>
          <w:lang w:val="fr-FR"/>
        </w:rPr>
        <w:t>, entre le 2 mai 2008 et le 24 décembre 2012,</w:t>
      </w:r>
      <w:r w:rsidR="00DB4947" w:rsidRPr="008544BB">
        <w:rPr>
          <w:lang w:val="fr-FR"/>
        </w:rPr>
        <w:t xml:space="preserve"> de la part</w:t>
      </w:r>
      <w:r w:rsidR="00EA5DAB" w:rsidRPr="008544BB">
        <w:rPr>
          <w:lang w:val="fr-FR"/>
        </w:rPr>
        <w:t xml:space="preserve"> d</w:t>
      </w:r>
      <w:r w:rsidR="008544BB" w:rsidRPr="008544BB">
        <w:rPr>
          <w:lang w:val="fr-FR"/>
        </w:rPr>
        <w:t>’</w:t>
      </w:r>
      <w:r w:rsidR="00C562EE" w:rsidRPr="008544BB">
        <w:rPr>
          <w:lang w:val="fr-FR"/>
        </w:rPr>
        <w:t>autres mineurs</w:t>
      </w:r>
      <w:r w:rsidR="00EA5DAB" w:rsidRPr="008544BB">
        <w:rPr>
          <w:lang w:val="fr-FR"/>
        </w:rPr>
        <w:t xml:space="preserve"> hébergés</w:t>
      </w:r>
      <w:r w:rsidRPr="008544BB">
        <w:rPr>
          <w:lang w:val="fr-FR"/>
        </w:rPr>
        <w:t xml:space="preserve"> d</w:t>
      </w:r>
      <w:r w:rsidR="00EA5DAB" w:rsidRPr="008544BB">
        <w:rPr>
          <w:lang w:val="fr-FR"/>
        </w:rPr>
        <w:t>ans</w:t>
      </w:r>
      <w:r w:rsidRPr="008544BB">
        <w:rPr>
          <w:lang w:val="fr-FR"/>
        </w:rPr>
        <w:t xml:space="preserve"> la maison d</w:t>
      </w:r>
      <w:r w:rsidR="008544BB" w:rsidRPr="008544BB">
        <w:rPr>
          <w:lang w:val="fr-FR"/>
        </w:rPr>
        <w:t>’</w:t>
      </w:r>
      <w:r w:rsidRPr="008544BB">
        <w:rPr>
          <w:lang w:val="fr-FR"/>
        </w:rPr>
        <w:t>accueil</w:t>
      </w:r>
      <w:r w:rsidR="00C562EE" w:rsidRPr="008544BB">
        <w:rPr>
          <w:lang w:val="fr-FR"/>
        </w:rPr>
        <w:t xml:space="preserve"> « Rocca di Papa »</w:t>
      </w:r>
      <w:r w:rsidR="00984ED2" w:rsidRPr="008544BB">
        <w:rPr>
          <w:lang w:val="fr-FR"/>
        </w:rPr>
        <w:t xml:space="preserve">. </w:t>
      </w:r>
      <w:r w:rsidRPr="008544BB">
        <w:rPr>
          <w:lang w:val="fr-FR"/>
        </w:rPr>
        <w:t>E</w:t>
      </w:r>
      <w:r w:rsidR="00BB6B7E" w:rsidRPr="008544BB">
        <w:rPr>
          <w:lang w:val="fr-FR"/>
        </w:rPr>
        <w:t xml:space="preserve">n outre, elle </w:t>
      </w:r>
      <w:r w:rsidRPr="008544BB">
        <w:rPr>
          <w:lang w:val="fr-FR"/>
        </w:rPr>
        <w:t>allégua</w:t>
      </w:r>
      <w:r w:rsidR="00BB6B7E" w:rsidRPr="008544BB">
        <w:rPr>
          <w:lang w:val="fr-FR"/>
        </w:rPr>
        <w:t>it</w:t>
      </w:r>
      <w:r w:rsidRPr="008544BB">
        <w:rPr>
          <w:lang w:val="fr-FR"/>
        </w:rPr>
        <w:t xml:space="preserve"> que le 15 juillet 2008, </w:t>
      </w:r>
      <w:r w:rsidR="00BB6B7E" w:rsidRPr="008544BB">
        <w:rPr>
          <w:lang w:val="fr-FR"/>
        </w:rPr>
        <w:t>S. avait chuté</w:t>
      </w:r>
      <w:r w:rsidRPr="008544BB">
        <w:rPr>
          <w:lang w:val="fr-FR"/>
        </w:rPr>
        <w:t xml:space="preserve"> de la couchette supérieure de son lit superposé, </w:t>
      </w:r>
      <w:r w:rsidR="00966FCB" w:rsidRPr="008544BB">
        <w:rPr>
          <w:lang w:val="fr-FR"/>
        </w:rPr>
        <w:t>ce qui lui aurait causé</w:t>
      </w:r>
      <w:r w:rsidRPr="008544BB">
        <w:rPr>
          <w:lang w:val="fr-FR"/>
        </w:rPr>
        <w:t xml:space="preserve"> un hématome du côté gauche de la bouche.</w:t>
      </w:r>
    </w:p>
    <w:bookmarkStart w:id="20" w:name="Commissariat_Frascati"/>
    <w:p w:rsidR="00DE7288" w:rsidRPr="008544BB" w:rsidRDefault="005C1F89" w:rsidP="008544BB">
      <w:pPr>
        <w:pStyle w:val="ECHRPara"/>
        <w:rPr>
          <w:lang w:val="fr-FR"/>
        </w:rPr>
      </w:pPr>
      <w:r w:rsidRPr="008544BB">
        <w:rPr>
          <w:lang w:val="fr-FR"/>
        </w:rPr>
        <w:lastRenderedPageBreak/>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43</w:t>
      </w:r>
      <w:r w:rsidRPr="008544BB">
        <w:rPr>
          <w:lang w:val="fr-FR"/>
        </w:rPr>
        <w:fldChar w:fldCharType="end"/>
      </w:r>
      <w:bookmarkEnd w:id="20"/>
      <w:r w:rsidRPr="008544BB">
        <w:rPr>
          <w:lang w:val="fr-FR"/>
        </w:rPr>
        <w:t>.  </w:t>
      </w:r>
      <w:r w:rsidR="00B80D52" w:rsidRPr="008544BB">
        <w:rPr>
          <w:lang w:val="fr-FR"/>
        </w:rPr>
        <w:t xml:space="preserve">Le commissariat </w:t>
      </w:r>
      <w:r w:rsidRPr="008544BB">
        <w:rPr>
          <w:lang w:val="fr-FR"/>
        </w:rPr>
        <w:t xml:space="preserve">de police de Frascati </w:t>
      </w:r>
      <w:r w:rsidR="00D00ADE" w:rsidRPr="008544BB">
        <w:rPr>
          <w:lang w:val="fr-FR"/>
        </w:rPr>
        <w:t xml:space="preserve">procéda à des investigations </w:t>
      </w:r>
      <w:r w:rsidR="0071716C" w:rsidRPr="008544BB">
        <w:rPr>
          <w:lang w:val="fr-FR"/>
        </w:rPr>
        <w:t>au sujet de ces plaintes.</w:t>
      </w:r>
    </w:p>
    <w:p w:rsidR="00DE7288" w:rsidRPr="008544BB" w:rsidRDefault="009F5B8D" w:rsidP="008544BB">
      <w:pPr>
        <w:pStyle w:val="ECHRPara"/>
        <w:rPr>
          <w:lang w:val="fr-FR"/>
        </w:rPr>
      </w:pPr>
      <w:r w:rsidRPr="008544BB">
        <w:rPr>
          <w:lang w:val="fr-FR"/>
        </w:rPr>
        <w:t>Dans ce cadre, i</w:t>
      </w:r>
      <w:r w:rsidR="0071716C" w:rsidRPr="008544BB">
        <w:rPr>
          <w:lang w:val="fr-FR"/>
        </w:rPr>
        <w:t xml:space="preserve">l </w:t>
      </w:r>
      <w:r w:rsidR="005C1F89" w:rsidRPr="008544BB">
        <w:rPr>
          <w:lang w:val="fr-FR"/>
        </w:rPr>
        <w:t>entendit le</w:t>
      </w:r>
      <w:r w:rsidR="002A758B" w:rsidRPr="008544BB">
        <w:rPr>
          <w:lang w:val="fr-FR"/>
        </w:rPr>
        <w:t xml:space="preserve"> personnel </w:t>
      </w:r>
      <w:r w:rsidR="00CA4EA4" w:rsidRPr="008544BB">
        <w:rPr>
          <w:lang w:val="fr-FR"/>
        </w:rPr>
        <w:t>des</w:t>
      </w:r>
      <w:r w:rsidR="005C1F89" w:rsidRPr="008544BB">
        <w:rPr>
          <w:lang w:val="fr-FR"/>
        </w:rPr>
        <w:t xml:space="preserve"> services sociaux </w:t>
      </w:r>
      <w:r w:rsidR="00FB46DE" w:rsidRPr="008544BB">
        <w:rPr>
          <w:lang w:val="fr-FR"/>
        </w:rPr>
        <w:t>et</w:t>
      </w:r>
      <w:r w:rsidR="00CA4EA4" w:rsidRPr="008544BB">
        <w:rPr>
          <w:lang w:val="fr-FR"/>
        </w:rPr>
        <w:t xml:space="preserve"> </w:t>
      </w:r>
      <w:r w:rsidR="005C1F89" w:rsidRPr="008544BB">
        <w:rPr>
          <w:lang w:val="fr-FR"/>
        </w:rPr>
        <w:t>de la maison d</w:t>
      </w:r>
      <w:r w:rsidR="008544BB" w:rsidRPr="008544BB">
        <w:rPr>
          <w:lang w:val="fr-FR"/>
        </w:rPr>
        <w:t>’</w:t>
      </w:r>
      <w:r w:rsidR="005C1F89" w:rsidRPr="008544BB">
        <w:rPr>
          <w:lang w:val="fr-FR"/>
        </w:rPr>
        <w:t>accueil</w:t>
      </w:r>
      <w:r w:rsidR="004B79EA" w:rsidRPr="008544BB">
        <w:rPr>
          <w:lang w:val="fr-FR"/>
        </w:rPr>
        <w:t xml:space="preserve"> « Rocca di Papa »</w:t>
      </w:r>
      <w:r w:rsidR="005C1F89" w:rsidRPr="008544BB">
        <w:rPr>
          <w:lang w:val="fr-FR"/>
        </w:rPr>
        <w:t xml:space="preserve">. </w:t>
      </w:r>
      <w:r w:rsidR="009E402D" w:rsidRPr="008544BB">
        <w:rPr>
          <w:lang w:val="fr-FR"/>
        </w:rPr>
        <w:t>À cette occasion</w:t>
      </w:r>
      <w:r w:rsidR="00C562EE" w:rsidRPr="008544BB">
        <w:rPr>
          <w:lang w:val="fr-FR"/>
        </w:rPr>
        <w:t>, un ancien éducateur de la maison d</w:t>
      </w:r>
      <w:r w:rsidR="008544BB" w:rsidRPr="008544BB">
        <w:rPr>
          <w:lang w:val="fr-FR"/>
        </w:rPr>
        <w:t>’</w:t>
      </w:r>
      <w:r w:rsidR="00C562EE" w:rsidRPr="008544BB">
        <w:rPr>
          <w:lang w:val="fr-FR"/>
        </w:rPr>
        <w:t>accueil dénonça</w:t>
      </w:r>
      <w:r w:rsidR="00B80D52" w:rsidRPr="008544BB">
        <w:rPr>
          <w:lang w:val="fr-FR"/>
        </w:rPr>
        <w:t xml:space="preserve"> la sévérité </w:t>
      </w:r>
      <w:r w:rsidR="009F4D7A" w:rsidRPr="008544BB">
        <w:rPr>
          <w:lang w:val="fr-FR"/>
        </w:rPr>
        <w:t>dont les religieuses auraient fait montre</w:t>
      </w:r>
      <w:r w:rsidR="00B80D52" w:rsidRPr="008544BB">
        <w:rPr>
          <w:lang w:val="fr-FR"/>
        </w:rPr>
        <w:t xml:space="preserve"> </w:t>
      </w:r>
      <w:r w:rsidR="002A758B" w:rsidRPr="008544BB">
        <w:rPr>
          <w:lang w:val="fr-FR"/>
        </w:rPr>
        <w:t>envers les</w:t>
      </w:r>
      <w:r w:rsidR="003D44B5" w:rsidRPr="008544BB">
        <w:rPr>
          <w:lang w:val="fr-FR"/>
        </w:rPr>
        <w:t xml:space="preserve"> enfants</w:t>
      </w:r>
      <w:r w:rsidR="00A620B9" w:rsidRPr="008544BB">
        <w:rPr>
          <w:lang w:val="fr-FR"/>
        </w:rPr>
        <w:t xml:space="preserve"> hébergés dans cette structure</w:t>
      </w:r>
      <w:r w:rsidR="00984ED2" w:rsidRPr="008544BB">
        <w:rPr>
          <w:lang w:val="fr-FR"/>
        </w:rPr>
        <w:t>,</w:t>
      </w:r>
      <w:r w:rsidR="004B79EA" w:rsidRPr="008544BB">
        <w:rPr>
          <w:lang w:val="fr-FR"/>
        </w:rPr>
        <w:t xml:space="preserve"> déclarant que</w:t>
      </w:r>
      <w:r w:rsidR="00984ED2" w:rsidRPr="008544BB">
        <w:rPr>
          <w:lang w:val="fr-FR"/>
        </w:rPr>
        <w:t xml:space="preserve"> </w:t>
      </w:r>
      <w:r w:rsidR="002A758B" w:rsidRPr="008544BB">
        <w:rPr>
          <w:lang w:val="fr-FR"/>
        </w:rPr>
        <w:t>ceux</w:t>
      </w:r>
      <w:r w:rsidR="00A620B9" w:rsidRPr="008544BB">
        <w:rPr>
          <w:lang w:val="fr-FR"/>
        </w:rPr>
        <w:noBreakHyphen/>
      </w:r>
      <w:r w:rsidR="002A758B" w:rsidRPr="008544BB">
        <w:rPr>
          <w:lang w:val="fr-FR"/>
        </w:rPr>
        <w:t>ci</w:t>
      </w:r>
      <w:r w:rsidR="00984ED2" w:rsidRPr="008544BB">
        <w:rPr>
          <w:lang w:val="fr-FR"/>
        </w:rPr>
        <w:t xml:space="preserve"> étaient obligés, avant d</w:t>
      </w:r>
      <w:r w:rsidR="008544BB" w:rsidRPr="008544BB">
        <w:rPr>
          <w:lang w:val="fr-FR"/>
        </w:rPr>
        <w:t>’</w:t>
      </w:r>
      <w:r w:rsidR="00984ED2" w:rsidRPr="008544BB">
        <w:rPr>
          <w:lang w:val="fr-FR"/>
        </w:rPr>
        <w:t>aller à l</w:t>
      </w:r>
      <w:r w:rsidR="008544BB" w:rsidRPr="008544BB">
        <w:rPr>
          <w:lang w:val="fr-FR"/>
        </w:rPr>
        <w:t>’</w:t>
      </w:r>
      <w:r w:rsidR="00984ED2" w:rsidRPr="008544BB">
        <w:rPr>
          <w:lang w:val="fr-FR"/>
        </w:rPr>
        <w:t>école, de ranger</w:t>
      </w:r>
      <w:r w:rsidR="00B80D52" w:rsidRPr="008544BB">
        <w:rPr>
          <w:lang w:val="fr-FR"/>
        </w:rPr>
        <w:t xml:space="preserve"> leur chambre</w:t>
      </w:r>
      <w:r w:rsidR="002A758B" w:rsidRPr="008544BB">
        <w:rPr>
          <w:lang w:val="fr-FR"/>
        </w:rPr>
        <w:t xml:space="preserve"> et de </w:t>
      </w:r>
      <w:r w:rsidR="00B80D52" w:rsidRPr="008544BB">
        <w:rPr>
          <w:lang w:val="fr-FR"/>
        </w:rPr>
        <w:t xml:space="preserve">balayer et </w:t>
      </w:r>
      <w:r w:rsidR="002A758B" w:rsidRPr="008544BB">
        <w:rPr>
          <w:lang w:val="fr-FR"/>
        </w:rPr>
        <w:t>nettoyer</w:t>
      </w:r>
      <w:r w:rsidR="00B80D52" w:rsidRPr="008544BB">
        <w:rPr>
          <w:lang w:val="fr-FR"/>
        </w:rPr>
        <w:t xml:space="preserve"> </w:t>
      </w:r>
      <w:r w:rsidR="002A758B" w:rsidRPr="008544BB">
        <w:rPr>
          <w:lang w:val="fr-FR"/>
        </w:rPr>
        <w:t>entièrement les locaux de la maison d</w:t>
      </w:r>
      <w:r w:rsidR="008544BB" w:rsidRPr="008544BB">
        <w:rPr>
          <w:lang w:val="fr-FR"/>
        </w:rPr>
        <w:t>’</w:t>
      </w:r>
      <w:r w:rsidR="002A758B" w:rsidRPr="008544BB">
        <w:rPr>
          <w:lang w:val="fr-FR"/>
        </w:rPr>
        <w:t>accueil,</w:t>
      </w:r>
      <w:r w:rsidR="00984ED2" w:rsidRPr="008544BB">
        <w:rPr>
          <w:lang w:val="fr-FR"/>
        </w:rPr>
        <w:t xml:space="preserve"> et qu</w:t>
      </w:r>
      <w:r w:rsidR="008544BB" w:rsidRPr="008544BB">
        <w:rPr>
          <w:lang w:val="fr-FR"/>
        </w:rPr>
        <w:t>’</w:t>
      </w:r>
      <w:r w:rsidR="00984ED2" w:rsidRPr="008544BB">
        <w:rPr>
          <w:lang w:val="fr-FR"/>
        </w:rPr>
        <w:t>un enfant souffrant d</w:t>
      </w:r>
      <w:r w:rsidR="008544BB" w:rsidRPr="008544BB">
        <w:rPr>
          <w:lang w:val="fr-FR"/>
        </w:rPr>
        <w:t>’</w:t>
      </w:r>
      <w:r w:rsidR="00984ED2" w:rsidRPr="008544BB">
        <w:rPr>
          <w:lang w:val="fr-FR"/>
        </w:rPr>
        <w:t xml:space="preserve">énurésie nocturne avait été </w:t>
      </w:r>
      <w:r w:rsidR="00A620B9" w:rsidRPr="008544BB">
        <w:rPr>
          <w:lang w:val="fr-FR"/>
        </w:rPr>
        <w:t>contraint</w:t>
      </w:r>
      <w:r w:rsidR="00984ED2" w:rsidRPr="008544BB">
        <w:rPr>
          <w:lang w:val="fr-FR"/>
        </w:rPr>
        <w:t xml:space="preserve"> de dormir pendant plus d</w:t>
      </w:r>
      <w:r w:rsidR="008544BB" w:rsidRPr="008544BB">
        <w:rPr>
          <w:lang w:val="fr-FR"/>
        </w:rPr>
        <w:t>’</w:t>
      </w:r>
      <w:r w:rsidR="00984ED2" w:rsidRPr="008544BB">
        <w:rPr>
          <w:lang w:val="fr-FR"/>
        </w:rPr>
        <w:t xml:space="preserve">un mois sans couverture, malgré la rigueur hivernale. </w:t>
      </w:r>
      <w:r w:rsidR="0029081E" w:rsidRPr="008544BB">
        <w:rPr>
          <w:lang w:val="fr-FR"/>
        </w:rPr>
        <w:t>Par ailleurs</w:t>
      </w:r>
      <w:r w:rsidR="009E402D" w:rsidRPr="008544BB">
        <w:rPr>
          <w:lang w:val="fr-FR"/>
        </w:rPr>
        <w:t>, d</w:t>
      </w:r>
      <w:r w:rsidR="004B79EA" w:rsidRPr="008544BB">
        <w:rPr>
          <w:lang w:val="fr-FR"/>
        </w:rPr>
        <w:t xml:space="preserve">eux opératrices </w:t>
      </w:r>
      <w:r w:rsidR="00874212" w:rsidRPr="008544BB">
        <w:rPr>
          <w:lang w:val="fr-FR"/>
        </w:rPr>
        <w:t>de « </w:t>
      </w:r>
      <w:r w:rsidR="00984ED2" w:rsidRPr="008544BB">
        <w:rPr>
          <w:lang w:val="fr-FR"/>
        </w:rPr>
        <w:t>l</w:t>
      </w:r>
      <w:r w:rsidR="008544BB" w:rsidRPr="008544BB">
        <w:rPr>
          <w:lang w:val="fr-FR"/>
        </w:rPr>
        <w:t>’</w:t>
      </w:r>
      <w:r w:rsidR="00874212" w:rsidRPr="008544BB">
        <w:rPr>
          <w:lang w:val="fr-FR"/>
        </w:rPr>
        <w:t>Espace neutre »</w:t>
      </w:r>
      <w:r w:rsidR="00C562EE" w:rsidRPr="008544BB">
        <w:rPr>
          <w:lang w:val="fr-FR"/>
        </w:rPr>
        <w:t xml:space="preserve"> </w:t>
      </w:r>
      <w:r w:rsidR="004B79EA" w:rsidRPr="008544BB">
        <w:rPr>
          <w:lang w:val="fr-FR"/>
        </w:rPr>
        <w:t>relatèrent</w:t>
      </w:r>
      <w:r w:rsidR="00C562EE" w:rsidRPr="008544BB">
        <w:rPr>
          <w:lang w:val="fr-FR"/>
        </w:rPr>
        <w:t xml:space="preserve"> qu</w:t>
      </w:r>
      <w:r w:rsidR="008544BB" w:rsidRPr="008544BB">
        <w:rPr>
          <w:lang w:val="fr-FR"/>
        </w:rPr>
        <w:t>’</w:t>
      </w:r>
      <w:r w:rsidR="00C562EE" w:rsidRPr="008544BB">
        <w:rPr>
          <w:lang w:val="fr-FR"/>
        </w:rPr>
        <w:t xml:space="preserve">initialement L. et S. se présentaient aux rencontres mal habillés et </w:t>
      </w:r>
      <w:r w:rsidR="002A758B" w:rsidRPr="008544BB">
        <w:rPr>
          <w:lang w:val="fr-FR"/>
        </w:rPr>
        <w:t xml:space="preserve">dans de </w:t>
      </w:r>
      <w:r w:rsidR="00C562EE" w:rsidRPr="008544BB">
        <w:rPr>
          <w:lang w:val="fr-FR"/>
        </w:rPr>
        <w:t xml:space="preserve">mauvaises conditions </w:t>
      </w:r>
      <w:r w:rsidR="002A758B" w:rsidRPr="008544BB">
        <w:rPr>
          <w:lang w:val="fr-FR"/>
        </w:rPr>
        <w:t>d</w:t>
      </w:r>
      <w:r w:rsidR="008544BB" w:rsidRPr="008544BB">
        <w:rPr>
          <w:lang w:val="fr-FR"/>
        </w:rPr>
        <w:t>’</w:t>
      </w:r>
      <w:r w:rsidR="00C562EE" w:rsidRPr="008544BB">
        <w:rPr>
          <w:lang w:val="fr-FR"/>
        </w:rPr>
        <w:t>hygi</w:t>
      </w:r>
      <w:r w:rsidR="002A758B" w:rsidRPr="008544BB">
        <w:rPr>
          <w:lang w:val="fr-FR"/>
        </w:rPr>
        <w:t>è</w:t>
      </w:r>
      <w:r w:rsidR="00C562EE" w:rsidRPr="008544BB">
        <w:rPr>
          <w:lang w:val="fr-FR"/>
        </w:rPr>
        <w:t>ne</w:t>
      </w:r>
      <w:r w:rsidR="00654F66" w:rsidRPr="008544BB">
        <w:rPr>
          <w:lang w:val="fr-FR"/>
        </w:rPr>
        <w:t>,</w:t>
      </w:r>
      <w:r w:rsidR="00C562EE" w:rsidRPr="008544BB">
        <w:rPr>
          <w:lang w:val="fr-FR"/>
        </w:rPr>
        <w:t xml:space="preserve"> </w:t>
      </w:r>
      <w:r w:rsidR="00654F66" w:rsidRPr="008544BB">
        <w:rPr>
          <w:lang w:val="fr-FR"/>
        </w:rPr>
        <w:t>et</w:t>
      </w:r>
      <w:r w:rsidR="00C562EE" w:rsidRPr="008544BB">
        <w:rPr>
          <w:lang w:val="fr-FR"/>
        </w:rPr>
        <w:t xml:space="preserve"> que leur situation s</w:t>
      </w:r>
      <w:r w:rsidR="008544BB" w:rsidRPr="008544BB">
        <w:rPr>
          <w:lang w:val="fr-FR"/>
        </w:rPr>
        <w:t>’</w:t>
      </w:r>
      <w:r w:rsidR="00C562EE" w:rsidRPr="008544BB">
        <w:rPr>
          <w:lang w:val="fr-FR"/>
        </w:rPr>
        <w:t>était améliorée par la suite</w:t>
      </w:r>
      <w:r w:rsidR="005C1F89" w:rsidRPr="008544BB">
        <w:rPr>
          <w:lang w:val="fr-FR"/>
        </w:rPr>
        <w:t>.</w:t>
      </w:r>
    </w:p>
    <w:p w:rsidR="005C1F89" w:rsidRPr="008544BB" w:rsidRDefault="002A6C14" w:rsidP="008544BB">
      <w:pPr>
        <w:pStyle w:val="ECHRPara"/>
        <w:rPr>
          <w:lang w:val="fr-FR"/>
        </w:rPr>
      </w:pPr>
      <w:r w:rsidRPr="008544BB">
        <w:rPr>
          <w:lang w:val="fr-FR"/>
        </w:rPr>
        <w:t>L</w:t>
      </w:r>
      <w:r w:rsidR="004B79EA" w:rsidRPr="008544BB">
        <w:rPr>
          <w:lang w:val="fr-FR"/>
        </w:rPr>
        <w:t>es agents du commissariat procédèrent à l</w:t>
      </w:r>
      <w:r w:rsidR="008544BB" w:rsidRPr="008544BB">
        <w:rPr>
          <w:lang w:val="fr-FR"/>
        </w:rPr>
        <w:t>’</w:t>
      </w:r>
      <w:r w:rsidR="004B79EA" w:rsidRPr="008544BB">
        <w:rPr>
          <w:lang w:val="fr-FR"/>
        </w:rPr>
        <w:t>inspection de la maison d</w:t>
      </w:r>
      <w:r w:rsidR="008544BB" w:rsidRPr="008544BB">
        <w:rPr>
          <w:lang w:val="fr-FR"/>
        </w:rPr>
        <w:t>’</w:t>
      </w:r>
      <w:r w:rsidR="004B79EA" w:rsidRPr="008544BB">
        <w:rPr>
          <w:lang w:val="fr-FR"/>
        </w:rPr>
        <w:t>accueil</w:t>
      </w:r>
      <w:r w:rsidR="002B3E82" w:rsidRPr="008544BB">
        <w:rPr>
          <w:lang w:val="fr-FR"/>
        </w:rPr>
        <w:t xml:space="preserve"> et</w:t>
      </w:r>
      <w:r w:rsidR="004B79EA" w:rsidRPr="008544BB">
        <w:rPr>
          <w:lang w:val="fr-FR"/>
        </w:rPr>
        <w:t xml:space="preserve"> relevèrent</w:t>
      </w:r>
      <w:r w:rsidR="00145F13" w:rsidRPr="008544BB">
        <w:rPr>
          <w:lang w:val="fr-FR"/>
        </w:rPr>
        <w:t xml:space="preserve"> </w:t>
      </w:r>
      <w:r w:rsidR="004B79EA" w:rsidRPr="008544BB">
        <w:rPr>
          <w:lang w:val="fr-FR"/>
        </w:rPr>
        <w:t>des irrégularités quant à la présence du personnel et à la tenue du registre de l</w:t>
      </w:r>
      <w:r w:rsidR="008544BB" w:rsidRPr="008544BB">
        <w:rPr>
          <w:lang w:val="fr-FR"/>
        </w:rPr>
        <w:t>’</w:t>
      </w:r>
      <w:r w:rsidR="004B79EA" w:rsidRPr="008544BB">
        <w:rPr>
          <w:lang w:val="fr-FR"/>
        </w:rPr>
        <w:t>établissement.</w:t>
      </w:r>
    </w:p>
    <w:p w:rsidR="005C1F89" w:rsidRPr="008544BB" w:rsidRDefault="005C1F89"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44</w:t>
      </w:r>
      <w:r w:rsidRPr="008544BB">
        <w:rPr>
          <w:lang w:val="fr-FR"/>
        </w:rPr>
        <w:fldChar w:fldCharType="end"/>
      </w:r>
      <w:r w:rsidRPr="008544BB">
        <w:rPr>
          <w:lang w:val="fr-FR"/>
        </w:rPr>
        <w:t xml:space="preserve">.  Le 9 juin 2011, le commissariat transmit </w:t>
      </w:r>
      <w:r w:rsidR="002E3461" w:rsidRPr="008544BB">
        <w:rPr>
          <w:lang w:val="fr-FR"/>
        </w:rPr>
        <w:t xml:space="preserve">les résultats de ses investigations </w:t>
      </w:r>
      <w:r w:rsidRPr="008544BB">
        <w:rPr>
          <w:lang w:val="fr-FR"/>
        </w:rPr>
        <w:t>au procureur de la République de Velletri</w:t>
      </w:r>
      <w:r w:rsidR="002E3461" w:rsidRPr="008544BB">
        <w:rPr>
          <w:lang w:val="fr-FR"/>
        </w:rPr>
        <w:t>, qui ouvrit une enquête préliminaire,</w:t>
      </w:r>
      <w:r w:rsidRPr="008544BB">
        <w:rPr>
          <w:lang w:val="fr-FR"/>
        </w:rPr>
        <w:t xml:space="preserve"> </w:t>
      </w:r>
      <w:r w:rsidR="002E3461" w:rsidRPr="008544BB">
        <w:rPr>
          <w:lang w:val="fr-FR"/>
        </w:rPr>
        <w:t>ainsi qu</w:t>
      </w:r>
      <w:r w:rsidR="008544BB" w:rsidRPr="008544BB">
        <w:rPr>
          <w:lang w:val="fr-FR"/>
        </w:rPr>
        <w:t>’</w:t>
      </w:r>
      <w:r w:rsidRPr="008544BB">
        <w:rPr>
          <w:lang w:val="fr-FR"/>
        </w:rPr>
        <w:t xml:space="preserve">au tribunal pour </w:t>
      </w:r>
      <w:r w:rsidR="009557A6" w:rsidRPr="008544BB">
        <w:rPr>
          <w:lang w:val="fr-FR"/>
        </w:rPr>
        <w:t>enfants</w:t>
      </w:r>
      <w:r w:rsidRPr="008544BB">
        <w:rPr>
          <w:lang w:val="fr-FR"/>
        </w:rPr>
        <w:t>.</w:t>
      </w:r>
    </w:p>
    <w:bookmarkStart w:id="21" w:name="VISITE_PRESIDENT_TRIBUNAL"/>
    <w:p w:rsidR="002830D7" w:rsidRPr="008544BB" w:rsidRDefault="00D01864"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45</w:t>
      </w:r>
      <w:r w:rsidRPr="008544BB">
        <w:rPr>
          <w:lang w:val="fr-FR"/>
        </w:rPr>
        <w:fldChar w:fldCharType="end"/>
      </w:r>
      <w:bookmarkEnd w:id="21"/>
      <w:r w:rsidRPr="008544BB">
        <w:rPr>
          <w:lang w:val="fr-FR"/>
        </w:rPr>
        <w:t>.  </w:t>
      </w:r>
      <w:r w:rsidR="009557A6" w:rsidRPr="008544BB">
        <w:rPr>
          <w:lang w:val="fr-FR"/>
        </w:rPr>
        <w:t>L</w:t>
      </w:r>
      <w:r w:rsidR="00A60675" w:rsidRPr="008544BB">
        <w:rPr>
          <w:lang w:val="fr-FR"/>
        </w:rPr>
        <w:t>a</w:t>
      </w:r>
      <w:r w:rsidRPr="008544BB">
        <w:rPr>
          <w:lang w:val="fr-FR"/>
        </w:rPr>
        <w:t xml:space="preserve"> président</w:t>
      </w:r>
      <w:r w:rsidR="00A60675" w:rsidRPr="008544BB">
        <w:rPr>
          <w:lang w:val="fr-FR"/>
        </w:rPr>
        <w:t>e</w:t>
      </w:r>
      <w:r w:rsidRPr="008544BB">
        <w:rPr>
          <w:lang w:val="fr-FR"/>
        </w:rPr>
        <w:t xml:space="preserve"> du tribunal pour enfants se rendit à la maison d</w:t>
      </w:r>
      <w:r w:rsidR="008544BB" w:rsidRPr="008544BB">
        <w:rPr>
          <w:lang w:val="fr-FR"/>
        </w:rPr>
        <w:t>’</w:t>
      </w:r>
      <w:r w:rsidRPr="008544BB">
        <w:rPr>
          <w:lang w:val="fr-FR"/>
        </w:rPr>
        <w:t xml:space="preserve">accueil « Rocca di Papa ». </w:t>
      </w:r>
      <w:r w:rsidR="00A60675" w:rsidRPr="008544BB">
        <w:rPr>
          <w:lang w:val="fr-FR"/>
        </w:rPr>
        <w:t>Elle</w:t>
      </w:r>
      <w:r w:rsidRPr="008544BB">
        <w:rPr>
          <w:lang w:val="fr-FR"/>
        </w:rPr>
        <w:t xml:space="preserve"> </w:t>
      </w:r>
      <w:r w:rsidR="000968DE" w:rsidRPr="008544BB">
        <w:rPr>
          <w:lang w:val="fr-FR"/>
        </w:rPr>
        <w:t>rencontr</w:t>
      </w:r>
      <w:r w:rsidR="009557A6" w:rsidRPr="008544BB">
        <w:rPr>
          <w:lang w:val="fr-FR"/>
        </w:rPr>
        <w:t>a</w:t>
      </w:r>
      <w:r w:rsidR="002830D7" w:rsidRPr="008544BB">
        <w:rPr>
          <w:lang w:val="fr-FR"/>
        </w:rPr>
        <w:t xml:space="preserve"> </w:t>
      </w:r>
      <w:r w:rsidR="000968DE" w:rsidRPr="008544BB">
        <w:rPr>
          <w:lang w:val="fr-FR"/>
        </w:rPr>
        <w:t>cha</w:t>
      </w:r>
      <w:r w:rsidR="0071716C" w:rsidRPr="008544BB">
        <w:rPr>
          <w:lang w:val="fr-FR"/>
        </w:rPr>
        <w:t>cun des</w:t>
      </w:r>
      <w:r w:rsidR="000968DE" w:rsidRPr="008544BB">
        <w:rPr>
          <w:lang w:val="fr-FR"/>
        </w:rPr>
        <w:t xml:space="preserve"> enfant</w:t>
      </w:r>
      <w:r w:rsidR="0071716C" w:rsidRPr="008544BB">
        <w:rPr>
          <w:lang w:val="fr-FR"/>
        </w:rPr>
        <w:t>s qui y étaient placés</w:t>
      </w:r>
      <w:r w:rsidR="002830D7" w:rsidRPr="008544BB">
        <w:rPr>
          <w:lang w:val="fr-FR"/>
        </w:rPr>
        <w:t>, y compris L. et S.,</w:t>
      </w:r>
      <w:r w:rsidRPr="008544BB">
        <w:rPr>
          <w:lang w:val="fr-FR"/>
        </w:rPr>
        <w:t xml:space="preserve"> </w:t>
      </w:r>
      <w:r w:rsidR="002830D7" w:rsidRPr="008544BB">
        <w:rPr>
          <w:lang w:val="fr-FR"/>
        </w:rPr>
        <w:t xml:space="preserve">en </w:t>
      </w:r>
      <w:r w:rsidR="0071716C" w:rsidRPr="008544BB">
        <w:rPr>
          <w:lang w:val="fr-FR"/>
        </w:rPr>
        <w:t>l</w:t>
      </w:r>
      <w:r w:rsidR="008544BB" w:rsidRPr="008544BB">
        <w:rPr>
          <w:lang w:val="fr-FR"/>
        </w:rPr>
        <w:t>’</w:t>
      </w:r>
      <w:r w:rsidR="002830D7" w:rsidRPr="008544BB">
        <w:rPr>
          <w:lang w:val="fr-FR"/>
        </w:rPr>
        <w:t>absence d</w:t>
      </w:r>
      <w:r w:rsidRPr="008544BB">
        <w:rPr>
          <w:lang w:val="fr-FR"/>
        </w:rPr>
        <w:t>u personnel de la structure</w:t>
      </w:r>
      <w:r w:rsidR="0071716C" w:rsidRPr="008544BB">
        <w:rPr>
          <w:lang w:val="fr-FR"/>
        </w:rPr>
        <w:t>,</w:t>
      </w:r>
      <w:r w:rsidRPr="008544BB">
        <w:rPr>
          <w:lang w:val="fr-FR"/>
        </w:rPr>
        <w:t xml:space="preserve"> afin d</w:t>
      </w:r>
      <w:r w:rsidR="008544BB" w:rsidRPr="008544BB">
        <w:rPr>
          <w:lang w:val="fr-FR"/>
        </w:rPr>
        <w:t>’</w:t>
      </w:r>
      <w:r w:rsidR="000968DE" w:rsidRPr="008544BB">
        <w:rPr>
          <w:lang w:val="fr-FR"/>
        </w:rPr>
        <w:t>obtenir</w:t>
      </w:r>
      <w:r w:rsidRPr="008544BB">
        <w:rPr>
          <w:lang w:val="fr-FR"/>
        </w:rPr>
        <w:t xml:space="preserve"> un </w:t>
      </w:r>
      <w:r w:rsidR="00D00422" w:rsidRPr="008544BB">
        <w:rPr>
          <w:lang w:val="fr-FR"/>
        </w:rPr>
        <w:t>récit</w:t>
      </w:r>
      <w:r w:rsidRPr="008544BB">
        <w:rPr>
          <w:lang w:val="fr-FR"/>
        </w:rPr>
        <w:t xml:space="preserve"> spontané</w:t>
      </w:r>
      <w:r w:rsidR="005C1F89" w:rsidRPr="008544BB">
        <w:rPr>
          <w:lang w:val="fr-FR"/>
        </w:rPr>
        <w:t xml:space="preserve"> des mineurs</w:t>
      </w:r>
      <w:r w:rsidRPr="008544BB">
        <w:rPr>
          <w:lang w:val="fr-FR"/>
        </w:rPr>
        <w:t xml:space="preserve">. </w:t>
      </w:r>
      <w:r w:rsidR="00A60675" w:rsidRPr="008544BB">
        <w:rPr>
          <w:lang w:val="fr-FR"/>
        </w:rPr>
        <w:t>Elle</w:t>
      </w:r>
      <w:r w:rsidR="00296DEB" w:rsidRPr="008544BB">
        <w:rPr>
          <w:lang w:val="fr-FR"/>
        </w:rPr>
        <w:t xml:space="preserve"> n</w:t>
      </w:r>
      <w:r w:rsidR="00653FF6" w:rsidRPr="008544BB">
        <w:rPr>
          <w:lang w:val="fr-FR"/>
        </w:rPr>
        <w:t>e releva</w:t>
      </w:r>
      <w:r w:rsidR="00296DEB" w:rsidRPr="008544BB">
        <w:rPr>
          <w:lang w:val="fr-FR"/>
        </w:rPr>
        <w:t xml:space="preserve"> aucun élément </w:t>
      </w:r>
      <w:r w:rsidR="00653FF6" w:rsidRPr="008544BB">
        <w:rPr>
          <w:lang w:val="fr-FR"/>
        </w:rPr>
        <w:t>établiss</w:t>
      </w:r>
      <w:r w:rsidR="00296DEB" w:rsidRPr="008544BB">
        <w:rPr>
          <w:lang w:val="fr-FR"/>
        </w:rPr>
        <w:t>ant la commission de violences ou faisant naître le soupçon que les mineurs hébergés risquaient de subir de</w:t>
      </w:r>
      <w:r w:rsidR="0071716C" w:rsidRPr="008544BB">
        <w:rPr>
          <w:lang w:val="fr-FR"/>
        </w:rPr>
        <w:t>s</w:t>
      </w:r>
      <w:r w:rsidR="00296DEB" w:rsidRPr="008544BB">
        <w:rPr>
          <w:lang w:val="fr-FR"/>
        </w:rPr>
        <w:t xml:space="preserve"> mauvais traitements.</w:t>
      </w:r>
    </w:p>
    <w:p w:rsidR="00B80D52" w:rsidRPr="008544BB" w:rsidRDefault="002830D7"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46</w:t>
      </w:r>
      <w:r w:rsidRPr="008544BB">
        <w:rPr>
          <w:lang w:val="fr-FR"/>
        </w:rPr>
        <w:fldChar w:fldCharType="end"/>
      </w:r>
      <w:r w:rsidRPr="008544BB">
        <w:rPr>
          <w:lang w:val="fr-FR"/>
        </w:rPr>
        <w:t>.  </w:t>
      </w:r>
      <w:r w:rsidR="00B80D52" w:rsidRPr="008544BB">
        <w:rPr>
          <w:lang w:val="fr-FR"/>
        </w:rPr>
        <w:t>La Cour n</w:t>
      </w:r>
      <w:r w:rsidR="008544BB" w:rsidRPr="008544BB">
        <w:rPr>
          <w:lang w:val="fr-FR"/>
        </w:rPr>
        <w:t>’</w:t>
      </w:r>
      <w:r w:rsidR="00B80D52" w:rsidRPr="008544BB">
        <w:rPr>
          <w:lang w:val="fr-FR"/>
        </w:rPr>
        <w:t xml:space="preserve">a pas été informée des suites </w:t>
      </w:r>
      <w:r w:rsidR="00EC4E7B" w:rsidRPr="008544BB">
        <w:rPr>
          <w:lang w:val="fr-FR"/>
        </w:rPr>
        <w:t>données à l</w:t>
      </w:r>
      <w:r w:rsidR="008544BB" w:rsidRPr="008544BB">
        <w:rPr>
          <w:lang w:val="fr-FR"/>
        </w:rPr>
        <w:t>’</w:t>
      </w:r>
      <w:r w:rsidR="00EC4E7B" w:rsidRPr="008544BB">
        <w:rPr>
          <w:lang w:val="fr-FR"/>
        </w:rPr>
        <w:t>enquête</w:t>
      </w:r>
      <w:r w:rsidR="00F00951" w:rsidRPr="008544BB">
        <w:rPr>
          <w:lang w:val="fr-FR"/>
        </w:rPr>
        <w:t>.</w:t>
      </w:r>
    </w:p>
    <w:p w:rsidR="00E77CB3" w:rsidRPr="008544BB" w:rsidRDefault="00E77CB3" w:rsidP="008544BB">
      <w:pPr>
        <w:pStyle w:val="ECHRHeading1"/>
        <w:rPr>
          <w:lang w:val="fr-FR"/>
        </w:rPr>
      </w:pPr>
      <w:r w:rsidRPr="008544BB">
        <w:rPr>
          <w:lang w:val="fr-FR"/>
        </w:rPr>
        <w:t>II.  LE DROIT INTERNE PERTINENT</w:t>
      </w:r>
    </w:p>
    <w:p w:rsidR="00E77CB3" w:rsidRPr="008544BB" w:rsidRDefault="004A4240" w:rsidP="008544BB">
      <w:pPr>
        <w:pStyle w:val="ECHRPara"/>
        <w:rPr>
          <w:snapToGrid w:val="0"/>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47</w:t>
      </w:r>
      <w:r w:rsidRPr="008544BB">
        <w:rPr>
          <w:lang w:val="fr-FR"/>
        </w:rPr>
        <w:fldChar w:fldCharType="end"/>
      </w:r>
      <w:r w:rsidR="00E77CB3" w:rsidRPr="008544BB">
        <w:rPr>
          <w:lang w:val="fr-FR"/>
        </w:rPr>
        <w:t>.  </w:t>
      </w:r>
      <w:r w:rsidR="007238D7" w:rsidRPr="008544BB">
        <w:rPr>
          <w:lang w:val="fr-FR"/>
        </w:rPr>
        <w:t>Le droit interne pertinent en l</w:t>
      </w:r>
      <w:r w:rsidR="008544BB" w:rsidRPr="008544BB">
        <w:rPr>
          <w:lang w:val="fr-FR"/>
        </w:rPr>
        <w:t>’</w:t>
      </w:r>
      <w:r w:rsidR="007238D7" w:rsidRPr="008544BB">
        <w:rPr>
          <w:lang w:val="fr-FR"/>
        </w:rPr>
        <w:t>espèce se trouve décrit dans l</w:t>
      </w:r>
      <w:r w:rsidR="008544BB" w:rsidRPr="008544BB">
        <w:rPr>
          <w:lang w:val="fr-FR"/>
        </w:rPr>
        <w:t>’</w:t>
      </w:r>
      <w:r w:rsidR="007238D7" w:rsidRPr="008544BB">
        <w:rPr>
          <w:lang w:val="fr-FR"/>
        </w:rPr>
        <w:t xml:space="preserve">arrêt </w:t>
      </w:r>
      <w:r w:rsidR="007238D7" w:rsidRPr="008544BB">
        <w:rPr>
          <w:i/>
          <w:lang w:val="fr-FR"/>
        </w:rPr>
        <w:t>Errico c. Italie</w:t>
      </w:r>
      <w:r w:rsidR="007238D7" w:rsidRPr="008544BB">
        <w:rPr>
          <w:lang w:val="fr-FR"/>
        </w:rPr>
        <w:t xml:space="preserve"> </w:t>
      </w:r>
      <w:r w:rsidR="0071716C" w:rsidRPr="008544BB">
        <w:rPr>
          <w:lang w:val="fr-FR"/>
        </w:rPr>
        <w:t>(</w:t>
      </w:r>
      <w:r w:rsidR="007238D7" w:rsidRPr="008544BB">
        <w:rPr>
          <w:lang w:val="fr-FR"/>
        </w:rPr>
        <w:t>n</w:t>
      </w:r>
      <w:r w:rsidR="007238D7" w:rsidRPr="008544BB">
        <w:rPr>
          <w:vertAlign w:val="superscript"/>
          <w:lang w:val="fr-FR"/>
        </w:rPr>
        <w:t>o</w:t>
      </w:r>
      <w:r w:rsidR="007238D7" w:rsidRPr="008544BB">
        <w:rPr>
          <w:lang w:val="fr-FR"/>
        </w:rPr>
        <w:t xml:space="preserve"> 29768/05, </w:t>
      </w:r>
      <w:r w:rsidR="007238D7" w:rsidRPr="008544BB">
        <w:rPr>
          <w:snapToGrid w:val="0"/>
          <w:lang w:val="fr-FR"/>
        </w:rPr>
        <w:t xml:space="preserve">§§ </w:t>
      </w:r>
      <w:r w:rsidR="0076078F" w:rsidRPr="008544BB">
        <w:rPr>
          <w:snapToGrid w:val="0"/>
          <w:lang w:val="fr-FR"/>
        </w:rPr>
        <w:t>23-26</w:t>
      </w:r>
      <w:r w:rsidR="007238D7" w:rsidRPr="008544BB">
        <w:rPr>
          <w:snapToGrid w:val="0"/>
          <w:lang w:val="fr-FR"/>
        </w:rPr>
        <w:t xml:space="preserve">, 24 </w:t>
      </w:r>
      <w:r w:rsidR="007238D7" w:rsidRPr="008544BB">
        <w:rPr>
          <w:lang w:val="fr-FR"/>
        </w:rPr>
        <w:t>février</w:t>
      </w:r>
      <w:r w:rsidR="007238D7" w:rsidRPr="008544BB">
        <w:rPr>
          <w:snapToGrid w:val="0"/>
          <w:lang w:val="fr-FR"/>
        </w:rPr>
        <w:t xml:space="preserve"> 2009</w:t>
      </w:r>
      <w:r w:rsidR="0071716C" w:rsidRPr="008544BB">
        <w:rPr>
          <w:snapToGrid w:val="0"/>
          <w:lang w:val="fr-FR"/>
        </w:rPr>
        <w:t>)</w:t>
      </w:r>
      <w:r w:rsidR="0076078F" w:rsidRPr="008544BB">
        <w:rPr>
          <w:snapToGrid w:val="0"/>
          <w:lang w:val="fr-FR"/>
        </w:rPr>
        <w:t>.</w:t>
      </w:r>
    </w:p>
    <w:p w:rsidR="004A4240" w:rsidRPr="008544BB" w:rsidRDefault="00E77CB3" w:rsidP="008544BB">
      <w:pPr>
        <w:pStyle w:val="ECHRTitle1"/>
        <w:rPr>
          <w:lang w:val="fr-FR"/>
        </w:rPr>
      </w:pPr>
      <w:r w:rsidRPr="008544BB">
        <w:rPr>
          <w:lang w:val="fr-FR"/>
        </w:rPr>
        <w:t>EN DROIT</w:t>
      </w:r>
    </w:p>
    <w:p w:rsidR="00E77CB3" w:rsidRPr="008544BB" w:rsidRDefault="004A4240" w:rsidP="008544BB">
      <w:pPr>
        <w:pStyle w:val="ECHRHeading1"/>
        <w:rPr>
          <w:lang w:val="fr-FR"/>
        </w:rPr>
      </w:pPr>
      <w:r w:rsidRPr="008544BB">
        <w:rPr>
          <w:lang w:val="fr-FR"/>
        </w:rPr>
        <w:t>I.</w:t>
      </w:r>
      <w:r w:rsidR="00E77CB3" w:rsidRPr="008544BB">
        <w:rPr>
          <w:lang w:val="fr-FR"/>
        </w:rPr>
        <w:t>  SUR LA VIOLATION ALLÉGUÉE DE L</w:t>
      </w:r>
      <w:r w:rsidR="008544BB" w:rsidRPr="008544BB">
        <w:rPr>
          <w:lang w:val="fr-FR"/>
        </w:rPr>
        <w:t>’</w:t>
      </w:r>
      <w:r w:rsidR="00E77CB3" w:rsidRPr="008544BB">
        <w:rPr>
          <w:lang w:val="fr-FR"/>
        </w:rPr>
        <w:t xml:space="preserve">ARTICLE </w:t>
      </w:r>
      <w:r w:rsidR="00EF19EB" w:rsidRPr="008544BB">
        <w:rPr>
          <w:lang w:val="fr-FR"/>
        </w:rPr>
        <w:t>8</w:t>
      </w:r>
      <w:r w:rsidR="00E77CB3" w:rsidRPr="008544BB">
        <w:rPr>
          <w:lang w:val="fr-FR"/>
        </w:rPr>
        <w:t xml:space="preserve"> DE LA CONVENTION</w:t>
      </w:r>
    </w:p>
    <w:p w:rsidR="00E77CB3" w:rsidRPr="008544BB" w:rsidRDefault="004A4240"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48</w:t>
      </w:r>
      <w:r w:rsidRPr="008544BB">
        <w:rPr>
          <w:lang w:val="fr-FR"/>
        </w:rPr>
        <w:fldChar w:fldCharType="end"/>
      </w:r>
      <w:r w:rsidR="00E77CB3" w:rsidRPr="008544BB">
        <w:rPr>
          <w:lang w:val="fr-FR"/>
        </w:rPr>
        <w:t>.  </w:t>
      </w:r>
      <w:r w:rsidRPr="008544BB">
        <w:rPr>
          <w:lang w:val="fr-FR"/>
        </w:rPr>
        <w:t>Les requérant</w:t>
      </w:r>
      <w:r w:rsidR="003E3CE2" w:rsidRPr="008544BB">
        <w:rPr>
          <w:lang w:val="fr-FR"/>
        </w:rPr>
        <w:t>e</w:t>
      </w:r>
      <w:r w:rsidRPr="008544BB">
        <w:rPr>
          <w:lang w:val="fr-FR"/>
        </w:rPr>
        <w:t>s</w:t>
      </w:r>
      <w:r w:rsidR="00E77CB3" w:rsidRPr="008544BB">
        <w:rPr>
          <w:lang w:val="fr-FR"/>
        </w:rPr>
        <w:t xml:space="preserve"> allègue</w:t>
      </w:r>
      <w:r w:rsidRPr="008544BB">
        <w:rPr>
          <w:lang w:val="fr-FR"/>
        </w:rPr>
        <w:t>nt</w:t>
      </w:r>
      <w:r w:rsidR="00E77CB3" w:rsidRPr="008544BB">
        <w:rPr>
          <w:lang w:val="fr-FR"/>
        </w:rPr>
        <w:t xml:space="preserve"> que</w:t>
      </w:r>
      <w:r w:rsidR="00EF19EB" w:rsidRPr="008544BB">
        <w:rPr>
          <w:lang w:val="fr-FR"/>
        </w:rPr>
        <w:t xml:space="preserve"> l</w:t>
      </w:r>
      <w:r w:rsidR="00EC4E7B" w:rsidRPr="008544BB">
        <w:rPr>
          <w:lang w:val="fr-FR"/>
        </w:rPr>
        <w:t xml:space="preserve">eur séparation </w:t>
      </w:r>
      <w:r w:rsidR="0071716C" w:rsidRPr="008544BB">
        <w:rPr>
          <w:lang w:val="fr-FR"/>
        </w:rPr>
        <w:t>d</w:t>
      </w:r>
      <w:r w:rsidR="008544BB" w:rsidRPr="008544BB">
        <w:rPr>
          <w:lang w:val="fr-FR"/>
        </w:rPr>
        <w:t>’</w:t>
      </w:r>
      <w:r w:rsidR="0071716C" w:rsidRPr="008544BB">
        <w:rPr>
          <w:lang w:val="fr-FR"/>
        </w:rPr>
        <w:t xml:space="preserve">avec les </w:t>
      </w:r>
      <w:r w:rsidR="00960E40" w:rsidRPr="008544BB">
        <w:rPr>
          <w:lang w:val="fr-FR"/>
        </w:rPr>
        <w:t xml:space="preserve">mineurs L. et S. </w:t>
      </w:r>
      <w:r w:rsidR="00EC4E7B" w:rsidRPr="008544BB">
        <w:rPr>
          <w:lang w:val="fr-FR"/>
        </w:rPr>
        <w:t xml:space="preserve">et le placement </w:t>
      </w:r>
      <w:r w:rsidR="002648F6" w:rsidRPr="008544BB">
        <w:rPr>
          <w:lang w:val="fr-FR"/>
        </w:rPr>
        <w:t xml:space="preserve">pendant </w:t>
      </w:r>
      <w:r w:rsidR="00502EF1" w:rsidRPr="008544BB">
        <w:rPr>
          <w:lang w:val="fr-FR"/>
        </w:rPr>
        <w:t>sept</w:t>
      </w:r>
      <w:r w:rsidR="002648F6" w:rsidRPr="008544BB">
        <w:rPr>
          <w:lang w:val="fr-FR"/>
        </w:rPr>
        <w:t xml:space="preserve"> ans</w:t>
      </w:r>
      <w:r w:rsidR="00502EF1" w:rsidRPr="008544BB">
        <w:rPr>
          <w:lang w:val="fr-FR"/>
        </w:rPr>
        <w:t xml:space="preserve"> et demi</w:t>
      </w:r>
      <w:r w:rsidR="00EF19EB" w:rsidRPr="008544BB">
        <w:rPr>
          <w:lang w:val="fr-FR"/>
        </w:rPr>
        <w:t xml:space="preserve"> </w:t>
      </w:r>
      <w:r w:rsidR="009557A6" w:rsidRPr="008544BB">
        <w:rPr>
          <w:lang w:val="fr-FR"/>
        </w:rPr>
        <w:t>de</w:t>
      </w:r>
      <w:r w:rsidR="0071716C" w:rsidRPr="008544BB">
        <w:rPr>
          <w:lang w:val="fr-FR"/>
        </w:rPr>
        <w:t xml:space="preserve"> ceux-ci</w:t>
      </w:r>
      <w:r w:rsidR="009557A6" w:rsidRPr="008544BB">
        <w:rPr>
          <w:lang w:val="fr-FR"/>
        </w:rPr>
        <w:t xml:space="preserve"> </w:t>
      </w:r>
      <w:r w:rsidR="00960E40" w:rsidRPr="008544BB">
        <w:rPr>
          <w:lang w:val="fr-FR"/>
        </w:rPr>
        <w:t>ont</w:t>
      </w:r>
      <w:r w:rsidR="00EF19EB" w:rsidRPr="008544BB">
        <w:rPr>
          <w:lang w:val="fr-FR"/>
        </w:rPr>
        <w:t xml:space="preserve"> porté atteinte à</w:t>
      </w:r>
      <w:r w:rsidR="00E77CB3" w:rsidRPr="008544BB">
        <w:rPr>
          <w:lang w:val="fr-FR"/>
        </w:rPr>
        <w:t xml:space="preserve"> </w:t>
      </w:r>
      <w:r w:rsidR="00EF19EB" w:rsidRPr="008544BB">
        <w:rPr>
          <w:lang w:val="fr-FR"/>
        </w:rPr>
        <w:t>leur droit au respect de la vie familiale</w:t>
      </w:r>
      <w:r w:rsidR="00E77CB3" w:rsidRPr="008544BB">
        <w:rPr>
          <w:lang w:val="fr-FR"/>
        </w:rPr>
        <w:t xml:space="preserve"> tel que </w:t>
      </w:r>
      <w:r w:rsidR="00960E40" w:rsidRPr="008544BB">
        <w:rPr>
          <w:lang w:val="fr-FR"/>
        </w:rPr>
        <w:t>garanti</w:t>
      </w:r>
      <w:r w:rsidR="00E77CB3" w:rsidRPr="008544BB">
        <w:rPr>
          <w:lang w:val="fr-FR"/>
        </w:rPr>
        <w:t xml:space="preserve"> par l</w:t>
      </w:r>
      <w:r w:rsidR="008544BB" w:rsidRPr="008544BB">
        <w:rPr>
          <w:lang w:val="fr-FR"/>
        </w:rPr>
        <w:t>’</w:t>
      </w:r>
      <w:r w:rsidR="00E77CB3" w:rsidRPr="008544BB">
        <w:rPr>
          <w:lang w:val="fr-FR"/>
        </w:rPr>
        <w:t>article</w:t>
      </w:r>
      <w:r w:rsidR="00344FD0" w:rsidRPr="008544BB">
        <w:rPr>
          <w:lang w:val="fr-FR"/>
        </w:rPr>
        <w:t> </w:t>
      </w:r>
      <w:r w:rsidR="00EF19EB" w:rsidRPr="008544BB">
        <w:rPr>
          <w:lang w:val="fr-FR"/>
        </w:rPr>
        <w:t>8</w:t>
      </w:r>
      <w:r w:rsidR="00E77CB3" w:rsidRPr="008544BB">
        <w:rPr>
          <w:lang w:val="fr-FR"/>
        </w:rPr>
        <w:t xml:space="preserve"> de la Convention, ainsi libellé :</w:t>
      </w:r>
    </w:p>
    <w:p w:rsidR="00EF19EB" w:rsidRPr="008544BB" w:rsidRDefault="00EF19EB" w:rsidP="008544BB">
      <w:pPr>
        <w:pStyle w:val="ECHRParaQuote"/>
        <w:rPr>
          <w:lang w:val="fr-FR"/>
        </w:rPr>
      </w:pPr>
      <w:r w:rsidRPr="008544BB">
        <w:rPr>
          <w:lang w:val="fr-FR"/>
        </w:rPr>
        <w:lastRenderedPageBreak/>
        <w:t>« 1.  Toute personne a droit au respect de sa vie privée et familiale, de son domicile et de sa correspondance.</w:t>
      </w:r>
    </w:p>
    <w:p w:rsidR="00EF19EB" w:rsidRPr="008544BB" w:rsidRDefault="00EF19EB" w:rsidP="008544BB">
      <w:pPr>
        <w:pStyle w:val="ECHRParaQuote"/>
        <w:rPr>
          <w:lang w:val="fr-FR"/>
        </w:rPr>
      </w:pPr>
      <w:r w:rsidRPr="008544BB">
        <w:rPr>
          <w:lang w:val="fr-FR"/>
        </w:rPr>
        <w:t>2.  Il ne peut y avoir ingérence d</w:t>
      </w:r>
      <w:r w:rsidR="008544BB" w:rsidRPr="008544BB">
        <w:rPr>
          <w:lang w:val="fr-FR"/>
        </w:rPr>
        <w:t>’</w:t>
      </w:r>
      <w:r w:rsidRPr="008544BB">
        <w:rPr>
          <w:lang w:val="fr-FR"/>
        </w:rPr>
        <w:t>une autorité publique dans l</w:t>
      </w:r>
      <w:r w:rsidR="008544BB" w:rsidRPr="008544BB">
        <w:rPr>
          <w:lang w:val="fr-FR"/>
        </w:rPr>
        <w:t>’</w:t>
      </w:r>
      <w:r w:rsidRPr="008544BB">
        <w:rPr>
          <w:lang w:val="fr-FR"/>
        </w:rPr>
        <w:t>exercice de ce droit que pour autant que cette ingérence est prévue par la loi et qu</w:t>
      </w:r>
      <w:r w:rsidR="008544BB" w:rsidRPr="008544BB">
        <w:rPr>
          <w:lang w:val="fr-FR"/>
        </w:rPr>
        <w:t>’</w:t>
      </w:r>
      <w:r w:rsidRPr="008544BB">
        <w:rPr>
          <w:lang w:val="fr-FR"/>
        </w:rPr>
        <w:t>elle constitue une mesure qui, dans une société démocratique, est nécessaire à la sécurité nationale, à la sûreté publique, au bien</w:t>
      </w:r>
      <w:r w:rsidRPr="008544BB">
        <w:rPr>
          <w:lang w:val="fr-FR"/>
        </w:rPr>
        <w:noBreakHyphen/>
        <w:t>être économique du pays, à la défense de l</w:t>
      </w:r>
      <w:r w:rsidR="008544BB" w:rsidRPr="008544BB">
        <w:rPr>
          <w:lang w:val="fr-FR"/>
        </w:rPr>
        <w:t>’</w:t>
      </w:r>
      <w:r w:rsidRPr="008544BB">
        <w:rPr>
          <w:lang w:val="fr-FR"/>
        </w:rPr>
        <w:t>ordre et à la prévention des infractions pénales, à la protection de la santé ou de la morale, ou à la protection des droits et libertés d</w:t>
      </w:r>
      <w:r w:rsidR="008544BB" w:rsidRPr="008544BB">
        <w:rPr>
          <w:lang w:val="fr-FR"/>
        </w:rPr>
        <w:t>’</w:t>
      </w:r>
      <w:r w:rsidRPr="008544BB">
        <w:rPr>
          <w:lang w:val="fr-FR"/>
        </w:rPr>
        <w:t>autrui. »</w:t>
      </w:r>
    </w:p>
    <w:p w:rsidR="00E77CB3" w:rsidRPr="008544BB" w:rsidRDefault="004A4240"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49</w:t>
      </w:r>
      <w:r w:rsidRPr="008544BB">
        <w:rPr>
          <w:lang w:val="fr-FR"/>
        </w:rPr>
        <w:fldChar w:fldCharType="end"/>
      </w:r>
      <w:r w:rsidR="00E77CB3" w:rsidRPr="008544BB">
        <w:rPr>
          <w:lang w:val="fr-FR"/>
        </w:rPr>
        <w:t xml:space="preserve">.  Le Gouvernement </w:t>
      </w:r>
      <w:r w:rsidR="00344FD0" w:rsidRPr="008544BB">
        <w:rPr>
          <w:lang w:val="fr-FR"/>
        </w:rPr>
        <w:t>conteste</w:t>
      </w:r>
      <w:r w:rsidR="00E77CB3" w:rsidRPr="008544BB">
        <w:rPr>
          <w:lang w:val="fr-FR"/>
        </w:rPr>
        <w:t xml:space="preserve"> cette thèse.</w:t>
      </w:r>
    </w:p>
    <w:p w:rsidR="009925A1" w:rsidRPr="008544BB" w:rsidRDefault="000A2B01" w:rsidP="008544BB">
      <w:pPr>
        <w:pStyle w:val="ECHRHeading2"/>
        <w:rPr>
          <w:lang w:val="fr-FR"/>
        </w:rPr>
      </w:pPr>
      <w:r w:rsidRPr="008544BB">
        <w:rPr>
          <w:lang w:val="fr-FR"/>
        </w:rPr>
        <w:t>A.  </w:t>
      </w:r>
      <w:r w:rsidR="009925A1" w:rsidRPr="008544BB">
        <w:rPr>
          <w:lang w:val="fr-FR"/>
        </w:rPr>
        <w:t>Objection préliminaire</w:t>
      </w:r>
    </w:p>
    <w:p w:rsidR="009925A1" w:rsidRPr="008544BB" w:rsidRDefault="009925A1"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50</w:t>
      </w:r>
      <w:r w:rsidRPr="008544BB">
        <w:rPr>
          <w:lang w:val="fr-FR"/>
        </w:rPr>
        <w:fldChar w:fldCharType="end"/>
      </w:r>
      <w:r w:rsidRPr="008544BB">
        <w:rPr>
          <w:lang w:val="fr-FR"/>
        </w:rPr>
        <w:t>.  Le Gouvernement conteste la nature de l</w:t>
      </w:r>
      <w:r w:rsidR="008544BB" w:rsidRPr="008544BB">
        <w:rPr>
          <w:lang w:val="fr-FR"/>
        </w:rPr>
        <w:t>’</w:t>
      </w:r>
      <w:r w:rsidRPr="008544BB">
        <w:rPr>
          <w:lang w:val="fr-FR"/>
        </w:rPr>
        <w:t xml:space="preserve">acte de saisine de la Cour </w:t>
      </w:r>
      <w:r w:rsidR="00A4592F" w:rsidRPr="008544BB">
        <w:rPr>
          <w:lang w:val="fr-FR"/>
        </w:rPr>
        <w:t>déposé</w:t>
      </w:r>
      <w:r w:rsidRPr="008544BB">
        <w:rPr>
          <w:lang w:val="fr-FR"/>
        </w:rPr>
        <w:t xml:space="preserve"> par les requérant</w:t>
      </w:r>
      <w:r w:rsidR="003E3CE2" w:rsidRPr="008544BB">
        <w:rPr>
          <w:lang w:val="fr-FR"/>
        </w:rPr>
        <w:t>e</w:t>
      </w:r>
      <w:r w:rsidRPr="008544BB">
        <w:rPr>
          <w:lang w:val="fr-FR"/>
        </w:rPr>
        <w:t>s</w:t>
      </w:r>
      <w:r w:rsidR="00984ED2" w:rsidRPr="008544BB">
        <w:rPr>
          <w:lang w:val="fr-FR"/>
        </w:rPr>
        <w:t xml:space="preserve">, </w:t>
      </w:r>
      <w:r w:rsidR="00B642D2" w:rsidRPr="008544BB">
        <w:rPr>
          <w:lang w:val="fr-FR"/>
        </w:rPr>
        <w:t>e</w:t>
      </w:r>
      <w:r w:rsidR="00984ED2" w:rsidRPr="008544BB">
        <w:rPr>
          <w:lang w:val="fr-FR"/>
        </w:rPr>
        <w:t>stimant</w:t>
      </w:r>
      <w:r w:rsidRPr="008544BB">
        <w:rPr>
          <w:lang w:val="fr-FR"/>
        </w:rPr>
        <w:t xml:space="preserve"> qu</w:t>
      </w:r>
      <w:r w:rsidR="00344FD0" w:rsidRPr="008544BB">
        <w:rPr>
          <w:lang w:val="fr-FR"/>
        </w:rPr>
        <w:t>e celles-ci</w:t>
      </w:r>
      <w:r w:rsidR="00984ED2" w:rsidRPr="008544BB">
        <w:rPr>
          <w:lang w:val="fr-FR"/>
        </w:rPr>
        <w:t xml:space="preserve"> ont uniquement </w:t>
      </w:r>
      <w:r w:rsidR="008D3D76" w:rsidRPr="008544BB">
        <w:rPr>
          <w:lang w:val="fr-FR"/>
        </w:rPr>
        <w:t xml:space="preserve">introduit </w:t>
      </w:r>
      <w:r w:rsidRPr="008544BB">
        <w:rPr>
          <w:lang w:val="fr-FR"/>
        </w:rPr>
        <w:t xml:space="preserve">une demande de mesures provisoires, </w:t>
      </w:r>
      <w:r w:rsidR="0003529E" w:rsidRPr="008544BB">
        <w:rPr>
          <w:lang w:val="fr-FR"/>
        </w:rPr>
        <w:t>au sens de</w:t>
      </w:r>
      <w:r w:rsidRPr="008544BB">
        <w:rPr>
          <w:lang w:val="fr-FR"/>
        </w:rPr>
        <w:t xml:space="preserve"> l</w:t>
      </w:r>
      <w:r w:rsidR="008544BB" w:rsidRPr="008544BB">
        <w:rPr>
          <w:lang w:val="fr-FR"/>
        </w:rPr>
        <w:t>’</w:t>
      </w:r>
      <w:r w:rsidRPr="008544BB">
        <w:rPr>
          <w:lang w:val="fr-FR"/>
        </w:rPr>
        <w:t>article 39 du règlement</w:t>
      </w:r>
      <w:r w:rsidR="002A6C14" w:rsidRPr="008544BB">
        <w:rPr>
          <w:lang w:val="fr-FR"/>
        </w:rPr>
        <w:t xml:space="preserve"> </w:t>
      </w:r>
      <w:r w:rsidR="00344FD0" w:rsidRPr="008544BB">
        <w:rPr>
          <w:lang w:val="fr-FR"/>
        </w:rPr>
        <w:t>de la Cour</w:t>
      </w:r>
      <w:r w:rsidR="00B642D2" w:rsidRPr="008544BB">
        <w:rPr>
          <w:lang w:val="fr-FR"/>
        </w:rPr>
        <w:t>,</w:t>
      </w:r>
      <w:r w:rsidR="00344FD0" w:rsidRPr="008544BB">
        <w:rPr>
          <w:lang w:val="fr-FR"/>
        </w:rPr>
        <w:t xml:space="preserve"> </w:t>
      </w:r>
      <w:r w:rsidR="002A6C14" w:rsidRPr="008544BB">
        <w:rPr>
          <w:lang w:val="fr-FR"/>
        </w:rPr>
        <w:t>et</w:t>
      </w:r>
      <w:r w:rsidRPr="008544BB">
        <w:rPr>
          <w:lang w:val="fr-FR"/>
        </w:rPr>
        <w:t xml:space="preserve"> </w:t>
      </w:r>
      <w:r w:rsidR="00B642D2" w:rsidRPr="008544BB">
        <w:rPr>
          <w:lang w:val="fr-FR"/>
        </w:rPr>
        <w:t>qu</w:t>
      </w:r>
      <w:r w:rsidR="008544BB" w:rsidRPr="008544BB">
        <w:rPr>
          <w:lang w:val="fr-FR"/>
        </w:rPr>
        <w:t>’</w:t>
      </w:r>
      <w:r w:rsidR="00B642D2" w:rsidRPr="008544BB">
        <w:rPr>
          <w:lang w:val="fr-FR"/>
        </w:rPr>
        <w:t xml:space="preserve">elles </w:t>
      </w:r>
      <w:r w:rsidR="008D3D76" w:rsidRPr="008544BB">
        <w:rPr>
          <w:lang w:val="fr-FR"/>
        </w:rPr>
        <w:t>n</w:t>
      </w:r>
      <w:r w:rsidR="008544BB" w:rsidRPr="008544BB">
        <w:rPr>
          <w:lang w:val="fr-FR"/>
        </w:rPr>
        <w:t>’</w:t>
      </w:r>
      <w:r w:rsidR="008D3D76" w:rsidRPr="008544BB">
        <w:rPr>
          <w:lang w:val="fr-FR"/>
        </w:rPr>
        <w:t>ont pas présenté</w:t>
      </w:r>
      <w:r w:rsidRPr="008544BB">
        <w:rPr>
          <w:lang w:val="fr-FR"/>
        </w:rPr>
        <w:t xml:space="preserve"> </w:t>
      </w:r>
      <w:r w:rsidR="0050006A" w:rsidRPr="008544BB">
        <w:rPr>
          <w:lang w:val="fr-FR"/>
        </w:rPr>
        <w:t>une</w:t>
      </w:r>
      <w:r w:rsidRPr="008544BB">
        <w:rPr>
          <w:lang w:val="fr-FR"/>
        </w:rPr>
        <w:t xml:space="preserve"> requête </w:t>
      </w:r>
      <w:r w:rsidR="00E57DDC" w:rsidRPr="008544BB">
        <w:rPr>
          <w:lang w:val="fr-FR"/>
        </w:rPr>
        <w:t>au</w:t>
      </w:r>
      <w:r w:rsidRPr="008544BB">
        <w:rPr>
          <w:lang w:val="fr-FR"/>
        </w:rPr>
        <w:t xml:space="preserve"> fond portant sur le</w:t>
      </w:r>
      <w:r w:rsidR="0050006A" w:rsidRPr="008544BB">
        <w:rPr>
          <w:lang w:val="fr-FR"/>
        </w:rPr>
        <w:t>ur</w:t>
      </w:r>
      <w:r w:rsidRPr="008544BB">
        <w:rPr>
          <w:lang w:val="fr-FR"/>
        </w:rPr>
        <w:t>s griefs de violation des articles 3 et 8 de la Convention.</w:t>
      </w:r>
      <w:r w:rsidR="00D72697" w:rsidRPr="008544BB">
        <w:rPr>
          <w:lang w:val="fr-FR"/>
        </w:rPr>
        <w:t xml:space="preserve"> </w:t>
      </w:r>
      <w:r w:rsidR="0003529E" w:rsidRPr="008544BB">
        <w:rPr>
          <w:lang w:val="fr-FR"/>
        </w:rPr>
        <w:t>Par conséquent, il invite la Cour à limiter s</w:t>
      </w:r>
      <w:r w:rsidR="002C6E9D" w:rsidRPr="008544BB">
        <w:rPr>
          <w:lang w:val="fr-FR"/>
        </w:rPr>
        <w:t>on contrôle</w:t>
      </w:r>
      <w:r w:rsidR="0003529E" w:rsidRPr="008544BB">
        <w:rPr>
          <w:lang w:val="fr-FR"/>
        </w:rPr>
        <w:t xml:space="preserve"> à la seule demande de mesures provisoires, au nom du</w:t>
      </w:r>
      <w:r w:rsidRPr="008544BB">
        <w:rPr>
          <w:lang w:val="fr-FR"/>
        </w:rPr>
        <w:t xml:space="preserve"> respect du principe du contradictoire</w:t>
      </w:r>
      <w:r w:rsidR="0003529E" w:rsidRPr="008544BB">
        <w:rPr>
          <w:lang w:val="fr-FR"/>
        </w:rPr>
        <w:t>.</w:t>
      </w:r>
    </w:p>
    <w:p w:rsidR="009925A1" w:rsidRPr="008544BB" w:rsidRDefault="009925A1"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51</w:t>
      </w:r>
      <w:r w:rsidRPr="008544BB">
        <w:rPr>
          <w:lang w:val="fr-FR"/>
        </w:rPr>
        <w:fldChar w:fldCharType="end"/>
      </w:r>
      <w:r w:rsidRPr="008544BB">
        <w:rPr>
          <w:lang w:val="fr-FR"/>
        </w:rPr>
        <w:t>.  Les requérant</w:t>
      </w:r>
      <w:r w:rsidR="003E3CE2" w:rsidRPr="008544BB">
        <w:rPr>
          <w:lang w:val="fr-FR"/>
        </w:rPr>
        <w:t>e</w:t>
      </w:r>
      <w:r w:rsidRPr="008544BB">
        <w:rPr>
          <w:lang w:val="fr-FR"/>
        </w:rPr>
        <w:t xml:space="preserve">s soutiennent </w:t>
      </w:r>
      <w:r w:rsidR="00E57DDC" w:rsidRPr="008544BB">
        <w:rPr>
          <w:lang w:val="fr-FR"/>
        </w:rPr>
        <w:t>que leur requête au fond, soulevant des griefs tirés des articles 3 et 8 de la Convention, était assortie d</w:t>
      </w:r>
      <w:r w:rsidR="008544BB" w:rsidRPr="008544BB">
        <w:rPr>
          <w:lang w:val="fr-FR"/>
        </w:rPr>
        <w:t>’</w:t>
      </w:r>
      <w:r w:rsidR="00E57DDC" w:rsidRPr="008544BB">
        <w:rPr>
          <w:lang w:val="fr-FR"/>
        </w:rPr>
        <w:t xml:space="preserve">une demande </w:t>
      </w:r>
      <w:r w:rsidRPr="008544BB">
        <w:rPr>
          <w:lang w:val="fr-FR"/>
        </w:rPr>
        <w:t>de mesures provisoires au</w:t>
      </w:r>
      <w:r w:rsidR="00602BC2" w:rsidRPr="008544BB">
        <w:rPr>
          <w:lang w:val="fr-FR"/>
        </w:rPr>
        <w:t xml:space="preserve"> sens</w:t>
      </w:r>
      <w:r w:rsidRPr="008544BB">
        <w:rPr>
          <w:lang w:val="fr-FR"/>
        </w:rPr>
        <w:t xml:space="preserve"> de l</w:t>
      </w:r>
      <w:r w:rsidR="008544BB" w:rsidRPr="008544BB">
        <w:rPr>
          <w:lang w:val="fr-FR"/>
        </w:rPr>
        <w:t>’</w:t>
      </w:r>
      <w:r w:rsidRPr="008544BB">
        <w:rPr>
          <w:lang w:val="fr-FR"/>
        </w:rPr>
        <w:t>article 39 du règlement de la Cour</w:t>
      </w:r>
      <w:r w:rsidR="00E57DDC" w:rsidRPr="008544BB">
        <w:rPr>
          <w:lang w:val="fr-FR"/>
        </w:rPr>
        <w:t>.</w:t>
      </w:r>
      <w:r w:rsidRPr="008544BB">
        <w:rPr>
          <w:lang w:val="fr-FR"/>
        </w:rPr>
        <w:t xml:space="preserve"> </w:t>
      </w:r>
      <w:r w:rsidR="00602BC2" w:rsidRPr="008544BB">
        <w:rPr>
          <w:rFonts w:cstheme="minorHAnsi"/>
          <w:lang w:val="fr-FR"/>
        </w:rPr>
        <w:t>À</w:t>
      </w:r>
      <w:r w:rsidR="00602BC2" w:rsidRPr="008544BB">
        <w:rPr>
          <w:lang w:val="fr-FR"/>
        </w:rPr>
        <w:t xml:space="preserve"> cet égard, elles indiquent</w:t>
      </w:r>
      <w:r w:rsidRPr="008544BB">
        <w:rPr>
          <w:lang w:val="fr-FR"/>
        </w:rPr>
        <w:t xml:space="preserve"> qu</w:t>
      </w:r>
      <w:r w:rsidR="00602BC2" w:rsidRPr="008544BB">
        <w:rPr>
          <w:lang w:val="fr-FR"/>
        </w:rPr>
        <w:t>e, après avoir rejeté</w:t>
      </w:r>
      <w:r w:rsidRPr="008544BB">
        <w:rPr>
          <w:lang w:val="fr-FR"/>
        </w:rPr>
        <w:t xml:space="preserve"> leur demande de mesures provisoires, la Cour </w:t>
      </w:r>
      <w:r w:rsidR="00D72697" w:rsidRPr="008544BB">
        <w:rPr>
          <w:lang w:val="fr-FR"/>
        </w:rPr>
        <w:t xml:space="preserve">les </w:t>
      </w:r>
      <w:r w:rsidRPr="008544BB">
        <w:rPr>
          <w:lang w:val="fr-FR"/>
        </w:rPr>
        <w:t>a</w:t>
      </w:r>
      <w:r w:rsidR="004F1541" w:rsidRPr="008544BB">
        <w:rPr>
          <w:lang w:val="fr-FR"/>
        </w:rPr>
        <w:t xml:space="preserve"> </w:t>
      </w:r>
      <w:r w:rsidR="00D72697" w:rsidRPr="008544BB">
        <w:rPr>
          <w:lang w:val="fr-FR"/>
        </w:rPr>
        <w:t>invité</w:t>
      </w:r>
      <w:r w:rsidR="00602BC2" w:rsidRPr="008544BB">
        <w:rPr>
          <w:lang w:val="fr-FR"/>
        </w:rPr>
        <w:t>e</w:t>
      </w:r>
      <w:r w:rsidR="00D72697" w:rsidRPr="008544BB">
        <w:rPr>
          <w:lang w:val="fr-FR"/>
        </w:rPr>
        <w:t>s</w:t>
      </w:r>
      <w:r w:rsidRPr="008544BB">
        <w:rPr>
          <w:lang w:val="fr-FR"/>
        </w:rPr>
        <w:t xml:space="preserve">, par </w:t>
      </w:r>
      <w:r w:rsidR="00602BC2" w:rsidRPr="008544BB">
        <w:rPr>
          <w:lang w:val="fr-FR"/>
        </w:rPr>
        <w:t xml:space="preserve">une </w:t>
      </w:r>
      <w:r w:rsidRPr="008544BB">
        <w:rPr>
          <w:lang w:val="fr-FR"/>
        </w:rPr>
        <w:t>lettre du 19 février 2013, à indiquer s</w:t>
      </w:r>
      <w:r w:rsidR="00602BC2" w:rsidRPr="008544BB">
        <w:rPr>
          <w:lang w:val="fr-FR"/>
        </w:rPr>
        <w:t>i elles</w:t>
      </w:r>
      <w:r w:rsidRPr="008544BB">
        <w:rPr>
          <w:lang w:val="fr-FR"/>
        </w:rPr>
        <w:t xml:space="preserve"> souhaitaient maintenir leur requête</w:t>
      </w:r>
      <w:r w:rsidR="00D72697" w:rsidRPr="008544BB">
        <w:rPr>
          <w:lang w:val="fr-FR"/>
        </w:rPr>
        <w:t>. Une fois reçue leur réponse affirmative, la Cour a</w:t>
      </w:r>
      <w:r w:rsidRPr="008544BB">
        <w:rPr>
          <w:lang w:val="fr-FR"/>
        </w:rPr>
        <w:t xml:space="preserve"> procédé à </w:t>
      </w:r>
      <w:r w:rsidR="00602BC2" w:rsidRPr="008544BB">
        <w:rPr>
          <w:lang w:val="fr-FR"/>
        </w:rPr>
        <w:t xml:space="preserve">la </w:t>
      </w:r>
      <w:r w:rsidR="00E57DDC" w:rsidRPr="008544BB">
        <w:rPr>
          <w:lang w:val="fr-FR"/>
        </w:rPr>
        <w:t>communi</w:t>
      </w:r>
      <w:r w:rsidR="00602BC2" w:rsidRPr="008544BB">
        <w:rPr>
          <w:lang w:val="fr-FR"/>
        </w:rPr>
        <w:t>cation de</w:t>
      </w:r>
      <w:r w:rsidRPr="008544BB">
        <w:rPr>
          <w:lang w:val="fr-FR"/>
        </w:rPr>
        <w:t xml:space="preserve"> l</w:t>
      </w:r>
      <w:r w:rsidR="008544BB" w:rsidRPr="008544BB">
        <w:rPr>
          <w:lang w:val="fr-FR"/>
        </w:rPr>
        <w:t>’</w:t>
      </w:r>
      <w:r w:rsidRPr="008544BB">
        <w:rPr>
          <w:lang w:val="fr-FR"/>
        </w:rPr>
        <w:t xml:space="preserve">affaire au </w:t>
      </w:r>
      <w:r w:rsidR="00602BC2" w:rsidRPr="008544BB">
        <w:rPr>
          <w:lang w:val="fr-FR"/>
        </w:rPr>
        <w:t>g</w:t>
      </w:r>
      <w:r w:rsidRPr="008544BB">
        <w:rPr>
          <w:lang w:val="fr-FR"/>
        </w:rPr>
        <w:t xml:space="preserve">ouvernement défendeur. </w:t>
      </w:r>
      <w:r w:rsidR="00602BC2" w:rsidRPr="008544BB">
        <w:rPr>
          <w:lang w:val="fr-FR"/>
        </w:rPr>
        <w:t>A</w:t>
      </w:r>
      <w:r w:rsidRPr="008544BB">
        <w:rPr>
          <w:lang w:val="fr-FR"/>
        </w:rPr>
        <w:t>ux yeux des requérant</w:t>
      </w:r>
      <w:r w:rsidR="003E3CE2" w:rsidRPr="008544BB">
        <w:rPr>
          <w:lang w:val="fr-FR"/>
        </w:rPr>
        <w:t>e</w:t>
      </w:r>
      <w:r w:rsidRPr="008544BB">
        <w:rPr>
          <w:lang w:val="fr-FR"/>
        </w:rPr>
        <w:t xml:space="preserve">s, </w:t>
      </w:r>
      <w:r w:rsidR="00602BC2" w:rsidRPr="008544BB">
        <w:rPr>
          <w:lang w:val="fr-FR"/>
        </w:rPr>
        <w:t xml:space="preserve">cela démontre </w:t>
      </w:r>
      <w:r w:rsidRPr="008544BB">
        <w:rPr>
          <w:lang w:val="fr-FR"/>
        </w:rPr>
        <w:t xml:space="preserve">que la Cour a toujours considéré la demande au fond comme </w:t>
      </w:r>
      <w:r w:rsidR="00DC1667" w:rsidRPr="008544BB">
        <w:rPr>
          <w:lang w:val="fr-FR"/>
        </w:rPr>
        <w:t>ayant été</w:t>
      </w:r>
      <w:r w:rsidRPr="008544BB">
        <w:rPr>
          <w:lang w:val="fr-FR"/>
        </w:rPr>
        <w:t xml:space="preserve"> introduite </w:t>
      </w:r>
      <w:r w:rsidR="00DC1667" w:rsidRPr="008544BB">
        <w:rPr>
          <w:lang w:val="fr-FR"/>
        </w:rPr>
        <w:t xml:space="preserve">en même temps que </w:t>
      </w:r>
      <w:r w:rsidRPr="008544BB">
        <w:rPr>
          <w:lang w:val="fr-FR"/>
        </w:rPr>
        <w:t>la demande de mesures provisoires.</w:t>
      </w:r>
    </w:p>
    <w:p w:rsidR="009925A1" w:rsidRPr="008544BB" w:rsidRDefault="009925A1" w:rsidP="008544BB">
      <w:pPr>
        <w:pStyle w:val="ECHRPara"/>
        <w:rPr>
          <w:i/>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52</w:t>
      </w:r>
      <w:r w:rsidRPr="008544BB">
        <w:rPr>
          <w:lang w:val="fr-FR"/>
        </w:rPr>
        <w:fldChar w:fldCharType="end"/>
      </w:r>
      <w:r w:rsidRPr="008544BB">
        <w:rPr>
          <w:lang w:val="fr-FR"/>
        </w:rPr>
        <w:t>.  </w:t>
      </w:r>
      <w:r w:rsidR="003728F1" w:rsidRPr="008544BB">
        <w:rPr>
          <w:lang w:val="fr-FR"/>
        </w:rPr>
        <w:t>Tout d</w:t>
      </w:r>
      <w:r w:rsidR="008544BB" w:rsidRPr="008544BB">
        <w:rPr>
          <w:lang w:val="fr-FR"/>
        </w:rPr>
        <w:t>’</w:t>
      </w:r>
      <w:r w:rsidR="003728F1" w:rsidRPr="008544BB">
        <w:rPr>
          <w:lang w:val="fr-FR"/>
        </w:rPr>
        <w:t>abord, l</w:t>
      </w:r>
      <w:r w:rsidRPr="008544BB">
        <w:rPr>
          <w:lang w:val="fr-FR"/>
        </w:rPr>
        <w:t xml:space="preserve">a Cour </w:t>
      </w:r>
      <w:r w:rsidR="003728F1" w:rsidRPr="008544BB">
        <w:rPr>
          <w:lang w:val="fr-FR"/>
        </w:rPr>
        <w:t>rappelle</w:t>
      </w:r>
      <w:r w:rsidRPr="008544BB">
        <w:rPr>
          <w:lang w:val="fr-FR"/>
        </w:rPr>
        <w:t xml:space="preserve"> qu</w:t>
      </w:r>
      <w:r w:rsidR="00E979BA" w:rsidRPr="008544BB">
        <w:rPr>
          <w:lang w:val="fr-FR"/>
        </w:rPr>
        <w:t>e</w:t>
      </w:r>
      <w:r w:rsidRPr="008544BB">
        <w:rPr>
          <w:lang w:val="fr-FR"/>
        </w:rPr>
        <w:t xml:space="preserve"> </w:t>
      </w:r>
      <w:r w:rsidR="00E979BA" w:rsidRPr="008544BB">
        <w:rPr>
          <w:lang w:val="fr-FR"/>
        </w:rPr>
        <w:t>les conditions plus strictes pour l</w:t>
      </w:r>
      <w:r w:rsidR="008544BB" w:rsidRPr="008544BB">
        <w:rPr>
          <w:lang w:val="fr-FR"/>
        </w:rPr>
        <w:t>’</w:t>
      </w:r>
      <w:r w:rsidR="00E979BA" w:rsidRPr="008544BB">
        <w:rPr>
          <w:lang w:val="fr-FR"/>
        </w:rPr>
        <w:t>introduction d</w:t>
      </w:r>
      <w:r w:rsidR="008544BB" w:rsidRPr="008544BB">
        <w:rPr>
          <w:lang w:val="fr-FR"/>
        </w:rPr>
        <w:t>’</w:t>
      </w:r>
      <w:r w:rsidR="00E979BA" w:rsidRPr="008544BB">
        <w:rPr>
          <w:lang w:val="fr-FR"/>
        </w:rPr>
        <w:t>une requête ne sont exigées qu</w:t>
      </w:r>
      <w:r w:rsidR="004F1541" w:rsidRPr="008544BB">
        <w:rPr>
          <w:lang w:val="fr-FR"/>
        </w:rPr>
        <w:t>e depuis le</w:t>
      </w:r>
      <w:r w:rsidR="00E979BA" w:rsidRPr="008544BB">
        <w:rPr>
          <w:lang w:val="fr-FR"/>
        </w:rPr>
        <w:t xml:space="preserve"> 1</w:t>
      </w:r>
      <w:r w:rsidR="002A6C14" w:rsidRPr="008544BB">
        <w:rPr>
          <w:vertAlign w:val="superscript"/>
          <w:lang w:val="fr-FR"/>
        </w:rPr>
        <w:t>er</w:t>
      </w:r>
      <w:r w:rsidR="002A6C14" w:rsidRPr="008544BB">
        <w:rPr>
          <w:lang w:val="fr-FR"/>
        </w:rPr>
        <w:t xml:space="preserve"> </w:t>
      </w:r>
      <w:r w:rsidR="00E979BA" w:rsidRPr="008544BB">
        <w:rPr>
          <w:lang w:val="fr-FR"/>
        </w:rPr>
        <w:t>janvier 2014 par le nouvel article 47 de son règlement.</w:t>
      </w:r>
      <w:r w:rsidRPr="008544BB">
        <w:rPr>
          <w:lang w:val="fr-FR"/>
        </w:rPr>
        <w:t xml:space="preserve"> </w:t>
      </w:r>
      <w:r w:rsidR="003728F1" w:rsidRPr="008544BB">
        <w:rPr>
          <w:lang w:val="fr-FR"/>
        </w:rPr>
        <w:t xml:space="preserve">Or, la présente </w:t>
      </w:r>
      <w:r w:rsidR="00E979BA" w:rsidRPr="008544BB">
        <w:rPr>
          <w:lang w:val="fr-FR"/>
        </w:rPr>
        <w:t xml:space="preserve">requête ayant été introduite le 23 janvier 2013, </w:t>
      </w:r>
      <w:r w:rsidRPr="008544BB">
        <w:rPr>
          <w:lang w:val="fr-FR"/>
        </w:rPr>
        <w:t>les requérant</w:t>
      </w:r>
      <w:r w:rsidR="003E3CE2" w:rsidRPr="008544BB">
        <w:rPr>
          <w:lang w:val="fr-FR"/>
        </w:rPr>
        <w:t>e</w:t>
      </w:r>
      <w:r w:rsidRPr="008544BB">
        <w:rPr>
          <w:lang w:val="fr-FR"/>
        </w:rPr>
        <w:t>s n</w:t>
      </w:r>
      <w:r w:rsidR="008544BB" w:rsidRPr="008544BB">
        <w:rPr>
          <w:lang w:val="fr-FR"/>
        </w:rPr>
        <w:t>’</w:t>
      </w:r>
      <w:r w:rsidRPr="008544BB">
        <w:rPr>
          <w:lang w:val="fr-FR"/>
        </w:rPr>
        <w:t>étaient pas tenu</w:t>
      </w:r>
      <w:r w:rsidR="003728F1" w:rsidRPr="008544BB">
        <w:rPr>
          <w:lang w:val="fr-FR"/>
        </w:rPr>
        <w:t>e</w:t>
      </w:r>
      <w:r w:rsidRPr="008544BB">
        <w:rPr>
          <w:lang w:val="fr-FR"/>
        </w:rPr>
        <w:t xml:space="preserve">s </w:t>
      </w:r>
      <w:r w:rsidR="003728F1" w:rsidRPr="008544BB">
        <w:rPr>
          <w:lang w:val="fr-FR"/>
        </w:rPr>
        <w:t>de</w:t>
      </w:r>
      <w:r w:rsidRPr="008544BB">
        <w:rPr>
          <w:lang w:val="fr-FR"/>
        </w:rPr>
        <w:t xml:space="preserve"> présenter leur requête sur le formulaire fourni par le greffe de la Cour (</w:t>
      </w:r>
      <w:r w:rsidR="00E979BA" w:rsidRPr="008544BB">
        <w:rPr>
          <w:i/>
          <w:lang w:val="fr-FR"/>
        </w:rPr>
        <w:t>Strumia c. Italie</w:t>
      </w:r>
      <w:r w:rsidR="00E979BA" w:rsidRPr="008544BB">
        <w:rPr>
          <w:lang w:val="fr-FR"/>
        </w:rPr>
        <w:t>, n</w:t>
      </w:r>
      <w:r w:rsidR="00E979BA" w:rsidRPr="008544BB">
        <w:rPr>
          <w:vertAlign w:val="superscript"/>
          <w:lang w:val="fr-FR"/>
        </w:rPr>
        <w:t>o</w:t>
      </w:r>
      <w:r w:rsidR="00E979BA" w:rsidRPr="008544BB">
        <w:rPr>
          <w:lang w:val="fr-FR"/>
        </w:rPr>
        <w:t> 53377/13, § 84, 23 juin 2016</w:t>
      </w:r>
      <w:r w:rsidRPr="008544BB">
        <w:rPr>
          <w:snapToGrid w:val="0"/>
          <w:lang w:val="fr-FR"/>
        </w:rPr>
        <w:t>)</w:t>
      </w:r>
      <w:r w:rsidRPr="008544BB">
        <w:rPr>
          <w:lang w:val="fr-FR"/>
        </w:rPr>
        <w:t>.</w:t>
      </w:r>
    </w:p>
    <w:p w:rsidR="001F3C47" w:rsidRPr="008544BB" w:rsidRDefault="009925A1"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53</w:t>
      </w:r>
      <w:r w:rsidRPr="008544BB">
        <w:rPr>
          <w:lang w:val="fr-FR"/>
        </w:rPr>
        <w:fldChar w:fldCharType="end"/>
      </w:r>
      <w:r w:rsidRPr="008544BB">
        <w:rPr>
          <w:lang w:val="fr-FR"/>
        </w:rPr>
        <w:t>.  </w:t>
      </w:r>
      <w:r w:rsidR="003728F1" w:rsidRPr="008544BB">
        <w:rPr>
          <w:lang w:val="fr-FR"/>
        </w:rPr>
        <w:t>Ensuite, s</w:t>
      </w:r>
      <w:r w:rsidR="008544BB" w:rsidRPr="008544BB">
        <w:rPr>
          <w:lang w:val="fr-FR"/>
        </w:rPr>
        <w:t>’</w:t>
      </w:r>
      <w:r w:rsidR="003728F1" w:rsidRPr="008544BB">
        <w:rPr>
          <w:lang w:val="fr-FR"/>
        </w:rPr>
        <w:t>agissant</w:t>
      </w:r>
      <w:r w:rsidRPr="008544BB">
        <w:rPr>
          <w:lang w:val="fr-FR"/>
        </w:rPr>
        <w:t xml:space="preserve"> </w:t>
      </w:r>
      <w:r w:rsidR="003728F1" w:rsidRPr="008544BB">
        <w:rPr>
          <w:lang w:val="fr-FR"/>
        </w:rPr>
        <w:t>du</w:t>
      </w:r>
      <w:r w:rsidRPr="008544BB">
        <w:rPr>
          <w:lang w:val="fr-FR"/>
        </w:rPr>
        <w:t xml:space="preserve"> contenu de la requête, la Cour </w:t>
      </w:r>
      <w:r w:rsidR="002B0D08" w:rsidRPr="008544BB">
        <w:rPr>
          <w:lang w:val="fr-FR"/>
        </w:rPr>
        <w:t>relève</w:t>
      </w:r>
      <w:r w:rsidRPr="008544BB">
        <w:rPr>
          <w:lang w:val="fr-FR"/>
        </w:rPr>
        <w:t xml:space="preserve"> que </w:t>
      </w:r>
      <w:r w:rsidR="003728F1" w:rsidRPr="008544BB">
        <w:rPr>
          <w:lang w:val="fr-FR"/>
        </w:rPr>
        <w:t>celle</w:t>
      </w:r>
      <w:r w:rsidR="00BD6664" w:rsidRPr="008544BB">
        <w:rPr>
          <w:lang w:val="fr-FR"/>
        </w:rPr>
        <w:noBreakHyphen/>
      </w:r>
      <w:r w:rsidR="003728F1" w:rsidRPr="008544BB">
        <w:rPr>
          <w:lang w:val="fr-FR"/>
        </w:rPr>
        <w:t>ci</w:t>
      </w:r>
      <w:r w:rsidRPr="008544BB">
        <w:rPr>
          <w:lang w:val="fr-FR"/>
        </w:rPr>
        <w:t xml:space="preserve"> contenait tous les éléments </w:t>
      </w:r>
      <w:r w:rsidR="003B0564" w:rsidRPr="008544BB">
        <w:rPr>
          <w:lang w:val="fr-FR"/>
        </w:rPr>
        <w:t>de</w:t>
      </w:r>
      <w:r w:rsidRPr="008544BB">
        <w:rPr>
          <w:lang w:val="fr-FR"/>
        </w:rPr>
        <w:t xml:space="preserve"> fait et </w:t>
      </w:r>
      <w:r w:rsidR="003B0564" w:rsidRPr="008544BB">
        <w:rPr>
          <w:lang w:val="fr-FR"/>
        </w:rPr>
        <w:t>de</w:t>
      </w:r>
      <w:r w:rsidRPr="008544BB">
        <w:rPr>
          <w:lang w:val="fr-FR"/>
        </w:rPr>
        <w:t xml:space="preserve"> droit nécessaires pour l</w:t>
      </w:r>
      <w:r w:rsidR="008544BB" w:rsidRPr="008544BB">
        <w:rPr>
          <w:lang w:val="fr-FR"/>
        </w:rPr>
        <w:t>’</w:t>
      </w:r>
      <w:r w:rsidRPr="008544BB">
        <w:rPr>
          <w:lang w:val="fr-FR"/>
        </w:rPr>
        <w:t xml:space="preserve">examen des griefs </w:t>
      </w:r>
      <w:r w:rsidR="00380F43" w:rsidRPr="008544BB">
        <w:rPr>
          <w:lang w:val="fr-FR"/>
        </w:rPr>
        <w:t>tirés</w:t>
      </w:r>
      <w:r w:rsidRPr="008544BB">
        <w:rPr>
          <w:lang w:val="fr-FR"/>
        </w:rPr>
        <w:t xml:space="preserve"> des articles 3 et 8 de la Convention</w:t>
      </w:r>
      <w:r w:rsidR="00BD6664" w:rsidRPr="008544BB">
        <w:rPr>
          <w:lang w:val="fr-FR"/>
        </w:rPr>
        <w:t xml:space="preserve">, et </w:t>
      </w:r>
      <w:r w:rsidR="00E913A7" w:rsidRPr="008544BB">
        <w:rPr>
          <w:lang w:val="fr-FR"/>
        </w:rPr>
        <w:t xml:space="preserve">elle note aussi </w:t>
      </w:r>
      <w:r w:rsidR="003728F1" w:rsidRPr="008544BB">
        <w:rPr>
          <w:lang w:val="fr-FR"/>
        </w:rPr>
        <w:t>que, d</w:t>
      </w:r>
      <w:r w:rsidRPr="008544BB">
        <w:rPr>
          <w:lang w:val="fr-FR"/>
        </w:rPr>
        <w:t>ans le même formulaire, les requérant</w:t>
      </w:r>
      <w:r w:rsidR="003E3CE2" w:rsidRPr="008544BB">
        <w:rPr>
          <w:lang w:val="fr-FR"/>
        </w:rPr>
        <w:t>e</w:t>
      </w:r>
      <w:r w:rsidRPr="008544BB">
        <w:rPr>
          <w:lang w:val="fr-FR"/>
        </w:rPr>
        <w:t>s demandaient l</w:t>
      </w:r>
      <w:r w:rsidR="008544BB" w:rsidRPr="008544BB">
        <w:rPr>
          <w:lang w:val="fr-FR"/>
        </w:rPr>
        <w:t>’</w:t>
      </w:r>
      <w:r w:rsidRPr="008544BB">
        <w:rPr>
          <w:lang w:val="fr-FR"/>
        </w:rPr>
        <w:t>application de mesures provisoires au sens de l</w:t>
      </w:r>
      <w:r w:rsidR="008544BB" w:rsidRPr="008544BB">
        <w:rPr>
          <w:lang w:val="fr-FR"/>
        </w:rPr>
        <w:t>’</w:t>
      </w:r>
      <w:r w:rsidRPr="008544BB">
        <w:rPr>
          <w:lang w:val="fr-FR"/>
        </w:rPr>
        <w:t>arti</w:t>
      </w:r>
      <w:r w:rsidR="00E979BA" w:rsidRPr="008544BB">
        <w:rPr>
          <w:lang w:val="fr-FR"/>
        </w:rPr>
        <w:t>cle 39 d</w:t>
      </w:r>
      <w:r w:rsidR="003728F1" w:rsidRPr="008544BB">
        <w:rPr>
          <w:lang w:val="fr-FR"/>
        </w:rPr>
        <w:t>e son</w:t>
      </w:r>
      <w:r w:rsidR="00E979BA" w:rsidRPr="008544BB">
        <w:rPr>
          <w:lang w:val="fr-FR"/>
        </w:rPr>
        <w:t xml:space="preserve"> règlement. </w:t>
      </w:r>
      <w:r w:rsidRPr="008544BB">
        <w:rPr>
          <w:lang w:val="fr-FR"/>
        </w:rPr>
        <w:t xml:space="preserve">Après avoir rejeté </w:t>
      </w:r>
      <w:r w:rsidR="00CE6B66" w:rsidRPr="008544BB">
        <w:rPr>
          <w:lang w:val="fr-FR"/>
        </w:rPr>
        <w:t>cette</w:t>
      </w:r>
      <w:r w:rsidRPr="008544BB">
        <w:rPr>
          <w:lang w:val="fr-FR"/>
        </w:rPr>
        <w:t xml:space="preserve"> demande de mesures provisoires</w:t>
      </w:r>
      <w:r w:rsidR="00E979BA" w:rsidRPr="008544BB">
        <w:rPr>
          <w:lang w:val="fr-FR"/>
        </w:rPr>
        <w:t>, la Cour</w:t>
      </w:r>
      <w:r w:rsidRPr="008544BB">
        <w:rPr>
          <w:lang w:val="fr-FR"/>
        </w:rPr>
        <w:t xml:space="preserve"> a</w:t>
      </w:r>
      <w:r w:rsidR="00D72697" w:rsidRPr="008544BB">
        <w:rPr>
          <w:lang w:val="fr-FR"/>
        </w:rPr>
        <w:t xml:space="preserve"> </w:t>
      </w:r>
      <w:r w:rsidRPr="008544BB">
        <w:rPr>
          <w:lang w:val="fr-FR"/>
        </w:rPr>
        <w:t>invité les requérant</w:t>
      </w:r>
      <w:r w:rsidR="003E3CE2" w:rsidRPr="008544BB">
        <w:rPr>
          <w:lang w:val="fr-FR"/>
        </w:rPr>
        <w:t>e</w:t>
      </w:r>
      <w:r w:rsidRPr="008544BB">
        <w:rPr>
          <w:lang w:val="fr-FR"/>
        </w:rPr>
        <w:t>s à indiquer</w:t>
      </w:r>
      <w:r w:rsidR="00D72697" w:rsidRPr="008544BB">
        <w:rPr>
          <w:lang w:val="fr-FR"/>
        </w:rPr>
        <w:t>, sans autre formalité,</w:t>
      </w:r>
      <w:r w:rsidRPr="008544BB">
        <w:rPr>
          <w:lang w:val="fr-FR"/>
        </w:rPr>
        <w:t xml:space="preserve"> s</w:t>
      </w:r>
      <w:r w:rsidR="003728F1" w:rsidRPr="008544BB">
        <w:rPr>
          <w:lang w:val="fr-FR"/>
        </w:rPr>
        <w:t>i elles</w:t>
      </w:r>
      <w:r w:rsidRPr="008544BB">
        <w:rPr>
          <w:lang w:val="fr-FR"/>
        </w:rPr>
        <w:t xml:space="preserve"> souhaitaient maintenir leur requête. Par </w:t>
      </w:r>
      <w:r w:rsidR="003728F1" w:rsidRPr="008544BB">
        <w:rPr>
          <w:lang w:val="fr-FR"/>
        </w:rPr>
        <w:t xml:space="preserve">une </w:t>
      </w:r>
      <w:r w:rsidRPr="008544BB">
        <w:rPr>
          <w:lang w:val="fr-FR"/>
        </w:rPr>
        <w:t>lettre du 5 mars 2013, conformément à une pratique cons</w:t>
      </w:r>
      <w:r w:rsidR="003728F1" w:rsidRPr="008544BB">
        <w:rPr>
          <w:lang w:val="fr-FR"/>
        </w:rPr>
        <w:t xml:space="preserve">tante </w:t>
      </w:r>
      <w:r w:rsidR="00B70887" w:rsidRPr="008544BB">
        <w:rPr>
          <w:lang w:val="fr-FR"/>
        </w:rPr>
        <w:t>observée</w:t>
      </w:r>
      <w:r w:rsidR="003728F1" w:rsidRPr="008544BB">
        <w:rPr>
          <w:lang w:val="fr-FR"/>
        </w:rPr>
        <w:t xml:space="preserve"> devant</w:t>
      </w:r>
      <w:r w:rsidRPr="008544BB">
        <w:rPr>
          <w:lang w:val="fr-FR"/>
        </w:rPr>
        <w:t xml:space="preserve"> la Cour, les conseils des requérant</w:t>
      </w:r>
      <w:r w:rsidR="003E3CE2" w:rsidRPr="008544BB">
        <w:rPr>
          <w:lang w:val="fr-FR"/>
        </w:rPr>
        <w:t>e</w:t>
      </w:r>
      <w:r w:rsidRPr="008544BB">
        <w:rPr>
          <w:lang w:val="fr-FR"/>
        </w:rPr>
        <w:t xml:space="preserve">s ont </w:t>
      </w:r>
      <w:r w:rsidR="00D72697" w:rsidRPr="008544BB">
        <w:rPr>
          <w:lang w:val="fr-FR"/>
        </w:rPr>
        <w:lastRenderedPageBreak/>
        <w:t xml:space="preserve">confirmé leur </w:t>
      </w:r>
      <w:r w:rsidRPr="008544BB">
        <w:rPr>
          <w:lang w:val="fr-FR"/>
        </w:rPr>
        <w:t>souhait</w:t>
      </w:r>
      <w:r w:rsidR="00D72697" w:rsidRPr="008544BB">
        <w:rPr>
          <w:lang w:val="fr-FR"/>
        </w:rPr>
        <w:t xml:space="preserve"> de</w:t>
      </w:r>
      <w:r w:rsidR="00380F43" w:rsidRPr="008544BB">
        <w:rPr>
          <w:lang w:val="fr-FR"/>
        </w:rPr>
        <w:t xml:space="preserve"> maintenir l</w:t>
      </w:r>
      <w:r w:rsidR="003728F1" w:rsidRPr="008544BB">
        <w:rPr>
          <w:lang w:val="fr-FR"/>
        </w:rPr>
        <w:t>a</w:t>
      </w:r>
      <w:r w:rsidR="00380F43" w:rsidRPr="008544BB">
        <w:rPr>
          <w:lang w:val="fr-FR"/>
        </w:rPr>
        <w:t xml:space="preserve"> requête</w:t>
      </w:r>
      <w:r w:rsidR="0000446B" w:rsidRPr="008544BB">
        <w:rPr>
          <w:lang w:val="fr-FR"/>
        </w:rPr>
        <w:t>. Celle-ci</w:t>
      </w:r>
      <w:r w:rsidR="00380F43" w:rsidRPr="008544BB">
        <w:rPr>
          <w:lang w:val="fr-FR"/>
        </w:rPr>
        <w:t xml:space="preserve"> a par la suite </w:t>
      </w:r>
      <w:r w:rsidR="00BE47C2" w:rsidRPr="008544BB">
        <w:rPr>
          <w:lang w:val="fr-FR"/>
        </w:rPr>
        <w:t xml:space="preserve">été </w:t>
      </w:r>
      <w:r w:rsidR="00380F43" w:rsidRPr="008544BB">
        <w:rPr>
          <w:lang w:val="fr-FR"/>
        </w:rPr>
        <w:t xml:space="preserve">communiquée au </w:t>
      </w:r>
      <w:r w:rsidR="003728F1" w:rsidRPr="008544BB">
        <w:rPr>
          <w:lang w:val="fr-FR"/>
        </w:rPr>
        <w:t>g</w:t>
      </w:r>
      <w:r w:rsidRPr="008544BB">
        <w:rPr>
          <w:lang w:val="fr-FR"/>
        </w:rPr>
        <w:t>ouvernement défendeur</w:t>
      </w:r>
      <w:r w:rsidR="003728F1" w:rsidRPr="008544BB">
        <w:rPr>
          <w:lang w:val="fr-FR"/>
        </w:rPr>
        <w:t>, ce qui a permis d</w:t>
      </w:r>
      <w:r w:rsidR="008544BB" w:rsidRPr="008544BB">
        <w:rPr>
          <w:lang w:val="fr-FR"/>
        </w:rPr>
        <w:t>’</w:t>
      </w:r>
      <w:r w:rsidR="003728F1" w:rsidRPr="008544BB">
        <w:rPr>
          <w:lang w:val="fr-FR"/>
        </w:rPr>
        <w:t xml:space="preserve">établir </w:t>
      </w:r>
      <w:r w:rsidR="00D72697" w:rsidRPr="008544BB">
        <w:rPr>
          <w:lang w:val="fr-FR"/>
        </w:rPr>
        <w:t>le contradictoire entre les parties</w:t>
      </w:r>
      <w:r w:rsidRPr="008544BB">
        <w:rPr>
          <w:lang w:val="fr-FR"/>
        </w:rPr>
        <w:t>.</w:t>
      </w:r>
    </w:p>
    <w:p w:rsidR="009925A1" w:rsidRPr="008544BB" w:rsidRDefault="009925A1"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54</w:t>
      </w:r>
      <w:r w:rsidRPr="008544BB">
        <w:rPr>
          <w:lang w:val="fr-FR"/>
        </w:rPr>
        <w:fldChar w:fldCharType="end"/>
      </w:r>
      <w:r w:rsidRPr="008544BB">
        <w:rPr>
          <w:lang w:val="fr-FR"/>
        </w:rPr>
        <w:t>.  </w:t>
      </w:r>
      <w:r w:rsidR="00E979BA" w:rsidRPr="008544BB">
        <w:rPr>
          <w:lang w:val="fr-FR"/>
        </w:rPr>
        <w:t>Pour ces raisons</w:t>
      </w:r>
      <w:r w:rsidRPr="008544BB">
        <w:rPr>
          <w:lang w:val="fr-FR"/>
        </w:rPr>
        <w:t>, la Cour considère qu</w:t>
      </w:r>
      <w:r w:rsidR="008544BB" w:rsidRPr="008544BB">
        <w:rPr>
          <w:lang w:val="fr-FR"/>
        </w:rPr>
        <w:t>’</w:t>
      </w:r>
      <w:r w:rsidRPr="008544BB">
        <w:rPr>
          <w:lang w:val="fr-FR"/>
        </w:rPr>
        <w:t>il y a lieu d</w:t>
      </w:r>
      <w:r w:rsidR="008544BB" w:rsidRPr="008544BB">
        <w:rPr>
          <w:lang w:val="fr-FR"/>
        </w:rPr>
        <w:t>’</w:t>
      </w:r>
      <w:r w:rsidRPr="008544BB">
        <w:rPr>
          <w:lang w:val="fr-FR"/>
        </w:rPr>
        <w:t>écarter l</w:t>
      </w:r>
      <w:r w:rsidR="008544BB" w:rsidRPr="008544BB">
        <w:rPr>
          <w:lang w:val="fr-FR"/>
        </w:rPr>
        <w:t>’</w:t>
      </w:r>
      <w:r w:rsidR="00F06AF7" w:rsidRPr="008544BB">
        <w:rPr>
          <w:lang w:val="fr-FR"/>
        </w:rPr>
        <w:t>excep</w:t>
      </w:r>
      <w:r w:rsidR="00D72697" w:rsidRPr="008544BB">
        <w:rPr>
          <w:lang w:val="fr-FR"/>
        </w:rPr>
        <w:t>tion</w:t>
      </w:r>
      <w:r w:rsidRPr="008544BB">
        <w:rPr>
          <w:lang w:val="fr-FR"/>
        </w:rPr>
        <w:t xml:space="preserve"> préliminaire du Gouvernement quant à la nature de </w:t>
      </w:r>
      <w:r w:rsidR="003728F1" w:rsidRPr="008544BB">
        <w:rPr>
          <w:lang w:val="fr-FR"/>
        </w:rPr>
        <w:t>l</w:t>
      </w:r>
      <w:r w:rsidR="008544BB" w:rsidRPr="008544BB">
        <w:rPr>
          <w:lang w:val="fr-FR"/>
        </w:rPr>
        <w:t>’</w:t>
      </w:r>
      <w:r w:rsidR="003728F1" w:rsidRPr="008544BB">
        <w:rPr>
          <w:lang w:val="fr-FR"/>
        </w:rPr>
        <w:t xml:space="preserve">acte </w:t>
      </w:r>
      <w:r w:rsidR="00BE47C2" w:rsidRPr="008544BB">
        <w:rPr>
          <w:lang w:val="fr-FR"/>
        </w:rPr>
        <w:t xml:space="preserve">par lequel elle a été </w:t>
      </w:r>
      <w:r w:rsidRPr="008544BB">
        <w:rPr>
          <w:lang w:val="fr-FR"/>
        </w:rPr>
        <w:t xml:space="preserve">saisie et </w:t>
      </w:r>
      <w:r w:rsidR="003728F1" w:rsidRPr="008544BB">
        <w:rPr>
          <w:lang w:val="fr-FR"/>
        </w:rPr>
        <w:t xml:space="preserve">quant à </w:t>
      </w:r>
      <w:r w:rsidRPr="008544BB">
        <w:rPr>
          <w:lang w:val="fr-FR"/>
        </w:rPr>
        <w:t xml:space="preserve">sa contrariété </w:t>
      </w:r>
      <w:r w:rsidR="009F4011" w:rsidRPr="008544BB">
        <w:rPr>
          <w:lang w:val="fr-FR"/>
        </w:rPr>
        <w:t xml:space="preserve">alléguée </w:t>
      </w:r>
      <w:r w:rsidRPr="008544BB">
        <w:rPr>
          <w:lang w:val="fr-FR"/>
        </w:rPr>
        <w:t>au principe du contradictoire.</w:t>
      </w:r>
    </w:p>
    <w:p w:rsidR="00E77CB3" w:rsidRPr="008544BB" w:rsidRDefault="009925A1" w:rsidP="008544BB">
      <w:pPr>
        <w:pStyle w:val="ECHRHeading2"/>
        <w:rPr>
          <w:lang w:val="fr-FR"/>
        </w:rPr>
      </w:pPr>
      <w:r w:rsidRPr="008544BB">
        <w:rPr>
          <w:lang w:val="fr-FR"/>
        </w:rPr>
        <w:t>B</w:t>
      </w:r>
      <w:r w:rsidR="00E77CB3" w:rsidRPr="008544BB">
        <w:rPr>
          <w:lang w:val="fr-FR"/>
        </w:rPr>
        <w:t>.  Sur la recevabilité</w:t>
      </w:r>
    </w:p>
    <w:p w:rsidR="00AE47C2" w:rsidRPr="008544BB" w:rsidRDefault="00F10329" w:rsidP="008544BB">
      <w:pPr>
        <w:pStyle w:val="ECHRHeading3"/>
        <w:rPr>
          <w:lang w:val="fr-FR"/>
        </w:rPr>
      </w:pPr>
      <w:r w:rsidRPr="008544BB">
        <w:rPr>
          <w:lang w:val="fr-FR"/>
        </w:rPr>
        <w:t>1.</w:t>
      </w:r>
      <w:r w:rsidR="00DE7288" w:rsidRPr="008544BB">
        <w:rPr>
          <w:lang w:val="fr-FR"/>
        </w:rPr>
        <w:t>  </w:t>
      </w:r>
      <w:r w:rsidRPr="008544BB">
        <w:rPr>
          <w:lang w:val="fr-FR"/>
        </w:rPr>
        <w:t>Sur l</w:t>
      </w:r>
      <w:r w:rsidR="008544BB" w:rsidRPr="008544BB">
        <w:rPr>
          <w:lang w:val="fr-FR"/>
        </w:rPr>
        <w:t>’</w:t>
      </w:r>
      <w:r w:rsidRPr="008544BB">
        <w:rPr>
          <w:lang w:val="fr-FR"/>
        </w:rPr>
        <w:t xml:space="preserve">exception du gouvernement défendeur quant à la qualité de la première requérante pour agir au nom </w:t>
      </w:r>
      <w:r w:rsidR="00A970D8" w:rsidRPr="008544BB">
        <w:rPr>
          <w:lang w:val="fr-FR"/>
        </w:rPr>
        <w:t xml:space="preserve">et pour le compte </w:t>
      </w:r>
      <w:r w:rsidRPr="008544BB">
        <w:rPr>
          <w:lang w:val="fr-FR"/>
        </w:rPr>
        <w:t>de ses enfants</w:t>
      </w:r>
    </w:p>
    <w:p w:rsidR="00D64746" w:rsidRPr="008544BB" w:rsidRDefault="00E43620"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55</w:t>
      </w:r>
      <w:r w:rsidRPr="008544BB">
        <w:rPr>
          <w:lang w:val="fr-FR"/>
        </w:rPr>
        <w:fldChar w:fldCharType="end"/>
      </w:r>
      <w:r w:rsidRPr="008544BB">
        <w:rPr>
          <w:lang w:val="fr-FR"/>
        </w:rPr>
        <w:t>.  </w:t>
      </w:r>
      <w:r w:rsidR="00AE47C2" w:rsidRPr="008544BB">
        <w:rPr>
          <w:lang w:val="fr-FR"/>
        </w:rPr>
        <w:t xml:space="preserve">Le </w:t>
      </w:r>
      <w:r w:rsidR="009F626E" w:rsidRPr="008544BB">
        <w:rPr>
          <w:lang w:val="fr-FR"/>
        </w:rPr>
        <w:t>G</w:t>
      </w:r>
      <w:r w:rsidR="00AE47C2" w:rsidRPr="008544BB">
        <w:rPr>
          <w:lang w:val="fr-FR"/>
        </w:rPr>
        <w:t>ouvernement conteste l</w:t>
      </w:r>
      <w:r w:rsidR="008544BB" w:rsidRPr="008544BB">
        <w:rPr>
          <w:lang w:val="fr-FR"/>
        </w:rPr>
        <w:t>’</w:t>
      </w:r>
      <w:r w:rsidR="00BE4D24" w:rsidRPr="008544BB">
        <w:rPr>
          <w:lang w:val="fr-FR"/>
        </w:rPr>
        <w:t>intérêt légitime</w:t>
      </w:r>
      <w:r w:rsidR="00EF3C3A" w:rsidRPr="008544BB">
        <w:rPr>
          <w:lang w:val="fr-FR"/>
        </w:rPr>
        <w:t xml:space="preserve"> </w:t>
      </w:r>
      <w:r w:rsidR="00AE47C2" w:rsidRPr="008544BB">
        <w:rPr>
          <w:lang w:val="fr-FR"/>
        </w:rPr>
        <w:t>de</w:t>
      </w:r>
      <w:r w:rsidR="00EF3C3A" w:rsidRPr="008544BB">
        <w:rPr>
          <w:lang w:val="fr-FR"/>
        </w:rPr>
        <w:t xml:space="preserve"> la première requérante</w:t>
      </w:r>
      <w:r w:rsidR="003D44B5" w:rsidRPr="008544BB">
        <w:rPr>
          <w:lang w:val="fr-FR"/>
        </w:rPr>
        <w:t xml:space="preserve"> </w:t>
      </w:r>
      <w:r w:rsidR="00110AE5" w:rsidRPr="008544BB">
        <w:rPr>
          <w:lang w:val="fr-FR"/>
        </w:rPr>
        <w:t xml:space="preserve">à agir </w:t>
      </w:r>
      <w:r w:rsidR="003D44B5" w:rsidRPr="008544BB">
        <w:rPr>
          <w:lang w:val="fr-FR"/>
        </w:rPr>
        <w:t xml:space="preserve">au nom </w:t>
      </w:r>
      <w:r w:rsidR="001C33F7" w:rsidRPr="008544BB">
        <w:rPr>
          <w:lang w:val="fr-FR"/>
        </w:rPr>
        <w:t xml:space="preserve">et pour </w:t>
      </w:r>
      <w:r w:rsidR="00110AE5" w:rsidRPr="008544BB">
        <w:rPr>
          <w:lang w:val="fr-FR"/>
        </w:rPr>
        <w:t xml:space="preserve">le </w:t>
      </w:r>
      <w:r w:rsidR="001C33F7" w:rsidRPr="008544BB">
        <w:rPr>
          <w:lang w:val="fr-FR"/>
        </w:rPr>
        <w:t xml:space="preserve">compte </w:t>
      </w:r>
      <w:r w:rsidR="00110AE5" w:rsidRPr="008544BB">
        <w:rPr>
          <w:lang w:val="fr-FR"/>
        </w:rPr>
        <w:t>de ses enfants,</w:t>
      </w:r>
      <w:r w:rsidR="000374CA" w:rsidRPr="008544BB">
        <w:rPr>
          <w:lang w:val="fr-FR"/>
        </w:rPr>
        <w:t xml:space="preserve"> et </w:t>
      </w:r>
      <w:r w:rsidR="00110AE5" w:rsidRPr="008544BB">
        <w:rPr>
          <w:lang w:val="fr-FR"/>
        </w:rPr>
        <w:t xml:space="preserve">il </w:t>
      </w:r>
      <w:r w:rsidR="000374CA" w:rsidRPr="008544BB">
        <w:rPr>
          <w:lang w:val="fr-FR"/>
        </w:rPr>
        <w:t>demande à la Cour de déclarer la requête</w:t>
      </w:r>
      <w:r w:rsidR="00D72697" w:rsidRPr="008544BB">
        <w:rPr>
          <w:lang w:val="fr-FR"/>
        </w:rPr>
        <w:t xml:space="preserve"> irrecevable</w:t>
      </w:r>
      <w:r w:rsidR="000374CA" w:rsidRPr="008544BB">
        <w:rPr>
          <w:lang w:val="fr-FR"/>
        </w:rPr>
        <w:t xml:space="preserve"> en ce qui co</w:t>
      </w:r>
      <w:r w:rsidR="00D72697" w:rsidRPr="008544BB">
        <w:rPr>
          <w:lang w:val="fr-FR"/>
        </w:rPr>
        <w:t>ncerne les deux mineurs</w:t>
      </w:r>
      <w:r w:rsidR="000374CA" w:rsidRPr="008544BB">
        <w:rPr>
          <w:lang w:val="fr-FR"/>
        </w:rPr>
        <w:t>.</w:t>
      </w:r>
      <w:r w:rsidR="00D72697" w:rsidRPr="008544BB">
        <w:rPr>
          <w:lang w:val="fr-FR"/>
        </w:rPr>
        <w:t xml:space="preserve"> </w:t>
      </w:r>
      <w:r w:rsidR="00380F43" w:rsidRPr="008544BB">
        <w:rPr>
          <w:lang w:val="fr-FR"/>
        </w:rPr>
        <w:t>I</w:t>
      </w:r>
      <w:r w:rsidR="00D64746" w:rsidRPr="008544BB">
        <w:rPr>
          <w:lang w:val="fr-FR"/>
        </w:rPr>
        <w:t>l soutient que</w:t>
      </w:r>
      <w:r w:rsidR="00380F43" w:rsidRPr="008544BB">
        <w:rPr>
          <w:lang w:val="fr-FR"/>
        </w:rPr>
        <w:t xml:space="preserve">, </w:t>
      </w:r>
      <w:r w:rsidR="00110AE5" w:rsidRPr="008544BB">
        <w:rPr>
          <w:lang w:val="fr-FR"/>
        </w:rPr>
        <w:t xml:space="preserve">à la </w:t>
      </w:r>
      <w:r w:rsidR="00D64746" w:rsidRPr="008544BB">
        <w:rPr>
          <w:lang w:val="fr-FR"/>
        </w:rPr>
        <w:t xml:space="preserve">suite </w:t>
      </w:r>
      <w:r w:rsidR="00110AE5" w:rsidRPr="008544BB">
        <w:rPr>
          <w:lang w:val="fr-FR"/>
        </w:rPr>
        <w:t>de</w:t>
      </w:r>
      <w:r w:rsidR="00D64746" w:rsidRPr="008544BB">
        <w:rPr>
          <w:lang w:val="fr-FR"/>
        </w:rPr>
        <w:t xml:space="preserve"> la décision du tribunal pour </w:t>
      </w:r>
      <w:r w:rsidR="00110AE5" w:rsidRPr="008544BB">
        <w:rPr>
          <w:lang w:val="fr-FR"/>
        </w:rPr>
        <w:t>enfants</w:t>
      </w:r>
      <w:r w:rsidR="00D64746" w:rsidRPr="008544BB">
        <w:rPr>
          <w:lang w:val="fr-FR"/>
        </w:rPr>
        <w:t xml:space="preserve"> d</w:t>
      </w:r>
      <w:r w:rsidR="00D72697" w:rsidRPr="008544BB">
        <w:rPr>
          <w:lang w:val="fr-FR"/>
        </w:rPr>
        <w:t>e suspendre</w:t>
      </w:r>
      <w:r w:rsidR="00D64746" w:rsidRPr="008544BB">
        <w:rPr>
          <w:lang w:val="fr-FR"/>
        </w:rPr>
        <w:t xml:space="preserve"> l</w:t>
      </w:r>
      <w:r w:rsidR="008544BB" w:rsidRPr="008544BB">
        <w:rPr>
          <w:lang w:val="fr-FR"/>
        </w:rPr>
        <w:t>’</w:t>
      </w:r>
      <w:r w:rsidR="00D64746" w:rsidRPr="008544BB">
        <w:rPr>
          <w:lang w:val="fr-FR"/>
        </w:rPr>
        <w:t>autorité parentale de la première requérante, l</w:t>
      </w:r>
      <w:r w:rsidR="00110AE5" w:rsidRPr="008544BB">
        <w:rPr>
          <w:lang w:val="fr-FR"/>
        </w:rPr>
        <w:t>a</w:t>
      </w:r>
      <w:r w:rsidR="00D64746" w:rsidRPr="008544BB">
        <w:rPr>
          <w:lang w:val="fr-FR"/>
        </w:rPr>
        <w:t xml:space="preserve"> seul</w:t>
      </w:r>
      <w:r w:rsidR="00110AE5" w:rsidRPr="008544BB">
        <w:rPr>
          <w:lang w:val="fr-FR"/>
        </w:rPr>
        <w:t>e personne ayant qualité pour agir</w:t>
      </w:r>
      <w:r w:rsidR="00D64746" w:rsidRPr="008544BB">
        <w:rPr>
          <w:lang w:val="fr-FR"/>
        </w:rPr>
        <w:t xml:space="preserve"> au nom </w:t>
      </w:r>
      <w:r w:rsidR="00A970D8" w:rsidRPr="008544BB">
        <w:rPr>
          <w:lang w:val="fr-FR"/>
        </w:rPr>
        <w:t xml:space="preserve">et pour le compte </w:t>
      </w:r>
      <w:r w:rsidR="00D64746" w:rsidRPr="008544BB">
        <w:rPr>
          <w:lang w:val="fr-FR"/>
        </w:rPr>
        <w:t xml:space="preserve">des mineurs </w:t>
      </w:r>
      <w:r w:rsidR="00110AE5" w:rsidRPr="008544BB">
        <w:rPr>
          <w:lang w:val="fr-FR"/>
        </w:rPr>
        <w:t>est</w:t>
      </w:r>
      <w:r w:rsidR="00D64746" w:rsidRPr="008544BB">
        <w:rPr>
          <w:lang w:val="fr-FR"/>
        </w:rPr>
        <w:t xml:space="preserve"> le tuteur nommé par le tribunal.</w:t>
      </w:r>
    </w:p>
    <w:p w:rsidR="00D64746" w:rsidRPr="008544BB" w:rsidRDefault="00D64746"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56</w:t>
      </w:r>
      <w:r w:rsidRPr="008544BB">
        <w:rPr>
          <w:lang w:val="fr-FR"/>
        </w:rPr>
        <w:fldChar w:fldCharType="end"/>
      </w:r>
      <w:r w:rsidRPr="008544BB">
        <w:rPr>
          <w:lang w:val="fr-FR"/>
        </w:rPr>
        <w:t xml:space="preserve">.  Quant à la possibilité de représenter un mineur devant la Cour </w:t>
      </w:r>
      <w:r w:rsidR="00110AE5" w:rsidRPr="008544BB">
        <w:rPr>
          <w:lang w:val="fr-FR"/>
        </w:rPr>
        <w:t>en cas d</w:t>
      </w:r>
      <w:r w:rsidR="008544BB" w:rsidRPr="008544BB">
        <w:rPr>
          <w:lang w:val="fr-FR"/>
        </w:rPr>
        <w:t>’</w:t>
      </w:r>
      <w:r w:rsidR="0030661B" w:rsidRPr="008544BB">
        <w:rPr>
          <w:lang w:val="fr-FR"/>
        </w:rPr>
        <w:t>absence de détention de l</w:t>
      </w:r>
      <w:r w:rsidR="008544BB" w:rsidRPr="008544BB">
        <w:rPr>
          <w:lang w:val="fr-FR"/>
        </w:rPr>
        <w:t>’</w:t>
      </w:r>
      <w:r w:rsidR="0030661B" w:rsidRPr="008544BB">
        <w:rPr>
          <w:lang w:val="fr-FR"/>
        </w:rPr>
        <w:t>autorité parentale</w:t>
      </w:r>
      <w:r w:rsidRPr="008544BB">
        <w:rPr>
          <w:lang w:val="fr-FR"/>
        </w:rPr>
        <w:t xml:space="preserve"> ou de suspension de </w:t>
      </w:r>
      <w:r w:rsidR="0030661B" w:rsidRPr="008544BB">
        <w:rPr>
          <w:lang w:val="fr-FR"/>
        </w:rPr>
        <w:t>cette dernière</w:t>
      </w:r>
      <w:r w:rsidRPr="008544BB">
        <w:rPr>
          <w:lang w:val="fr-FR"/>
        </w:rPr>
        <w:t>, le Gouvernement estime qu</w:t>
      </w:r>
      <w:r w:rsidR="008544BB" w:rsidRPr="008544BB">
        <w:rPr>
          <w:lang w:val="fr-FR"/>
        </w:rPr>
        <w:t>’</w:t>
      </w:r>
      <w:r w:rsidR="006324B3" w:rsidRPr="008544BB">
        <w:rPr>
          <w:lang w:val="fr-FR"/>
        </w:rPr>
        <w:t>elle</w:t>
      </w:r>
      <w:r w:rsidRPr="008544BB">
        <w:rPr>
          <w:lang w:val="fr-FR"/>
        </w:rPr>
        <w:t xml:space="preserve"> est </w:t>
      </w:r>
      <w:r w:rsidR="006324B3" w:rsidRPr="008544BB">
        <w:rPr>
          <w:lang w:val="fr-FR"/>
        </w:rPr>
        <w:t>admise</w:t>
      </w:r>
      <w:r w:rsidRPr="008544BB">
        <w:rPr>
          <w:lang w:val="fr-FR"/>
        </w:rPr>
        <w:t xml:space="preserve"> </w:t>
      </w:r>
      <w:r w:rsidR="00380F43" w:rsidRPr="008544BB">
        <w:rPr>
          <w:lang w:val="fr-FR"/>
        </w:rPr>
        <w:t>par la Cour</w:t>
      </w:r>
      <w:r w:rsidRPr="008544BB">
        <w:rPr>
          <w:lang w:val="fr-FR"/>
        </w:rPr>
        <w:t xml:space="preserve"> </w:t>
      </w:r>
      <w:r w:rsidR="006324B3" w:rsidRPr="008544BB">
        <w:rPr>
          <w:lang w:val="fr-FR"/>
        </w:rPr>
        <w:t xml:space="preserve">dans la </w:t>
      </w:r>
      <w:r w:rsidR="00380F43" w:rsidRPr="008544BB">
        <w:rPr>
          <w:lang w:val="fr-FR"/>
        </w:rPr>
        <w:t>seule</w:t>
      </w:r>
      <w:r w:rsidR="003D44B5" w:rsidRPr="008544BB">
        <w:rPr>
          <w:lang w:val="fr-FR"/>
        </w:rPr>
        <w:t xml:space="preserve"> hypothèse </w:t>
      </w:r>
      <w:r w:rsidR="006324B3" w:rsidRPr="008544BB">
        <w:rPr>
          <w:lang w:val="fr-FR"/>
        </w:rPr>
        <w:t>d</w:t>
      </w:r>
      <w:r w:rsidR="008544BB" w:rsidRPr="008544BB">
        <w:rPr>
          <w:lang w:val="fr-FR"/>
        </w:rPr>
        <w:t>’</w:t>
      </w:r>
      <w:r w:rsidR="006324B3" w:rsidRPr="008544BB">
        <w:rPr>
          <w:lang w:val="fr-FR"/>
        </w:rPr>
        <w:t>un litige existant</w:t>
      </w:r>
      <w:r w:rsidRPr="008544BB">
        <w:rPr>
          <w:lang w:val="fr-FR"/>
        </w:rPr>
        <w:t xml:space="preserve"> entre l</w:t>
      </w:r>
      <w:r w:rsidR="003D44B5" w:rsidRPr="008544BB">
        <w:rPr>
          <w:lang w:val="fr-FR"/>
        </w:rPr>
        <w:t>e</w:t>
      </w:r>
      <w:r w:rsidRPr="008544BB">
        <w:rPr>
          <w:lang w:val="fr-FR"/>
        </w:rPr>
        <w:t xml:space="preserve"> parent et</w:t>
      </w:r>
      <w:r w:rsidR="003D44B5" w:rsidRPr="008544BB">
        <w:rPr>
          <w:lang w:val="fr-FR"/>
        </w:rPr>
        <w:t xml:space="preserve"> le </w:t>
      </w:r>
      <w:r w:rsidR="00EF3C3A" w:rsidRPr="008544BB">
        <w:rPr>
          <w:lang w:val="fr-FR"/>
        </w:rPr>
        <w:t>tuteur nommé par l</w:t>
      </w:r>
      <w:r w:rsidR="006324B3" w:rsidRPr="008544BB">
        <w:rPr>
          <w:lang w:val="fr-FR"/>
        </w:rPr>
        <w:t xml:space="preserve">es </w:t>
      </w:r>
      <w:r w:rsidR="00EF3C3A" w:rsidRPr="008544BB">
        <w:rPr>
          <w:lang w:val="fr-FR"/>
        </w:rPr>
        <w:t>autorité</w:t>
      </w:r>
      <w:r w:rsidR="006324B3" w:rsidRPr="008544BB">
        <w:rPr>
          <w:lang w:val="fr-FR"/>
        </w:rPr>
        <w:t>s</w:t>
      </w:r>
      <w:r w:rsidR="00EF3C3A" w:rsidRPr="008544BB">
        <w:rPr>
          <w:lang w:val="fr-FR"/>
        </w:rPr>
        <w:t xml:space="preserve"> judiciaire</w:t>
      </w:r>
      <w:r w:rsidR="006324B3" w:rsidRPr="008544BB">
        <w:rPr>
          <w:lang w:val="fr-FR"/>
        </w:rPr>
        <w:t>s et que, en revanche, en cas de</w:t>
      </w:r>
      <w:r w:rsidRPr="008544BB">
        <w:rPr>
          <w:lang w:val="fr-FR"/>
        </w:rPr>
        <w:t xml:space="preserve"> conflit </w:t>
      </w:r>
      <w:r w:rsidR="006324B3" w:rsidRPr="008544BB">
        <w:rPr>
          <w:lang w:val="fr-FR"/>
        </w:rPr>
        <w:t>existant</w:t>
      </w:r>
      <w:r w:rsidR="009557A6" w:rsidRPr="008544BB">
        <w:rPr>
          <w:lang w:val="fr-FR"/>
        </w:rPr>
        <w:t xml:space="preserve"> </w:t>
      </w:r>
      <w:r w:rsidRPr="008544BB">
        <w:rPr>
          <w:lang w:val="fr-FR"/>
        </w:rPr>
        <w:t xml:space="preserve">entre le parent et </w:t>
      </w:r>
      <w:r w:rsidR="00935F52" w:rsidRPr="008544BB">
        <w:rPr>
          <w:lang w:val="fr-FR"/>
        </w:rPr>
        <w:t>les autorités judiciaires</w:t>
      </w:r>
      <w:r w:rsidR="00380F43" w:rsidRPr="008544BB">
        <w:rPr>
          <w:lang w:val="fr-FR"/>
        </w:rPr>
        <w:t>,</w:t>
      </w:r>
      <w:r w:rsidR="00F10329" w:rsidRPr="008544BB">
        <w:rPr>
          <w:lang w:val="fr-FR"/>
        </w:rPr>
        <w:t xml:space="preserve"> </w:t>
      </w:r>
      <w:r w:rsidRPr="008544BB">
        <w:rPr>
          <w:lang w:val="fr-FR"/>
        </w:rPr>
        <w:t>la légitim</w:t>
      </w:r>
      <w:r w:rsidR="006324B3" w:rsidRPr="008544BB">
        <w:rPr>
          <w:lang w:val="fr-FR"/>
        </w:rPr>
        <w:t>ité du parent</w:t>
      </w:r>
      <w:r w:rsidRPr="008544BB">
        <w:rPr>
          <w:lang w:val="fr-FR"/>
        </w:rPr>
        <w:t xml:space="preserve"> à agir </w:t>
      </w:r>
      <w:r w:rsidR="006324B3" w:rsidRPr="008544BB">
        <w:rPr>
          <w:lang w:val="fr-FR"/>
        </w:rPr>
        <w:t>fait</w:t>
      </w:r>
      <w:r w:rsidRPr="008544BB">
        <w:rPr>
          <w:lang w:val="fr-FR"/>
        </w:rPr>
        <w:t xml:space="preserve"> défaut.</w:t>
      </w:r>
      <w:r w:rsidR="00EF3C3A" w:rsidRPr="008544BB">
        <w:rPr>
          <w:lang w:val="fr-FR"/>
        </w:rPr>
        <w:t xml:space="preserve"> Dès lors, </w:t>
      </w:r>
      <w:r w:rsidR="009557A6" w:rsidRPr="008544BB">
        <w:rPr>
          <w:lang w:val="fr-FR"/>
        </w:rPr>
        <w:t>le Gouvernement conclut que</w:t>
      </w:r>
      <w:r w:rsidR="00F25EE6" w:rsidRPr="008544BB">
        <w:rPr>
          <w:lang w:val="fr-FR"/>
        </w:rPr>
        <w:t>, en l</w:t>
      </w:r>
      <w:r w:rsidR="008544BB" w:rsidRPr="008544BB">
        <w:rPr>
          <w:lang w:val="fr-FR"/>
        </w:rPr>
        <w:t>’</w:t>
      </w:r>
      <w:r w:rsidR="00F25EE6" w:rsidRPr="008544BB">
        <w:rPr>
          <w:lang w:val="fr-FR"/>
        </w:rPr>
        <w:t>espèce,</w:t>
      </w:r>
      <w:r w:rsidR="009557A6" w:rsidRPr="008544BB">
        <w:rPr>
          <w:lang w:val="fr-FR"/>
        </w:rPr>
        <w:t xml:space="preserve"> </w:t>
      </w:r>
      <w:r w:rsidR="00EF3C3A" w:rsidRPr="008544BB">
        <w:rPr>
          <w:lang w:val="fr-FR"/>
        </w:rPr>
        <w:t>l</w:t>
      </w:r>
      <w:r w:rsidR="00935F52" w:rsidRPr="008544BB">
        <w:rPr>
          <w:lang w:val="fr-FR"/>
        </w:rPr>
        <w:t>a première</w:t>
      </w:r>
      <w:r w:rsidR="00EF3C3A" w:rsidRPr="008544BB">
        <w:rPr>
          <w:lang w:val="fr-FR"/>
        </w:rPr>
        <w:t xml:space="preserve"> requérante aurait dû demander au tuteur d</w:t>
      </w:r>
      <w:r w:rsidR="008544BB" w:rsidRPr="008544BB">
        <w:rPr>
          <w:lang w:val="fr-FR"/>
        </w:rPr>
        <w:t>’</w:t>
      </w:r>
      <w:r w:rsidR="00EF3C3A" w:rsidRPr="008544BB">
        <w:rPr>
          <w:lang w:val="fr-FR"/>
        </w:rPr>
        <w:t>introduire une requête au nom</w:t>
      </w:r>
      <w:r w:rsidR="009557A6" w:rsidRPr="008544BB">
        <w:rPr>
          <w:lang w:val="fr-FR"/>
        </w:rPr>
        <w:t xml:space="preserve"> et pour </w:t>
      </w:r>
      <w:r w:rsidR="006324B3" w:rsidRPr="008544BB">
        <w:rPr>
          <w:lang w:val="fr-FR"/>
        </w:rPr>
        <w:t xml:space="preserve">le </w:t>
      </w:r>
      <w:r w:rsidR="009557A6" w:rsidRPr="008544BB">
        <w:rPr>
          <w:lang w:val="fr-FR"/>
        </w:rPr>
        <w:t>compte</w:t>
      </w:r>
      <w:r w:rsidR="00EF3C3A" w:rsidRPr="008544BB">
        <w:rPr>
          <w:lang w:val="fr-FR"/>
        </w:rPr>
        <w:t xml:space="preserve"> des enfants devant la Cour.</w:t>
      </w:r>
    </w:p>
    <w:p w:rsidR="00D64746" w:rsidRPr="008544BB" w:rsidRDefault="000374CA"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57</w:t>
      </w:r>
      <w:r w:rsidRPr="008544BB">
        <w:rPr>
          <w:lang w:val="fr-FR"/>
        </w:rPr>
        <w:fldChar w:fldCharType="end"/>
      </w:r>
      <w:r w:rsidRPr="008544BB">
        <w:rPr>
          <w:lang w:val="fr-FR"/>
        </w:rPr>
        <w:t>.  </w:t>
      </w:r>
      <w:r w:rsidR="00D64746" w:rsidRPr="008544BB">
        <w:rPr>
          <w:lang w:val="fr-FR"/>
        </w:rPr>
        <w:t>Les requérant</w:t>
      </w:r>
      <w:r w:rsidR="003E3CE2" w:rsidRPr="008544BB">
        <w:rPr>
          <w:lang w:val="fr-FR"/>
        </w:rPr>
        <w:t>e</w:t>
      </w:r>
      <w:r w:rsidR="00D64746" w:rsidRPr="008544BB">
        <w:rPr>
          <w:lang w:val="fr-FR"/>
        </w:rPr>
        <w:t xml:space="preserve">s </w:t>
      </w:r>
      <w:r w:rsidR="00094DE7" w:rsidRPr="008544BB">
        <w:rPr>
          <w:lang w:val="fr-FR"/>
        </w:rPr>
        <w:t>soutiennent</w:t>
      </w:r>
      <w:r w:rsidR="00CF47B1" w:rsidRPr="008544BB">
        <w:rPr>
          <w:lang w:val="fr-FR"/>
        </w:rPr>
        <w:t>, en s</w:t>
      </w:r>
      <w:r w:rsidR="008544BB" w:rsidRPr="008544BB">
        <w:rPr>
          <w:lang w:val="fr-FR"/>
        </w:rPr>
        <w:t>’</w:t>
      </w:r>
      <w:r w:rsidR="00CF47B1" w:rsidRPr="008544BB">
        <w:rPr>
          <w:lang w:val="fr-FR"/>
        </w:rPr>
        <w:t>appuyant en particulier sur l</w:t>
      </w:r>
      <w:r w:rsidR="008544BB" w:rsidRPr="008544BB">
        <w:rPr>
          <w:lang w:val="fr-FR"/>
        </w:rPr>
        <w:t>’</w:t>
      </w:r>
      <w:r w:rsidR="00CF47B1" w:rsidRPr="008544BB">
        <w:rPr>
          <w:lang w:val="fr-FR"/>
        </w:rPr>
        <w:t xml:space="preserve">arrêt </w:t>
      </w:r>
      <w:r w:rsidR="00CF47B1" w:rsidRPr="008544BB">
        <w:rPr>
          <w:i/>
          <w:lang w:val="fr-FR"/>
        </w:rPr>
        <w:t>Scozzari et Giunta c. Italie</w:t>
      </w:r>
      <w:r w:rsidR="00CF47B1" w:rsidRPr="008544BB">
        <w:rPr>
          <w:lang w:val="fr-FR"/>
        </w:rPr>
        <w:t xml:space="preserve"> ([GC], n</w:t>
      </w:r>
      <w:r w:rsidR="00CF47B1" w:rsidRPr="008544BB">
        <w:rPr>
          <w:rFonts w:cs="Times New Roman"/>
          <w:vertAlign w:val="superscript"/>
          <w:lang w:val="fr-FR"/>
        </w:rPr>
        <w:t>os</w:t>
      </w:r>
      <w:r w:rsidR="00CF47B1" w:rsidRPr="008544BB">
        <w:rPr>
          <w:lang w:val="fr-FR"/>
        </w:rPr>
        <w:t> </w:t>
      </w:r>
      <w:r w:rsidR="008544BB" w:rsidRPr="008544BB">
        <w:rPr>
          <w:lang w:val="fr-FR"/>
        </w:rPr>
        <w:t>39221/98 et 41963/98, CEDH </w:t>
      </w:r>
      <w:r w:rsidR="00CF47B1" w:rsidRPr="008544BB">
        <w:rPr>
          <w:lang w:val="fr-FR"/>
        </w:rPr>
        <w:t>2000</w:t>
      </w:r>
      <w:r w:rsidR="00CF47B1" w:rsidRPr="008544BB">
        <w:rPr>
          <w:lang w:val="fr-FR"/>
        </w:rPr>
        <w:noBreakHyphen/>
        <w:t>VII),</w:t>
      </w:r>
      <w:r w:rsidR="00094DE7" w:rsidRPr="008544BB">
        <w:rPr>
          <w:lang w:val="fr-FR"/>
        </w:rPr>
        <w:t xml:space="preserve"> que</w:t>
      </w:r>
      <w:r w:rsidR="009E402D" w:rsidRPr="008544BB">
        <w:rPr>
          <w:lang w:val="fr-FR"/>
        </w:rPr>
        <w:t>,</w:t>
      </w:r>
      <w:r w:rsidR="00094DE7" w:rsidRPr="008544BB">
        <w:rPr>
          <w:lang w:val="fr-FR"/>
        </w:rPr>
        <w:t xml:space="preserve"> </w:t>
      </w:r>
      <w:r w:rsidR="00F10329" w:rsidRPr="008544BB">
        <w:rPr>
          <w:lang w:val="fr-FR"/>
        </w:rPr>
        <w:t>même si</w:t>
      </w:r>
      <w:r w:rsidR="00EF3C3A" w:rsidRPr="008544BB">
        <w:rPr>
          <w:lang w:val="fr-FR"/>
        </w:rPr>
        <w:t xml:space="preserve"> </w:t>
      </w:r>
      <w:r w:rsidR="008E593E" w:rsidRPr="008544BB">
        <w:rPr>
          <w:lang w:val="fr-FR"/>
        </w:rPr>
        <w:t xml:space="preserve">le tribunal </w:t>
      </w:r>
      <w:r w:rsidR="00380F43" w:rsidRPr="008544BB">
        <w:rPr>
          <w:lang w:val="fr-FR"/>
        </w:rPr>
        <w:t xml:space="preserve">interne </w:t>
      </w:r>
      <w:r w:rsidR="00EF3C3A" w:rsidRPr="008544BB">
        <w:rPr>
          <w:lang w:val="fr-FR"/>
        </w:rPr>
        <w:t>a suspendu</w:t>
      </w:r>
      <w:r w:rsidR="00094DE7" w:rsidRPr="008544BB">
        <w:rPr>
          <w:lang w:val="fr-FR"/>
        </w:rPr>
        <w:t xml:space="preserve"> l</w:t>
      </w:r>
      <w:r w:rsidR="008544BB" w:rsidRPr="008544BB">
        <w:rPr>
          <w:lang w:val="fr-FR"/>
        </w:rPr>
        <w:t>’</w:t>
      </w:r>
      <w:r w:rsidR="00094DE7" w:rsidRPr="008544BB">
        <w:rPr>
          <w:lang w:val="fr-FR"/>
        </w:rPr>
        <w:t>autorité parentale</w:t>
      </w:r>
      <w:r w:rsidR="00EF3C3A" w:rsidRPr="008544BB">
        <w:rPr>
          <w:lang w:val="fr-FR"/>
        </w:rPr>
        <w:t xml:space="preserve"> de la </w:t>
      </w:r>
      <w:r w:rsidR="001C33F7" w:rsidRPr="008544BB">
        <w:rPr>
          <w:lang w:val="fr-FR"/>
        </w:rPr>
        <w:t xml:space="preserve">première requérante, </w:t>
      </w:r>
      <w:r w:rsidR="00EF3C3A" w:rsidRPr="008544BB">
        <w:rPr>
          <w:lang w:val="fr-FR"/>
        </w:rPr>
        <w:t xml:space="preserve">mère </w:t>
      </w:r>
      <w:r w:rsidR="00F10329" w:rsidRPr="008544BB">
        <w:rPr>
          <w:lang w:val="fr-FR"/>
        </w:rPr>
        <w:t>biologique</w:t>
      </w:r>
      <w:r w:rsidR="009557A6" w:rsidRPr="008544BB">
        <w:rPr>
          <w:lang w:val="fr-FR"/>
        </w:rPr>
        <w:t xml:space="preserve"> des mineurs</w:t>
      </w:r>
      <w:r w:rsidR="00094DE7" w:rsidRPr="008544BB">
        <w:rPr>
          <w:lang w:val="fr-FR"/>
        </w:rPr>
        <w:t xml:space="preserve">, </w:t>
      </w:r>
      <w:r w:rsidR="0029081E" w:rsidRPr="008544BB">
        <w:rPr>
          <w:lang w:val="fr-FR"/>
        </w:rPr>
        <w:t xml:space="preserve">la légitimité de celle-ci </w:t>
      </w:r>
      <w:r w:rsidR="00094DE7" w:rsidRPr="008544BB">
        <w:rPr>
          <w:lang w:val="fr-FR"/>
        </w:rPr>
        <w:t>à agir au nom</w:t>
      </w:r>
      <w:r w:rsidR="001C33F7" w:rsidRPr="008544BB">
        <w:rPr>
          <w:lang w:val="fr-FR"/>
        </w:rPr>
        <w:t xml:space="preserve"> et pour </w:t>
      </w:r>
      <w:r w:rsidR="0029081E" w:rsidRPr="008544BB">
        <w:rPr>
          <w:lang w:val="fr-FR"/>
        </w:rPr>
        <w:t xml:space="preserve">le </w:t>
      </w:r>
      <w:r w:rsidR="001C33F7" w:rsidRPr="008544BB">
        <w:rPr>
          <w:lang w:val="fr-FR"/>
        </w:rPr>
        <w:t xml:space="preserve">compte </w:t>
      </w:r>
      <w:r w:rsidR="00094DE7" w:rsidRPr="008544BB">
        <w:rPr>
          <w:lang w:val="fr-FR"/>
        </w:rPr>
        <w:t>des enfants</w:t>
      </w:r>
      <w:r w:rsidR="0029081E" w:rsidRPr="008544BB">
        <w:rPr>
          <w:lang w:val="fr-FR"/>
        </w:rPr>
        <w:t xml:space="preserve"> est maintenue</w:t>
      </w:r>
      <w:r w:rsidR="00094DE7" w:rsidRPr="008544BB">
        <w:rPr>
          <w:lang w:val="fr-FR"/>
        </w:rPr>
        <w:t>.</w:t>
      </w:r>
    </w:p>
    <w:p w:rsidR="00CF47B1" w:rsidRPr="008544BB" w:rsidRDefault="00EF3C3A"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58</w:t>
      </w:r>
      <w:r w:rsidRPr="008544BB">
        <w:rPr>
          <w:lang w:val="fr-FR"/>
        </w:rPr>
        <w:fldChar w:fldCharType="end"/>
      </w:r>
      <w:r w:rsidRPr="008544BB">
        <w:rPr>
          <w:lang w:val="fr-FR"/>
        </w:rPr>
        <w:t>.  </w:t>
      </w:r>
      <w:r w:rsidR="0029081E" w:rsidRPr="008544BB">
        <w:rPr>
          <w:lang w:val="fr-FR"/>
        </w:rPr>
        <w:t>R</w:t>
      </w:r>
      <w:r w:rsidR="002A6C14" w:rsidRPr="008544BB">
        <w:rPr>
          <w:lang w:val="fr-FR"/>
        </w:rPr>
        <w:t>appelant</w:t>
      </w:r>
      <w:r w:rsidR="005271D8" w:rsidRPr="008544BB">
        <w:rPr>
          <w:lang w:val="fr-FR"/>
        </w:rPr>
        <w:t xml:space="preserve"> le principe énoncé </w:t>
      </w:r>
      <w:r w:rsidR="0029081E" w:rsidRPr="008544BB">
        <w:rPr>
          <w:lang w:val="fr-FR"/>
        </w:rPr>
        <w:t xml:space="preserve">en la matière </w:t>
      </w:r>
      <w:r w:rsidR="005271D8" w:rsidRPr="008544BB">
        <w:rPr>
          <w:lang w:val="fr-FR"/>
        </w:rPr>
        <w:t>dans l</w:t>
      </w:r>
      <w:r w:rsidR="008544BB" w:rsidRPr="008544BB">
        <w:rPr>
          <w:lang w:val="fr-FR"/>
        </w:rPr>
        <w:t>’</w:t>
      </w:r>
      <w:r w:rsidR="005271D8" w:rsidRPr="008544BB">
        <w:rPr>
          <w:lang w:val="fr-FR"/>
        </w:rPr>
        <w:t xml:space="preserve">arrêt </w:t>
      </w:r>
      <w:r w:rsidR="005271D8" w:rsidRPr="008544BB">
        <w:rPr>
          <w:i/>
          <w:lang w:val="fr-FR"/>
        </w:rPr>
        <w:t>Scozzari et Giunta</w:t>
      </w:r>
      <w:r w:rsidR="005271D8" w:rsidRPr="008544BB">
        <w:rPr>
          <w:lang w:val="fr-FR"/>
        </w:rPr>
        <w:t xml:space="preserve"> (précité</w:t>
      </w:r>
      <w:r w:rsidR="000374CA" w:rsidRPr="008544BB">
        <w:rPr>
          <w:lang w:val="fr-FR"/>
        </w:rPr>
        <w:t>, §138</w:t>
      </w:r>
      <w:r w:rsidR="005271D8" w:rsidRPr="008544BB">
        <w:rPr>
          <w:lang w:val="fr-FR"/>
        </w:rPr>
        <w:t>),</w:t>
      </w:r>
      <w:r w:rsidR="002A6C14" w:rsidRPr="008544BB">
        <w:rPr>
          <w:lang w:val="fr-FR"/>
        </w:rPr>
        <w:t xml:space="preserve"> l</w:t>
      </w:r>
      <w:r w:rsidR="008B3B9F" w:rsidRPr="008544BB">
        <w:rPr>
          <w:lang w:val="fr-FR"/>
        </w:rPr>
        <w:t xml:space="preserve">a Cour </w:t>
      </w:r>
      <w:r w:rsidR="002A6C14" w:rsidRPr="008544BB">
        <w:rPr>
          <w:lang w:val="fr-FR"/>
        </w:rPr>
        <w:t>indique avoir</w:t>
      </w:r>
      <w:r w:rsidR="000024C4" w:rsidRPr="008544BB">
        <w:rPr>
          <w:lang w:val="fr-FR"/>
        </w:rPr>
        <w:t xml:space="preserve"> reconnu</w:t>
      </w:r>
      <w:r w:rsidR="008B3B9F" w:rsidRPr="008544BB">
        <w:rPr>
          <w:lang w:val="fr-FR"/>
        </w:rPr>
        <w:t xml:space="preserve"> </w:t>
      </w:r>
      <w:r w:rsidR="00CB2779" w:rsidRPr="008544BB">
        <w:rPr>
          <w:lang w:val="fr-FR"/>
        </w:rPr>
        <w:t>en général</w:t>
      </w:r>
      <w:r w:rsidR="002A20A8" w:rsidRPr="008544BB">
        <w:rPr>
          <w:lang w:val="fr-FR"/>
        </w:rPr>
        <w:t xml:space="preserve"> </w:t>
      </w:r>
      <w:r w:rsidR="008B3B9F" w:rsidRPr="008544BB">
        <w:rPr>
          <w:lang w:val="fr-FR"/>
        </w:rPr>
        <w:t>l</w:t>
      </w:r>
      <w:r w:rsidR="009B52AF" w:rsidRPr="008544BB">
        <w:rPr>
          <w:lang w:val="fr-FR"/>
        </w:rPr>
        <w:t>a</w:t>
      </w:r>
      <w:r w:rsidR="00BE4D24" w:rsidRPr="008544BB">
        <w:rPr>
          <w:lang w:val="fr-FR"/>
        </w:rPr>
        <w:t xml:space="preserve"> l</w:t>
      </w:r>
      <w:r w:rsidR="008B3B9F" w:rsidRPr="008544BB">
        <w:rPr>
          <w:lang w:val="fr-FR"/>
        </w:rPr>
        <w:t>égitim</w:t>
      </w:r>
      <w:r w:rsidR="00B54138" w:rsidRPr="008544BB">
        <w:rPr>
          <w:lang w:val="fr-FR"/>
        </w:rPr>
        <w:t>ité</w:t>
      </w:r>
      <w:r w:rsidR="008B3B9F" w:rsidRPr="008544BB">
        <w:rPr>
          <w:lang w:val="fr-FR"/>
        </w:rPr>
        <w:t xml:space="preserve"> à agir du parent </w:t>
      </w:r>
      <w:r w:rsidR="007170CF" w:rsidRPr="008544BB">
        <w:rPr>
          <w:lang w:val="fr-FR"/>
        </w:rPr>
        <w:t xml:space="preserve">biologique </w:t>
      </w:r>
      <w:r w:rsidR="008B3B9F" w:rsidRPr="008544BB">
        <w:rPr>
          <w:lang w:val="fr-FR"/>
        </w:rPr>
        <w:t>privé de l</w:t>
      </w:r>
      <w:r w:rsidR="008544BB" w:rsidRPr="008544BB">
        <w:rPr>
          <w:lang w:val="fr-FR"/>
        </w:rPr>
        <w:t>’</w:t>
      </w:r>
      <w:r w:rsidR="008B3B9F" w:rsidRPr="008544BB">
        <w:rPr>
          <w:lang w:val="fr-FR"/>
        </w:rPr>
        <w:t>autorité parentale</w:t>
      </w:r>
      <w:r w:rsidR="00F20419" w:rsidRPr="008544BB">
        <w:rPr>
          <w:snapToGrid w:val="0"/>
          <w:lang w:val="fr-FR"/>
        </w:rPr>
        <w:t>,</w:t>
      </w:r>
      <w:r w:rsidR="007170CF" w:rsidRPr="008544BB">
        <w:rPr>
          <w:lang w:val="fr-FR"/>
        </w:rPr>
        <w:t xml:space="preserve"> en s</w:t>
      </w:r>
      <w:r w:rsidR="008544BB" w:rsidRPr="008544BB">
        <w:rPr>
          <w:lang w:val="fr-FR"/>
        </w:rPr>
        <w:t>’</w:t>
      </w:r>
      <w:r w:rsidR="007170CF" w:rsidRPr="008544BB">
        <w:rPr>
          <w:lang w:val="fr-FR"/>
        </w:rPr>
        <w:t>appuyant sur</w:t>
      </w:r>
      <w:r w:rsidR="002A20A8" w:rsidRPr="008544BB">
        <w:rPr>
          <w:lang w:val="fr-FR"/>
        </w:rPr>
        <w:t xml:space="preserve"> l</w:t>
      </w:r>
      <w:r w:rsidR="005B606C" w:rsidRPr="008544BB">
        <w:rPr>
          <w:lang w:val="fr-FR"/>
        </w:rPr>
        <w:t xml:space="preserve">a considération </w:t>
      </w:r>
      <w:r w:rsidR="008E593E" w:rsidRPr="008544BB">
        <w:rPr>
          <w:lang w:val="fr-FR"/>
        </w:rPr>
        <w:t>fondamentale</w:t>
      </w:r>
      <w:r w:rsidR="005B606C" w:rsidRPr="008544BB">
        <w:rPr>
          <w:lang w:val="fr-FR"/>
        </w:rPr>
        <w:t xml:space="preserve"> que toute atteinte potentielle aux droits d</w:t>
      </w:r>
      <w:r w:rsidR="007170CF" w:rsidRPr="008544BB">
        <w:rPr>
          <w:lang w:val="fr-FR"/>
        </w:rPr>
        <w:t>u</w:t>
      </w:r>
      <w:r w:rsidR="005B606C" w:rsidRPr="008544BB">
        <w:rPr>
          <w:lang w:val="fr-FR"/>
        </w:rPr>
        <w:t xml:space="preserve"> mineur d</w:t>
      </w:r>
      <w:r w:rsidR="002A20A8" w:rsidRPr="008544BB">
        <w:rPr>
          <w:lang w:val="fr-FR"/>
        </w:rPr>
        <w:t>evrait</w:t>
      </w:r>
      <w:r w:rsidR="005B606C" w:rsidRPr="008544BB">
        <w:rPr>
          <w:lang w:val="fr-FR"/>
        </w:rPr>
        <w:t xml:space="preserve"> être examinée par </w:t>
      </w:r>
      <w:r w:rsidR="00CF47B1" w:rsidRPr="008544BB">
        <w:rPr>
          <w:lang w:val="fr-FR"/>
        </w:rPr>
        <w:t>elle</w:t>
      </w:r>
      <w:r w:rsidR="007170CF" w:rsidRPr="008544BB">
        <w:rPr>
          <w:lang w:val="fr-FR"/>
        </w:rPr>
        <w:t xml:space="preserve"> afin </w:t>
      </w:r>
      <w:r w:rsidR="00275542" w:rsidRPr="008544BB">
        <w:rPr>
          <w:lang w:val="fr-FR"/>
        </w:rPr>
        <w:t>d</w:t>
      </w:r>
      <w:r w:rsidR="008544BB" w:rsidRPr="008544BB">
        <w:rPr>
          <w:lang w:val="fr-FR"/>
        </w:rPr>
        <w:t>’</w:t>
      </w:r>
      <w:r w:rsidR="00275542" w:rsidRPr="008544BB">
        <w:rPr>
          <w:lang w:val="fr-FR"/>
        </w:rPr>
        <w:t>éviter le risque que certains intérêts des mineurs ne soient pas portés à son attention et qu</w:t>
      </w:r>
      <w:r w:rsidR="00B54138" w:rsidRPr="008544BB">
        <w:rPr>
          <w:lang w:val="fr-FR"/>
        </w:rPr>
        <w:t>e ceux-ci</w:t>
      </w:r>
      <w:r w:rsidR="00275542" w:rsidRPr="008544BB">
        <w:rPr>
          <w:lang w:val="fr-FR"/>
        </w:rPr>
        <w:t xml:space="preserve"> soient privés d</w:t>
      </w:r>
      <w:r w:rsidR="008544BB" w:rsidRPr="008544BB">
        <w:rPr>
          <w:lang w:val="fr-FR"/>
        </w:rPr>
        <w:t>’</w:t>
      </w:r>
      <w:r w:rsidR="00275542" w:rsidRPr="008544BB">
        <w:rPr>
          <w:lang w:val="fr-FR"/>
        </w:rPr>
        <w:t>une protection effective des droits qu</w:t>
      </w:r>
      <w:r w:rsidR="008544BB" w:rsidRPr="008544BB">
        <w:rPr>
          <w:lang w:val="fr-FR"/>
        </w:rPr>
        <w:t>’</w:t>
      </w:r>
      <w:r w:rsidR="00275542" w:rsidRPr="008544BB">
        <w:rPr>
          <w:lang w:val="fr-FR"/>
        </w:rPr>
        <w:t>ils tirent de la Convention</w:t>
      </w:r>
      <w:r w:rsidR="00275542" w:rsidRPr="008544BB">
        <w:rPr>
          <w:i/>
          <w:lang w:val="fr-FR"/>
        </w:rPr>
        <w:t xml:space="preserve"> </w:t>
      </w:r>
      <w:r w:rsidR="00A9446E" w:rsidRPr="008544BB">
        <w:rPr>
          <w:lang w:val="fr-FR"/>
        </w:rPr>
        <w:t>(</w:t>
      </w:r>
      <w:r w:rsidR="00A9446E" w:rsidRPr="008544BB">
        <w:rPr>
          <w:i/>
          <w:lang w:val="fr-FR"/>
        </w:rPr>
        <w:t>N.Ts.</w:t>
      </w:r>
      <w:r w:rsidR="00A9446E" w:rsidRPr="008544BB">
        <w:rPr>
          <w:lang w:val="fr-FR"/>
        </w:rPr>
        <w:t xml:space="preserve"> </w:t>
      </w:r>
      <w:r w:rsidR="00A9446E" w:rsidRPr="008544BB">
        <w:rPr>
          <w:i/>
          <w:lang w:val="fr-FR"/>
        </w:rPr>
        <w:t>et autres c. Géorgie</w:t>
      </w:r>
      <w:r w:rsidR="00A9446E" w:rsidRPr="008544BB">
        <w:rPr>
          <w:lang w:val="fr-FR"/>
        </w:rPr>
        <w:t>, n</w:t>
      </w:r>
      <w:r w:rsidR="00A9446E" w:rsidRPr="008544BB">
        <w:rPr>
          <w:vertAlign w:val="superscript"/>
          <w:lang w:val="fr-FR"/>
        </w:rPr>
        <w:t>o</w:t>
      </w:r>
      <w:r w:rsidR="00A9446E" w:rsidRPr="008544BB">
        <w:rPr>
          <w:lang w:val="fr-FR"/>
        </w:rPr>
        <w:t> 71776/12</w:t>
      </w:r>
      <w:r w:rsidR="00A9446E" w:rsidRPr="008544BB">
        <w:rPr>
          <w:snapToGrid w:val="0"/>
          <w:lang w:val="fr-FR"/>
        </w:rPr>
        <w:t xml:space="preserve">, §§ 52-54, 2 </w:t>
      </w:r>
      <w:r w:rsidR="00A9446E" w:rsidRPr="008544BB">
        <w:rPr>
          <w:lang w:val="fr-FR"/>
        </w:rPr>
        <w:t>février</w:t>
      </w:r>
      <w:r w:rsidR="00A9446E" w:rsidRPr="008544BB">
        <w:rPr>
          <w:snapToGrid w:val="0"/>
          <w:lang w:val="fr-FR"/>
        </w:rPr>
        <w:t xml:space="preserve"> </w:t>
      </w:r>
      <w:r w:rsidR="00A9446E" w:rsidRPr="008544BB">
        <w:rPr>
          <w:snapToGrid w:val="0"/>
          <w:lang w:val="fr-FR"/>
        </w:rPr>
        <w:lastRenderedPageBreak/>
        <w:t xml:space="preserve">2016, </w:t>
      </w:r>
      <w:r w:rsidR="00B54138" w:rsidRPr="008544BB">
        <w:rPr>
          <w:snapToGrid w:val="0"/>
          <w:lang w:val="fr-FR"/>
        </w:rPr>
        <w:t xml:space="preserve">et </w:t>
      </w:r>
      <w:r w:rsidR="00A9446E" w:rsidRPr="008544BB">
        <w:rPr>
          <w:i/>
          <w:lang w:val="fr-FR"/>
        </w:rPr>
        <w:t>A.K. et L. c. Croatie</w:t>
      </w:r>
      <w:r w:rsidR="00A9446E" w:rsidRPr="008544BB">
        <w:rPr>
          <w:lang w:val="fr-FR"/>
        </w:rPr>
        <w:t>, n</w:t>
      </w:r>
      <w:r w:rsidR="00A9446E" w:rsidRPr="008544BB">
        <w:rPr>
          <w:vertAlign w:val="superscript"/>
          <w:lang w:val="fr-FR"/>
        </w:rPr>
        <w:t>o</w:t>
      </w:r>
      <w:r w:rsidR="00A9446E" w:rsidRPr="008544BB">
        <w:rPr>
          <w:lang w:val="fr-FR"/>
        </w:rPr>
        <w:t xml:space="preserve"> 37956/11</w:t>
      </w:r>
      <w:r w:rsidR="00A9446E" w:rsidRPr="008544BB">
        <w:rPr>
          <w:snapToGrid w:val="0"/>
          <w:lang w:val="fr-FR"/>
        </w:rPr>
        <w:t xml:space="preserve">, §§ 46-50, 8 </w:t>
      </w:r>
      <w:r w:rsidR="00A9446E" w:rsidRPr="008544BB">
        <w:rPr>
          <w:lang w:val="fr-FR"/>
        </w:rPr>
        <w:t>janvier</w:t>
      </w:r>
      <w:r w:rsidR="00A9446E" w:rsidRPr="008544BB">
        <w:rPr>
          <w:snapToGrid w:val="0"/>
          <w:lang w:val="fr-FR"/>
        </w:rPr>
        <w:t xml:space="preserve"> 2013)</w:t>
      </w:r>
      <w:r w:rsidR="007170CF" w:rsidRPr="008544BB">
        <w:rPr>
          <w:lang w:val="fr-FR"/>
        </w:rPr>
        <w:t xml:space="preserve">. </w:t>
      </w:r>
      <w:r w:rsidR="0038550A" w:rsidRPr="008544BB">
        <w:rPr>
          <w:lang w:val="fr-FR"/>
        </w:rPr>
        <w:t>Dès lors, toute approche restrictive ou purement technique devrait être évité</w:t>
      </w:r>
      <w:r w:rsidR="00B54138" w:rsidRPr="008544BB">
        <w:rPr>
          <w:lang w:val="fr-FR"/>
        </w:rPr>
        <w:t>e</w:t>
      </w:r>
      <w:r w:rsidR="0038550A" w:rsidRPr="008544BB">
        <w:rPr>
          <w:lang w:val="fr-FR"/>
        </w:rPr>
        <w:t xml:space="preserve"> dans ce </w:t>
      </w:r>
      <w:r w:rsidR="00E57DDC" w:rsidRPr="008544BB">
        <w:rPr>
          <w:lang w:val="fr-FR"/>
        </w:rPr>
        <w:t xml:space="preserve">domaine </w:t>
      </w:r>
      <w:r w:rsidR="0038550A" w:rsidRPr="008544BB">
        <w:rPr>
          <w:lang w:val="fr-FR"/>
        </w:rPr>
        <w:t>(</w:t>
      </w:r>
      <w:r w:rsidR="0038550A" w:rsidRPr="008544BB">
        <w:rPr>
          <w:i/>
          <w:lang w:val="fr-FR"/>
        </w:rPr>
        <w:t>T.</w:t>
      </w:r>
      <w:r w:rsidR="00E57DDC" w:rsidRPr="008544BB">
        <w:rPr>
          <w:lang w:val="fr-FR"/>
        </w:rPr>
        <w:t> </w:t>
      </w:r>
      <w:r w:rsidR="00E57DDC" w:rsidRPr="008544BB">
        <w:rPr>
          <w:i/>
          <w:lang w:val="fr-FR"/>
        </w:rPr>
        <w:t>c. </w:t>
      </w:r>
      <w:r w:rsidR="0038550A" w:rsidRPr="008544BB">
        <w:rPr>
          <w:i/>
          <w:lang w:val="fr-FR"/>
        </w:rPr>
        <w:t>République tchèque</w:t>
      </w:r>
      <w:r w:rsidR="0038550A" w:rsidRPr="008544BB">
        <w:rPr>
          <w:lang w:val="fr-FR"/>
        </w:rPr>
        <w:t>, n</w:t>
      </w:r>
      <w:r w:rsidR="0038550A" w:rsidRPr="008544BB">
        <w:rPr>
          <w:vertAlign w:val="superscript"/>
          <w:lang w:val="fr-FR"/>
        </w:rPr>
        <w:t>o</w:t>
      </w:r>
      <w:r w:rsidR="0038550A" w:rsidRPr="008544BB">
        <w:rPr>
          <w:lang w:val="fr-FR"/>
        </w:rPr>
        <w:t xml:space="preserve"> 19315/11</w:t>
      </w:r>
      <w:r w:rsidR="0038550A" w:rsidRPr="008544BB">
        <w:rPr>
          <w:snapToGrid w:val="0"/>
          <w:lang w:val="fr-FR"/>
        </w:rPr>
        <w:t>, §§ 90-91, 17</w:t>
      </w:r>
      <w:r w:rsidR="00B54138" w:rsidRPr="008544BB">
        <w:rPr>
          <w:snapToGrid w:val="0"/>
          <w:lang w:val="fr-FR"/>
        </w:rPr>
        <w:t> </w:t>
      </w:r>
      <w:r w:rsidR="0038550A" w:rsidRPr="008544BB">
        <w:rPr>
          <w:lang w:val="fr-FR"/>
        </w:rPr>
        <w:t>juillet</w:t>
      </w:r>
      <w:r w:rsidR="0038550A" w:rsidRPr="008544BB">
        <w:rPr>
          <w:snapToGrid w:val="0"/>
          <w:lang w:val="fr-FR"/>
        </w:rPr>
        <w:t xml:space="preserve"> 2014).</w:t>
      </w:r>
    </w:p>
    <w:p w:rsidR="007170CF" w:rsidRPr="008544BB" w:rsidRDefault="00CF47B1" w:rsidP="008544BB">
      <w:pPr>
        <w:pStyle w:val="ECHRPara"/>
        <w:rPr>
          <w:i/>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59</w:t>
      </w:r>
      <w:r w:rsidRPr="008544BB">
        <w:rPr>
          <w:lang w:val="fr-FR"/>
        </w:rPr>
        <w:fldChar w:fldCharType="end"/>
      </w:r>
      <w:r w:rsidRPr="008544BB">
        <w:rPr>
          <w:lang w:val="fr-FR"/>
        </w:rPr>
        <w:t>.  </w:t>
      </w:r>
      <w:r w:rsidR="00CF4B9D" w:rsidRPr="008544BB">
        <w:rPr>
          <w:lang w:val="fr-FR"/>
        </w:rPr>
        <w:t>La Cour note que, dans la présente affaire, il est allégué, au nom des enfants, que les décisions prises par les autorités judiciaires, dont la nécessité et la proportionnalité sont contestées, ont eu des effets négatifs sur le bien-être des mineurs et sur leur rapport avec la première et la deuxième requérante. Dès lors, même si la première requérante a fait l</w:t>
      </w:r>
      <w:r w:rsidR="008544BB" w:rsidRPr="008544BB">
        <w:rPr>
          <w:lang w:val="fr-FR"/>
        </w:rPr>
        <w:t>’</w:t>
      </w:r>
      <w:r w:rsidR="00CF4B9D" w:rsidRPr="008544BB">
        <w:rPr>
          <w:lang w:val="fr-FR"/>
        </w:rPr>
        <w:t>objet d</w:t>
      </w:r>
      <w:r w:rsidR="008544BB" w:rsidRPr="008544BB">
        <w:rPr>
          <w:lang w:val="fr-FR"/>
        </w:rPr>
        <w:t>’</w:t>
      </w:r>
      <w:r w:rsidR="00CF4B9D" w:rsidRPr="008544BB">
        <w:rPr>
          <w:lang w:val="fr-FR"/>
        </w:rPr>
        <w:t>une suspension de son autorité parentale – cette mesure constituant d</w:t>
      </w:r>
      <w:r w:rsidR="008544BB" w:rsidRPr="008544BB">
        <w:rPr>
          <w:lang w:val="fr-FR"/>
        </w:rPr>
        <w:t>’</w:t>
      </w:r>
      <w:r w:rsidR="00CF4B9D" w:rsidRPr="008544BB">
        <w:rPr>
          <w:lang w:val="fr-FR"/>
        </w:rPr>
        <w:t>ailleurs l</w:t>
      </w:r>
      <w:r w:rsidR="008544BB" w:rsidRPr="008544BB">
        <w:rPr>
          <w:lang w:val="fr-FR"/>
        </w:rPr>
        <w:t>’</w:t>
      </w:r>
      <w:r w:rsidR="00CF4B9D" w:rsidRPr="008544BB">
        <w:rPr>
          <w:lang w:val="fr-FR"/>
        </w:rPr>
        <w:t>un des faits générateurs du litige qu</w:t>
      </w:r>
      <w:r w:rsidR="008544BB" w:rsidRPr="008544BB">
        <w:rPr>
          <w:lang w:val="fr-FR"/>
        </w:rPr>
        <w:t>’</w:t>
      </w:r>
      <w:r w:rsidR="00CF4B9D" w:rsidRPr="008544BB">
        <w:rPr>
          <w:lang w:val="fr-FR"/>
        </w:rPr>
        <w:t>elle porte devant la Cour</w:t>
      </w:r>
      <w:r w:rsidR="006B1F2E" w:rsidRPr="008544BB">
        <w:rPr>
          <w:lang w:val="fr-FR"/>
        </w:rPr>
        <w:t xml:space="preserve"> </w:t>
      </w:r>
      <w:r w:rsidR="00CF4B9D" w:rsidRPr="008544BB">
        <w:rPr>
          <w:lang w:val="fr-FR"/>
        </w:rPr>
        <w:t>–, sa qualité de mère biologique permet de lui reconnaître le pouvoir d</w:t>
      </w:r>
      <w:r w:rsidR="008544BB" w:rsidRPr="008544BB">
        <w:rPr>
          <w:lang w:val="fr-FR"/>
        </w:rPr>
        <w:t>’</w:t>
      </w:r>
      <w:r w:rsidR="00CF4B9D" w:rsidRPr="008544BB">
        <w:rPr>
          <w:lang w:val="fr-FR"/>
        </w:rPr>
        <w:t>ester devant la Cour également au nom de ses enfants (</w:t>
      </w:r>
      <w:r w:rsidR="00CF4B9D" w:rsidRPr="008544BB">
        <w:rPr>
          <w:i/>
          <w:iCs/>
          <w:lang w:val="fr-FR"/>
        </w:rPr>
        <w:t xml:space="preserve">Scozzari et Giunta, </w:t>
      </w:r>
      <w:r w:rsidR="00CF4B9D" w:rsidRPr="008544BB">
        <w:rPr>
          <w:lang w:val="fr-FR"/>
        </w:rPr>
        <w:t xml:space="preserve">précité, § 138). </w:t>
      </w:r>
      <w:r w:rsidR="00CF4B9D" w:rsidRPr="008544BB">
        <w:rPr>
          <w:bCs/>
          <w:lang w:val="fr-FR"/>
        </w:rPr>
        <w:t>Qui plus est</w:t>
      </w:r>
      <w:r w:rsidR="00CF4B9D" w:rsidRPr="008544BB">
        <w:rPr>
          <w:lang w:val="fr-FR"/>
        </w:rPr>
        <w:t>,</w:t>
      </w:r>
      <w:r w:rsidR="00CF4B9D" w:rsidRPr="008544BB">
        <w:rPr>
          <w:bCs/>
          <w:lang w:val="fr-FR"/>
        </w:rPr>
        <w:t xml:space="preserve"> dans la présente affaire la Cour relève que les intérêts de la première requérante sont alignés à ceux des enfants quant aux allégations relatives aux obligations découlant du droit au respect de la vie familiale. Dès lors, la Cour considère que la première requérante peut également agir au nom et pour le compte de ses enfants afin de protéger leurs propres intérêts.</w:t>
      </w:r>
    </w:p>
    <w:p w:rsidR="009925A1" w:rsidRPr="008544BB" w:rsidRDefault="002A20A8"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60</w:t>
      </w:r>
      <w:r w:rsidRPr="008544BB">
        <w:rPr>
          <w:lang w:val="fr-FR"/>
        </w:rPr>
        <w:fldChar w:fldCharType="end"/>
      </w:r>
      <w:r w:rsidRPr="008544BB">
        <w:rPr>
          <w:lang w:val="fr-FR"/>
        </w:rPr>
        <w:t>.  </w:t>
      </w:r>
      <w:r w:rsidR="00250138" w:rsidRPr="008544BB">
        <w:rPr>
          <w:lang w:val="fr-FR"/>
        </w:rPr>
        <w:t xml:space="preserve">La Cour considère </w:t>
      </w:r>
      <w:r w:rsidR="00275542" w:rsidRPr="008544BB">
        <w:rPr>
          <w:lang w:val="fr-FR"/>
        </w:rPr>
        <w:t>ainsi</w:t>
      </w:r>
      <w:r w:rsidR="00250138" w:rsidRPr="008544BB">
        <w:rPr>
          <w:lang w:val="fr-FR"/>
        </w:rPr>
        <w:t xml:space="preserve"> qu</w:t>
      </w:r>
      <w:r w:rsidR="008544BB" w:rsidRPr="008544BB">
        <w:rPr>
          <w:lang w:val="fr-FR"/>
        </w:rPr>
        <w:t>’</w:t>
      </w:r>
      <w:r w:rsidR="00250138" w:rsidRPr="008544BB">
        <w:rPr>
          <w:lang w:val="fr-FR"/>
        </w:rPr>
        <w:t>il y a lieu d</w:t>
      </w:r>
      <w:r w:rsidR="008544BB" w:rsidRPr="008544BB">
        <w:rPr>
          <w:lang w:val="fr-FR"/>
        </w:rPr>
        <w:t>’</w:t>
      </w:r>
      <w:r w:rsidR="00250138" w:rsidRPr="008544BB">
        <w:rPr>
          <w:lang w:val="fr-FR"/>
        </w:rPr>
        <w:t>écarter l</w:t>
      </w:r>
      <w:r w:rsidR="008544BB" w:rsidRPr="008544BB">
        <w:rPr>
          <w:lang w:val="fr-FR"/>
        </w:rPr>
        <w:t>’</w:t>
      </w:r>
      <w:r w:rsidR="00250138" w:rsidRPr="008544BB">
        <w:rPr>
          <w:lang w:val="fr-FR"/>
        </w:rPr>
        <w:t xml:space="preserve">exception préliminaire du Gouvernement quant au </w:t>
      </w:r>
      <w:r w:rsidR="00250138" w:rsidRPr="008544BB">
        <w:rPr>
          <w:i/>
          <w:lang w:val="fr-FR"/>
        </w:rPr>
        <w:t>locus standi</w:t>
      </w:r>
      <w:r w:rsidR="00250138" w:rsidRPr="008544BB">
        <w:rPr>
          <w:lang w:val="fr-FR"/>
        </w:rPr>
        <w:t xml:space="preserve"> de la première requérante </w:t>
      </w:r>
      <w:r w:rsidR="00CD4B0E" w:rsidRPr="008544BB">
        <w:rPr>
          <w:lang w:val="fr-FR"/>
        </w:rPr>
        <w:t>pour</w:t>
      </w:r>
      <w:r w:rsidR="00250138" w:rsidRPr="008544BB">
        <w:rPr>
          <w:lang w:val="fr-FR"/>
        </w:rPr>
        <w:t xml:space="preserve"> représenter ses enfants dans la procédure devant </w:t>
      </w:r>
      <w:r w:rsidR="00CD4B0E" w:rsidRPr="008544BB">
        <w:rPr>
          <w:lang w:val="fr-FR"/>
        </w:rPr>
        <w:t>elle</w:t>
      </w:r>
      <w:r w:rsidR="00250138" w:rsidRPr="008544BB">
        <w:rPr>
          <w:lang w:val="fr-FR"/>
        </w:rPr>
        <w:t>.</w:t>
      </w:r>
    </w:p>
    <w:p w:rsidR="009925A1" w:rsidRPr="008544BB" w:rsidRDefault="009925A1" w:rsidP="008544BB">
      <w:pPr>
        <w:pStyle w:val="ECHRHeading3"/>
        <w:rPr>
          <w:lang w:val="fr-FR"/>
        </w:rPr>
      </w:pPr>
      <w:r w:rsidRPr="008544BB">
        <w:rPr>
          <w:lang w:val="fr-FR"/>
        </w:rPr>
        <w:t>2.</w:t>
      </w:r>
      <w:r w:rsidR="00BF45CA" w:rsidRPr="008544BB">
        <w:rPr>
          <w:lang w:val="fr-FR"/>
        </w:rPr>
        <w:t>  </w:t>
      </w:r>
      <w:r w:rsidR="00CD4B0E" w:rsidRPr="008544BB">
        <w:rPr>
          <w:lang w:val="fr-FR"/>
        </w:rPr>
        <w:t xml:space="preserve">Conclusion sur la </w:t>
      </w:r>
      <w:r w:rsidRPr="008544BB">
        <w:rPr>
          <w:lang w:val="fr-FR"/>
        </w:rPr>
        <w:t>recevabilité</w:t>
      </w:r>
    </w:p>
    <w:p w:rsidR="009925A1" w:rsidRPr="008544BB" w:rsidRDefault="009925A1"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61</w:t>
      </w:r>
      <w:r w:rsidRPr="008544BB">
        <w:rPr>
          <w:lang w:val="fr-FR"/>
        </w:rPr>
        <w:fldChar w:fldCharType="end"/>
      </w:r>
      <w:r w:rsidRPr="008544BB">
        <w:rPr>
          <w:lang w:val="fr-FR"/>
        </w:rPr>
        <w:t>.  Constatant que l</w:t>
      </w:r>
      <w:r w:rsidR="00CF47B1" w:rsidRPr="008544BB">
        <w:rPr>
          <w:lang w:val="fr-FR"/>
        </w:rPr>
        <w:t>e grief</w:t>
      </w:r>
      <w:r w:rsidRPr="008544BB">
        <w:rPr>
          <w:lang w:val="fr-FR"/>
        </w:rPr>
        <w:t xml:space="preserve"> </w:t>
      </w:r>
      <w:r w:rsidR="00F353F6" w:rsidRPr="008544BB">
        <w:rPr>
          <w:lang w:val="fr-FR"/>
        </w:rPr>
        <w:t>tiré de l</w:t>
      </w:r>
      <w:r w:rsidR="008544BB" w:rsidRPr="008544BB">
        <w:rPr>
          <w:lang w:val="fr-FR"/>
        </w:rPr>
        <w:t>’</w:t>
      </w:r>
      <w:r w:rsidR="00F353F6" w:rsidRPr="008544BB">
        <w:rPr>
          <w:lang w:val="fr-FR"/>
        </w:rPr>
        <w:t xml:space="preserve">article 8 de la Convention </w:t>
      </w:r>
      <w:r w:rsidRPr="008544BB">
        <w:rPr>
          <w:lang w:val="fr-FR"/>
        </w:rPr>
        <w:t>n</w:t>
      </w:r>
      <w:r w:rsidR="008544BB" w:rsidRPr="008544BB">
        <w:rPr>
          <w:lang w:val="fr-FR"/>
        </w:rPr>
        <w:t>’</w:t>
      </w:r>
      <w:r w:rsidRPr="008544BB">
        <w:rPr>
          <w:lang w:val="fr-FR"/>
        </w:rPr>
        <w:t>est pas manifestement mal fondé au sens de l</w:t>
      </w:r>
      <w:r w:rsidR="008544BB" w:rsidRPr="008544BB">
        <w:rPr>
          <w:lang w:val="fr-FR"/>
        </w:rPr>
        <w:t>’</w:t>
      </w:r>
      <w:r w:rsidRPr="008544BB">
        <w:rPr>
          <w:lang w:val="fr-FR"/>
        </w:rPr>
        <w:t>article 35 § 3 a) de la Convention et qu</w:t>
      </w:r>
      <w:r w:rsidR="008544BB" w:rsidRPr="008544BB">
        <w:rPr>
          <w:lang w:val="fr-FR"/>
        </w:rPr>
        <w:t>’</w:t>
      </w:r>
      <w:r w:rsidR="00CF47B1" w:rsidRPr="008544BB">
        <w:rPr>
          <w:lang w:val="fr-FR"/>
        </w:rPr>
        <w:t>il</w:t>
      </w:r>
      <w:r w:rsidRPr="008544BB">
        <w:rPr>
          <w:lang w:val="fr-FR"/>
        </w:rPr>
        <w:t xml:space="preserve"> ne se heurte par ailleurs à aucun autre motif d</w:t>
      </w:r>
      <w:r w:rsidR="008544BB" w:rsidRPr="008544BB">
        <w:rPr>
          <w:lang w:val="fr-FR"/>
        </w:rPr>
        <w:t>’</w:t>
      </w:r>
      <w:r w:rsidR="00CF47B1" w:rsidRPr="008544BB">
        <w:rPr>
          <w:lang w:val="fr-FR"/>
        </w:rPr>
        <w:t>irrecevabilité, la Cour le</w:t>
      </w:r>
      <w:r w:rsidRPr="008544BB">
        <w:rPr>
          <w:lang w:val="fr-FR"/>
        </w:rPr>
        <w:t xml:space="preserve"> déclare recevable.</w:t>
      </w:r>
    </w:p>
    <w:p w:rsidR="00E77CB3" w:rsidRPr="008544BB" w:rsidRDefault="009925A1" w:rsidP="008544BB">
      <w:pPr>
        <w:pStyle w:val="ECHRHeading2"/>
        <w:rPr>
          <w:lang w:val="fr-FR"/>
        </w:rPr>
      </w:pPr>
      <w:r w:rsidRPr="008544BB">
        <w:rPr>
          <w:lang w:val="fr-FR"/>
        </w:rPr>
        <w:t>C</w:t>
      </w:r>
      <w:r w:rsidR="00E77CB3" w:rsidRPr="008544BB">
        <w:rPr>
          <w:lang w:val="fr-FR"/>
        </w:rPr>
        <w:t>.  Sur le fond</w:t>
      </w:r>
    </w:p>
    <w:p w:rsidR="003F350E" w:rsidRPr="008544BB" w:rsidRDefault="00BF45CA" w:rsidP="008544BB">
      <w:pPr>
        <w:pStyle w:val="ECHRHeading3"/>
        <w:rPr>
          <w:lang w:val="fr-FR"/>
        </w:rPr>
      </w:pPr>
      <w:r w:rsidRPr="008544BB">
        <w:rPr>
          <w:lang w:val="fr-FR"/>
        </w:rPr>
        <w:t>1.  </w:t>
      </w:r>
      <w:r w:rsidR="003F350E" w:rsidRPr="008544BB">
        <w:rPr>
          <w:lang w:val="fr-FR"/>
        </w:rPr>
        <w:t>Thèse des parties</w:t>
      </w:r>
    </w:p>
    <w:p w:rsidR="001152DA" w:rsidRPr="008544BB" w:rsidRDefault="004A4240"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62</w:t>
      </w:r>
      <w:r w:rsidRPr="008544BB">
        <w:rPr>
          <w:lang w:val="fr-FR"/>
        </w:rPr>
        <w:fldChar w:fldCharType="end"/>
      </w:r>
      <w:r w:rsidR="00E77CB3" w:rsidRPr="008544BB">
        <w:rPr>
          <w:lang w:val="fr-FR"/>
        </w:rPr>
        <w:t>.  </w:t>
      </w:r>
      <w:r w:rsidR="003F350E" w:rsidRPr="008544BB">
        <w:rPr>
          <w:lang w:val="fr-FR"/>
        </w:rPr>
        <w:t>L</w:t>
      </w:r>
      <w:r w:rsidR="00A621D3" w:rsidRPr="008544BB">
        <w:rPr>
          <w:lang w:val="fr-FR"/>
        </w:rPr>
        <w:t>es</w:t>
      </w:r>
      <w:r w:rsidR="0001054A" w:rsidRPr="008544BB">
        <w:rPr>
          <w:lang w:val="fr-FR"/>
        </w:rPr>
        <w:t xml:space="preserve"> requérant</w:t>
      </w:r>
      <w:r w:rsidR="003E3CE2" w:rsidRPr="008544BB">
        <w:rPr>
          <w:lang w:val="fr-FR"/>
        </w:rPr>
        <w:t>e</w:t>
      </w:r>
      <w:r w:rsidR="00A621D3" w:rsidRPr="008544BB">
        <w:rPr>
          <w:lang w:val="fr-FR"/>
        </w:rPr>
        <w:t>s</w:t>
      </w:r>
      <w:r w:rsidR="0001054A" w:rsidRPr="008544BB">
        <w:rPr>
          <w:lang w:val="fr-FR"/>
        </w:rPr>
        <w:t xml:space="preserve"> estime</w:t>
      </w:r>
      <w:r w:rsidR="00A621D3" w:rsidRPr="008544BB">
        <w:rPr>
          <w:lang w:val="fr-FR"/>
        </w:rPr>
        <w:t>nt</w:t>
      </w:r>
      <w:r w:rsidR="0001054A" w:rsidRPr="008544BB">
        <w:rPr>
          <w:lang w:val="fr-FR"/>
        </w:rPr>
        <w:t xml:space="preserve"> que l</w:t>
      </w:r>
      <w:r w:rsidR="008544BB" w:rsidRPr="008544BB">
        <w:rPr>
          <w:lang w:val="fr-FR"/>
        </w:rPr>
        <w:t>’</w:t>
      </w:r>
      <w:r w:rsidR="0001054A" w:rsidRPr="008544BB">
        <w:rPr>
          <w:lang w:val="fr-FR"/>
        </w:rPr>
        <w:t>éloignement des enfants d</w:t>
      </w:r>
      <w:r w:rsidR="001E07F7" w:rsidRPr="008544BB">
        <w:rPr>
          <w:lang w:val="fr-FR"/>
        </w:rPr>
        <w:t>u domicile</w:t>
      </w:r>
      <w:r w:rsidR="0001054A" w:rsidRPr="008544BB">
        <w:rPr>
          <w:lang w:val="fr-FR"/>
        </w:rPr>
        <w:t xml:space="preserve"> familial, l</w:t>
      </w:r>
      <w:r w:rsidR="001E07F7" w:rsidRPr="008544BB">
        <w:rPr>
          <w:lang w:val="fr-FR"/>
        </w:rPr>
        <w:t>eur</w:t>
      </w:r>
      <w:r w:rsidR="0001054A" w:rsidRPr="008544BB">
        <w:rPr>
          <w:lang w:val="fr-FR"/>
        </w:rPr>
        <w:t xml:space="preserve"> prise en charge par les services sociaux et </w:t>
      </w:r>
      <w:r w:rsidR="00D63356" w:rsidRPr="008544BB">
        <w:rPr>
          <w:lang w:val="fr-FR"/>
        </w:rPr>
        <w:t>le</w:t>
      </w:r>
      <w:r w:rsidR="001E07F7" w:rsidRPr="008544BB">
        <w:rPr>
          <w:lang w:val="fr-FR"/>
        </w:rPr>
        <w:t>ur</w:t>
      </w:r>
      <w:r w:rsidR="0001054A" w:rsidRPr="008544BB">
        <w:rPr>
          <w:lang w:val="fr-FR"/>
        </w:rPr>
        <w:t xml:space="preserve"> placement </w:t>
      </w:r>
      <w:r w:rsidR="00D63356" w:rsidRPr="008544BB">
        <w:rPr>
          <w:lang w:val="fr-FR"/>
        </w:rPr>
        <w:t>en</w:t>
      </w:r>
      <w:r w:rsidR="0001054A" w:rsidRPr="008544BB">
        <w:rPr>
          <w:lang w:val="fr-FR"/>
        </w:rPr>
        <w:t xml:space="preserve"> maison d</w:t>
      </w:r>
      <w:r w:rsidR="008544BB" w:rsidRPr="008544BB">
        <w:rPr>
          <w:lang w:val="fr-FR"/>
        </w:rPr>
        <w:t>’</w:t>
      </w:r>
      <w:r w:rsidR="0001054A" w:rsidRPr="008544BB">
        <w:rPr>
          <w:lang w:val="fr-FR"/>
        </w:rPr>
        <w:t xml:space="preserve">accueil, la </w:t>
      </w:r>
      <w:r w:rsidR="001E07F7" w:rsidRPr="008544BB">
        <w:rPr>
          <w:lang w:val="fr-FR"/>
        </w:rPr>
        <w:t>restriction</w:t>
      </w:r>
      <w:r w:rsidR="0001054A" w:rsidRPr="008544BB">
        <w:rPr>
          <w:lang w:val="fr-FR"/>
        </w:rPr>
        <w:t xml:space="preserve"> d</w:t>
      </w:r>
      <w:r w:rsidR="00A621D3" w:rsidRPr="008544BB">
        <w:rPr>
          <w:lang w:val="fr-FR"/>
        </w:rPr>
        <w:t>u</w:t>
      </w:r>
      <w:r w:rsidR="0001054A" w:rsidRPr="008544BB">
        <w:rPr>
          <w:lang w:val="fr-FR"/>
        </w:rPr>
        <w:t xml:space="preserve"> droit de visite</w:t>
      </w:r>
      <w:r w:rsidR="004E5881" w:rsidRPr="008544BB">
        <w:rPr>
          <w:lang w:val="fr-FR"/>
        </w:rPr>
        <w:t xml:space="preserve"> à une rencontre </w:t>
      </w:r>
      <w:r w:rsidR="001E07F7" w:rsidRPr="008544BB">
        <w:rPr>
          <w:lang w:val="fr-FR"/>
        </w:rPr>
        <w:t xml:space="preserve">en milieu </w:t>
      </w:r>
      <w:r w:rsidR="004E5881" w:rsidRPr="008544BB">
        <w:rPr>
          <w:lang w:val="fr-FR"/>
        </w:rPr>
        <w:t>protégé par mois</w:t>
      </w:r>
      <w:r w:rsidR="0001054A" w:rsidRPr="008544BB">
        <w:rPr>
          <w:lang w:val="fr-FR"/>
        </w:rPr>
        <w:t xml:space="preserve"> </w:t>
      </w:r>
      <w:r w:rsidR="001E07F7" w:rsidRPr="008544BB">
        <w:rPr>
          <w:lang w:val="fr-FR"/>
        </w:rPr>
        <w:t>ainsi que</w:t>
      </w:r>
      <w:r w:rsidR="0001054A" w:rsidRPr="008544BB">
        <w:rPr>
          <w:lang w:val="fr-FR"/>
        </w:rPr>
        <w:t xml:space="preserve"> la suspension de </w:t>
      </w:r>
      <w:r w:rsidR="00A621D3" w:rsidRPr="008544BB">
        <w:rPr>
          <w:lang w:val="fr-FR"/>
        </w:rPr>
        <w:t>l</w:t>
      </w:r>
      <w:r w:rsidR="008544BB" w:rsidRPr="008544BB">
        <w:rPr>
          <w:lang w:val="fr-FR"/>
        </w:rPr>
        <w:t>’</w:t>
      </w:r>
      <w:r w:rsidR="0001054A" w:rsidRPr="008544BB">
        <w:rPr>
          <w:lang w:val="fr-FR"/>
        </w:rPr>
        <w:t xml:space="preserve">autorité parentale </w:t>
      </w:r>
      <w:r w:rsidR="00A621D3" w:rsidRPr="008544BB">
        <w:rPr>
          <w:lang w:val="fr-FR"/>
        </w:rPr>
        <w:t xml:space="preserve">de la première requérante </w:t>
      </w:r>
      <w:r w:rsidR="0001054A" w:rsidRPr="008544BB">
        <w:rPr>
          <w:lang w:val="fr-FR"/>
        </w:rPr>
        <w:t>constituent des mesures contraires à l</w:t>
      </w:r>
      <w:r w:rsidR="008544BB" w:rsidRPr="008544BB">
        <w:rPr>
          <w:lang w:val="fr-FR"/>
        </w:rPr>
        <w:t>’</w:t>
      </w:r>
      <w:r w:rsidR="0001054A" w:rsidRPr="008544BB">
        <w:rPr>
          <w:lang w:val="fr-FR"/>
        </w:rPr>
        <w:t>article 8 de la Convention.</w:t>
      </w:r>
      <w:r w:rsidR="00CF47B1" w:rsidRPr="008544BB">
        <w:rPr>
          <w:lang w:val="fr-FR"/>
        </w:rPr>
        <w:t xml:space="preserve"> </w:t>
      </w:r>
      <w:r w:rsidR="001E07F7" w:rsidRPr="008544BB">
        <w:rPr>
          <w:lang w:val="fr-FR"/>
        </w:rPr>
        <w:t>Elles</w:t>
      </w:r>
      <w:r w:rsidR="00CF47B1" w:rsidRPr="008544BB">
        <w:rPr>
          <w:lang w:val="fr-FR"/>
        </w:rPr>
        <w:t xml:space="preserve"> </w:t>
      </w:r>
      <w:r w:rsidR="00701E55" w:rsidRPr="008544BB">
        <w:rPr>
          <w:lang w:val="fr-FR"/>
        </w:rPr>
        <w:t>allèguent</w:t>
      </w:r>
      <w:r w:rsidR="003D73A5" w:rsidRPr="008544BB">
        <w:rPr>
          <w:lang w:val="fr-FR"/>
        </w:rPr>
        <w:t xml:space="preserve"> que</w:t>
      </w:r>
      <w:r w:rsidR="00D63356" w:rsidRPr="008544BB">
        <w:rPr>
          <w:lang w:val="fr-FR"/>
        </w:rPr>
        <w:t xml:space="preserve"> les autorités nationales n</w:t>
      </w:r>
      <w:r w:rsidR="008544BB" w:rsidRPr="008544BB">
        <w:rPr>
          <w:lang w:val="fr-FR"/>
        </w:rPr>
        <w:t>’</w:t>
      </w:r>
      <w:r w:rsidR="00D63356" w:rsidRPr="008544BB">
        <w:rPr>
          <w:lang w:val="fr-FR"/>
        </w:rPr>
        <w:t>ont pas fourni des raisons adéquates et suffisantes pour justifier l</w:t>
      </w:r>
      <w:r w:rsidR="008544BB" w:rsidRPr="008544BB">
        <w:rPr>
          <w:lang w:val="fr-FR"/>
        </w:rPr>
        <w:t>’</w:t>
      </w:r>
      <w:r w:rsidR="00D63356" w:rsidRPr="008544BB">
        <w:rPr>
          <w:lang w:val="fr-FR"/>
        </w:rPr>
        <w:t xml:space="preserve">ingérence </w:t>
      </w:r>
      <w:r w:rsidR="001E07F7" w:rsidRPr="008544BB">
        <w:rPr>
          <w:lang w:val="fr-FR"/>
        </w:rPr>
        <w:t xml:space="preserve">alléguée </w:t>
      </w:r>
      <w:r w:rsidR="00D63356" w:rsidRPr="008544BB">
        <w:rPr>
          <w:lang w:val="fr-FR"/>
        </w:rPr>
        <w:t>dans leur droit au respect de la vie familiale</w:t>
      </w:r>
      <w:r w:rsidR="007E4F73" w:rsidRPr="008544BB">
        <w:rPr>
          <w:lang w:val="fr-FR"/>
        </w:rPr>
        <w:t xml:space="preserve">, </w:t>
      </w:r>
      <w:r w:rsidR="003D73A5" w:rsidRPr="008544BB">
        <w:rPr>
          <w:lang w:val="fr-FR"/>
        </w:rPr>
        <w:t>qui</w:t>
      </w:r>
      <w:r w:rsidR="009B4D86" w:rsidRPr="008544BB">
        <w:rPr>
          <w:lang w:val="fr-FR"/>
        </w:rPr>
        <w:t>,</w:t>
      </w:r>
      <w:r w:rsidR="003D73A5" w:rsidRPr="008544BB">
        <w:rPr>
          <w:lang w:val="fr-FR"/>
        </w:rPr>
        <w:t xml:space="preserve"> de surcroît</w:t>
      </w:r>
      <w:r w:rsidR="001E07F7" w:rsidRPr="008544BB">
        <w:rPr>
          <w:lang w:val="fr-FR"/>
        </w:rPr>
        <w:t>, à leurs yeux,</w:t>
      </w:r>
      <w:r w:rsidR="003D73A5" w:rsidRPr="008544BB">
        <w:rPr>
          <w:lang w:val="fr-FR"/>
        </w:rPr>
        <w:t xml:space="preserve"> n</w:t>
      </w:r>
      <w:r w:rsidR="008544BB" w:rsidRPr="008544BB">
        <w:rPr>
          <w:lang w:val="fr-FR"/>
        </w:rPr>
        <w:t>’</w:t>
      </w:r>
      <w:r w:rsidR="003D73A5" w:rsidRPr="008544BB">
        <w:rPr>
          <w:lang w:val="fr-FR"/>
        </w:rPr>
        <w:t>était pas</w:t>
      </w:r>
      <w:r w:rsidR="007E4F73" w:rsidRPr="008544BB">
        <w:rPr>
          <w:lang w:val="fr-FR"/>
        </w:rPr>
        <w:t xml:space="preserve"> motivé</w:t>
      </w:r>
      <w:r w:rsidR="003D73A5" w:rsidRPr="008544BB">
        <w:rPr>
          <w:lang w:val="fr-FR"/>
        </w:rPr>
        <w:t>e</w:t>
      </w:r>
      <w:r w:rsidR="00B83793" w:rsidRPr="008544BB">
        <w:rPr>
          <w:lang w:val="fr-FR"/>
        </w:rPr>
        <w:t xml:space="preserve"> </w:t>
      </w:r>
      <w:r w:rsidR="007E4F73" w:rsidRPr="008544BB">
        <w:rPr>
          <w:lang w:val="fr-FR"/>
        </w:rPr>
        <w:t>par l</w:t>
      </w:r>
      <w:r w:rsidR="008544BB" w:rsidRPr="008544BB">
        <w:rPr>
          <w:lang w:val="fr-FR"/>
        </w:rPr>
        <w:t>’</w:t>
      </w:r>
      <w:r w:rsidR="007E4F73" w:rsidRPr="008544BB">
        <w:rPr>
          <w:lang w:val="fr-FR"/>
        </w:rPr>
        <w:t>exigence de protéger l</w:t>
      </w:r>
      <w:r w:rsidR="008544BB" w:rsidRPr="008544BB">
        <w:rPr>
          <w:lang w:val="fr-FR"/>
        </w:rPr>
        <w:t>’</w:t>
      </w:r>
      <w:r w:rsidR="007E4F73" w:rsidRPr="008544BB">
        <w:rPr>
          <w:lang w:val="fr-FR"/>
        </w:rPr>
        <w:t>intérêt supérieur des enfants</w:t>
      </w:r>
      <w:r w:rsidR="00D63356" w:rsidRPr="008544BB">
        <w:rPr>
          <w:lang w:val="fr-FR"/>
        </w:rPr>
        <w:t>.</w:t>
      </w:r>
      <w:r w:rsidR="00EF374A" w:rsidRPr="008544BB">
        <w:rPr>
          <w:lang w:val="fr-FR"/>
        </w:rPr>
        <w:t xml:space="preserve"> </w:t>
      </w:r>
      <w:r w:rsidR="0016299F" w:rsidRPr="008544BB">
        <w:rPr>
          <w:lang w:val="fr-FR"/>
        </w:rPr>
        <w:t>En ce qui concerne les troubles de la personnalité d</w:t>
      </w:r>
      <w:r w:rsidR="00001975" w:rsidRPr="008544BB">
        <w:rPr>
          <w:lang w:val="fr-FR"/>
        </w:rPr>
        <w:t>e</w:t>
      </w:r>
      <w:r w:rsidR="0016299F" w:rsidRPr="008544BB">
        <w:rPr>
          <w:lang w:val="fr-FR"/>
        </w:rPr>
        <w:t xml:space="preserve"> la première requérante, </w:t>
      </w:r>
      <w:r w:rsidR="001E07F7" w:rsidRPr="008544BB">
        <w:rPr>
          <w:lang w:val="fr-FR"/>
        </w:rPr>
        <w:t>elles</w:t>
      </w:r>
      <w:r w:rsidR="0016299F" w:rsidRPr="008544BB">
        <w:rPr>
          <w:lang w:val="fr-FR"/>
        </w:rPr>
        <w:t xml:space="preserve"> </w:t>
      </w:r>
      <w:r w:rsidR="00001975" w:rsidRPr="008544BB">
        <w:rPr>
          <w:lang w:val="fr-FR"/>
        </w:rPr>
        <w:t>dénoncent</w:t>
      </w:r>
      <w:r w:rsidR="0016299F" w:rsidRPr="008544BB">
        <w:rPr>
          <w:lang w:val="fr-FR"/>
        </w:rPr>
        <w:t xml:space="preserve"> </w:t>
      </w:r>
      <w:r w:rsidR="00214E79" w:rsidRPr="008544BB">
        <w:rPr>
          <w:lang w:val="fr-FR"/>
        </w:rPr>
        <w:t>l</w:t>
      </w:r>
      <w:r w:rsidR="0016299F" w:rsidRPr="008544BB">
        <w:rPr>
          <w:lang w:val="fr-FR"/>
        </w:rPr>
        <w:t xml:space="preserve">es </w:t>
      </w:r>
      <w:r w:rsidR="00074BCA" w:rsidRPr="008544BB">
        <w:rPr>
          <w:lang w:val="fr-FR"/>
        </w:rPr>
        <w:t>décisions du tribunal</w:t>
      </w:r>
      <w:r w:rsidR="00912B6B" w:rsidRPr="008544BB">
        <w:rPr>
          <w:lang w:val="fr-FR"/>
        </w:rPr>
        <w:t xml:space="preserve"> pour enfants</w:t>
      </w:r>
      <w:r w:rsidR="00074BCA" w:rsidRPr="008544BB">
        <w:rPr>
          <w:lang w:val="fr-FR"/>
        </w:rPr>
        <w:t>, fond</w:t>
      </w:r>
      <w:r w:rsidR="00CF47B1" w:rsidRPr="008544BB">
        <w:rPr>
          <w:lang w:val="fr-FR"/>
        </w:rPr>
        <w:t xml:space="preserve">ées </w:t>
      </w:r>
      <w:r w:rsidR="0016299F" w:rsidRPr="008544BB">
        <w:rPr>
          <w:lang w:val="fr-FR"/>
        </w:rPr>
        <w:t xml:space="preserve">principalement sur </w:t>
      </w:r>
      <w:r w:rsidR="00001975" w:rsidRPr="008544BB">
        <w:rPr>
          <w:lang w:val="fr-FR"/>
        </w:rPr>
        <w:lastRenderedPageBreak/>
        <w:t>le rapport d</w:t>
      </w:r>
      <w:r w:rsidR="008544BB" w:rsidRPr="008544BB">
        <w:rPr>
          <w:lang w:val="fr-FR"/>
        </w:rPr>
        <w:t>’</w:t>
      </w:r>
      <w:r w:rsidR="00001975" w:rsidRPr="008544BB">
        <w:rPr>
          <w:lang w:val="fr-FR"/>
        </w:rPr>
        <w:t>expertise</w:t>
      </w:r>
      <w:r w:rsidR="000F160C" w:rsidRPr="008544BB">
        <w:rPr>
          <w:lang w:val="fr-FR"/>
        </w:rPr>
        <w:t xml:space="preserve"> </w:t>
      </w:r>
      <w:r w:rsidR="00214E79" w:rsidRPr="008544BB">
        <w:rPr>
          <w:lang w:val="fr-FR"/>
        </w:rPr>
        <w:t>établi en</w:t>
      </w:r>
      <w:r w:rsidR="000F160C" w:rsidRPr="008544BB">
        <w:rPr>
          <w:lang w:val="fr-FR"/>
        </w:rPr>
        <w:t xml:space="preserve"> mai 2010</w:t>
      </w:r>
      <w:r w:rsidR="00001975" w:rsidRPr="008544BB">
        <w:rPr>
          <w:lang w:val="fr-FR"/>
        </w:rPr>
        <w:t xml:space="preserve"> (paragraphe </w:t>
      </w:r>
      <w:r w:rsidR="00001975" w:rsidRPr="008544BB">
        <w:rPr>
          <w:lang w:val="fr-FR"/>
        </w:rPr>
        <w:fldChar w:fldCharType="begin"/>
      </w:r>
      <w:r w:rsidR="00001975" w:rsidRPr="008544BB">
        <w:rPr>
          <w:lang w:val="fr-FR"/>
        </w:rPr>
        <w:instrText xml:space="preserve"> REF EXPERTISE_1 \h </w:instrText>
      </w:r>
      <w:r w:rsidR="00001975" w:rsidRPr="008544BB">
        <w:rPr>
          <w:lang w:val="fr-FR"/>
        </w:rPr>
      </w:r>
      <w:r w:rsidR="00001975" w:rsidRPr="008544BB">
        <w:rPr>
          <w:lang w:val="fr-FR"/>
        </w:rPr>
        <w:fldChar w:fldCharType="separate"/>
      </w:r>
      <w:r w:rsidR="008544BB" w:rsidRPr="008544BB">
        <w:rPr>
          <w:noProof/>
          <w:lang w:val="fr-FR"/>
        </w:rPr>
        <w:t>18</w:t>
      </w:r>
      <w:r w:rsidR="00001975" w:rsidRPr="008544BB">
        <w:rPr>
          <w:lang w:val="fr-FR"/>
        </w:rPr>
        <w:fldChar w:fldCharType="end"/>
      </w:r>
      <w:r w:rsidR="00001975" w:rsidRPr="008544BB">
        <w:rPr>
          <w:lang w:val="fr-FR"/>
        </w:rPr>
        <w:t xml:space="preserve"> ci-dessus)</w:t>
      </w:r>
      <w:r w:rsidR="00214E79" w:rsidRPr="008544BB">
        <w:rPr>
          <w:lang w:val="fr-FR"/>
        </w:rPr>
        <w:t>, en ce que ces décisions auraient été superficielles et auraient revêtu un caractère stéréotypé</w:t>
      </w:r>
      <w:r w:rsidR="0016299F" w:rsidRPr="008544BB">
        <w:rPr>
          <w:lang w:val="fr-FR"/>
        </w:rPr>
        <w:t xml:space="preserve">. </w:t>
      </w:r>
      <w:r w:rsidR="00214E79" w:rsidRPr="008544BB">
        <w:rPr>
          <w:lang w:val="fr-FR"/>
        </w:rPr>
        <w:t>Elles</w:t>
      </w:r>
      <w:r w:rsidR="0016299F" w:rsidRPr="008544BB">
        <w:rPr>
          <w:lang w:val="fr-FR"/>
        </w:rPr>
        <w:t xml:space="preserve"> critiquent en </w:t>
      </w:r>
      <w:r w:rsidR="00214E79" w:rsidRPr="008544BB">
        <w:rPr>
          <w:lang w:val="fr-FR"/>
        </w:rPr>
        <w:t>outre</w:t>
      </w:r>
      <w:r w:rsidR="0016299F" w:rsidRPr="008544BB">
        <w:rPr>
          <w:lang w:val="fr-FR"/>
        </w:rPr>
        <w:t xml:space="preserve"> la décision</w:t>
      </w:r>
      <w:r w:rsidR="00CF47B1" w:rsidRPr="008544BB">
        <w:rPr>
          <w:lang w:val="fr-FR"/>
        </w:rPr>
        <w:t xml:space="preserve"> de suspension de l</w:t>
      </w:r>
      <w:r w:rsidR="008544BB" w:rsidRPr="008544BB">
        <w:rPr>
          <w:lang w:val="fr-FR"/>
        </w:rPr>
        <w:t>’</w:t>
      </w:r>
      <w:r w:rsidR="00CF47B1" w:rsidRPr="008544BB">
        <w:rPr>
          <w:lang w:val="fr-FR"/>
        </w:rPr>
        <w:t>autorité parentale</w:t>
      </w:r>
      <w:r w:rsidR="0016299F" w:rsidRPr="008544BB">
        <w:rPr>
          <w:lang w:val="fr-FR"/>
        </w:rPr>
        <w:t xml:space="preserve"> (paragraphe</w:t>
      </w:r>
      <w:r w:rsidR="00EC4E7B" w:rsidRPr="008544BB">
        <w:rPr>
          <w:lang w:val="fr-FR"/>
        </w:rPr>
        <w:t xml:space="preserve"> </w:t>
      </w:r>
      <w:r w:rsidR="003F7F39" w:rsidRPr="008544BB">
        <w:rPr>
          <w:lang w:val="fr-FR"/>
        </w:rPr>
        <w:fldChar w:fldCharType="begin"/>
      </w:r>
      <w:r w:rsidR="003F7F39" w:rsidRPr="008544BB">
        <w:rPr>
          <w:lang w:val="fr-FR"/>
        </w:rPr>
        <w:instrText xml:space="preserve"> REF TRIBUNAL_NOVEMBRE_2012_SUSPENSION \h </w:instrText>
      </w:r>
      <w:r w:rsidR="003F7F39" w:rsidRPr="008544BB">
        <w:rPr>
          <w:lang w:val="fr-FR"/>
        </w:rPr>
      </w:r>
      <w:r w:rsidR="003F7F39" w:rsidRPr="008544BB">
        <w:rPr>
          <w:lang w:val="fr-FR"/>
        </w:rPr>
        <w:fldChar w:fldCharType="separate"/>
      </w:r>
      <w:r w:rsidR="008544BB" w:rsidRPr="008544BB">
        <w:rPr>
          <w:noProof/>
          <w:lang w:val="fr-FR"/>
        </w:rPr>
        <w:t>31</w:t>
      </w:r>
      <w:r w:rsidR="003F7F39" w:rsidRPr="008544BB">
        <w:rPr>
          <w:lang w:val="fr-FR"/>
        </w:rPr>
        <w:fldChar w:fldCharType="end"/>
      </w:r>
      <w:r w:rsidR="003F7F39" w:rsidRPr="008544BB">
        <w:rPr>
          <w:lang w:val="fr-FR"/>
        </w:rPr>
        <w:t xml:space="preserve"> </w:t>
      </w:r>
      <w:r w:rsidR="0016299F" w:rsidRPr="008544BB">
        <w:rPr>
          <w:lang w:val="fr-FR"/>
        </w:rPr>
        <w:t>ci-dessus)</w:t>
      </w:r>
      <w:r w:rsidR="00214E79" w:rsidRPr="008544BB">
        <w:rPr>
          <w:lang w:val="fr-FR"/>
        </w:rPr>
        <w:t>,</w:t>
      </w:r>
      <w:r w:rsidR="00001975" w:rsidRPr="008544BB">
        <w:rPr>
          <w:lang w:val="fr-FR"/>
        </w:rPr>
        <w:t xml:space="preserve"> </w:t>
      </w:r>
      <w:r w:rsidR="00CF47B1" w:rsidRPr="008544BB">
        <w:rPr>
          <w:lang w:val="fr-FR"/>
        </w:rPr>
        <w:t>qui n</w:t>
      </w:r>
      <w:r w:rsidR="008544BB" w:rsidRPr="008544BB">
        <w:rPr>
          <w:lang w:val="fr-FR"/>
        </w:rPr>
        <w:t>’</w:t>
      </w:r>
      <w:r w:rsidR="00CF47B1" w:rsidRPr="008544BB">
        <w:rPr>
          <w:lang w:val="fr-FR"/>
        </w:rPr>
        <w:t>aurait pas pris en</w:t>
      </w:r>
      <w:r w:rsidR="00074BCA" w:rsidRPr="008544BB">
        <w:rPr>
          <w:lang w:val="fr-FR"/>
        </w:rPr>
        <w:t xml:space="preserve"> compte </w:t>
      </w:r>
      <w:r w:rsidR="00CF47B1" w:rsidRPr="008544BB">
        <w:rPr>
          <w:lang w:val="fr-FR"/>
        </w:rPr>
        <w:t>l</w:t>
      </w:r>
      <w:r w:rsidR="00074BCA" w:rsidRPr="008544BB">
        <w:rPr>
          <w:lang w:val="fr-FR"/>
        </w:rPr>
        <w:t>es</w:t>
      </w:r>
      <w:r w:rsidR="00C43C3D" w:rsidRPr="008544BB">
        <w:rPr>
          <w:lang w:val="fr-FR"/>
        </w:rPr>
        <w:t xml:space="preserve"> </w:t>
      </w:r>
      <w:r w:rsidR="00074BCA" w:rsidRPr="008544BB">
        <w:rPr>
          <w:lang w:val="fr-FR"/>
        </w:rPr>
        <w:t xml:space="preserve">progrès </w:t>
      </w:r>
      <w:r w:rsidR="00F87744" w:rsidRPr="008544BB">
        <w:rPr>
          <w:lang w:val="fr-FR"/>
        </w:rPr>
        <w:t xml:space="preserve">réalisés par </w:t>
      </w:r>
      <w:r w:rsidR="00074BCA" w:rsidRPr="008544BB">
        <w:rPr>
          <w:lang w:val="fr-FR"/>
        </w:rPr>
        <w:t xml:space="preserve">la </w:t>
      </w:r>
      <w:r w:rsidR="00214E79" w:rsidRPr="008544BB">
        <w:rPr>
          <w:lang w:val="fr-FR"/>
        </w:rPr>
        <w:t xml:space="preserve">première requérante quant à sa </w:t>
      </w:r>
      <w:r w:rsidR="00074BCA" w:rsidRPr="008544BB">
        <w:rPr>
          <w:lang w:val="fr-FR"/>
        </w:rPr>
        <w:t xml:space="preserve">personnalité et </w:t>
      </w:r>
      <w:r w:rsidR="00214E79" w:rsidRPr="008544BB">
        <w:rPr>
          <w:lang w:val="fr-FR"/>
        </w:rPr>
        <w:t>à ses</w:t>
      </w:r>
      <w:r w:rsidR="00074BCA" w:rsidRPr="008544BB">
        <w:rPr>
          <w:lang w:val="fr-FR"/>
        </w:rPr>
        <w:t xml:space="preserve"> </w:t>
      </w:r>
      <w:r w:rsidR="000653BF" w:rsidRPr="008544BB">
        <w:rPr>
          <w:lang w:val="fr-FR"/>
        </w:rPr>
        <w:t>condition</w:t>
      </w:r>
      <w:r w:rsidR="00074BCA" w:rsidRPr="008544BB">
        <w:rPr>
          <w:lang w:val="fr-FR"/>
        </w:rPr>
        <w:t>s de vie</w:t>
      </w:r>
      <w:r w:rsidR="00C43C3D" w:rsidRPr="008544BB">
        <w:rPr>
          <w:lang w:val="fr-FR"/>
        </w:rPr>
        <w:t>.</w:t>
      </w:r>
      <w:r w:rsidR="00EF374A" w:rsidRPr="008544BB">
        <w:rPr>
          <w:lang w:val="fr-FR"/>
        </w:rPr>
        <w:t xml:space="preserve"> </w:t>
      </w:r>
      <w:r w:rsidR="00701E55" w:rsidRPr="008544BB">
        <w:rPr>
          <w:lang w:val="fr-FR"/>
        </w:rPr>
        <w:t>En</w:t>
      </w:r>
      <w:r w:rsidR="00EF374A" w:rsidRPr="008544BB">
        <w:rPr>
          <w:lang w:val="fr-FR"/>
        </w:rPr>
        <w:t>fin</w:t>
      </w:r>
      <w:r w:rsidR="00701E55" w:rsidRPr="008544BB">
        <w:rPr>
          <w:lang w:val="fr-FR"/>
        </w:rPr>
        <w:t xml:space="preserve">, </w:t>
      </w:r>
      <w:r w:rsidR="00214E79" w:rsidRPr="008544BB">
        <w:rPr>
          <w:lang w:val="fr-FR"/>
        </w:rPr>
        <w:t>elles</w:t>
      </w:r>
      <w:r w:rsidR="00701E55" w:rsidRPr="008544BB">
        <w:rPr>
          <w:lang w:val="fr-FR"/>
        </w:rPr>
        <w:t xml:space="preserve"> considèrent que le placement des enfants</w:t>
      </w:r>
      <w:r w:rsidR="00074BCA" w:rsidRPr="008544BB">
        <w:rPr>
          <w:lang w:val="fr-FR"/>
        </w:rPr>
        <w:t xml:space="preserve"> en structure d</w:t>
      </w:r>
      <w:r w:rsidR="008544BB" w:rsidRPr="008544BB">
        <w:rPr>
          <w:lang w:val="fr-FR"/>
        </w:rPr>
        <w:t>’</w:t>
      </w:r>
      <w:r w:rsidR="00074BCA" w:rsidRPr="008544BB">
        <w:rPr>
          <w:lang w:val="fr-FR"/>
        </w:rPr>
        <w:t>accueil</w:t>
      </w:r>
      <w:r w:rsidR="00942309" w:rsidRPr="008544BB">
        <w:rPr>
          <w:lang w:val="fr-FR"/>
        </w:rPr>
        <w:t xml:space="preserve">, dont </w:t>
      </w:r>
      <w:r w:rsidR="00214E79" w:rsidRPr="008544BB">
        <w:rPr>
          <w:lang w:val="fr-FR"/>
        </w:rPr>
        <w:t>elles</w:t>
      </w:r>
      <w:r w:rsidR="00942309" w:rsidRPr="008544BB">
        <w:rPr>
          <w:lang w:val="fr-FR"/>
        </w:rPr>
        <w:t xml:space="preserve"> dénoncent le caractère </w:t>
      </w:r>
      <w:r w:rsidR="00942309" w:rsidRPr="008544BB">
        <w:rPr>
          <w:i/>
          <w:lang w:val="fr-FR"/>
        </w:rPr>
        <w:t>de facto</w:t>
      </w:r>
      <w:r w:rsidR="00942309" w:rsidRPr="008544BB">
        <w:rPr>
          <w:lang w:val="fr-FR"/>
        </w:rPr>
        <w:t xml:space="preserve"> permanent, n</w:t>
      </w:r>
      <w:r w:rsidR="008544BB" w:rsidRPr="008544BB">
        <w:rPr>
          <w:lang w:val="fr-FR"/>
        </w:rPr>
        <w:t>’</w:t>
      </w:r>
      <w:r w:rsidR="00942309" w:rsidRPr="008544BB">
        <w:rPr>
          <w:lang w:val="fr-FR"/>
        </w:rPr>
        <w:t>a pas été suivi par la mise en place</w:t>
      </w:r>
      <w:r w:rsidR="00701E55" w:rsidRPr="008544BB">
        <w:rPr>
          <w:lang w:val="fr-FR"/>
        </w:rPr>
        <w:t xml:space="preserve"> </w:t>
      </w:r>
      <w:r w:rsidR="00B83793" w:rsidRPr="008544BB">
        <w:rPr>
          <w:lang w:val="fr-FR"/>
        </w:rPr>
        <w:t xml:space="preserve">de mesures </w:t>
      </w:r>
      <w:r w:rsidR="00FF13B3" w:rsidRPr="008544BB">
        <w:rPr>
          <w:lang w:val="fr-FR"/>
        </w:rPr>
        <w:t>alternatives</w:t>
      </w:r>
      <w:r w:rsidR="00B83793" w:rsidRPr="008544BB">
        <w:rPr>
          <w:lang w:val="fr-FR"/>
        </w:rPr>
        <w:t xml:space="preserve"> </w:t>
      </w:r>
      <w:r w:rsidR="00942309" w:rsidRPr="008544BB">
        <w:rPr>
          <w:lang w:val="fr-FR"/>
        </w:rPr>
        <w:t>visant à favoriser le regroupement familial.</w:t>
      </w:r>
    </w:p>
    <w:p w:rsidR="001F3C47" w:rsidRPr="008544BB" w:rsidRDefault="00EF374A"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63</w:t>
      </w:r>
      <w:r w:rsidRPr="008544BB">
        <w:rPr>
          <w:lang w:val="fr-FR"/>
        </w:rPr>
        <w:fldChar w:fldCharType="end"/>
      </w:r>
      <w:r w:rsidRPr="008544BB">
        <w:rPr>
          <w:lang w:val="fr-FR"/>
        </w:rPr>
        <w:t>.  </w:t>
      </w:r>
      <w:r w:rsidR="00E77CB3" w:rsidRPr="008544BB">
        <w:rPr>
          <w:lang w:val="fr-FR"/>
        </w:rPr>
        <w:t xml:space="preserve">Le Gouvernement </w:t>
      </w:r>
      <w:r w:rsidR="00F87AEB" w:rsidRPr="008544BB">
        <w:rPr>
          <w:lang w:val="fr-FR"/>
        </w:rPr>
        <w:t xml:space="preserve">ne conteste pas le fait que le placement des mineurs </w:t>
      </w:r>
      <w:r w:rsidR="008B3392" w:rsidRPr="008544BB">
        <w:rPr>
          <w:lang w:val="fr-FR"/>
        </w:rPr>
        <w:t xml:space="preserve">a </w:t>
      </w:r>
      <w:r w:rsidR="00F87AEB" w:rsidRPr="008544BB">
        <w:rPr>
          <w:lang w:val="fr-FR"/>
        </w:rPr>
        <w:t>constitu</w:t>
      </w:r>
      <w:r w:rsidR="008B3392" w:rsidRPr="008544BB">
        <w:rPr>
          <w:lang w:val="fr-FR"/>
        </w:rPr>
        <w:t>é</w:t>
      </w:r>
      <w:r w:rsidR="00F87AEB" w:rsidRPr="008544BB">
        <w:rPr>
          <w:lang w:val="fr-FR"/>
        </w:rPr>
        <w:t xml:space="preserve"> une ingérence dans le droit des requérant</w:t>
      </w:r>
      <w:r w:rsidR="003E3CE2" w:rsidRPr="008544BB">
        <w:rPr>
          <w:lang w:val="fr-FR"/>
        </w:rPr>
        <w:t>e</w:t>
      </w:r>
      <w:r w:rsidR="00F87AEB" w:rsidRPr="008544BB">
        <w:rPr>
          <w:lang w:val="fr-FR"/>
        </w:rPr>
        <w:t xml:space="preserve">s au respect de leur vie familiale. Il </w:t>
      </w:r>
      <w:r w:rsidR="005A3BB3" w:rsidRPr="008544BB">
        <w:rPr>
          <w:lang w:val="fr-FR"/>
        </w:rPr>
        <w:t>indique</w:t>
      </w:r>
      <w:r w:rsidR="00F87AEB" w:rsidRPr="008544BB">
        <w:rPr>
          <w:lang w:val="fr-FR"/>
        </w:rPr>
        <w:t xml:space="preserve"> </w:t>
      </w:r>
      <w:r w:rsidR="00074BCA" w:rsidRPr="008544BB">
        <w:rPr>
          <w:lang w:val="fr-FR"/>
        </w:rPr>
        <w:t>toutefois</w:t>
      </w:r>
      <w:r w:rsidR="00F87AEB" w:rsidRPr="008544BB">
        <w:rPr>
          <w:lang w:val="fr-FR"/>
        </w:rPr>
        <w:t xml:space="preserve"> que les autorités nationales sont mieux placées pour prendre en compte les différents intérêts en jeu</w:t>
      </w:r>
      <w:r w:rsidR="005A3BB3" w:rsidRPr="008544BB">
        <w:rPr>
          <w:lang w:val="fr-FR"/>
        </w:rPr>
        <w:t>,</w:t>
      </w:r>
      <w:r w:rsidR="00F87AEB" w:rsidRPr="008544BB">
        <w:rPr>
          <w:lang w:val="fr-FR"/>
        </w:rPr>
        <w:t xml:space="preserve"> car en contact direct avec les personnes impliquées</w:t>
      </w:r>
      <w:r w:rsidR="005A3BB3" w:rsidRPr="008544BB">
        <w:rPr>
          <w:lang w:val="fr-FR"/>
        </w:rPr>
        <w:t>, et qu</w:t>
      </w:r>
      <w:r w:rsidR="008544BB" w:rsidRPr="008544BB">
        <w:rPr>
          <w:lang w:val="fr-FR"/>
        </w:rPr>
        <w:t>’</w:t>
      </w:r>
      <w:r w:rsidR="005A3BB3" w:rsidRPr="008544BB">
        <w:rPr>
          <w:lang w:val="fr-FR"/>
        </w:rPr>
        <w:t>e</w:t>
      </w:r>
      <w:r w:rsidR="00F87AEB" w:rsidRPr="008544BB">
        <w:rPr>
          <w:lang w:val="fr-FR"/>
        </w:rPr>
        <w:t>lles bénéfici</w:t>
      </w:r>
      <w:r w:rsidR="00942309" w:rsidRPr="008544BB">
        <w:rPr>
          <w:lang w:val="fr-FR"/>
        </w:rPr>
        <w:t>e</w:t>
      </w:r>
      <w:r w:rsidR="00F87AEB" w:rsidRPr="008544BB">
        <w:rPr>
          <w:lang w:val="fr-FR"/>
        </w:rPr>
        <w:t>nt dès lors d</w:t>
      </w:r>
      <w:r w:rsidR="008544BB" w:rsidRPr="008544BB">
        <w:rPr>
          <w:lang w:val="fr-FR"/>
        </w:rPr>
        <w:t>’</w:t>
      </w:r>
      <w:r w:rsidR="00F87AEB" w:rsidRPr="008544BB">
        <w:rPr>
          <w:lang w:val="fr-FR"/>
        </w:rPr>
        <w:t>une large marge d</w:t>
      </w:r>
      <w:r w:rsidR="008544BB" w:rsidRPr="008544BB">
        <w:rPr>
          <w:lang w:val="fr-FR"/>
        </w:rPr>
        <w:t>’</w:t>
      </w:r>
      <w:r w:rsidR="00F87AEB" w:rsidRPr="008544BB">
        <w:rPr>
          <w:lang w:val="fr-FR"/>
        </w:rPr>
        <w:t>appréciation.</w:t>
      </w:r>
    </w:p>
    <w:p w:rsidR="00430A40" w:rsidRPr="008544BB" w:rsidRDefault="00B960C3"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64</w:t>
      </w:r>
      <w:r w:rsidRPr="008544BB">
        <w:rPr>
          <w:lang w:val="fr-FR"/>
        </w:rPr>
        <w:fldChar w:fldCharType="end"/>
      </w:r>
      <w:r w:rsidRPr="008544BB">
        <w:rPr>
          <w:lang w:val="fr-FR"/>
        </w:rPr>
        <w:t>.  Le Gouvernement soutient que le trouble « borderline »</w:t>
      </w:r>
      <w:r w:rsidR="005A3BB3" w:rsidRPr="008544BB">
        <w:rPr>
          <w:lang w:val="fr-FR"/>
        </w:rPr>
        <w:t xml:space="preserve"> </w:t>
      </w:r>
      <w:r w:rsidR="00E85F88" w:rsidRPr="008544BB">
        <w:rPr>
          <w:lang w:val="fr-FR"/>
        </w:rPr>
        <w:t xml:space="preserve">présenté par </w:t>
      </w:r>
      <w:r w:rsidR="005A3BB3" w:rsidRPr="008544BB">
        <w:rPr>
          <w:lang w:val="fr-FR"/>
        </w:rPr>
        <w:t>la première requérante</w:t>
      </w:r>
      <w:r w:rsidR="00E85F88" w:rsidRPr="008544BB">
        <w:rPr>
          <w:lang w:val="fr-FR"/>
        </w:rPr>
        <w:t xml:space="preserve"> et</w:t>
      </w:r>
      <w:r w:rsidRPr="008544BB">
        <w:rPr>
          <w:lang w:val="fr-FR"/>
        </w:rPr>
        <w:t xml:space="preserve"> </w:t>
      </w:r>
      <w:r w:rsidR="00E85F88" w:rsidRPr="008544BB">
        <w:rPr>
          <w:lang w:val="fr-FR"/>
        </w:rPr>
        <w:t>certains des aspects de la personnalité de cette dernière – à savoir, selon lui, sa</w:t>
      </w:r>
      <w:r w:rsidRPr="008544BB">
        <w:rPr>
          <w:lang w:val="fr-FR"/>
        </w:rPr>
        <w:t xml:space="preserve"> fragilité, </w:t>
      </w:r>
      <w:r w:rsidR="00E85F88" w:rsidRPr="008544BB">
        <w:rPr>
          <w:lang w:val="fr-FR"/>
        </w:rPr>
        <w:t xml:space="preserve">son </w:t>
      </w:r>
      <w:r w:rsidRPr="008544BB">
        <w:rPr>
          <w:lang w:val="fr-FR"/>
        </w:rPr>
        <w:t xml:space="preserve">immaturité et </w:t>
      </w:r>
      <w:r w:rsidR="00E85F88" w:rsidRPr="008544BB">
        <w:rPr>
          <w:lang w:val="fr-FR"/>
        </w:rPr>
        <w:t xml:space="preserve">son </w:t>
      </w:r>
      <w:r w:rsidRPr="008544BB">
        <w:rPr>
          <w:lang w:val="fr-FR"/>
        </w:rPr>
        <w:t>instabilité émotionnelle</w:t>
      </w:r>
      <w:r w:rsidR="00E85F88" w:rsidRPr="008544BB">
        <w:rPr>
          <w:lang w:val="fr-FR"/>
        </w:rPr>
        <w:t xml:space="preserve"> –</w:t>
      </w:r>
      <w:r w:rsidRPr="008544BB">
        <w:rPr>
          <w:lang w:val="fr-FR"/>
        </w:rPr>
        <w:t xml:space="preserve"> </w:t>
      </w:r>
      <w:r w:rsidR="00CC5F57" w:rsidRPr="008544BB">
        <w:rPr>
          <w:lang w:val="fr-FR"/>
        </w:rPr>
        <w:t>ont eu</w:t>
      </w:r>
      <w:r w:rsidRPr="008544BB">
        <w:rPr>
          <w:lang w:val="fr-FR"/>
        </w:rPr>
        <w:t xml:space="preserve"> un impact </w:t>
      </w:r>
      <w:r w:rsidR="00942309" w:rsidRPr="008544BB">
        <w:rPr>
          <w:lang w:val="fr-FR"/>
        </w:rPr>
        <w:t xml:space="preserve">négatif </w:t>
      </w:r>
      <w:r w:rsidRPr="008544BB">
        <w:rPr>
          <w:lang w:val="fr-FR"/>
        </w:rPr>
        <w:t xml:space="preserve">sur </w:t>
      </w:r>
      <w:r w:rsidR="00CC5F57" w:rsidRPr="008544BB">
        <w:rPr>
          <w:lang w:val="fr-FR"/>
        </w:rPr>
        <w:t>l</w:t>
      </w:r>
      <w:r w:rsidR="00942309" w:rsidRPr="008544BB">
        <w:rPr>
          <w:lang w:val="fr-FR"/>
        </w:rPr>
        <w:t>e développement des</w:t>
      </w:r>
      <w:r w:rsidRPr="008544BB">
        <w:rPr>
          <w:lang w:val="fr-FR"/>
        </w:rPr>
        <w:t xml:space="preserve"> enfants, </w:t>
      </w:r>
      <w:r w:rsidR="005A3BB3" w:rsidRPr="008544BB">
        <w:rPr>
          <w:lang w:val="fr-FR"/>
        </w:rPr>
        <w:t xml:space="preserve">ce qui aurait </w:t>
      </w:r>
      <w:r w:rsidR="00942309" w:rsidRPr="008544BB">
        <w:rPr>
          <w:lang w:val="fr-FR"/>
        </w:rPr>
        <w:t>d</w:t>
      </w:r>
      <w:r w:rsidR="008544BB" w:rsidRPr="008544BB">
        <w:rPr>
          <w:lang w:val="fr-FR"/>
        </w:rPr>
        <w:t>’</w:t>
      </w:r>
      <w:r w:rsidR="00942309" w:rsidRPr="008544BB">
        <w:rPr>
          <w:lang w:val="fr-FR"/>
        </w:rPr>
        <w:t>ailleurs</w:t>
      </w:r>
      <w:r w:rsidRPr="008544BB">
        <w:rPr>
          <w:lang w:val="fr-FR"/>
        </w:rPr>
        <w:t xml:space="preserve"> </w:t>
      </w:r>
      <w:r w:rsidR="005A3BB3" w:rsidRPr="008544BB">
        <w:rPr>
          <w:lang w:val="fr-FR"/>
        </w:rPr>
        <w:t xml:space="preserve">été </w:t>
      </w:r>
      <w:r w:rsidR="00E85F88" w:rsidRPr="008544BB">
        <w:rPr>
          <w:lang w:val="fr-FR"/>
        </w:rPr>
        <w:t>mentionné</w:t>
      </w:r>
      <w:r w:rsidR="005A3BB3" w:rsidRPr="008544BB">
        <w:rPr>
          <w:lang w:val="fr-FR"/>
        </w:rPr>
        <w:t xml:space="preserve"> dans </w:t>
      </w:r>
      <w:r w:rsidRPr="008544BB">
        <w:rPr>
          <w:lang w:val="fr-FR"/>
        </w:rPr>
        <w:t>l</w:t>
      </w:r>
      <w:r w:rsidR="00074BCA" w:rsidRPr="008544BB">
        <w:rPr>
          <w:lang w:val="fr-FR"/>
        </w:rPr>
        <w:t xml:space="preserve">es </w:t>
      </w:r>
      <w:r w:rsidRPr="008544BB">
        <w:rPr>
          <w:lang w:val="fr-FR"/>
        </w:rPr>
        <w:t>expertise</w:t>
      </w:r>
      <w:r w:rsidR="00074BCA" w:rsidRPr="008544BB">
        <w:rPr>
          <w:lang w:val="fr-FR"/>
        </w:rPr>
        <w:t>s</w:t>
      </w:r>
      <w:r w:rsidRPr="008544BB">
        <w:rPr>
          <w:lang w:val="fr-FR"/>
        </w:rPr>
        <w:t xml:space="preserve"> de 2010</w:t>
      </w:r>
      <w:r w:rsidR="00074BCA" w:rsidRPr="008544BB">
        <w:rPr>
          <w:lang w:val="fr-FR"/>
        </w:rPr>
        <w:t xml:space="preserve"> et de </w:t>
      </w:r>
      <w:r w:rsidR="00CC5F57" w:rsidRPr="008544BB">
        <w:rPr>
          <w:lang w:val="fr-FR"/>
        </w:rPr>
        <w:t>2014</w:t>
      </w:r>
      <w:r w:rsidRPr="008544BB">
        <w:rPr>
          <w:lang w:val="fr-FR"/>
        </w:rPr>
        <w:t>.</w:t>
      </w:r>
      <w:r w:rsidR="00942309" w:rsidRPr="008544BB">
        <w:rPr>
          <w:lang w:val="fr-FR"/>
        </w:rPr>
        <w:t xml:space="preserve"> </w:t>
      </w:r>
      <w:r w:rsidR="00F87AEB" w:rsidRPr="008544BB">
        <w:rPr>
          <w:lang w:val="fr-FR"/>
        </w:rPr>
        <w:t>D</w:t>
      </w:r>
      <w:r w:rsidRPr="008544BB">
        <w:rPr>
          <w:lang w:val="fr-FR"/>
        </w:rPr>
        <w:t>ès lors,</w:t>
      </w:r>
      <w:r w:rsidR="00F87AEB" w:rsidRPr="008544BB">
        <w:rPr>
          <w:lang w:val="fr-FR"/>
        </w:rPr>
        <w:t xml:space="preserve"> </w:t>
      </w:r>
      <w:r w:rsidR="009F54EB" w:rsidRPr="008544BB">
        <w:rPr>
          <w:lang w:val="fr-FR"/>
        </w:rPr>
        <w:t xml:space="preserve">pour le Gouvernement, </w:t>
      </w:r>
      <w:r w:rsidR="00F87AEB" w:rsidRPr="008544BB">
        <w:rPr>
          <w:lang w:val="fr-FR"/>
        </w:rPr>
        <w:t xml:space="preserve">les </w:t>
      </w:r>
      <w:r w:rsidR="004B149C" w:rsidRPr="008544BB">
        <w:rPr>
          <w:lang w:val="fr-FR"/>
        </w:rPr>
        <w:t xml:space="preserve">autorités nationales </w:t>
      </w:r>
      <w:r w:rsidR="009F54EB" w:rsidRPr="008544BB">
        <w:rPr>
          <w:lang w:val="fr-FR"/>
        </w:rPr>
        <w:t>o</w:t>
      </w:r>
      <w:r w:rsidR="004B149C" w:rsidRPr="008544BB">
        <w:rPr>
          <w:lang w:val="fr-FR"/>
        </w:rPr>
        <w:t xml:space="preserve">nt adopté les mesures nécessaires à </w:t>
      </w:r>
      <w:r w:rsidR="00E85F88" w:rsidRPr="008544BB">
        <w:rPr>
          <w:lang w:val="fr-FR"/>
        </w:rPr>
        <w:t>la protection de</w:t>
      </w:r>
      <w:r w:rsidR="004B149C" w:rsidRPr="008544BB">
        <w:rPr>
          <w:lang w:val="fr-FR"/>
        </w:rPr>
        <w:t xml:space="preserve"> l</w:t>
      </w:r>
      <w:r w:rsidR="008544BB" w:rsidRPr="008544BB">
        <w:rPr>
          <w:lang w:val="fr-FR"/>
        </w:rPr>
        <w:t>’</w:t>
      </w:r>
      <w:r w:rsidR="004B149C" w:rsidRPr="008544BB">
        <w:rPr>
          <w:lang w:val="fr-FR"/>
        </w:rPr>
        <w:t>intérêt supérieur des mineurs</w:t>
      </w:r>
      <w:r w:rsidR="009F54EB" w:rsidRPr="008544BB">
        <w:rPr>
          <w:lang w:val="fr-FR"/>
        </w:rPr>
        <w:t xml:space="preserve">, </w:t>
      </w:r>
      <w:r w:rsidR="00D549C7" w:rsidRPr="008544BB">
        <w:rPr>
          <w:lang w:val="fr-FR"/>
        </w:rPr>
        <w:t>dans le but d</w:t>
      </w:r>
      <w:r w:rsidR="008544BB" w:rsidRPr="008544BB">
        <w:rPr>
          <w:lang w:val="fr-FR"/>
        </w:rPr>
        <w:t>’</w:t>
      </w:r>
      <w:r w:rsidR="004B149C" w:rsidRPr="008544BB">
        <w:rPr>
          <w:lang w:val="fr-FR"/>
        </w:rPr>
        <w:t xml:space="preserve">ôter les causes </w:t>
      </w:r>
      <w:r w:rsidR="009F54EB" w:rsidRPr="008544BB">
        <w:rPr>
          <w:lang w:val="fr-FR"/>
        </w:rPr>
        <w:t>à l</w:t>
      </w:r>
      <w:r w:rsidR="008544BB" w:rsidRPr="008544BB">
        <w:rPr>
          <w:lang w:val="fr-FR"/>
        </w:rPr>
        <w:t>’</w:t>
      </w:r>
      <w:r w:rsidR="009F54EB" w:rsidRPr="008544BB">
        <w:rPr>
          <w:lang w:val="fr-FR"/>
        </w:rPr>
        <w:t xml:space="preserve">origine </w:t>
      </w:r>
      <w:r w:rsidR="004B149C" w:rsidRPr="008544BB">
        <w:rPr>
          <w:lang w:val="fr-FR"/>
        </w:rPr>
        <w:t>de l</w:t>
      </w:r>
      <w:r w:rsidR="009F54EB" w:rsidRPr="008544BB">
        <w:rPr>
          <w:lang w:val="fr-FR"/>
        </w:rPr>
        <w:t>a</w:t>
      </w:r>
      <w:r w:rsidR="004B149C" w:rsidRPr="008544BB">
        <w:rPr>
          <w:lang w:val="fr-FR"/>
        </w:rPr>
        <w:t xml:space="preserve"> situation d</w:t>
      </w:r>
      <w:r w:rsidR="008544BB" w:rsidRPr="008544BB">
        <w:rPr>
          <w:lang w:val="fr-FR"/>
        </w:rPr>
        <w:t>’</w:t>
      </w:r>
      <w:r w:rsidR="004B149C" w:rsidRPr="008544BB">
        <w:rPr>
          <w:lang w:val="fr-FR"/>
        </w:rPr>
        <w:t>a</w:t>
      </w:r>
      <w:r w:rsidR="00974AF5" w:rsidRPr="008544BB">
        <w:rPr>
          <w:lang w:val="fr-FR"/>
        </w:rPr>
        <w:t>bandon matériel et moral</w:t>
      </w:r>
      <w:r w:rsidR="009F54EB" w:rsidRPr="008544BB">
        <w:rPr>
          <w:lang w:val="fr-FR"/>
        </w:rPr>
        <w:t xml:space="preserve"> difficile dans laquelle ceux-ci se seraient trouvés</w:t>
      </w:r>
      <w:r w:rsidR="00942309" w:rsidRPr="008544BB">
        <w:rPr>
          <w:lang w:val="fr-FR"/>
        </w:rPr>
        <w:t xml:space="preserve"> e</w:t>
      </w:r>
      <w:r w:rsidR="009F54EB" w:rsidRPr="008544BB">
        <w:rPr>
          <w:lang w:val="fr-FR"/>
        </w:rPr>
        <w:t>t, en</w:t>
      </w:r>
      <w:r w:rsidR="00CA596F" w:rsidRPr="008544BB">
        <w:rPr>
          <w:lang w:val="fr-FR"/>
        </w:rPr>
        <w:t xml:space="preserve"> même temps</w:t>
      </w:r>
      <w:r w:rsidR="00066839" w:rsidRPr="008544BB">
        <w:rPr>
          <w:lang w:val="fr-FR"/>
        </w:rPr>
        <w:t>,</w:t>
      </w:r>
      <w:r w:rsidR="00CA596F" w:rsidRPr="008544BB">
        <w:rPr>
          <w:lang w:val="fr-FR"/>
        </w:rPr>
        <w:t xml:space="preserve"> </w:t>
      </w:r>
      <w:r w:rsidR="009F54EB" w:rsidRPr="008544BB">
        <w:rPr>
          <w:lang w:val="fr-FR"/>
        </w:rPr>
        <w:t>d</w:t>
      </w:r>
      <w:r w:rsidR="008544BB" w:rsidRPr="008544BB">
        <w:rPr>
          <w:lang w:val="fr-FR"/>
        </w:rPr>
        <w:t>’</w:t>
      </w:r>
      <w:r w:rsidR="009F54EB" w:rsidRPr="008544BB">
        <w:rPr>
          <w:lang w:val="fr-FR"/>
        </w:rPr>
        <w:t xml:space="preserve">instaurer </w:t>
      </w:r>
      <w:r w:rsidRPr="008544BB">
        <w:rPr>
          <w:lang w:val="fr-FR"/>
        </w:rPr>
        <w:t>un parcours thérapeutique pour le</w:t>
      </w:r>
      <w:r w:rsidR="00974AF5" w:rsidRPr="008544BB">
        <w:rPr>
          <w:lang w:val="fr-FR"/>
        </w:rPr>
        <w:t xml:space="preserve"> </w:t>
      </w:r>
      <w:r w:rsidR="009F54EB" w:rsidRPr="008544BB">
        <w:rPr>
          <w:lang w:val="fr-FR"/>
        </w:rPr>
        <w:t>bon</w:t>
      </w:r>
      <w:r w:rsidR="00974AF5" w:rsidRPr="008544BB">
        <w:rPr>
          <w:lang w:val="fr-FR"/>
        </w:rPr>
        <w:t xml:space="preserve"> développement de leur</w:t>
      </w:r>
      <w:r w:rsidR="009F54EB" w:rsidRPr="008544BB">
        <w:rPr>
          <w:lang w:val="fr-FR"/>
        </w:rPr>
        <w:t>s</w:t>
      </w:r>
      <w:r w:rsidR="00974AF5" w:rsidRPr="008544BB">
        <w:rPr>
          <w:lang w:val="fr-FR"/>
        </w:rPr>
        <w:t xml:space="preserve"> personnalité</w:t>
      </w:r>
      <w:r w:rsidR="00CA0FF8" w:rsidRPr="008544BB">
        <w:rPr>
          <w:lang w:val="fr-FR"/>
        </w:rPr>
        <w:t>s</w:t>
      </w:r>
      <w:r w:rsidR="00430A40" w:rsidRPr="008544BB">
        <w:rPr>
          <w:lang w:val="fr-FR"/>
        </w:rPr>
        <w:t xml:space="preserve"> fragilisées</w:t>
      </w:r>
      <w:r w:rsidR="004B149C" w:rsidRPr="008544BB">
        <w:rPr>
          <w:lang w:val="fr-FR"/>
        </w:rPr>
        <w:t>.</w:t>
      </w:r>
      <w:r w:rsidR="00CA0FF8" w:rsidRPr="008544BB">
        <w:rPr>
          <w:lang w:val="fr-FR"/>
        </w:rPr>
        <w:t xml:space="preserve"> Dans ce contexte, </w:t>
      </w:r>
      <w:r w:rsidR="00605E8E" w:rsidRPr="008544BB">
        <w:rPr>
          <w:lang w:val="fr-FR"/>
        </w:rPr>
        <w:t xml:space="preserve">la </w:t>
      </w:r>
      <w:r w:rsidR="009F54EB" w:rsidRPr="008544BB">
        <w:rPr>
          <w:lang w:val="fr-FR"/>
        </w:rPr>
        <w:t>réduction</w:t>
      </w:r>
      <w:r w:rsidR="004B149C" w:rsidRPr="008544BB">
        <w:rPr>
          <w:lang w:val="fr-FR"/>
        </w:rPr>
        <w:t xml:space="preserve"> progressive du droit de visite de</w:t>
      </w:r>
      <w:r w:rsidR="009F54EB" w:rsidRPr="008544BB">
        <w:rPr>
          <w:lang w:val="fr-FR"/>
        </w:rPr>
        <w:t>s</w:t>
      </w:r>
      <w:r w:rsidR="00074BCA" w:rsidRPr="008544BB">
        <w:rPr>
          <w:lang w:val="fr-FR"/>
        </w:rPr>
        <w:t xml:space="preserve"> requérante</w:t>
      </w:r>
      <w:r w:rsidR="009F54EB" w:rsidRPr="008544BB">
        <w:rPr>
          <w:lang w:val="fr-FR"/>
        </w:rPr>
        <w:t>s</w:t>
      </w:r>
      <w:r w:rsidR="00605E8E" w:rsidRPr="008544BB">
        <w:rPr>
          <w:lang w:val="fr-FR"/>
        </w:rPr>
        <w:t xml:space="preserve"> aurait ainsi été justifiée</w:t>
      </w:r>
      <w:r w:rsidR="004B149C" w:rsidRPr="008544BB">
        <w:rPr>
          <w:lang w:val="fr-FR"/>
        </w:rPr>
        <w:t>.</w:t>
      </w:r>
      <w:r w:rsidR="002D69E3" w:rsidRPr="008544BB">
        <w:rPr>
          <w:lang w:val="fr-FR"/>
        </w:rPr>
        <w:t xml:space="preserve"> </w:t>
      </w:r>
      <w:r w:rsidR="00CC5F57" w:rsidRPr="008544BB">
        <w:rPr>
          <w:lang w:val="fr-FR"/>
        </w:rPr>
        <w:t>À</w:t>
      </w:r>
      <w:r w:rsidR="002D69E3" w:rsidRPr="008544BB">
        <w:rPr>
          <w:lang w:val="fr-FR"/>
        </w:rPr>
        <w:t xml:space="preserve"> cet égard, le Gouvernement conteste </w:t>
      </w:r>
      <w:r w:rsidR="00026501" w:rsidRPr="008544BB">
        <w:rPr>
          <w:lang w:val="fr-FR"/>
        </w:rPr>
        <w:t>la version des faits d</w:t>
      </w:r>
      <w:r w:rsidR="002D69E3" w:rsidRPr="008544BB">
        <w:rPr>
          <w:lang w:val="fr-FR"/>
        </w:rPr>
        <w:t>es requérant</w:t>
      </w:r>
      <w:r w:rsidR="003E3CE2" w:rsidRPr="008544BB">
        <w:rPr>
          <w:lang w:val="fr-FR"/>
        </w:rPr>
        <w:t>e</w:t>
      </w:r>
      <w:r w:rsidR="002D69E3" w:rsidRPr="008544BB">
        <w:rPr>
          <w:lang w:val="fr-FR"/>
        </w:rPr>
        <w:t xml:space="preserve">s </w:t>
      </w:r>
      <w:r w:rsidR="00026501" w:rsidRPr="008544BB">
        <w:rPr>
          <w:lang w:val="fr-FR"/>
        </w:rPr>
        <w:t xml:space="preserve">et il indique </w:t>
      </w:r>
      <w:r w:rsidR="00E85531" w:rsidRPr="008544BB">
        <w:rPr>
          <w:lang w:val="fr-FR"/>
        </w:rPr>
        <w:t>que</w:t>
      </w:r>
      <w:r w:rsidR="002D69E3" w:rsidRPr="008544BB">
        <w:rPr>
          <w:lang w:val="fr-FR"/>
        </w:rPr>
        <w:t xml:space="preserve"> le</w:t>
      </w:r>
      <w:r w:rsidR="00074BCA" w:rsidRPr="008544BB">
        <w:rPr>
          <w:lang w:val="fr-FR"/>
        </w:rPr>
        <w:t xml:space="preserve"> lien </w:t>
      </w:r>
      <w:r w:rsidR="00026501" w:rsidRPr="008544BB">
        <w:rPr>
          <w:lang w:val="fr-FR"/>
        </w:rPr>
        <w:t>entre celles-ci et les enfants</w:t>
      </w:r>
      <w:r w:rsidR="00074BCA" w:rsidRPr="008544BB">
        <w:rPr>
          <w:lang w:val="fr-FR"/>
        </w:rPr>
        <w:t xml:space="preserve"> n</w:t>
      </w:r>
      <w:r w:rsidR="008544BB" w:rsidRPr="008544BB">
        <w:rPr>
          <w:lang w:val="fr-FR"/>
        </w:rPr>
        <w:t>’</w:t>
      </w:r>
      <w:r w:rsidR="00074BCA" w:rsidRPr="008544BB">
        <w:rPr>
          <w:lang w:val="fr-FR"/>
        </w:rPr>
        <w:t xml:space="preserve">a jamais été </w:t>
      </w:r>
      <w:r w:rsidR="00E85531" w:rsidRPr="008544BB">
        <w:rPr>
          <w:lang w:val="fr-FR"/>
        </w:rPr>
        <w:t>rompu</w:t>
      </w:r>
      <w:r w:rsidR="002D69E3" w:rsidRPr="008544BB">
        <w:rPr>
          <w:lang w:val="fr-FR"/>
        </w:rPr>
        <w:t>.</w:t>
      </w:r>
      <w:r w:rsidR="00CA0FF8" w:rsidRPr="008544BB">
        <w:rPr>
          <w:lang w:val="fr-FR"/>
        </w:rPr>
        <w:t xml:space="preserve"> </w:t>
      </w:r>
      <w:r w:rsidR="00E85531" w:rsidRPr="008544BB">
        <w:rPr>
          <w:lang w:val="fr-FR"/>
        </w:rPr>
        <w:t>Il ajoute que</w:t>
      </w:r>
      <w:r w:rsidR="008B3392" w:rsidRPr="008544BB">
        <w:rPr>
          <w:lang w:val="fr-FR"/>
        </w:rPr>
        <w:t>, à la différence de l</w:t>
      </w:r>
      <w:r w:rsidR="008544BB" w:rsidRPr="008544BB">
        <w:rPr>
          <w:lang w:val="fr-FR"/>
        </w:rPr>
        <w:t>’</w:t>
      </w:r>
      <w:r w:rsidR="008B3392" w:rsidRPr="008544BB">
        <w:rPr>
          <w:lang w:val="fr-FR"/>
        </w:rPr>
        <w:t xml:space="preserve">affaire </w:t>
      </w:r>
      <w:r w:rsidR="008B3392" w:rsidRPr="008544BB">
        <w:rPr>
          <w:i/>
          <w:lang w:val="fr-FR"/>
        </w:rPr>
        <w:t>Zhou c. Italie</w:t>
      </w:r>
      <w:r w:rsidR="008B3392" w:rsidRPr="008544BB">
        <w:rPr>
          <w:lang w:val="fr-FR"/>
        </w:rPr>
        <w:t xml:space="preserve"> (n</w:t>
      </w:r>
      <w:r w:rsidR="008B3392" w:rsidRPr="008544BB">
        <w:rPr>
          <w:vertAlign w:val="superscript"/>
          <w:lang w:val="fr-FR"/>
        </w:rPr>
        <w:t>o</w:t>
      </w:r>
      <w:r w:rsidR="008B3392" w:rsidRPr="008544BB">
        <w:rPr>
          <w:lang w:val="fr-FR"/>
        </w:rPr>
        <w:t> 33773/11, 21 janvier 2014),</w:t>
      </w:r>
      <w:r w:rsidR="00E85531" w:rsidRPr="008544BB">
        <w:rPr>
          <w:lang w:val="fr-FR"/>
        </w:rPr>
        <w:t xml:space="preserve"> la présente espèce se caractérise par le fait que les juges nationaux ont garanti une révision fréquente de la décision de placement des enfants</w:t>
      </w:r>
      <w:r w:rsidR="00430A40" w:rsidRPr="008544BB">
        <w:rPr>
          <w:lang w:val="fr-FR"/>
        </w:rPr>
        <w:t>.</w:t>
      </w:r>
    </w:p>
    <w:bookmarkStart w:id="22" w:name="ECART_EXPERTISES"/>
    <w:p w:rsidR="004B0531" w:rsidRPr="008544BB" w:rsidRDefault="004B0531"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65</w:t>
      </w:r>
      <w:r w:rsidRPr="008544BB">
        <w:rPr>
          <w:lang w:val="fr-FR"/>
        </w:rPr>
        <w:fldChar w:fldCharType="end"/>
      </w:r>
      <w:bookmarkEnd w:id="22"/>
      <w:r w:rsidRPr="008544BB">
        <w:rPr>
          <w:lang w:val="fr-FR"/>
        </w:rPr>
        <w:t>.  </w:t>
      </w:r>
      <w:r w:rsidR="00CA0FF8" w:rsidRPr="008544BB">
        <w:rPr>
          <w:lang w:val="fr-FR"/>
        </w:rPr>
        <w:t>Quant à la suspension de l</w:t>
      </w:r>
      <w:r w:rsidR="008544BB" w:rsidRPr="008544BB">
        <w:rPr>
          <w:lang w:val="fr-FR"/>
        </w:rPr>
        <w:t>’</w:t>
      </w:r>
      <w:r w:rsidR="00CA0FF8" w:rsidRPr="008544BB">
        <w:rPr>
          <w:lang w:val="fr-FR"/>
        </w:rPr>
        <w:t xml:space="preserve">autorité parentale, </w:t>
      </w:r>
      <w:r w:rsidR="002102E0" w:rsidRPr="008544BB">
        <w:rPr>
          <w:lang w:val="fr-FR"/>
        </w:rPr>
        <w:t>le Gouvernement soutient qu</w:t>
      </w:r>
      <w:r w:rsidR="008544BB" w:rsidRPr="008544BB">
        <w:rPr>
          <w:lang w:val="fr-FR"/>
        </w:rPr>
        <w:t>’</w:t>
      </w:r>
      <w:r w:rsidR="00CA0FF8" w:rsidRPr="008544BB">
        <w:rPr>
          <w:lang w:val="fr-FR"/>
        </w:rPr>
        <w:t xml:space="preserve">elle a été </w:t>
      </w:r>
      <w:r w:rsidR="002102E0" w:rsidRPr="008544BB">
        <w:rPr>
          <w:lang w:val="fr-FR"/>
        </w:rPr>
        <w:t>décidée</w:t>
      </w:r>
      <w:r w:rsidR="00CA0FF8" w:rsidRPr="008544BB">
        <w:rPr>
          <w:lang w:val="fr-FR"/>
        </w:rPr>
        <w:t xml:space="preserve"> seulement après </w:t>
      </w:r>
      <w:r w:rsidR="002775E0" w:rsidRPr="008544BB">
        <w:rPr>
          <w:lang w:val="fr-FR"/>
        </w:rPr>
        <w:t>l</w:t>
      </w:r>
      <w:r w:rsidR="008544BB" w:rsidRPr="008544BB">
        <w:rPr>
          <w:lang w:val="fr-FR"/>
        </w:rPr>
        <w:t>’</w:t>
      </w:r>
      <w:r w:rsidR="002775E0" w:rsidRPr="008544BB">
        <w:rPr>
          <w:lang w:val="fr-FR"/>
        </w:rPr>
        <w:t>échec des</w:t>
      </w:r>
      <w:r w:rsidR="00CA0FF8" w:rsidRPr="008544BB">
        <w:rPr>
          <w:lang w:val="fr-FR"/>
        </w:rPr>
        <w:t xml:space="preserve"> autres tentatives </w:t>
      </w:r>
      <w:r w:rsidR="00385E21" w:rsidRPr="008544BB">
        <w:rPr>
          <w:lang w:val="fr-FR"/>
        </w:rPr>
        <w:t>entreprises</w:t>
      </w:r>
      <w:r w:rsidR="002775E0" w:rsidRPr="008544BB">
        <w:rPr>
          <w:lang w:val="fr-FR"/>
        </w:rPr>
        <w:t xml:space="preserve"> pour</w:t>
      </w:r>
      <w:r w:rsidR="00CA0FF8" w:rsidRPr="008544BB">
        <w:rPr>
          <w:lang w:val="fr-FR"/>
        </w:rPr>
        <w:t xml:space="preserve"> convaincre la première requérante </w:t>
      </w:r>
      <w:r w:rsidR="002775E0" w:rsidRPr="008544BB">
        <w:rPr>
          <w:lang w:val="fr-FR"/>
        </w:rPr>
        <w:t>de</w:t>
      </w:r>
      <w:r w:rsidR="00CA0FF8" w:rsidRPr="008544BB">
        <w:rPr>
          <w:lang w:val="fr-FR"/>
        </w:rPr>
        <w:t xml:space="preserve"> coopérer avec les autorités. </w:t>
      </w:r>
      <w:r w:rsidR="00385E21" w:rsidRPr="008544BB">
        <w:rPr>
          <w:lang w:val="fr-FR"/>
        </w:rPr>
        <w:t xml:space="preserve">En outre, </w:t>
      </w:r>
      <w:r w:rsidR="00BE4E67" w:rsidRPr="008544BB">
        <w:rPr>
          <w:lang w:val="fr-FR"/>
        </w:rPr>
        <w:t>en ce qui concerne les raisons expliquant le laps de temps observé</w:t>
      </w:r>
      <w:r w:rsidRPr="008544BB">
        <w:rPr>
          <w:lang w:val="fr-FR"/>
        </w:rPr>
        <w:t xml:space="preserve"> entre l</w:t>
      </w:r>
      <w:r w:rsidR="008544BB" w:rsidRPr="008544BB">
        <w:rPr>
          <w:lang w:val="fr-FR"/>
        </w:rPr>
        <w:t>’</w:t>
      </w:r>
      <w:r w:rsidRPr="008544BB">
        <w:rPr>
          <w:lang w:val="fr-FR"/>
        </w:rPr>
        <w:t>expertise</w:t>
      </w:r>
      <w:r w:rsidR="00074BCA" w:rsidRPr="008544BB">
        <w:rPr>
          <w:lang w:val="fr-FR"/>
        </w:rPr>
        <w:t xml:space="preserve"> du 19</w:t>
      </w:r>
      <w:r w:rsidR="002775E0" w:rsidRPr="008544BB">
        <w:rPr>
          <w:lang w:val="fr-FR"/>
        </w:rPr>
        <w:t> </w:t>
      </w:r>
      <w:r w:rsidR="00074BCA" w:rsidRPr="008544BB">
        <w:rPr>
          <w:lang w:val="fr-FR"/>
        </w:rPr>
        <w:t>mai 2010</w:t>
      </w:r>
      <w:r w:rsidRPr="008544BB">
        <w:rPr>
          <w:lang w:val="fr-FR"/>
        </w:rPr>
        <w:t xml:space="preserve"> et </w:t>
      </w:r>
      <w:r w:rsidR="00074BCA" w:rsidRPr="008544BB">
        <w:rPr>
          <w:lang w:val="fr-FR"/>
        </w:rPr>
        <w:t>celle du</w:t>
      </w:r>
      <w:r w:rsidRPr="008544BB">
        <w:rPr>
          <w:lang w:val="fr-FR"/>
        </w:rPr>
        <w:t xml:space="preserve"> 17</w:t>
      </w:r>
      <w:r w:rsidR="00BE4E67" w:rsidRPr="008544BB">
        <w:rPr>
          <w:lang w:val="fr-FR"/>
        </w:rPr>
        <w:t> </w:t>
      </w:r>
      <w:r w:rsidRPr="008544BB">
        <w:rPr>
          <w:lang w:val="fr-FR"/>
        </w:rPr>
        <w:t>novembre 2014</w:t>
      </w:r>
      <w:r w:rsidR="00BE4E67" w:rsidRPr="008544BB">
        <w:rPr>
          <w:lang w:val="fr-FR"/>
        </w:rPr>
        <w:t xml:space="preserve">, il indique que </w:t>
      </w:r>
      <w:r w:rsidRPr="008544BB">
        <w:rPr>
          <w:lang w:val="fr-FR"/>
        </w:rPr>
        <w:t xml:space="preserve">le diagnostic de personnalité « borderline » </w:t>
      </w:r>
      <w:r w:rsidR="004C2B11" w:rsidRPr="008544BB">
        <w:rPr>
          <w:lang w:val="fr-FR"/>
        </w:rPr>
        <w:t>comporte</w:t>
      </w:r>
      <w:r w:rsidRPr="008544BB">
        <w:rPr>
          <w:lang w:val="fr-FR"/>
        </w:rPr>
        <w:t xml:space="preserve"> un pronosti</w:t>
      </w:r>
      <w:r w:rsidR="00BE4E67" w:rsidRPr="008544BB">
        <w:rPr>
          <w:lang w:val="fr-FR"/>
        </w:rPr>
        <w:t>c</w:t>
      </w:r>
      <w:r w:rsidRPr="008544BB">
        <w:rPr>
          <w:lang w:val="fr-FR"/>
        </w:rPr>
        <w:t xml:space="preserve"> négatif </w:t>
      </w:r>
      <w:r w:rsidR="004C2B11" w:rsidRPr="008544BB">
        <w:rPr>
          <w:lang w:val="fr-FR"/>
        </w:rPr>
        <w:t>quant aux</w:t>
      </w:r>
      <w:r w:rsidRPr="008544BB">
        <w:rPr>
          <w:lang w:val="fr-FR"/>
        </w:rPr>
        <w:t xml:space="preserve"> possibilité</w:t>
      </w:r>
      <w:r w:rsidR="004C2B11" w:rsidRPr="008544BB">
        <w:rPr>
          <w:lang w:val="fr-FR"/>
        </w:rPr>
        <w:t>s</w:t>
      </w:r>
      <w:r w:rsidRPr="008544BB">
        <w:rPr>
          <w:lang w:val="fr-FR"/>
        </w:rPr>
        <w:t xml:space="preserve"> </w:t>
      </w:r>
      <w:r w:rsidR="0044574C" w:rsidRPr="008544BB">
        <w:rPr>
          <w:lang w:val="fr-FR"/>
        </w:rPr>
        <w:t>pour l</w:t>
      </w:r>
      <w:r w:rsidR="008544BB" w:rsidRPr="008544BB">
        <w:rPr>
          <w:lang w:val="fr-FR"/>
        </w:rPr>
        <w:t>’</w:t>
      </w:r>
      <w:r w:rsidR="0044574C" w:rsidRPr="008544BB">
        <w:rPr>
          <w:lang w:val="fr-FR"/>
        </w:rPr>
        <w:t xml:space="preserve">individu </w:t>
      </w:r>
      <w:r w:rsidRPr="008544BB">
        <w:rPr>
          <w:lang w:val="fr-FR"/>
        </w:rPr>
        <w:t>d</w:t>
      </w:r>
      <w:r w:rsidR="008544BB" w:rsidRPr="008544BB">
        <w:rPr>
          <w:lang w:val="fr-FR"/>
        </w:rPr>
        <w:t>’</w:t>
      </w:r>
      <w:r w:rsidR="004C2B11" w:rsidRPr="008544BB">
        <w:rPr>
          <w:lang w:val="fr-FR"/>
        </w:rPr>
        <w:t>obtenir des</w:t>
      </w:r>
      <w:r w:rsidR="00CA596F" w:rsidRPr="008544BB">
        <w:rPr>
          <w:lang w:val="fr-FR"/>
        </w:rPr>
        <w:t xml:space="preserve"> progrès significatifs</w:t>
      </w:r>
      <w:r w:rsidR="00EF374A" w:rsidRPr="008544BB">
        <w:rPr>
          <w:lang w:val="fr-FR"/>
        </w:rPr>
        <w:t xml:space="preserve"> </w:t>
      </w:r>
      <w:r w:rsidR="0044574C" w:rsidRPr="008544BB">
        <w:rPr>
          <w:lang w:val="fr-FR"/>
        </w:rPr>
        <w:t>sur le court terme</w:t>
      </w:r>
      <w:r w:rsidR="00BE4E67" w:rsidRPr="008544BB">
        <w:rPr>
          <w:lang w:val="fr-FR"/>
        </w:rPr>
        <w:t> ; il</w:t>
      </w:r>
      <w:r w:rsidR="00BC53AB" w:rsidRPr="008544BB">
        <w:rPr>
          <w:lang w:val="fr-FR"/>
        </w:rPr>
        <w:t xml:space="preserve"> </w:t>
      </w:r>
      <w:r w:rsidR="00BE4E67" w:rsidRPr="008544BB">
        <w:rPr>
          <w:lang w:val="fr-FR"/>
        </w:rPr>
        <w:t>ajoute que c</w:t>
      </w:r>
      <w:r w:rsidR="008544BB" w:rsidRPr="008544BB">
        <w:rPr>
          <w:lang w:val="fr-FR"/>
        </w:rPr>
        <w:t>’</w:t>
      </w:r>
      <w:r w:rsidR="00BE4E67" w:rsidRPr="008544BB">
        <w:rPr>
          <w:lang w:val="fr-FR"/>
        </w:rPr>
        <w:t xml:space="preserve">est </w:t>
      </w:r>
      <w:r w:rsidR="00CA596F" w:rsidRPr="008544BB">
        <w:rPr>
          <w:lang w:val="fr-FR"/>
        </w:rPr>
        <w:t>pour cette raison q</w:t>
      </w:r>
      <w:r w:rsidRPr="008544BB">
        <w:rPr>
          <w:lang w:val="fr-FR"/>
        </w:rPr>
        <w:t>u</w:t>
      </w:r>
      <w:r w:rsidR="00221AF8" w:rsidRPr="008544BB">
        <w:rPr>
          <w:lang w:val="fr-FR"/>
        </w:rPr>
        <w:t xml:space="preserve">e </w:t>
      </w:r>
      <w:r w:rsidR="00EF374A" w:rsidRPr="008544BB">
        <w:rPr>
          <w:lang w:val="fr-FR"/>
        </w:rPr>
        <w:t xml:space="preserve">la deuxième expertise </w:t>
      </w:r>
      <w:r w:rsidR="00074BCA" w:rsidRPr="008544BB">
        <w:rPr>
          <w:lang w:val="fr-FR"/>
        </w:rPr>
        <w:t>n</w:t>
      </w:r>
      <w:r w:rsidR="008544BB" w:rsidRPr="008544BB">
        <w:rPr>
          <w:lang w:val="fr-FR"/>
        </w:rPr>
        <w:t>’</w:t>
      </w:r>
      <w:r w:rsidR="00EF374A" w:rsidRPr="008544BB">
        <w:rPr>
          <w:lang w:val="fr-FR"/>
        </w:rPr>
        <w:t xml:space="preserve">a été ordonnée </w:t>
      </w:r>
      <w:r w:rsidR="00074BCA" w:rsidRPr="008544BB">
        <w:rPr>
          <w:lang w:val="fr-FR"/>
        </w:rPr>
        <w:t>qu</w:t>
      </w:r>
      <w:r w:rsidR="008544BB" w:rsidRPr="008544BB">
        <w:rPr>
          <w:lang w:val="fr-FR"/>
        </w:rPr>
        <w:t>’</w:t>
      </w:r>
      <w:r w:rsidR="00CA0FF8" w:rsidRPr="008544BB">
        <w:rPr>
          <w:lang w:val="fr-FR"/>
        </w:rPr>
        <w:t xml:space="preserve">en mars 2014, après </w:t>
      </w:r>
      <w:r w:rsidR="00074BCA" w:rsidRPr="008544BB">
        <w:rPr>
          <w:lang w:val="fr-FR"/>
        </w:rPr>
        <w:t xml:space="preserve">le </w:t>
      </w:r>
      <w:r w:rsidR="00EF374A" w:rsidRPr="008544BB">
        <w:rPr>
          <w:lang w:val="fr-FR"/>
        </w:rPr>
        <w:t>signalement des</w:t>
      </w:r>
      <w:r w:rsidRPr="008544BB">
        <w:rPr>
          <w:lang w:val="fr-FR"/>
        </w:rPr>
        <w:t xml:space="preserve"> services sociaux</w:t>
      </w:r>
      <w:r w:rsidR="0044574C" w:rsidRPr="008544BB">
        <w:rPr>
          <w:lang w:val="fr-FR"/>
        </w:rPr>
        <w:t xml:space="preserve"> relatif à </w:t>
      </w:r>
      <w:r w:rsidR="004C2B11" w:rsidRPr="008544BB">
        <w:rPr>
          <w:lang w:val="fr-FR"/>
        </w:rPr>
        <w:t>une amélioration g</w:t>
      </w:r>
      <w:r w:rsidR="00CA0FF8" w:rsidRPr="008544BB">
        <w:rPr>
          <w:lang w:val="fr-FR"/>
        </w:rPr>
        <w:t>lobale</w:t>
      </w:r>
      <w:r w:rsidR="004C2B11" w:rsidRPr="008544BB">
        <w:rPr>
          <w:lang w:val="fr-FR"/>
        </w:rPr>
        <w:t xml:space="preserve"> </w:t>
      </w:r>
      <w:r w:rsidR="00172499" w:rsidRPr="008544BB">
        <w:rPr>
          <w:lang w:val="fr-FR"/>
        </w:rPr>
        <w:t>de l</w:t>
      </w:r>
      <w:r w:rsidR="002F06E8" w:rsidRPr="008544BB">
        <w:rPr>
          <w:lang w:val="fr-FR"/>
        </w:rPr>
        <w:t xml:space="preserve">a situation </w:t>
      </w:r>
      <w:r w:rsidR="004C2B11" w:rsidRPr="008544BB">
        <w:rPr>
          <w:lang w:val="fr-FR"/>
        </w:rPr>
        <w:t>de la première requérante.</w:t>
      </w:r>
    </w:p>
    <w:p w:rsidR="00E77CB3" w:rsidRPr="008544BB" w:rsidRDefault="0044574C" w:rsidP="008544BB">
      <w:pPr>
        <w:pStyle w:val="ECHRPara"/>
        <w:rPr>
          <w:lang w:val="fr-FR"/>
        </w:rPr>
      </w:pPr>
      <w:r w:rsidRPr="008544BB">
        <w:rPr>
          <w:lang w:val="fr-FR"/>
        </w:rPr>
        <w:lastRenderedPageBreak/>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66</w:t>
      </w:r>
      <w:r w:rsidRPr="008544BB">
        <w:rPr>
          <w:lang w:val="fr-FR"/>
        </w:rPr>
        <w:fldChar w:fldCharType="end"/>
      </w:r>
      <w:r w:rsidRPr="008544BB">
        <w:rPr>
          <w:lang w:val="fr-FR"/>
        </w:rPr>
        <w:t>.  </w:t>
      </w:r>
      <w:r w:rsidR="002C48D3" w:rsidRPr="008544BB">
        <w:rPr>
          <w:lang w:val="fr-FR"/>
        </w:rPr>
        <w:t>En conclusion, le Gouvernement estime que les mes</w:t>
      </w:r>
      <w:r w:rsidR="00912CDF" w:rsidRPr="008544BB">
        <w:rPr>
          <w:lang w:val="fr-FR"/>
        </w:rPr>
        <w:t>ures adoptées dans la présente affaire ont été adéquates et proportionnées</w:t>
      </w:r>
      <w:r w:rsidR="00FA28A0" w:rsidRPr="008544BB">
        <w:rPr>
          <w:lang w:val="fr-FR"/>
        </w:rPr>
        <w:t>, ainsi qu</w:t>
      </w:r>
      <w:r w:rsidR="00336378" w:rsidRPr="008544BB">
        <w:rPr>
          <w:lang w:val="fr-FR"/>
        </w:rPr>
        <w:t xml:space="preserve">e </w:t>
      </w:r>
      <w:r w:rsidR="00FA28A0" w:rsidRPr="008544BB">
        <w:rPr>
          <w:lang w:val="fr-FR"/>
        </w:rPr>
        <w:t>pleinement</w:t>
      </w:r>
      <w:r w:rsidR="00912CDF" w:rsidRPr="008544BB">
        <w:rPr>
          <w:lang w:val="fr-FR"/>
        </w:rPr>
        <w:t xml:space="preserve"> nécessaire</w:t>
      </w:r>
      <w:r w:rsidR="00FA28A0" w:rsidRPr="008544BB">
        <w:rPr>
          <w:lang w:val="fr-FR"/>
        </w:rPr>
        <w:t>s à</w:t>
      </w:r>
      <w:r w:rsidR="00912CDF" w:rsidRPr="008544BB">
        <w:rPr>
          <w:lang w:val="fr-FR"/>
        </w:rPr>
        <w:t xml:space="preserve"> </w:t>
      </w:r>
      <w:r w:rsidR="00BE4E67" w:rsidRPr="008544BB">
        <w:rPr>
          <w:lang w:val="fr-FR"/>
        </w:rPr>
        <w:t xml:space="preserve">la </w:t>
      </w:r>
      <w:r w:rsidR="00912CDF" w:rsidRPr="008544BB">
        <w:rPr>
          <w:lang w:val="fr-FR"/>
        </w:rPr>
        <w:t>prot</w:t>
      </w:r>
      <w:r w:rsidR="00BE4E67" w:rsidRPr="008544BB">
        <w:rPr>
          <w:lang w:val="fr-FR"/>
        </w:rPr>
        <w:t>ection de</w:t>
      </w:r>
      <w:r w:rsidR="00912CDF" w:rsidRPr="008544BB">
        <w:rPr>
          <w:lang w:val="fr-FR"/>
        </w:rPr>
        <w:t xml:space="preserve"> l</w:t>
      </w:r>
      <w:r w:rsidR="008544BB" w:rsidRPr="008544BB">
        <w:rPr>
          <w:lang w:val="fr-FR"/>
        </w:rPr>
        <w:t>’</w:t>
      </w:r>
      <w:r w:rsidR="00912CDF" w:rsidRPr="008544BB">
        <w:rPr>
          <w:lang w:val="fr-FR"/>
        </w:rPr>
        <w:t>intérêt supérieur des mineurs.</w:t>
      </w:r>
    </w:p>
    <w:p w:rsidR="003F350E" w:rsidRPr="008544BB" w:rsidRDefault="00BF45CA" w:rsidP="008544BB">
      <w:pPr>
        <w:pStyle w:val="ECHRHeading3"/>
        <w:rPr>
          <w:lang w:val="fr-FR"/>
        </w:rPr>
      </w:pPr>
      <w:r w:rsidRPr="008544BB">
        <w:rPr>
          <w:lang w:val="fr-FR"/>
        </w:rPr>
        <w:t>2.  </w:t>
      </w:r>
      <w:r w:rsidR="003F350E" w:rsidRPr="008544BB">
        <w:rPr>
          <w:lang w:val="fr-FR"/>
        </w:rPr>
        <w:t>Appréciation de la Cour</w:t>
      </w:r>
    </w:p>
    <w:p w:rsidR="00E77CB3" w:rsidRPr="008544BB" w:rsidRDefault="004A4240" w:rsidP="008544BB">
      <w:pPr>
        <w:pStyle w:val="ECHRPara"/>
        <w:rPr>
          <w:i/>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67</w:t>
      </w:r>
      <w:r w:rsidRPr="008544BB">
        <w:rPr>
          <w:lang w:val="fr-FR"/>
        </w:rPr>
        <w:fldChar w:fldCharType="end"/>
      </w:r>
      <w:r w:rsidR="00E77CB3" w:rsidRPr="008544BB">
        <w:rPr>
          <w:lang w:val="fr-FR"/>
        </w:rPr>
        <w:t>.  L</w:t>
      </w:r>
      <w:r w:rsidR="00BC53AB" w:rsidRPr="008544BB">
        <w:rPr>
          <w:lang w:val="fr-FR"/>
        </w:rPr>
        <w:t>a Cour renvoie aux</w:t>
      </w:r>
      <w:r w:rsidR="00BA00ED" w:rsidRPr="008544BB">
        <w:rPr>
          <w:lang w:val="fr-FR"/>
        </w:rPr>
        <w:t xml:space="preserve"> principes généraux applicables </w:t>
      </w:r>
      <w:r w:rsidR="00BC53AB" w:rsidRPr="008544BB">
        <w:rPr>
          <w:lang w:val="fr-FR"/>
        </w:rPr>
        <w:t xml:space="preserve">en la matière, </w:t>
      </w:r>
      <w:r w:rsidR="00BA00ED" w:rsidRPr="008544BB">
        <w:rPr>
          <w:lang w:val="fr-FR"/>
        </w:rPr>
        <w:t>récemment rappelés</w:t>
      </w:r>
      <w:r w:rsidR="0075575F" w:rsidRPr="008544BB">
        <w:rPr>
          <w:lang w:val="fr-FR"/>
        </w:rPr>
        <w:t xml:space="preserve"> dans les arrêts </w:t>
      </w:r>
      <w:r w:rsidR="0041214E" w:rsidRPr="008544BB">
        <w:rPr>
          <w:i/>
          <w:lang w:val="fr-FR"/>
        </w:rPr>
        <w:t>Soares de Melo c.</w:t>
      </w:r>
      <w:r w:rsidR="009640BC" w:rsidRPr="008544BB">
        <w:rPr>
          <w:i/>
          <w:lang w:val="fr-FR"/>
        </w:rPr>
        <w:t> </w:t>
      </w:r>
      <w:r w:rsidR="0041214E" w:rsidRPr="008544BB">
        <w:rPr>
          <w:i/>
          <w:lang w:val="fr-FR"/>
        </w:rPr>
        <w:t>Portugal</w:t>
      </w:r>
      <w:r w:rsidR="0041214E" w:rsidRPr="008544BB">
        <w:rPr>
          <w:lang w:val="fr-FR"/>
        </w:rPr>
        <w:t xml:space="preserve"> (n</w:t>
      </w:r>
      <w:r w:rsidR="0041214E" w:rsidRPr="008544BB">
        <w:rPr>
          <w:vertAlign w:val="superscript"/>
          <w:lang w:val="fr-FR"/>
        </w:rPr>
        <w:t>o</w:t>
      </w:r>
      <w:r w:rsidR="00BC53AB" w:rsidRPr="008544BB">
        <w:rPr>
          <w:lang w:val="fr-FR"/>
        </w:rPr>
        <w:t> </w:t>
      </w:r>
      <w:r w:rsidR="0041214E" w:rsidRPr="008544BB">
        <w:rPr>
          <w:lang w:val="fr-FR"/>
        </w:rPr>
        <w:t>72850/14</w:t>
      </w:r>
      <w:r w:rsidR="0041214E" w:rsidRPr="008544BB">
        <w:rPr>
          <w:snapToGrid w:val="0"/>
          <w:lang w:val="fr-FR"/>
        </w:rPr>
        <w:t xml:space="preserve">, §§ 88-94, 16 </w:t>
      </w:r>
      <w:r w:rsidR="0041214E" w:rsidRPr="008544BB">
        <w:rPr>
          <w:lang w:val="fr-FR"/>
        </w:rPr>
        <w:t>février</w:t>
      </w:r>
      <w:r w:rsidR="0041214E" w:rsidRPr="008544BB">
        <w:rPr>
          <w:snapToGrid w:val="0"/>
          <w:lang w:val="fr-FR"/>
        </w:rPr>
        <w:t xml:space="preserve"> 2016),</w:t>
      </w:r>
      <w:r w:rsidR="00FB46DE" w:rsidRPr="008544BB">
        <w:rPr>
          <w:lang w:val="fr-FR"/>
        </w:rPr>
        <w:t xml:space="preserve"> </w:t>
      </w:r>
      <w:r w:rsidR="0075575F" w:rsidRPr="008544BB">
        <w:rPr>
          <w:i/>
          <w:lang w:val="fr-FR"/>
        </w:rPr>
        <w:t>R.M.S.</w:t>
      </w:r>
      <w:r w:rsidR="0075575F" w:rsidRPr="008544BB">
        <w:rPr>
          <w:snapToGrid w:val="0"/>
          <w:lang w:val="fr-FR"/>
        </w:rPr>
        <w:t xml:space="preserve"> </w:t>
      </w:r>
      <w:r w:rsidR="009640BC" w:rsidRPr="008544BB">
        <w:rPr>
          <w:i/>
          <w:lang w:val="fr-FR"/>
        </w:rPr>
        <w:t xml:space="preserve">c. </w:t>
      </w:r>
      <w:r w:rsidR="00FB46DE" w:rsidRPr="008544BB">
        <w:rPr>
          <w:i/>
          <w:lang w:val="fr-FR"/>
        </w:rPr>
        <w:t>Espagne</w:t>
      </w:r>
      <w:r w:rsidR="00FB46DE" w:rsidRPr="008544BB">
        <w:rPr>
          <w:snapToGrid w:val="0"/>
          <w:lang w:val="fr-FR"/>
        </w:rPr>
        <w:t xml:space="preserve"> </w:t>
      </w:r>
      <w:r w:rsidR="0041214E" w:rsidRPr="008544BB">
        <w:rPr>
          <w:snapToGrid w:val="0"/>
          <w:lang w:val="fr-FR"/>
        </w:rPr>
        <w:t>(</w:t>
      </w:r>
      <w:r w:rsidR="0075575F" w:rsidRPr="008544BB">
        <w:rPr>
          <w:snapToGrid w:val="0"/>
          <w:lang w:val="fr-FR"/>
        </w:rPr>
        <w:t>n</w:t>
      </w:r>
      <w:r w:rsidR="0075575F" w:rsidRPr="008544BB">
        <w:rPr>
          <w:snapToGrid w:val="0"/>
          <w:vertAlign w:val="superscript"/>
          <w:lang w:val="fr-FR"/>
        </w:rPr>
        <w:t>o</w:t>
      </w:r>
      <w:r w:rsidR="009640BC" w:rsidRPr="008544BB">
        <w:rPr>
          <w:snapToGrid w:val="0"/>
          <w:lang w:val="fr-FR"/>
        </w:rPr>
        <w:t> </w:t>
      </w:r>
      <w:r w:rsidR="0075575F" w:rsidRPr="008544BB">
        <w:rPr>
          <w:snapToGrid w:val="0"/>
          <w:lang w:val="fr-FR"/>
        </w:rPr>
        <w:t>28775/12, §§</w:t>
      </w:r>
      <w:r w:rsidR="009640BC" w:rsidRPr="008544BB">
        <w:rPr>
          <w:snapToGrid w:val="0"/>
          <w:lang w:val="fr-FR"/>
        </w:rPr>
        <w:t> </w:t>
      </w:r>
      <w:r w:rsidR="0075575F" w:rsidRPr="008544BB">
        <w:rPr>
          <w:snapToGrid w:val="0"/>
          <w:lang w:val="fr-FR"/>
        </w:rPr>
        <w:t>69-72, 18 juin 2013</w:t>
      </w:r>
      <w:r w:rsidR="0041214E" w:rsidRPr="008544BB">
        <w:rPr>
          <w:snapToGrid w:val="0"/>
          <w:lang w:val="fr-FR"/>
        </w:rPr>
        <w:t>)</w:t>
      </w:r>
      <w:r w:rsidR="00FE232A" w:rsidRPr="008544BB">
        <w:rPr>
          <w:snapToGrid w:val="0"/>
          <w:lang w:val="fr-FR"/>
        </w:rPr>
        <w:t>,</w:t>
      </w:r>
      <w:r w:rsidR="0041214E" w:rsidRPr="008544BB">
        <w:rPr>
          <w:snapToGrid w:val="0"/>
          <w:lang w:val="fr-FR"/>
        </w:rPr>
        <w:t xml:space="preserve"> et</w:t>
      </w:r>
      <w:r w:rsidR="00CA0FF8" w:rsidRPr="008544BB">
        <w:rPr>
          <w:snapToGrid w:val="0"/>
          <w:lang w:val="fr-FR"/>
        </w:rPr>
        <w:t xml:space="preserve"> </w:t>
      </w:r>
      <w:r w:rsidR="00E43C7C" w:rsidRPr="008544BB">
        <w:rPr>
          <w:i/>
          <w:lang w:val="fr-FR"/>
        </w:rPr>
        <w:t>Y</w:t>
      </w:r>
      <w:r w:rsidR="0041214E" w:rsidRPr="008544BB">
        <w:rPr>
          <w:i/>
          <w:lang w:val="fr-FR"/>
        </w:rPr>
        <w:t>.C. c. </w:t>
      </w:r>
      <w:r w:rsidR="00FB46DE" w:rsidRPr="008544BB">
        <w:rPr>
          <w:i/>
          <w:lang w:val="fr-FR"/>
        </w:rPr>
        <w:t>Royaume-Uni</w:t>
      </w:r>
      <w:r w:rsidR="00FB46DE" w:rsidRPr="008544BB">
        <w:rPr>
          <w:lang w:val="fr-FR"/>
        </w:rPr>
        <w:t xml:space="preserve"> </w:t>
      </w:r>
      <w:r w:rsidR="0041214E" w:rsidRPr="008544BB">
        <w:rPr>
          <w:lang w:val="fr-FR"/>
        </w:rPr>
        <w:t>(</w:t>
      </w:r>
      <w:r w:rsidR="00E43C7C" w:rsidRPr="008544BB">
        <w:rPr>
          <w:lang w:val="fr-FR"/>
        </w:rPr>
        <w:t>n</w:t>
      </w:r>
      <w:r w:rsidR="00E43C7C" w:rsidRPr="008544BB">
        <w:rPr>
          <w:vertAlign w:val="superscript"/>
          <w:lang w:val="fr-FR"/>
        </w:rPr>
        <w:t>o</w:t>
      </w:r>
      <w:r w:rsidR="00E43C7C" w:rsidRPr="008544BB">
        <w:rPr>
          <w:lang w:val="fr-FR"/>
        </w:rPr>
        <w:t xml:space="preserve"> 4547/10</w:t>
      </w:r>
      <w:r w:rsidR="009640BC" w:rsidRPr="008544BB">
        <w:rPr>
          <w:snapToGrid w:val="0"/>
          <w:szCs w:val="24"/>
          <w:lang w:val="fr-FR"/>
        </w:rPr>
        <w:t>, §§ </w:t>
      </w:r>
      <w:r w:rsidR="00E43C7C" w:rsidRPr="008544BB">
        <w:rPr>
          <w:snapToGrid w:val="0"/>
          <w:szCs w:val="24"/>
          <w:lang w:val="fr-FR"/>
        </w:rPr>
        <w:t xml:space="preserve">133-139, 13 </w:t>
      </w:r>
      <w:r w:rsidR="00E43C7C" w:rsidRPr="008544BB">
        <w:rPr>
          <w:szCs w:val="24"/>
          <w:lang w:val="fr-FR"/>
        </w:rPr>
        <w:t>mars</w:t>
      </w:r>
      <w:r w:rsidR="00E43C7C" w:rsidRPr="008544BB">
        <w:rPr>
          <w:snapToGrid w:val="0"/>
          <w:szCs w:val="24"/>
          <w:lang w:val="fr-FR"/>
        </w:rPr>
        <w:t xml:space="preserve"> 2012)</w:t>
      </w:r>
      <w:r w:rsidR="00CA6556" w:rsidRPr="008544BB">
        <w:rPr>
          <w:lang w:val="fr-FR"/>
        </w:rPr>
        <w:t>.</w:t>
      </w:r>
    </w:p>
    <w:p w:rsidR="007E2802" w:rsidRPr="008544BB" w:rsidRDefault="00E57623"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68</w:t>
      </w:r>
      <w:r w:rsidRPr="008544BB">
        <w:rPr>
          <w:lang w:val="fr-FR"/>
        </w:rPr>
        <w:fldChar w:fldCharType="end"/>
      </w:r>
      <w:r w:rsidRPr="008544BB">
        <w:rPr>
          <w:lang w:val="fr-FR"/>
        </w:rPr>
        <w:t>.  </w:t>
      </w:r>
      <w:r w:rsidR="00BC53AB" w:rsidRPr="008544BB">
        <w:rPr>
          <w:lang w:val="fr-FR"/>
        </w:rPr>
        <w:t>S</w:t>
      </w:r>
      <w:r w:rsidRPr="008544BB">
        <w:rPr>
          <w:lang w:val="fr-FR"/>
        </w:rPr>
        <w:t>e tournant vers la présente</w:t>
      </w:r>
      <w:r w:rsidR="00BE2121" w:rsidRPr="008544BB">
        <w:rPr>
          <w:lang w:val="fr-FR"/>
        </w:rPr>
        <w:t xml:space="preserve"> affaire, la Cour </w:t>
      </w:r>
      <w:r w:rsidR="0077068F" w:rsidRPr="008544BB">
        <w:rPr>
          <w:lang w:val="fr-FR"/>
        </w:rPr>
        <w:t>note</w:t>
      </w:r>
      <w:r w:rsidR="00BE2121" w:rsidRPr="008544BB">
        <w:rPr>
          <w:lang w:val="fr-FR"/>
        </w:rPr>
        <w:t xml:space="preserve"> qu</w:t>
      </w:r>
      <w:r w:rsidR="008544BB" w:rsidRPr="008544BB">
        <w:rPr>
          <w:lang w:val="fr-FR"/>
        </w:rPr>
        <w:t>’</w:t>
      </w:r>
      <w:r w:rsidR="00BE2121" w:rsidRPr="008544BB">
        <w:rPr>
          <w:lang w:val="fr-FR"/>
        </w:rPr>
        <w:t>il n</w:t>
      </w:r>
      <w:r w:rsidR="008544BB" w:rsidRPr="008544BB">
        <w:rPr>
          <w:lang w:val="fr-FR"/>
        </w:rPr>
        <w:t>’</w:t>
      </w:r>
      <w:r w:rsidR="00BE2121" w:rsidRPr="008544BB">
        <w:rPr>
          <w:lang w:val="fr-FR"/>
        </w:rPr>
        <w:t xml:space="preserve">est pas </w:t>
      </w:r>
      <w:r w:rsidR="007B08DE" w:rsidRPr="008544BB">
        <w:rPr>
          <w:lang w:val="fr-FR"/>
        </w:rPr>
        <w:t>contesté</w:t>
      </w:r>
      <w:r w:rsidR="00BE2121" w:rsidRPr="008544BB">
        <w:rPr>
          <w:lang w:val="fr-FR"/>
        </w:rPr>
        <w:t xml:space="preserve"> que l</w:t>
      </w:r>
      <w:r w:rsidR="007E2802" w:rsidRPr="008544BB">
        <w:rPr>
          <w:lang w:val="fr-FR"/>
        </w:rPr>
        <w:t xml:space="preserve">es décisions </w:t>
      </w:r>
      <w:r w:rsidR="00BC53AB" w:rsidRPr="008544BB">
        <w:rPr>
          <w:lang w:val="fr-FR"/>
        </w:rPr>
        <w:t xml:space="preserve">ayant </w:t>
      </w:r>
      <w:r w:rsidR="007E2802" w:rsidRPr="008544BB">
        <w:rPr>
          <w:lang w:val="fr-FR"/>
        </w:rPr>
        <w:t>ordonn</w:t>
      </w:r>
      <w:r w:rsidR="00BC53AB" w:rsidRPr="008544BB">
        <w:rPr>
          <w:lang w:val="fr-FR"/>
        </w:rPr>
        <w:t>é</w:t>
      </w:r>
      <w:r w:rsidR="007E2802" w:rsidRPr="008544BB">
        <w:rPr>
          <w:lang w:val="fr-FR"/>
        </w:rPr>
        <w:t xml:space="preserve"> le</w:t>
      </w:r>
      <w:r w:rsidR="00BE2121" w:rsidRPr="008544BB">
        <w:rPr>
          <w:lang w:val="fr-FR"/>
        </w:rPr>
        <w:t xml:space="preserve"> placement des enfants</w:t>
      </w:r>
      <w:r w:rsidR="0044574C" w:rsidRPr="008544BB">
        <w:rPr>
          <w:lang w:val="fr-FR"/>
        </w:rPr>
        <w:t xml:space="preserve"> et encadr</w:t>
      </w:r>
      <w:r w:rsidR="00BC53AB" w:rsidRPr="008544BB">
        <w:rPr>
          <w:lang w:val="fr-FR"/>
        </w:rPr>
        <w:t>é</w:t>
      </w:r>
      <w:r w:rsidR="0044574C" w:rsidRPr="008544BB">
        <w:rPr>
          <w:lang w:val="fr-FR"/>
        </w:rPr>
        <w:t xml:space="preserve"> le droit de visite</w:t>
      </w:r>
      <w:r w:rsidR="00BE2121" w:rsidRPr="008544BB">
        <w:rPr>
          <w:lang w:val="fr-FR"/>
        </w:rPr>
        <w:t xml:space="preserve"> </w:t>
      </w:r>
      <w:r w:rsidR="00BC53AB" w:rsidRPr="008544BB">
        <w:rPr>
          <w:lang w:val="fr-FR"/>
        </w:rPr>
        <w:t xml:space="preserve">ont </w:t>
      </w:r>
      <w:r w:rsidR="00BE2121" w:rsidRPr="008544BB">
        <w:rPr>
          <w:lang w:val="fr-FR"/>
        </w:rPr>
        <w:t>constitu</w:t>
      </w:r>
      <w:r w:rsidR="00BC53AB" w:rsidRPr="008544BB">
        <w:rPr>
          <w:lang w:val="fr-FR"/>
        </w:rPr>
        <w:t>é</w:t>
      </w:r>
      <w:r w:rsidR="00BE2121" w:rsidRPr="008544BB">
        <w:rPr>
          <w:lang w:val="fr-FR"/>
        </w:rPr>
        <w:t xml:space="preserve"> une ingé</w:t>
      </w:r>
      <w:r w:rsidR="007E2802" w:rsidRPr="008544BB">
        <w:rPr>
          <w:lang w:val="fr-FR"/>
        </w:rPr>
        <w:t>rence dans le droit des requérant</w:t>
      </w:r>
      <w:r w:rsidR="003E3CE2" w:rsidRPr="008544BB">
        <w:rPr>
          <w:lang w:val="fr-FR"/>
        </w:rPr>
        <w:t>e</w:t>
      </w:r>
      <w:r w:rsidR="007E2802" w:rsidRPr="008544BB">
        <w:rPr>
          <w:lang w:val="fr-FR"/>
        </w:rPr>
        <w:t xml:space="preserve">s. </w:t>
      </w:r>
      <w:r w:rsidR="00885D66" w:rsidRPr="008544BB">
        <w:rPr>
          <w:lang w:val="fr-FR"/>
        </w:rPr>
        <w:t>La Cour note aussi qu</w:t>
      </w:r>
      <w:r w:rsidR="008544BB" w:rsidRPr="008544BB">
        <w:rPr>
          <w:lang w:val="fr-FR"/>
        </w:rPr>
        <w:t>’</w:t>
      </w:r>
      <w:r w:rsidR="00885D66" w:rsidRPr="008544BB">
        <w:rPr>
          <w:lang w:val="fr-FR"/>
        </w:rPr>
        <w:t>i</w:t>
      </w:r>
      <w:r w:rsidR="007B08DE" w:rsidRPr="008544BB">
        <w:rPr>
          <w:lang w:val="fr-FR"/>
        </w:rPr>
        <w:t>l n</w:t>
      </w:r>
      <w:r w:rsidR="008544BB" w:rsidRPr="008544BB">
        <w:rPr>
          <w:lang w:val="fr-FR"/>
        </w:rPr>
        <w:t>’</w:t>
      </w:r>
      <w:r w:rsidR="007B08DE" w:rsidRPr="008544BB">
        <w:rPr>
          <w:lang w:val="fr-FR"/>
        </w:rPr>
        <w:t xml:space="preserve">est pas </w:t>
      </w:r>
      <w:r w:rsidR="00BC53AB" w:rsidRPr="008544BB">
        <w:rPr>
          <w:lang w:val="fr-FR"/>
        </w:rPr>
        <w:t>soutenu</w:t>
      </w:r>
      <w:r w:rsidR="007B08DE" w:rsidRPr="008544BB">
        <w:rPr>
          <w:lang w:val="fr-FR"/>
        </w:rPr>
        <w:t xml:space="preserve"> par </w:t>
      </w:r>
      <w:r w:rsidR="0044574C" w:rsidRPr="008544BB">
        <w:rPr>
          <w:lang w:val="fr-FR"/>
        </w:rPr>
        <w:t>ces derni</w:t>
      </w:r>
      <w:r w:rsidR="00BC53AB" w:rsidRPr="008544BB">
        <w:rPr>
          <w:lang w:val="fr-FR"/>
        </w:rPr>
        <w:t>ères</w:t>
      </w:r>
      <w:r w:rsidR="007B08DE" w:rsidRPr="008544BB">
        <w:rPr>
          <w:lang w:val="fr-FR"/>
        </w:rPr>
        <w:t xml:space="preserve"> que </w:t>
      </w:r>
      <w:r w:rsidR="00BC53AB" w:rsidRPr="008544BB">
        <w:rPr>
          <w:lang w:val="fr-FR"/>
        </w:rPr>
        <w:t>c</w:t>
      </w:r>
      <w:r w:rsidR="007E2802" w:rsidRPr="008544BB">
        <w:rPr>
          <w:lang w:val="fr-FR"/>
        </w:rPr>
        <w:t>es</w:t>
      </w:r>
      <w:r w:rsidRPr="008544BB">
        <w:rPr>
          <w:lang w:val="fr-FR"/>
        </w:rPr>
        <w:t xml:space="preserve"> </w:t>
      </w:r>
      <w:r w:rsidR="007E2802" w:rsidRPr="008544BB">
        <w:rPr>
          <w:lang w:val="fr-FR"/>
        </w:rPr>
        <w:t>décisions</w:t>
      </w:r>
      <w:r w:rsidR="007B08DE" w:rsidRPr="008544BB">
        <w:rPr>
          <w:lang w:val="fr-FR"/>
        </w:rPr>
        <w:t xml:space="preserve"> </w:t>
      </w:r>
      <w:r w:rsidR="00FB46DE" w:rsidRPr="008544BB">
        <w:rPr>
          <w:lang w:val="fr-FR"/>
        </w:rPr>
        <w:t xml:space="preserve">ne </w:t>
      </w:r>
      <w:r w:rsidR="007E2802" w:rsidRPr="008544BB">
        <w:rPr>
          <w:lang w:val="fr-FR"/>
        </w:rPr>
        <w:t>reposaient</w:t>
      </w:r>
      <w:r w:rsidR="00AB72D4" w:rsidRPr="008544BB">
        <w:rPr>
          <w:lang w:val="fr-FR"/>
        </w:rPr>
        <w:t xml:space="preserve"> </w:t>
      </w:r>
      <w:r w:rsidR="00FB46DE" w:rsidRPr="008544BB">
        <w:rPr>
          <w:lang w:val="fr-FR"/>
        </w:rPr>
        <w:t xml:space="preserve">pas </w:t>
      </w:r>
      <w:r w:rsidR="00AB72D4" w:rsidRPr="008544BB">
        <w:rPr>
          <w:lang w:val="fr-FR"/>
        </w:rPr>
        <w:t>sur une disposition de loi ou qu</w:t>
      </w:r>
      <w:r w:rsidR="008544BB" w:rsidRPr="008544BB">
        <w:rPr>
          <w:lang w:val="fr-FR"/>
        </w:rPr>
        <w:t>’</w:t>
      </w:r>
      <w:r w:rsidR="00AB72D4" w:rsidRPr="008544BB">
        <w:rPr>
          <w:lang w:val="fr-FR"/>
        </w:rPr>
        <w:t>elles</w:t>
      </w:r>
      <w:r w:rsidR="007E2802" w:rsidRPr="008544BB">
        <w:rPr>
          <w:lang w:val="fr-FR"/>
        </w:rPr>
        <w:t xml:space="preserve"> </w:t>
      </w:r>
      <w:r w:rsidR="00FB46DE" w:rsidRPr="008544BB">
        <w:rPr>
          <w:lang w:val="fr-FR"/>
        </w:rPr>
        <w:t xml:space="preserve">ne </w:t>
      </w:r>
      <w:r w:rsidR="007E2802" w:rsidRPr="008544BB">
        <w:rPr>
          <w:lang w:val="fr-FR"/>
        </w:rPr>
        <w:t>poursuivaient</w:t>
      </w:r>
      <w:r w:rsidR="00FB46DE" w:rsidRPr="008544BB">
        <w:rPr>
          <w:lang w:val="fr-FR"/>
        </w:rPr>
        <w:t xml:space="preserve"> pas</w:t>
      </w:r>
      <w:r w:rsidR="007E2802" w:rsidRPr="008544BB">
        <w:rPr>
          <w:lang w:val="fr-FR"/>
        </w:rPr>
        <w:t xml:space="preserve"> un but légitime. </w:t>
      </w:r>
      <w:r w:rsidR="00885D66" w:rsidRPr="008544BB">
        <w:rPr>
          <w:lang w:val="fr-FR"/>
        </w:rPr>
        <w:t xml:space="preserve">Elle </w:t>
      </w:r>
      <w:r w:rsidR="007E2802" w:rsidRPr="008544BB">
        <w:rPr>
          <w:lang w:val="fr-FR"/>
        </w:rPr>
        <w:t>re</w:t>
      </w:r>
      <w:r w:rsidR="009A7907" w:rsidRPr="008544BB">
        <w:rPr>
          <w:lang w:val="fr-FR"/>
        </w:rPr>
        <w:t>lève à cet égard</w:t>
      </w:r>
      <w:r w:rsidR="007E2802" w:rsidRPr="008544BB">
        <w:rPr>
          <w:lang w:val="fr-FR"/>
        </w:rPr>
        <w:t xml:space="preserve"> que la première de ces exigences, telle </w:t>
      </w:r>
      <w:r w:rsidR="00885D66" w:rsidRPr="008544BB">
        <w:rPr>
          <w:lang w:val="fr-FR"/>
        </w:rPr>
        <w:t xml:space="preserve">que </w:t>
      </w:r>
      <w:r w:rsidR="007E2802" w:rsidRPr="008544BB">
        <w:rPr>
          <w:lang w:val="fr-FR"/>
        </w:rPr>
        <w:t>définie</w:t>
      </w:r>
      <w:r w:rsidR="00BC53AB" w:rsidRPr="008544BB">
        <w:rPr>
          <w:lang w:val="fr-FR"/>
        </w:rPr>
        <w:t xml:space="preserve"> par</w:t>
      </w:r>
      <w:r w:rsidR="007E2802" w:rsidRPr="008544BB">
        <w:rPr>
          <w:lang w:val="fr-FR"/>
        </w:rPr>
        <w:t xml:space="preserve"> sa jurisprudence, </w:t>
      </w:r>
      <w:r w:rsidR="00885D66" w:rsidRPr="008544BB">
        <w:rPr>
          <w:lang w:val="fr-FR"/>
        </w:rPr>
        <w:t>a été</w:t>
      </w:r>
      <w:r w:rsidR="007E2802" w:rsidRPr="008544BB">
        <w:rPr>
          <w:lang w:val="fr-FR"/>
        </w:rPr>
        <w:t xml:space="preserve"> respectée et que, </w:t>
      </w:r>
      <w:r w:rsidR="00885D66" w:rsidRPr="008544BB">
        <w:rPr>
          <w:lang w:val="fr-FR"/>
        </w:rPr>
        <w:t>s</w:t>
      </w:r>
      <w:r w:rsidR="008544BB" w:rsidRPr="008544BB">
        <w:rPr>
          <w:lang w:val="fr-FR"/>
        </w:rPr>
        <w:t>’</w:t>
      </w:r>
      <w:r w:rsidR="00885D66" w:rsidRPr="008544BB">
        <w:rPr>
          <w:lang w:val="fr-FR"/>
        </w:rPr>
        <w:t>agissant de la deuxième, relative au</w:t>
      </w:r>
      <w:r w:rsidR="007E2802" w:rsidRPr="008544BB">
        <w:rPr>
          <w:lang w:val="fr-FR"/>
        </w:rPr>
        <w:t xml:space="preserve"> but légitime</w:t>
      </w:r>
      <w:r w:rsidR="00885D66" w:rsidRPr="008544BB">
        <w:rPr>
          <w:lang w:val="fr-FR"/>
        </w:rPr>
        <w:t xml:space="preserve"> poursuivi</w:t>
      </w:r>
      <w:r w:rsidR="007E2802" w:rsidRPr="008544BB">
        <w:rPr>
          <w:lang w:val="fr-FR"/>
        </w:rPr>
        <w:t>, les mesures prises visaient la protection de l</w:t>
      </w:r>
      <w:r w:rsidR="008544BB" w:rsidRPr="008544BB">
        <w:rPr>
          <w:lang w:val="fr-FR"/>
        </w:rPr>
        <w:t>’</w:t>
      </w:r>
      <w:r w:rsidR="00A37523" w:rsidRPr="008544BB">
        <w:rPr>
          <w:lang w:val="fr-FR"/>
        </w:rPr>
        <w:t>intégrité</w:t>
      </w:r>
      <w:r w:rsidR="0000728E" w:rsidRPr="008544BB">
        <w:rPr>
          <w:lang w:val="fr-FR"/>
        </w:rPr>
        <w:t xml:space="preserve"> physique</w:t>
      </w:r>
      <w:r w:rsidR="00A37523" w:rsidRPr="008544BB">
        <w:rPr>
          <w:lang w:val="fr-FR"/>
        </w:rPr>
        <w:t xml:space="preserve"> et</w:t>
      </w:r>
      <w:r w:rsidR="0000728E" w:rsidRPr="008544BB">
        <w:rPr>
          <w:lang w:val="fr-FR"/>
        </w:rPr>
        <w:t xml:space="preserve"> </w:t>
      </w:r>
      <w:r w:rsidR="00A37523" w:rsidRPr="008544BB">
        <w:rPr>
          <w:lang w:val="fr-FR"/>
        </w:rPr>
        <w:t xml:space="preserve">psychique </w:t>
      </w:r>
      <w:r w:rsidR="0000728E" w:rsidRPr="008544BB">
        <w:rPr>
          <w:lang w:val="fr-FR"/>
        </w:rPr>
        <w:t>des enfants</w:t>
      </w:r>
      <w:r w:rsidR="0044574C" w:rsidRPr="008544BB">
        <w:rPr>
          <w:lang w:val="fr-FR"/>
        </w:rPr>
        <w:t>.</w:t>
      </w:r>
    </w:p>
    <w:p w:rsidR="007B08DE" w:rsidRPr="008544BB" w:rsidRDefault="007E2802"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69</w:t>
      </w:r>
      <w:r w:rsidRPr="008544BB">
        <w:rPr>
          <w:lang w:val="fr-FR"/>
        </w:rPr>
        <w:fldChar w:fldCharType="end"/>
      </w:r>
      <w:r w:rsidRPr="008544BB">
        <w:rPr>
          <w:lang w:val="fr-FR"/>
        </w:rPr>
        <w:t>.  </w:t>
      </w:r>
      <w:r w:rsidR="009925A1" w:rsidRPr="008544BB">
        <w:rPr>
          <w:lang w:val="fr-FR"/>
        </w:rPr>
        <w:t>En ce qui concerne la « </w:t>
      </w:r>
      <w:r w:rsidR="00074BCA" w:rsidRPr="008544BB">
        <w:rPr>
          <w:lang w:val="fr-FR"/>
        </w:rPr>
        <w:t>nécessité</w:t>
      </w:r>
      <w:r w:rsidR="009925A1" w:rsidRPr="008544BB">
        <w:rPr>
          <w:lang w:val="fr-FR"/>
        </w:rPr>
        <w:t> »</w:t>
      </w:r>
      <w:r w:rsidRPr="008544BB">
        <w:rPr>
          <w:lang w:val="fr-FR"/>
        </w:rPr>
        <w:t xml:space="preserve"> </w:t>
      </w:r>
      <w:r w:rsidR="009925A1" w:rsidRPr="008544BB">
        <w:rPr>
          <w:lang w:val="fr-FR"/>
        </w:rPr>
        <w:t>d</w:t>
      </w:r>
      <w:r w:rsidR="00E57623" w:rsidRPr="008544BB">
        <w:rPr>
          <w:lang w:val="fr-FR"/>
        </w:rPr>
        <w:t>es mesures prises par les autorités</w:t>
      </w:r>
      <w:r w:rsidR="009925A1" w:rsidRPr="008544BB">
        <w:rPr>
          <w:lang w:val="fr-FR"/>
        </w:rPr>
        <w:t xml:space="preserve">, </w:t>
      </w:r>
      <w:r w:rsidR="00074BCA" w:rsidRPr="008544BB">
        <w:rPr>
          <w:lang w:val="fr-FR"/>
        </w:rPr>
        <w:t>l</w:t>
      </w:r>
      <w:r w:rsidR="0075575F" w:rsidRPr="008544BB">
        <w:rPr>
          <w:lang w:val="fr-FR"/>
        </w:rPr>
        <w:t xml:space="preserve">a Cour </w:t>
      </w:r>
      <w:r w:rsidR="00E352FE" w:rsidRPr="008544BB">
        <w:rPr>
          <w:lang w:val="fr-FR"/>
        </w:rPr>
        <w:t>observe</w:t>
      </w:r>
      <w:r w:rsidR="008D1293" w:rsidRPr="008544BB">
        <w:rPr>
          <w:lang w:val="fr-FR"/>
        </w:rPr>
        <w:t xml:space="preserve"> que le placement </w:t>
      </w:r>
      <w:r w:rsidR="00885D66" w:rsidRPr="008544BB">
        <w:rPr>
          <w:lang w:val="fr-FR"/>
        </w:rPr>
        <w:t>litigieux</w:t>
      </w:r>
      <w:r w:rsidR="003A3696" w:rsidRPr="008544BB">
        <w:rPr>
          <w:lang w:val="fr-FR"/>
        </w:rPr>
        <w:t xml:space="preserve">, </w:t>
      </w:r>
      <w:r w:rsidR="00B32995" w:rsidRPr="008544BB">
        <w:rPr>
          <w:lang w:val="fr-FR"/>
        </w:rPr>
        <w:t>intervenu</w:t>
      </w:r>
      <w:r w:rsidR="003A3696" w:rsidRPr="008544BB">
        <w:rPr>
          <w:lang w:val="fr-FR"/>
        </w:rPr>
        <w:t xml:space="preserve"> en exécution d</w:t>
      </w:r>
      <w:r w:rsidR="008544BB" w:rsidRPr="008544BB">
        <w:rPr>
          <w:lang w:val="fr-FR"/>
        </w:rPr>
        <w:t>’</w:t>
      </w:r>
      <w:r w:rsidR="003A3696" w:rsidRPr="008544BB">
        <w:rPr>
          <w:lang w:val="fr-FR"/>
        </w:rPr>
        <w:t xml:space="preserve">une décision provisoire </w:t>
      </w:r>
      <w:r w:rsidR="002D2717" w:rsidRPr="008544BB">
        <w:rPr>
          <w:lang w:val="fr-FR"/>
        </w:rPr>
        <w:t>adoptée</w:t>
      </w:r>
      <w:r w:rsidR="003A3696" w:rsidRPr="008544BB">
        <w:rPr>
          <w:lang w:val="fr-FR"/>
        </w:rPr>
        <w:t xml:space="preserve"> en urgence,</w:t>
      </w:r>
      <w:r w:rsidR="00885D66" w:rsidRPr="008544BB">
        <w:rPr>
          <w:lang w:val="fr-FR"/>
        </w:rPr>
        <w:t xml:space="preserve"> a </w:t>
      </w:r>
      <w:r w:rsidR="00B32995" w:rsidRPr="008544BB">
        <w:rPr>
          <w:lang w:val="fr-FR"/>
        </w:rPr>
        <w:t>pris effet</w:t>
      </w:r>
      <w:r w:rsidR="008D1293" w:rsidRPr="008544BB">
        <w:rPr>
          <w:lang w:val="fr-FR"/>
        </w:rPr>
        <w:t xml:space="preserve"> </w:t>
      </w:r>
      <w:r w:rsidR="00897210" w:rsidRPr="008544BB">
        <w:rPr>
          <w:lang w:val="fr-FR"/>
        </w:rPr>
        <w:t>le 18</w:t>
      </w:r>
      <w:r w:rsidR="00885D66" w:rsidRPr="008544BB">
        <w:rPr>
          <w:lang w:val="fr-FR"/>
        </w:rPr>
        <w:t> </w:t>
      </w:r>
      <w:r w:rsidR="00897210" w:rsidRPr="008544BB">
        <w:rPr>
          <w:lang w:val="fr-FR"/>
        </w:rPr>
        <w:t xml:space="preserve">septembre 2007, </w:t>
      </w:r>
      <w:r w:rsidR="003A3696" w:rsidRPr="008544BB">
        <w:rPr>
          <w:lang w:val="fr-FR"/>
        </w:rPr>
        <w:t>date à laquelle</w:t>
      </w:r>
      <w:r w:rsidR="0075575F" w:rsidRPr="008544BB">
        <w:rPr>
          <w:lang w:val="fr-FR"/>
        </w:rPr>
        <w:t xml:space="preserve"> L. et S., âgés à l</w:t>
      </w:r>
      <w:r w:rsidR="008544BB" w:rsidRPr="008544BB">
        <w:rPr>
          <w:lang w:val="fr-FR"/>
        </w:rPr>
        <w:t>’</w:t>
      </w:r>
      <w:r w:rsidR="0075575F" w:rsidRPr="008544BB">
        <w:rPr>
          <w:lang w:val="fr-FR"/>
        </w:rPr>
        <w:t xml:space="preserve">époque respectivement de 7 </w:t>
      </w:r>
      <w:r w:rsidR="00885D66" w:rsidRPr="008544BB">
        <w:rPr>
          <w:lang w:val="fr-FR"/>
        </w:rPr>
        <w:t xml:space="preserve">ans </w:t>
      </w:r>
      <w:r w:rsidR="0075575F" w:rsidRPr="008544BB">
        <w:rPr>
          <w:lang w:val="fr-FR"/>
        </w:rPr>
        <w:t>et de 2</w:t>
      </w:r>
      <w:r w:rsidR="00885D66" w:rsidRPr="008544BB">
        <w:rPr>
          <w:lang w:val="fr-FR"/>
        </w:rPr>
        <w:t> </w:t>
      </w:r>
      <w:r w:rsidR="0075575F" w:rsidRPr="008544BB">
        <w:rPr>
          <w:lang w:val="fr-FR"/>
        </w:rPr>
        <w:t xml:space="preserve">ans, </w:t>
      </w:r>
      <w:r w:rsidR="00885D66" w:rsidRPr="008544BB">
        <w:rPr>
          <w:lang w:val="fr-FR"/>
        </w:rPr>
        <w:t xml:space="preserve">ont été </w:t>
      </w:r>
      <w:r w:rsidR="0075575F" w:rsidRPr="008544BB">
        <w:rPr>
          <w:lang w:val="fr-FR"/>
        </w:rPr>
        <w:t xml:space="preserve">placés </w:t>
      </w:r>
      <w:r w:rsidR="00052E5E" w:rsidRPr="008544BB">
        <w:rPr>
          <w:lang w:val="fr-FR"/>
        </w:rPr>
        <w:t>dans</w:t>
      </w:r>
      <w:r w:rsidR="0075575F" w:rsidRPr="008544BB">
        <w:rPr>
          <w:lang w:val="fr-FR"/>
        </w:rPr>
        <w:t xml:space="preserve"> la maison d</w:t>
      </w:r>
      <w:r w:rsidR="008544BB" w:rsidRPr="008544BB">
        <w:rPr>
          <w:lang w:val="fr-FR"/>
        </w:rPr>
        <w:t>’</w:t>
      </w:r>
      <w:r w:rsidR="0075575F" w:rsidRPr="008544BB">
        <w:rPr>
          <w:lang w:val="fr-FR"/>
        </w:rPr>
        <w:t xml:space="preserve">accueil « Rocca di Papa ». </w:t>
      </w:r>
      <w:r w:rsidR="00897210" w:rsidRPr="008544BB">
        <w:rPr>
          <w:lang w:val="fr-FR"/>
        </w:rPr>
        <w:t>L</w:t>
      </w:r>
      <w:r w:rsidR="00312C10" w:rsidRPr="008544BB">
        <w:rPr>
          <w:lang w:val="fr-FR"/>
        </w:rPr>
        <w:t>adite décision</w:t>
      </w:r>
      <w:r w:rsidR="005C7C47" w:rsidRPr="008544BB">
        <w:rPr>
          <w:lang w:val="fr-FR"/>
        </w:rPr>
        <w:t xml:space="preserve"> </w:t>
      </w:r>
      <w:r w:rsidR="00885D66" w:rsidRPr="008544BB">
        <w:rPr>
          <w:lang w:val="fr-FR"/>
        </w:rPr>
        <w:t>a été</w:t>
      </w:r>
      <w:r w:rsidR="0077068F" w:rsidRPr="008544BB">
        <w:rPr>
          <w:lang w:val="fr-FR"/>
        </w:rPr>
        <w:t xml:space="preserve"> </w:t>
      </w:r>
      <w:r w:rsidR="00897210" w:rsidRPr="008544BB">
        <w:rPr>
          <w:lang w:val="fr-FR"/>
        </w:rPr>
        <w:t>confirmé</w:t>
      </w:r>
      <w:r w:rsidR="00312C10" w:rsidRPr="008544BB">
        <w:rPr>
          <w:lang w:val="fr-FR"/>
        </w:rPr>
        <w:t>e</w:t>
      </w:r>
      <w:r w:rsidR="005C7C47" w:rsidRPr="008544BB">
        <w:rPr>
          <w:lang w:val="fr-FR"/>
        </w:rPr>
        <w:t xml:space="preserve"> le 14 juillet 2008</w:t>
      </w:r>
      <w:r w:rsidR="009D1028" w:rsidRPr="008544BB">
        <w:rPr>
          <w:lang w:val="fr-FR"/>
        </w:rPr>
        <w:t>.</w:t>
      </w:r>
      <w:r w:rsidR="0044574C" w:rsidRPr="008544BB">
        <w:rPr>
          <w:lang w:val="fr-FR"/>
        </w:rPr>
        <w:t xml:space="preserve"> </w:t>
      </w:r>
      <w:r w:rsidR="008D1293" w:rsidRPr="008544BB">
        <w:rPr>
          <w:lang w:val="fr-FR"/>
        </w:rPr>
        <w:t xml:space="preserve">La Cour constate que la décision </w:t>
      </w:r>
      <w:r w:rsidR="00897210" w:rsidRPr="008544BB">
        <w:rPr>
          <w:lang w:val="fr-FR"/>
        </w:rPr>
        <w:t xml:space="preserve">du tribunal </w:t>
      </w:r>
      <w:r w:rsidR="00912B6B" w:rsidRPr="008544BB">
        <w:rPr>
          <w:lang w:val="fr-FR"/>
        </w:rPr>
        <w:t xml:space="preserve">pour enfants </w:t>
      </w:r>
      <w:r w:rsidR="00E352FE" w:rsidRPr="008544BB">
        <w:rPr>
          <w:lang w:val="fr-FR"/>
        </w:rPr>
        <w:t>était fondée,</w:t>
      </w:r>
      <w:r w:rsidR="008D1293" w:rsidRPr="008544BB">
        <w:rPr>
          <w:lang w:val="fr-FR"/>
        </w:rPr>
        <w:t xml:space="preserve"> d</w:t>
      </w:r>
      <w:r w:rsidR="008544BB" w:rsidRPr="008544BB">
        <w:rPr>
          <w:lang w:val="fr-FR"/>
        </w:rPr>
        <w:t>’</w:t>
      </w:r>
      <w:r w:rsidR="008D1293" w:rsidRPr="008544BB">
        <w:rPr>
          <w:lang w:val="fr-FR"/>
        </w:rPr>
        <w:t xml:space="preserve">une part, </w:t>
      </w:r>
      <w:r w:rsidR="00897210" w:rsidRPr="008544BB">
        <w:rPr>
          <w:lang w:val="fr-FR"/>
        </w:rPr>
        <w:t xml:space="preserve">sur </w:t>
      </w:r>
      <w:r w:rsidR="008D1293" w:rsidRPr="008544BB">
        <w:rPr>
          <w:lang w:val="fr-FR"/>
        </w:rPr>
        <w:t>l</w:t>
      </w:r>
      <w:r w:rsidR="008544BB" w:rsidRPr="008544BB">
        <w:rPr>
          <w:lang w:val="fr-FR"/>
        </w:rPr>
        <w:t>’</w:t>
      </w:r>
      <w:r w:rsidR="008D1293" w:rsidRPr="008544BB">
        <w:rPr>
          <w:lang w:val="fr-FR"/>
        </w:rPr>
        <w:t>in</w:t>
      </w:r>
      <w:r w:rsidR="009D1028" w:rsidRPr="008544BB">
        <w:rPr>
          <w:lang w:val="fr-FR"/>
        </w:rPr>
        <w:t>salubrité d</w:t>
      </w:r>
      <w:r w:rsidR="00E352FE" w:rsidRPr="008544BB">
        <w:rPr>
          <w:lang w:val="fr-FR"/>
        </w:rPr>
        <w:t xml:space="preserve">u domicile familial </w:t>
      </w:r>
      <w:r w:rsidR="009D1028" w:rsidRPr="008544BB">
        <w:rPr>
          <w:lang w:val="fr-FR"/>
        </w:rPr>
        <w:t xml:space="preserve">et </w:t>
      </w:r>
      <w:r w:rsidR="00E352FE" w:rsidRPr="008544BB">
        <w:rPr>
          <w:lang w:val="fr-FR"/>
        </w:rPr>
        <w:t xml:space="preserve">sur </w:t>
      </w:r>
      <w:r w:rsidR="00897210" w:rsidRPr="008544BB">
        <w:rPr>
          <w:lang w:val="fr-FR"/>
        </w:rPr>
        <w:t>le</w:t>
      </w:r>
      <w:r w:rsidR="009D1028" w:rsidRPr="008544BB">
        <w:rPr>
          <w:lang w:val="fr-FR"/>
        </w:rPr>
        <w:t xml:space="preserve"> non-respect de l</w:t>
      </w:r>
      <w:r w:rsidR="008544BB" w:rsidRPr="008544BB">
        <w:rPr>
          <w:lang w:val="fr-FR"/>
        </w:rPr>
        <w:t>’</w:t>
      </w:r>
      <w:r w:rsidR="009D1028" w:rsidRPr="008544BB">
        <w:rPr>
          <w:lang w:val="fr-FR"/>
        </w:rPr>
        <w:t>ordonnance de remise en état de</w:t>
      </w:r>
      <w:r w:rsidR="00897210" w:rsidRPr="008544BB">
        <w:rPr>
          <w:lang w:val="fr-FR"/>
        </w:rPr>
        <w:t>s lieux</w:t>
      </w:r>
      <w:r w:rsidR="009D1028" w:rsidRPr="008544BB">
        <w:rPr>
          <w:lang w:val="fr-FR"/>
        </w:rPr>
        <w:t xml:space="preserve"> et, d</w:t>
      </w:r>
      <w:r w:rsidR="008544BB" w:rsidRPr="008544BB">
        <w:rPr>
          <w:lang w:val="fr-FR"/>
        </w:rPr>
        <w:t>’</w:t>
      </w:r>
      <w:r w:rsidR="009D1028" w:rsidRPr="008544BB">
        <w:rPr>
          <w:lang w:val="fr-FR"/>
        </w:rPr>
        <w:t xml:space="preserve">autre part, </w:t>
      </w:r>
      <w:r w:rsidR="00897210" w:rsidRPr="008544BB">
        <w:rPr>
          <w:lang w:val="fr-FR"/>
        </w:rPr>
        <w:t>sur</w:t>
      </w:r>
      <w:r w:rsidR="009D1028" w:rsidRPr="008544BB">
        <w:rPr>
          <w:lang w:val="fr-FR"/>
        </w:rPr>
        <w:t xml:space="preserve"> la violation de l</w:t>
      </w:r>
      <w:r w:rsidR="008544BB" w:rsidRPr="008544BB">
        <w:rPr>
          <w:lang w:val="fr-FR"/>
        </w:rPr>
        <w:t>’</w:t>
      </w:r>
      <w:r w:rsidR="009D1028" w:rsidRPr="008544BB">
        <w:rPr>
          <w:lang w:val="fr-FR"/>
        </w:rPr>
        <w:t xml:space="preserve">accord de placement volontaire des </w:t>
      </w:r>
      <w:r w:rsidR="00912B6B" w:rsidRPr="008544BB">
        <w:rPr>
          <w:lang w:val="fr-FR"/>
        </w:rPr>
        <w:t>mineurs</w:t>
      </w:r>
      <w:r w:rsidR="009D1028" w:rsidRPr="008544BB">
        <w:rPr>
          <w:lang w:val="fr-FR"/>
        </w:rPr>
        <w:t xml:space="preserve"> (paragraphe </w:t>
      </w:r>
      <w:r w:rsidR="009D1028" w:rsidRPr="008544BB">
        <w:rPr>
          <w:lang w:val="fr-FR"/>
        </w:rPr>
        <w:fldChar w:fldCharType="begin"/>
      </w:r>
      <w:r w:rsidR="009D1028" w:rsidRPr="008544BB">
        <w:rPr>
          <w:lang w:val="fr-FR"/>
        </w:rPr>
        <w:instrText xml:space="preserve"> REF Placement_VOLONTAIRE \h </w:instrText>
      </w:r>
      <w:r w:rsidR="00C6210C" w:rsidRPr="008544BB">
        <w:rPr>
          <w:lang w:val="fr-FR"/>
        </w:rPr>
        <w:instrText xml:space="preserve"> \* MERGEFORMAT </w:instrText>
      </w:r>
      <w:r w:rsidR="009D1028" w:rsidRPr="008544BB">
        <w:rPr>
          <w:lang w:val="fr-FR"/>
        </w:rPr>
      </w:r>
      <w:r w:rsidR="009D1028" w:rsidRPr="008544BB">
        <w:rPr>
          <w:lang w:val="fr-FR"/>
        </w:rPr>
        <w:fldChar w:fldCharType="separate"/>
      </w:r>
      <w:r w:rsidR="008544BB" w:rsidRPr="008544BB">
        <w:rPr>
          <w:noProof/>
          <w:lang w:val="fr-FR"/>
        </w:rPr>
        <w:t>10</w:t>
      </w:r>
      <w:r w:rsidR="009D1028" w:rsidRPr="008544BB">
        <w:rPr>
          <w:lang w:val="fr-FR"/>
        </w:rPr>
        <w:fldChar w:fldCharType="end"/>
      </w:r>
      <w:r w:rsidR="009D1028" w:rsidRPr="008544BB">
        <w:rPr>
          <w:lang w:val="fr-FR"/>
        </w:rPr>
        <w:t xml:space="preserve"> ci-dessus) </w:t>
      </w:r>
      <w:r w:rsidR="00897210" w:rsidRPr="008544BB">
        <w:rPr>
          <w:lang w:val="fr-FR"/>
        </w:rPr>
        <w:t xml:space="preserve">et </w:t>
      </w:r>
      <w:r w:rsidR="00E352FE" w:rsidRPr="008544BB">
        <w:rPr>
          <w:lang w:val="fr-FR"/>
        </w:rPr>
        <w:t xml:space="preserve">sur </w:t>
      </w:r>
      <w:r w:rsidR="00897210" w:rsidRPr="008544BB">
        <w:rPr>
          <w:lang w:val="fr-FR"/>
        </w:rPr>
        <w:t>l</w:t>
      </w:r>
      <w:r w:rsidR="008544BB" w:rsidRPr="008544BB">
        <w:rPr>
          <w:lang w:val="fr-FR"/>
        </w:rPr>
        <w:t>’</w:t>
      </w:r>
      <w:r w:rsidR="00897210" w:rsidRPr="008544BB">
        <w:rPr>
          <w:lang w:val="fr-FR"/>
        </w:rPr>
        <w:t>impossibilité de placer les enfants chez la deuxième requérante</w:t>
      </w:r>
      <w:r w:rsidR="00F04CFD" w:rsidRPr="008544BB">
        <w:rPr>
          <w:lang w:val="fr-FR"/>
        </w:rPr>
        <w:t xml:space="preserve"> à cause de </w:t>
      </w:r>
      <w:r w:rsidR="00E352FE" w:rsidRPr="008544BB">
        <w:rPr>
          <w:lang w:val="fr-FR"/>
        </w:rPr>
        <w:t>la</w:t>
      </w:r>
      <w:r w:rsidR="00F04CFD" w:rsidRPr="008544BB">
        <w:rPr>
          <w:lang w:val="fr-FR"/>
        </w:rPr>
        <w:t xml:space="preserve"> relation </w:t>
      </w:r>
      <w:r w:rsidR="00312C10" w:rsidRPr="008544BB">
        <w:rPr>
          <w:lang w:val="fr-FR"/>
        </w:rPr>
        <w:t>conflictuelle</w:t>
      </w:r>
      <w:r w:rsidR="00BD6D51" w:rsidRPr="008544BB">
        <w:rPr>
          <w:lang w:val="fr-FR"/>
        </w:rPr>
        <w:t xml:space="preserve"> </w:t>
      </w:r>
      <w:r w:rsidR="00E352FE" w:rsidRPr="008544BB">
        <w:rPr>
          <w:lang w:val="fr-FR"/>
        </w:rPr>
        <w:t>existant entre cette dernière et</w:t>
      </w:r>
      <w:r w:rsidR="00F04CFD" w:rsidRPr="008544BB">
        <w:rPr>
          <w:lang w:val="fr-FR"/>
        </w:rPr>
        <w:t xml:space="preserve"> la première</w:t>
      </w:r>
      <w:r w:rsidR="00E43C7C" w:rsidRPr="008544BB">
        <w:rPr>
          <w:lang w:val="fr-FR"/>
        </w:rPr>
        <w:t xml:space="preserve"> requérante</w:t>
      </w:r>
      <w:r w:rsidR="009D1028" w:rsidRPr="008544BB">
        <w:rPr>
          <w:lang w:val="fr-FR"/>
        </w:rPr>
        <w:t>.</w:t>
      </w:r>
      <w:r w:rsidR="00975963" w:rsidRPr="008544BB">
        <w:rPr>
          <w:lang w:val="fr-FR"/>
        </w:rPr>
        <w:t xml:space="preserve"> </w:t>
      </w:r>
      <w:r w:rsidR="00E37341" w:rsidRPr="008544BB">
        <w:rPr>
          <w:lang w:val="fr-FR"/>
        </w:rPr>
        <w:t>Par la suite</w:t>
      </w:r>
      <w:r w:rsidR="009D1028" w:rsidRPr="008544BB">
        <w:rPr>
          <w:lang w:val="fr-FR"/>
        </w:rPr>
        <w:t xml:space="preserve">, </w:t>
      </w:r>
      <w:r w:rsidR="00975963" w:rsidRPr="008544BB">
        <w:rPr>
          <w:lang w:val="fr-FR"/>
        </w:rPr>
        <w:t>le rapport d</w:t>
      </w:r>
      <w:r w:rsidR="008544BB" w:rsidRPr="008544BB">
        <w:rPr>
          <w:lang w:val="fr-FR"/>
        </w:rPr>
        <w:t>’</w:t>
      </w:r>
      <w:r w:rsidR="00965736" w:rsidRPr="008544BB">
        <w:rPr>
          <w:lang w:val="fr-FR"/>
        </w:rPr>
        <w:t>expertise sur l</w:t>
      </w:r>
      <w:r w:rsidR="008544BB" w:rsidRPr="008544BB">
        <w:rPr>
          <w:lang w:val="fr-FR"/>
        </w:rPr>
        <w:t>’</w:t>
      </w:r>
      <w:r w:rsidR="00965736" w:rsidRPr="008544BB">
        <w:rPr>
          <w:lang w:val="fr-FR"/>
        </w:rPr>
        <w:t>état psychique et les capacités éducatives de la première requérante</w:t>
      </w:r>
      <w:r w:rsidR="00975963" w:rsidRPr="008544BB">
        <w:rPr>
          <w:lang w:val="fr-FR"/>
        </w:rPr>
        <w:t xml:space="preserve"> </w:t>
      </w:r>
      <w:r w:rsidR="00E352FE" w:rsidRPr="008544BB">
        <w:rPr>
          <w:lang w:val="fr-FR"/>
        </w:rPr>
        <w:t xml:space="preserve">a </w:t>
      </w:r>
      <w:r w:rsidR="00975963" w:rsidRPr="008544BB">
        <w:rPr>
          <w:lang w:val="fr-FR"/>
        </w:rPr>
        <w:t>confirm</w:t>
      </w:r>
      <w:r w:rsidR="00E352FE" w:rsidRPr="008544BB">
        <w:rPr>
          <w:lang w:val="fr-FR"/>
        </w:rPr>
        <w:t>é</w:t>
      </w:r>
      <w:r w:rsidR="00975963" w:rsidRPr="008544BB">
        <w:rPr>
          <w:lang w:val="fr-FR"/>
        </w:rPr>
        <w:t xml:space="preserve"> les difficultés de celle-ci à subvenir aux besoins de ses enfants</w:t>
      </w:r>
      <w:r w:rsidR="00965736" w:rsidRPr="008544BB">
        <w:rPr>
          <w:lang w:val="fr-FR"/>
        </w:rPr>
        <w:t xml:space="preserve"> </w:t>
      </w:r>
      <w:r w:rsidR="002B65A1" w:rsidRPr="008544BB">
        <w:rPr>
          <w:lang w:val="fr-FR"/>
        </w:rPr>
        <w:t xml:space="preserve">(paragraphe </w:t>
      </w:r>
      <w:r w:rsidR="002B65A1" w:rsidRPr="008544BB">
        <w:rPr>
          <w:lang w:val="fr-FR"/>
        </w:rPr>
        <w:fldChar w:fldCharType="begin"/>
      </w:r>
      <w:r w:rsidR="002B65A1" w:rsidRPr="008544BB">
        <w:rPr>
          <w:lang w:val="fr-FR"/>
        </w:rPr>
        <w:instrText xml:space="preserve"> REF EXPERTISE_1 \h </w:instrText>
      </w:r>
      <w:r w:rsidR="00C6210C" w:rsidRPr="008544BB">
        <w:rPr>
          <w:lang w:val="fr-FR"/>
        </w:rPr>
        <w:instrText xml:space="preserve"> \* MERGEFORMAT </w:instrText>
      </w:r>
      <w:r w:rsidR="002B65A1" w:rsidRPr="008544BB">
        <w:rPr>
          <w:lang w:val="fr-FR"/>
        </w:rPr>
      </w:r>
      <w:r w:rsidR="002B65A1" w:rsidRPr="008544BB">
        <w:rPr>
          <w:lang w:val="fr-FR"/>
        </w:rPr>
        <w:fldChar w:fldCharType="separate"/>
      </w:r>
      <w:r w:rsidR="008544BB" w:rsidRPr="008544BB">
        <w:rPr>
          <w:noProof/>
          <w:lang w:val="fr-FR"/>
        </w:rPr>
        <w:t>18</w:t>
      </w:r>
      <w:r w:rsidR="002B65A1" w:rsidRPr="008544BB">
        <w:rPr>
          <w:lang w:val="fr-FR"/>
        </w:rPr>
        <w:fldChar w:fldCharType="end"/>
      </w:r>
      <w:r w:rsidR="002B65A1" w:rsidRPr="008544BB">
        <w:rPr>
          <w:lang w:val="fr-FR"/>
        </w:rPr>
        <w:t xml:space="preserve"> ci-dessus).</w:t>
      </w:r>
    </w:p>
    <w:p w:rsidR="003A125F" w:rsidRPr="008544BB" w:rsidRDefault="003A125F"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70</w:t>
      </w:r>
      <w:r w:rsidRPr="008544BB">
        <w:rPr>
          <w:lang w:val="fr-FR"/>
        </w:rPr>
        <w:fldChar w:fldCharType="end"/>
      </w:r>
      <w:r w:rsidRPr="008544BB">
        <w:rPr>
          <w:lang w:val="fr-FR"/>
        </w:rPr>
        <w:t>.  En ce qui concerne le droit de visite</w:t>
      </w:r>
      <w:r w:rsidR="00221AF8" w:rsidRPr="008544BB">
        <w:rPr>
          <w:lang w:val="fr-FR"/>
        </w:rPr>
        <w:t xml:space="preserve">, la Cour </w:t>
      </w:r>
      <w:r w:rsidR="00E352FE" w:rsidRPr="008544BB">
        <w:rPr>
          <w:lang w:val="fr-FR"/>
        </w:rPr>
        <w:t>observe</w:t>
      </w:r>
      <w:r w:rsidR="00221AF8" w:rsidRPr="008544BB">
        <w:rPr>
          <w:lang w:val="fr-FR"/>
        </w:rPr>
        <w:t xml:space="preserve"> que</w:t>
      </w:r>
      <w:r w:rsidRPr="008544BB">
        <w:rPr>
          <w:lang w:val="fr-FR"/>
        </w:rPr>
        <w:t xml:space="preserve"> le tribunal </w:t>
      </w:r>
      <w:r w:rsidR="00E352FE" w:rsidRPr="008544BB">
        <w:rPr>
          <w:lang w:val="fr-FR"/>
        </w:rPr>
        <w:t xml:space="preserve">pour enfants a </w:t>
      </w:r>
      <w:r w:rsidRPr="008544BB">
        <w:rPr>
          <w:lang w:val="fr-FR"/>
        </w:rPr>
        <w:t>décid</w:t>
      </w:r>
      <w:r w:rsidR="00E352FE" w:rsidRPr="008544BB">
        <w:rPr>
          <w:lang w:val="fr-FR"/>
        </w:rPr>
        <w:t>é</w:t>
      </w:r>
      <w:r w:rsidRPr="008544BB">
        <w:rPr>
          <w:lang w:val="fr-FR"/>
        </w:rPr>
        <w:t xml:space="preserve"> de restreindre</w:t>
      </w:r>
      <w:r w:rsidR="0077068F" w:rsidRPr="008544BB">
        <w:rPr>
          <w:lang w:val="fr-FR"/>
        </w:rPr>
        <w:t xml:space="preserve"> et </w:t>
      </w:r>
      <w:r w:rsidR="00E352FE" w:rsidRPr="008544BB">
        <w:rPr>
          <w:lang w:val="fr-FR"/>
        </w:rPr>
        <w:t>d</w:t>
      </w:r>
      <w:r w:rsidR="008544BB" w:rsidRPr="008544BB">
        <w:rPr>
          <w:lang w:val="fr-FR"/>
        </w:rPr>
        <w:t>’</w:t>
      </w:r>
      <w:r w:rsidR="0077068F" w:rsidRPr="008544BB">
        <w:rPr>
          <w:lang w:val="fr-FR"/>
        </w:rPr>
        <w:t>encadrer</w:t>
      </w:r>
      <w:r w:rsidRPr="008544BB">
        <w:rPr>
          <w:lang w:val="fr-FR"/>
        </w:rPr>
        <w:t xml:space="preserve"> les rencontres</w:t>
      </w:r>
      <w:r w:rsidR="00A37523" w:rsidRPr="008544BB">
        <w:rPr>
          <w:lang w:val="fr-FR"/>
        </w:rPr>
        <w:t xml:space="preserve"> afin de préserver le bien-être des enfants</w:t>
      </w:r>
      <w:r w:rsidR="00E352FE" w:rsidRPr="008544BB">
        <w:rPr>
          <w:lang w:val="fr-FR"/>
        </w:rPr>
        <w:t xml:space="preserve">, </w:t>
      </w:r>
      <w:r w:rsidR="002A6C14" w:rsidRPr="008544BB">
        <w:rPr>
          <w:lang w:val="fr-FR"/>
        </w:rPr>
        <w:t xml:space="preserve">principalement </w:t>
      </w:r>
      <w:r w:rsidR="00E352FE" w:rsidRPr="008544BB">
        <w:rPr>
          <w:lang w:val="fr-FR"/>
        </w:rPr>
        <w:t xml:space="preserve">en raison </w:t>
      </w:r>
      <w:r w:rsidRPr="008544BB">
        <w:rPr>
          <w:lang w:val="fr-FR"/>
        </w:rPr>
        <w:t>de l</w:t>
      </w:r>
      <w:r w:rsidR="008544BB" w:rsidRPr="008544BB">
        <w:rPr>
          <w:lang w:val="fr-FR"/>
        </w:rPr>
        <w:t>’</w:t>
      </w:r>
      <w:r w:rsidRPr="008544BB">
        <w:rPr>
          <w:lang w:val="fr-FR"/>
        </w:rPr>
        <w:t>att</w:t>
      </w:r>
      <w:r w:rsidR="00312C10" w:rsidRPr="008544BB">
        <w:rPr>
          <w:lang w:val="fr-FR"/>
        </w:rPr>
        <w:t xml:space="preserve">itude de la première requérante </w:t>
      </w:r>
      <w:r w:rsidRPr="008544BB">
        <w:rPr>
          <w:lang w:val="fr-FR"/>
        </w:rPr>
        <w:t xml:space="preserve">(paragraphe </w:t>
      </w:r>
      <w:r w:rsidRPr="008544BB">
        <w:rPr>
          <w:lang w:val="fr-FR"/>
        </w:rPr>
        <w:fldChar w:fldCharType="begin"/>
      </w:r>
      <w:r w:rsidRPr="008544BB">
        <w:rPr>
          <w:lang w:val="fr-FR"/>
        </w:rPr>
        <w:instrText xml:space="preserve"> REF RENCONTRES_EXPERTISE \h </w:instrText>
      </w:r>
      <w:r w:rsidRPr="008544BB">
        <w:rPr>
          <w:lang w:val="fr-FR"/>
        </w:rPr>
      </w:r>
      <w:r w:rsidRPr="008544BB">
        <w:rPr>
          <w:lang w:val="fr-FR"/>
        </w:rPr>
        <w:fldChar w:fldCharType="separate"/>
      </w:r>
      <w:r w:rsidR="008544BB" w:rsidRPr="008544BB">
        <w:rPr>
          <w:noProof/>
          <w:lang w:val="fr-FR"/>
        </w:rPr>
        <w:t>17</w:t>
      </w:r>
      <w:r w:rsidRPr="008544BB">
        <w:rPr>
          <w:lang w:val="fr-FR"/>
        </w:rPr>
        <w:fldChar w:fldCharType="end"/>
      </w:r>
      <w:r w:rsidRPr="008544BB">
        <w:rPr>
          <w:lang w:val="fr-FR"/>
        </w:rPr>
        <w:t xml:space="preserve"> ci</w:t>
      </w:r>
      <w:r w:rsidR="00E352FE" w:rsidRPr="008544BB">
        <w:rPr>
          <w:lang w:val="fr-FR"/>
        </w:rPr>
        <w:noBreakHyphen/>
      </w:r>
      <w:r w:rsidRPr="008544BB">
        <w:rPr>
          <w:lang w:val="fr-FR"/>
        </w:rPr>
        <w:t>dessus)</w:t>
      </w:r>
      <w:r w:rsidR="00E352FE" w:rsidRPr="008544BB">
        <w:rPr>
          <w:lang w:val="fr-FR"/>
        </w:rPr>
        <w:t xml:space="preserve">, et que, </w:t>
      </w:r>
      <w:r w:rsidR="0015479A" w:rsidRPr="008544BB">
        <w:rPr>
          <w:lang w:val="fr-FR"/>
        </w:rPr>
        <w:t>ultérieurement</w:t>
      </w:r>
      <w:r w:rsidR="00E352FE" w:rsidRPr="008544BB">
        <w:rPr>
          <w:lang w:val="fr-FR"/>
        </w:rPr>
        <w:t xml:space="preserve">, </w:t>
      </w:r>
      <w:r w:rsidR="0015479A" w:rsidRPr="008544BB">
        <w:rPr>
          <w:lang w:val="fr-FR"/>
        </w:rPr>
        <w:t xml:space="preserve">en novembre 2012, </w:t>
      </w:r>
      <w:r w:rsidR="00E352FE" w:rsidRPr="008544BB">
        <w:rPr>
          <w:lang w:val="fr-FR"/>
        </w:rPr>
        <w:t>l</w:t>
      </w:r>
      <w:r w:rsidR="00A37523" w:rsidRPr="008544BB">
        <w:rPr>
          <w:lang w:val="fr-FR"/>
        </w:rPr>
        <w:t xml:space="preserve">e régime des visites </w:t>
      </w:r>
      <w:r w:rsidR="00E352FE" w:rsidRPr="008544BB">
        <w:rPr>
          <w:lang w:val="fr-FR"/>
        </w:rPr>
        <w:t>a été</w:t>
      </w:r>
      <w:r w:rsidR="00A37523" w:rsidRPr="008544BB">
        <w:rPr>
          <w:lang w:val="fr-FR"/>
        </w:rPr>
        <w:t xml:space="preserve"> restreint</w:t>
      </w:r>
      <w:r w:rsidR="0015479A" w:rsidRPr="008544BB">
        <w:rPr>
          <w:lang w:val="fr-FR"/>
        </w:rPr>
        <w:t xml:space="preserve"> à</w:t>
      </w:r>
      <w:r w:rsidR="00A37523" w:rsidRPr="008544BB">
        <w:rPr>
          <w:lang w:val="fr-FR"/>
        </w:rPr>
        <w:t xml:space="preserve"> une visite par mois.</w:t>
      </w:r>
    </w:p>
    <w:p w:rsidR="001842A7" w:rsidRPr="008544BB" w:rsidRDefault="001842A7"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71</w:t>
      </w:r>
      <w:r w:rsidRPr="008544BB">
        <w:rPr>
          <w:lang w:val="fr-FR"/>
        </w:rPr>
        <w:fldChar w:fldCharType="end"/>
      </w:r>
      <w:r w:rsidRPr="008544BB">
        <w:rPr>
          <w:lang w:val="fr-FR"/>
        </w:rPr>
        <w:t>.  </w:t>
      </w:r>
      <w:r w:rsidR="0015479A" w:rsidRPr="008544BB">
        <w:rPr>
          <w:lang w:val="fr-FR"/>
        </w:rPr>
        <w:t xml:space="preserve">La Cour </w:t>
      </w:r>
      <w:r w:rsidR="00273B56" w:rsidRPr="008544BB">
        <w:rPr>
          <w:lang w:val="fr-FR"/>
        </w:rPr>
        <w:t>constate ensuite</w:t>
      </w:r>
      <w:r w:rsidR="0015479A" w:rsidRPr="008544BB">
        <w:rPr>
          <w:lang w:val="fr-FR"/>
        </w:rPr>
        <w:t xml:space="preserve"> que</w:t>
      </w:r>
      <w:r w:rsidR="0077068F" w:rsidRPr="008544BB">
        <w:rPr>
          <w:lang w:val="fr-FR"/>
        </w:rPr>
        <w:t>,</w:t>
      </w:r>
      <w:r w:rsidRPr="008544BB">
        <w:rPr>
          <w:lang w:val="fr-FR"/>
        </w:rPr>
        <w:t xml:space="preserve"> </w:t>
      </w:r>
      <w:r w:rsidR="0015479A" w:rsidRPr="008544BB">
        <w:rPr>
          <w:lang w:val="fr-FR"/>
        </w:rPr>
        <w:t>après avoir décidé la restriction et l</w:t>
      </w:r>
      <w:r w:rsidR="008544BB" w:rsidRPr="008544BB">
        <w:rPr>
          <w:lang w:val="fr-FR"/>
        </w:rPr>
        <w:t>’</w:t>
      </w:r>
      <w:r w:rsidR="0015479A" w:rsidRPr="008544BB">
        <w:rPr>
          <w:lang w:val="fr-FR"/>
        </w:rPr>
        <w:t xml:space="preserve">encadrement des </w:t>
      </w:r>
      <w:r w:rsidR="001A42EB" w:rsidRPr="008544BB">
        <w:rPr>
          <w:lang w:val="fr-FR"/>
        </w:rPr>
        <w:t>rencontres</w:t>
      </w:r>
      <w:r w:rsidR="0015479A" w:rsidRPr="008544BB">
        <w:rPr>
          <w:lang w:val="fr-FR"/>
        </w:rPr>
        <w:t xml:space="preserve">, </w:t>
      </w:r>
      <w:r w:rsidRPr="008544BB">
        <w:rPr>
          <w:lang w:val="fr-FR"/>
        </w:rPr>
        <w:t>le tribunal</w:t>
      </w:r>
      <w:r w:rsidR="00912B6B" w:rsidRPr="008544BB">
        <w:rPr>
          <w:lang w:val="fr-FR"/>
        </w:rPr>
        <w:t xml:space="preserve"> pour enfants</w:t>
      </w:r>
      <w:r w:rsidR="0077068F" w:rsidRPr="008544BB">
        <w:rPr>
          <w:lang w:val="fr-FR"/>
        </w:rPr>
        <w:t xml:space="preserve"> </w:t>
      </w:r>
      <w:r w:rsidR="0015479A" w:rsidRPr="008544BB">
        <w:rPr>
          <w:lang w:val="fr-FR"/>
        </w:rPr>
        <w:t xml:space="preserve">a </w:t>
      </w:r>
      <w:r w:rsidR="0077068F" w:rsidRPr="008544BB">
        <w:rPr>
          <w:lang w:val="fr-FR"/>
        </w:rPr>
        <w:t>ordonn</w:t>
      </w:r>
      <w:r w:rsidR="0015479A" w:rsidRPr="008544BB">
        <w:rPr>
          <w:lang w:val="fr-FR"/>
        </w:rPr>
        <w:t>é</w:t>
      </w:r>
      <w:r w:rsidRPr="008544BB">
        <w:rPr>
          <w:lang w:val="fr-FR"/>
        </w:rPr>
        <w:t xml:space="preserve"> </w:t>
      </w:r>
      <w:r w:rsidR="0077068F" w:rsidRPr="008544BB">
        <w:rPr>
          <w:lang w:val="fr-FR"/>
        </w:rPr>
        <w:t xml:space="preserve">le placement </w:t>
      </w:r>
      <w:r w:rsidR="00221AF8" w:rsidRPr="008544BB">
        <w:rPr>
          <w:lang w:val="fr-FR"/>
        </w:rPr>
        <w:t xml:space="preserve">des </w:t>
      </w:r>
      <w:r w:rsidR="00912B6B" w:rsidRPr="008544BB">
        <w:rPr>
          <w:lang w:val="fr-FR"/>
        </w:rPr>
        <w:t>mineurs</w:t>
      </w:r>
      <w:r w:rsidR="00221AF8" w:rsidRPr="008544BB">
        <w:rPr>
          <w:lang w:val="fr-FR"/>
        </w:rPr>
        <w:t xml:space="preserve"> </w:t>
      </w:r>
      <w:r w:rsidR="0077068F" w:rsidRPr="008544BB">
        <w:rPr>
          <w:lang w:val="fr-FR"/>
        </w:rPr>
        <w:t>en famille d</w:t>
      </w:r>
      <w:r w:rsidR="008544BB" w:rsidRPr="008544BB">
        <w:rPr>
          <w:lang w:val="fr-FR"/>
        </w:rPr>
        <w:t>’</w:t>
      </w:r>
      <w:r w:rsidR="0077068F" w:rsidRPr="008544BB">
        <w:rPr>
          <w:lang w:val="fr-FR"/>
        </w:rPr>
        <w:t xml:space="preserve">accueil, </w:t>
      </w:r>
      <w:r w:rsidRPr="008544BB">
        <w:rPr>
          <w:lang w:val="fr-FR"/>
        </w:rPr>
        <w:t>en tenant compte de l</w:t>
      </w:r>
      <w:r w:rsidR="008544BB" w:rsidRPr="008544BB">
        <w:rPr>
          <w:lang w:val="fr-FR"/>
        </w:rPr>
        <w:t>’</w:t>
      </w:r>
      <w:r w:rsidRPr="008544BB">
        <w:rPr>
          <w:lang w:val="fr-FR"/>
        </w:rPr>
        <w:t xml:space="preserve">exigence </w:t>
      </w:r>
      <w:r w:rsidR="00273B56" w:rsidRPr="008544BB">
        <w:rPr>
          <w:lang w:val="fr-FR"/>
        </w:rPr>
        <w:t>élément</w:t>
      </w:r>
      <w:r w:rsidRPr="008544BB">
        <w:rPr>
          <w:lang w:val="fr-FR"/>
        </w:rPr>
        <w:t>aire d</w:t>
      </w:r>
      <w:r w:rsidR="008544BB" w:rsidRPr="008544BB">
        <w:rPr>
          <w:lang w:val="fr-FR"/>
        </w:rPr>
        <w:t>’</w:t>
      </w:r>
      <w:r w:rsidRPr="008544BB">
        <w:rPr>
          <w:lang w:val="fr-FR"/>
        </w:rPr>
        <w:t>assurer le</w:t>
      </w:r>
      <w:r w:rsidR="00312C10" w:rsidRPr="008544BB">
        <w:rPr>
          <w:lang w:val="fr-FR"/>
        </w:rPr>
        <w:t>ur</w:t>
      </w:r>
      <w:r w:rsidRPr="008544BB">
        <w:rPr>
          <w:lang w:val="fr-FR"/>
        </w:rPr>
        <w:t xml:space="preserve"> développement (paragraphe </w:t>
      </w:r>
      <w:r w:rsidRPr="008544BB">
        <w:rPr>
          <w:lang w:val="fr-FR"/>
        </w:rPr>
        <w:fldChar w:fldCharType="begin"/>
      </w:r>
      <w:r w:rsidRPr="008544BB">
        <w:rPr>
          <w:lang w:val="fr-FR"/>
        </w:rPr>
        <w:instrText xml:space="preserve"> REF DECRET_TRIB_FAMILLE_ACCUEIL \h </w:instrText>
      </w:r>
      <w:r w:rsidRPr="008544BB">
        <w:rPr>
          <w:lang w:val="fr-FR"/>
        </w:rPr>
      </w:r>
      <w:r w:rsidRPr="008544BB">
        <w:rPr>
          <w:lang w:val="fr-FR"/>
        </w:rPr>
        <w:fldChar w:fldCharType="separate"/>
      </w:r>
      <w:r w:rsidR="008544BB" w:rsidRPr="008544BB">
        <w:rPr>
          <w:noProof/>
          <w:lang w:val="fr-FR"/>
        </w:rPr>
        <w:t>25</w:t>
      </w:r>
      <w:r w:rsidRPr="008544BB">
        <w:rPr>
          <w:lang w:val="fr-FR"/>
        </w:rPr>
        <w:fldChar w:fldCharType="end"/>
      </w:r>
      <w:r w:rsidR="0052529C" w:rsidRPr="008544BB">
        <w:rPr>
          <w:lang w:val="fr-FR"/>
        </w:rPr>
        <w:t xml:space="preserve"> ci-dessus). Elle note aussi qu</w:t>
      </w:r>
      <w:r w:rsidR="00273B56" w:rsidRPr="008544BB">
        <w:rPr>
          <w:lang w:val="fr-FR"/>
        </w:rPr>
        <w:t xml:space="preserve">e, </w:t>
      </w:r>
      <w:r w:rsidR="0077068F" w:rsidRPr="008544BB">
        <w:rPr>
          <w:lang w:val="fr-FR"/>
        </w:rPr>
        <w:t>à la suite de</w:t>
      </w:r>
      <w:r w:rsidRPr="008544BB">
        <w:rPr>
          <w:lang w:val="fr-FR"/>
        </w:rPr>
        <w:t xml:space="preserve"> l</w:t>
      </w:r>
      <w:r w:rsidR="008544BB" w:rsidRPr="008544BB">
        <w:rPr>
          <w:lang w:val="fr-FR"/>
        </w:rPr>
        <w:t>’</w:t>
      </w:r>
      <w:r w:rsidRPr="008544BB">
        <w:rPr>
          <w:lang w:val="fr-FR"/>
        </w:rPr>
        <w:t>échec de cette</w:t>
      </w:r>
      <w:r w:rsidR="00BD6D51" w:rsidRPr="008544BB">
        <w:rPr>
          <w:lang w:val="fr-FR"/>
        </w:rPr>
        <w:t xml:space="preserve"> mesure</w:t>
      </w:r>
      <w:r w:rsidR="0077068F" w:rsidRPr="008544BB">
        <w:rPr>
          <w:lang w:val="fr-FR"/>
        </w:rPr>
        <w:t xml:space="preserve">, les enfants </w:t>
      </w:r>
      <w:r w:rsidR="00273B56" w:rsidRPr="008544BB">
        <w:rPr>
          <w:lang w:val="fr-FR"/>
        </w:rPr>
        <w:t>sont</w:t>
      </w:r>
      <w:r w:rsidR="0077068F" w:rsidRPr="008544BB">
        <w:rPr>
          <w:lang w:val="fr-FR"/>
        </w:rPr>
        <w:t xml:space="preserve"> </w:t>
      </w:r>
      <w:r w:rsidR="0077068F" w:rsidRPr="008544BB">
        <w:rPr>
          <w:lang w:val="fr-FR"/>
        </w:rPr>
        <w:lastRenderedPageBreak/>
        <w:t>retour</w:t>
      </w:r>
      <w:r w:rsidR="00273B56" w:rsidRPr="008544BB">
        <w:rPr>
          <w:lang w:val="fr-FR"/>
        </w:rPr>
        <w:t>nés</w:t>
      </w:r>
      <w:r w:rsidR="0077068F" w:rsidRPr="008544BB">
        <w:rPr>
          <w:lang w:val="fr-FR"/>
        </w:rPr>
        <w:t xml:space="preserve"> dans leur ancienne maison d</w:t>
      </w:r>
      <w:r w:rsidR="008544BB" w:rsidRPr="008544BB">
        <w:rPr>
          <w:lang w:val="fr-FR"/>
        </w:rPr>
        <w:t>’</w:t>
      </w:r>
      <w:r w:rsidR="0077068F" w:rsidRPr="008544BB">
        <w:rPr>
          <w:lang w:val="fr-FR"/>
        </w:rPr>
        <w:t>accueil avant d</w:t>
      </w:r>
      <w:r w:rsidR="008544BB" w:rsidRPr="008544BB">
        <w:rPr>
          <w:lang w:val="fr-FR"/>
        </w:rPr>
        <w:t>’</w:t>
      </w:r>
      <w:r w:rsidR="0077068F" w:rsidRPr="008544BB">
        <w:rPr>
          <w:lang w:val="fr-FR"/>
        </w:rPr>
        <w:t xml:space="preserve">être transférés dans deux structures distinctes à partir </w:t>
      </w:r>
      <w:r w:rsidR="00BD6D51" w:rsidRPr="008544BB">
        <w:rPr>
          <w:lang w:val="fr-FR"/>
        </w:rPr>
        <w:t xml:space="preserve">du mois de mars 2013 (paragraphe </w:t>
      </w:r>
      <w:r w:rsidR="00BD6D51" w:rsidRPr="008544BB">
        <w:rPr>
          <w:lang w:val="fr-FR"/>
        </w:rPr>
        <w:fldChar w:fldCharType="begin"/>
      </w:r>
      <w:r w:rsidR="00BD6D51" w:rsidRPr="008544BB">
        <w:rPr>
          <w:lang w:val="fr-FR"/>
        </w:rPr>
        <w:instrText xml:space="preserve"> REF Separation_enfants \h </w:instrText>
      </w:r>
      <w:r w:rsidR="00BD6D51" w:rsidRPr="008544BB">
        <w:rPr>
          <w:lang w:val="fr-FR"/>
        </w:rPr>
      </w:r>
      <w:r w:rsidR="00BD6D51" w:rsidRPr="008544BB">
        <w:rPr>
          <w:lang w:val="fr-FR"/>
        </w:rPr>
        <w:fldChar w:fldCharType="separate"/>
      </w:r>
      <w:r w:rsidR="008544BB" w:rsidRPr="008544BB">
        <w:rPr>
          <w:noProof/>
          <w:lang w:val="fr-FR"/>
        </w:rPr>
        <w:t>33</w:t>
      </w:r>
      <w:r w:rsidR="00BD6D51" w:rsidRPr="008544BB">
        <w:rPr>
          <w:lang w:val="fr-FR"/>
        </w:rPr>
        <w:fldChar w:fldCharType="end"/>
      </w:r>
      <w:r w:rsidR="0077068F" w:rsidRPr="008544BB">
        <w:rPr>
          <w:lang w:val="fr-FR"/>
        </w:rPr>
        <w:t xml:space="preserve"> ci</w:t>
      </w:r>
      <w:r w:rsidR="00870A35" w:rsidRPr="008544BB">
        <w:rPr>
          <w:lang w:val="fr-FR"/>
        </w:rPr>
        <w:noBreakHyphen/>
      </w:r>
      <w:r w:rsidR="0077068F" w:rsidRPr="008544BB">
        <w:rPr>
          <w:lang w:val="fr-FR"/>
        </w:rPr>
        <w:t>dessus).</w:t>
      </w:r>
    </w:p>
    <w:p w:rsidR="001F3C47" w:rsidRPr="008544BB" w:rsidRDefault="002147AB"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72</w:t>
      </w:r>
      <w:r w:rsidRPr="008544BB">
        <w:rPr>
          <w:lang w:val="fr-FR"/>
        </w:rPr>
        <w:fldChar w:fldCharType="end"/>
      </w:r>
      <w:r w:rsidRPr="008544BB">
        <w:rPr>
          <w:lang w:val="fr-FR"/>
        </w:rPr>
        <w:t>.  </w:t>
      </w:r>
      <w:r w:rsidR="00DC5E14" w:rsidRPr="008544BB">
        <w:rPr>
          <w:lang w:val="fr-FR"/>
        </w:rPr>
        <w:t xml:space="preserve">La Cour reconnaît que </w:t>
      </w:r>
      <w:r w:rsidR="005C4C26" w:rsidRPr="008544BB">
        <w:rPr>
          <w:lang w:val="fr-FR"/>
        </w:rPr>
        <w:t xml:space="preserve">dans une affaire comme celle-ci les tribunaux se trouvent </w:t>
      </w:r>
      <w:r w:rsidR="00FB46DE" w:rsidRPr="008544BB">
        <w:rPr>
          <w:lang w:val="fr-FR"/>
        </w:rPr>
        <w:t xml:space="preserve">souvent </w:t>
      </w:r>
      <w:r w:rsidR="005C4C26" w:rsidRPr="008544BB">
        <w:rPr>
          <w:lang w:val="fr-FR"/>
        </w:rPr>
        <w:t>confrontés à des intérêts</w:t>
      </w:r>
      <w:r w:rsidR="007B08DE" w:rsidRPr="008544BB">
        <w:rPr>
          <w:lang w:val="fr-FR"/>
        </w:rPr>
        <w:t xml:space="preserve"> </w:t>
      </w:r>
      <w:r w:rsidR="00273B56" w:rsidRPr="008544BB">
        <w:rPr>
          <w:lang w:val="fr-FR"/>
        </w:rPr>
        <w:t xml:space="preserve">différents, </w:t>
      </w:r>
      <w:r w:rsidR="005C4C26" w:rsidRPr="008544BB">
        <w:rPr>
          <w:lang w:val="fr-FR"/>
        </w:rPr>
        <w:t>difficilement conciliables</w:t>
      </w:r>
      <w:r w:rsidR="00FB46DE" w:rsidRPr="008544BB">
        <w:rPr>
          <w:lang w:val="fr-FR"/>
        </w:rPr>
        <w:t>. Dans la recherche de l</w:t>
      </w:r>
      <w:r w:rsidR="008544BB" w:rsidRPr="008544BB">
        <w:rPr>
          <w:lang w:val="fr-FR"/>
        </w:rPr>
        <w:t>’</w:t>
      </w:r>
      <w:r w:rsidR="00FB46DE" w:rsidRPr="008544BB">
        <w:rPr>
          <w:lang w:val="fr-FR"/>
        </w:rPr>
        <w:t>équilibre entre ce</w:t>
      </w:r>
      <w:r w:rsidR="00273B56" w:rsidRPr="008544BB">
        <w:rPr>
          <w:lang w:val="fr-FR"/>
        </w:rPr>
        <w:t>ux-ci</w:t>
      </w:r>
      <w:r w:rsidR="00FB46DE" w:rsidRPr="008544BB">
        <w:rPr>
          <w:lang w:val="fr-FR"/>
        </w:rPr>
        <w:t>, l</w:t>
      </w:r>
      <w:r w:rsidR="008544BB" w:rsidRPr="008544BB">
        <w:rPr>
          <w:lang w:val="fr-FR"/>
        </w:rPr>
        <w:t>’</w:t>
      </w:r>
      <w:r w:rsidR="00FB46DE" w:rsidRPr="008544BB">
        <w:rPr>
          <w:lang w:val="fr-FR"/>
        </w:rPr>
        <w:t>intérêt supérieur de l</w:t>
      </w:r>
      <w:r w:rsidR="008544BB" w:rsidRPr="008544BB">
        <w:rPr>
          <w:lang w:val="fr-FR"/>
        </w:rPr>
        <w:t>’</w:t>
      </w:r>
      <w:r w:rsidR="00FB46DE" w:rsidRPr="008544BB">
        <w:rPr>
          <w:lang w:val="fr-FR"/>
        </w:rPr>
        <w:t>enfant doit être une considération primordiale (</w:t>
      </w:r>
      <w:r w:rsidR="00BD6D51" w:rsidRPr="008544BB">
        <w:rPr>
          <w:i/>
          <w:lang w:val="fr-FR"/>
        </w:rPr>
        <w:t>P.F.</w:t>
      </w:r>
      <w:r w:rsidR="0044574C" w:rsidRPr="008544BB">
        <w:rPr>
          <w:lang w:val="fr-FR"/>
        </w:rPr>
        <w:t> </w:t>
      </w:r>
      <w:r w:rsidR="00BD6D51" w:rsidRPr="008544BB">
        <w:rPr>
          <w:i/>
          <w:lang w:val="fr-FR"/>
        </w:rPr>
        <w:t>c. Pologne</w:t>
      </w:r>
      <w:r w:rsidR="00BD6D51" w:rsidRPr="008544BB">
        <w:rPr>
          <w:snapToGrid w:val="0"/>
          <w:lang w:val="fr-FR"/>
        </w:rPr>
        <w:t>, n</w:t>
      </w:r>
      <w:r w:rsidR="00BD6D51" w:rsidRPr="008544BB">
        <w:rPr>
          <w:snapToGrid w:val="0"/>
          <w:vertAlign w:val="superscript"/>
          <w:lang w:val="fr-FR"/>
        </w:rPr>
        <w:t>o</w:t>
      </w:r>
      <w:r w:rsidR="00BD6D51" w:rsidRPr="008544BB">
        <w:rPr>
          <w:snapToGrid w:val="0"/>
          <w:lang w:val="fr-FR"/>
        </w:rPr>
        <w:t xml:space="preserve"> </w:t>
      </w:r>
      <w:r w:rsidR="00BD6D51" w:rsidRPr="008544BB">
        <w:rPr>
          <w:lang w:val="fr-FR"/>
        </w:rPr>
        <w:t>2210/12</w:t>
      </w:r>
      <w:r w:rsidR="00BD6D51" w:rsidRPr="008544BB">
        <w:rPr>
          <w:snapToGrid w:val="0"/>
          <w:lang w:val="fr-FR"/>
        </w:rPr>
        <w:t xml:space="preserve">, § 54, 16 </w:t>
      </w:r>
      <w:r w:rsidR="00BD6D51" w:rsidRPr="008544BB">
        <w:rPr>
          <w:lang w:val="fr-FR"/>
        </w:rPr>
        <w:t>septembre</w:t>
      </w:r>
      <w:r w:rsidR="00BD6D51" w:rsidRPr="008544BB">
        <w:rPr>
          <w:snapToGrid w:val="0"/>
          <w:lang w:val="fr-FR"/>
        </w:rPr>
        <w:t xml:space="preserve"> 2014</w:t>
      </w:r>
      <w:r w:rsidR="007D103A" w:rsidRPr="008544BB">
        <w:rPr>
          <w:lang w:val="fr-FR"/>
        </w:rPr>
        <w:t>)</w:t>
      </w:r>
      <w:r w:rsidR="005C4C26" w:rsidRPr="008544BB">
        <w:rPr>
          <w:lang w:val="fr-FR"/>
        </w:rPr>
        <w:t>.</w:t>
      </w:r>
    </w:p>
    <w:p w:rsidR="007B08DE" w:rsidRPr="008544BB" w:rsidRDefault="00B558F6" w:rsidP="008544BB">
      <w:pPr>
        <w:pStyle w:val="ECHRPara"/>
        <w:rPr>
          <w:strike/>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73</w:t>
      </w:r>
      <w:r w:rsidRPr="008544BB">
        <w:rPr>
          <w:lang w:val="fr-FR"/>
        </w:rPr>
        <w:fldChar w:fldCharType="end"/>
      </w:r>
      <w:r w:rsidRPr="008544BB">
        <w:rPr>
          <w:lang w:val="fr-FR"/>
        </w:rPr>
        <w:t>.  </w:t>
      </w:r>
      <w:r w:rsidR="0052529C" w:rsidRPr="008544BB">
        <w:rPr>
          <w:lang w:val="fr-FR"/>
        </w:rPr>
        <w:t>E</w:t>
      </w:r>
      <w:r w:rsidR="00273B56" w:rsidRPr="008544BB">
        <w:rPr>
          <w:lang w:val="fr-FR"/>
        </w:rPr>
        <w:t>u égard à la</w:t>
      </w:r>
      <w:r w:rsidR="00A37523" w:rsidRPr="008544BB">
        <w:rPr>
          <w:lang w:val="fr-FR"/>
        </w:rPr>
        <w:t xml:space="preserve"> situation matérielle </w:t>
      </w:r>
      <w:r w:rsidR="0084369B" w:rsidRPr="008544BB">
        <w:rPr>
          <w:lang w:val="fr-FR"/>
        </w:rPr>
        <w:t>de l</w:t>
      </w:r>
      <w:r w:rsidR="008544BB" w:rsidRPr="008544BB">
        <w:rPr>
          <w:lang w:val="fr-FR"/>
        </w:rPr>
        <w:t>’</w:t>
      </w:r>
      <w:r w:rsidR="0084369B" w:rsidRPr="008544BB">
        <w:rPr>
          <w:lang w:val="fr-FR"/>
        </w:rPr>
        <w:t>habitation</w:t>
      </w:r>
      <w:r w:rsidR="0011033F" w:rsidRPr="008544BB">
        <w:rPr>
          <w:lang w:val="fr-FR"/>
        </w:rPr>
        <w:t xml:space="preserve"> de la première requérante</w:t>
      </w:r>
      <w:r w:rsidR="0084369B" w:rsidRPr="008544BB">
        <w:rPr>
          <w:lang w:val="fr-FR"/>
        </w:rPr>
        <w:t>,</w:t>
      </w:r>
      <w:r w:rsidR="00A37523" w:rsidRPr="008544BB">
        <w:rPr>
          <w:lang w:val="fr-FR"/>
        </w:rPr>
        <w:t xml:space="preserve"> </w:t>
      </w:r>
      <w:r w:rsidR="00273B56" w:rsidRPr="008544BB">
        <w:rPr>
          <w:lang w:val="fr-FR"/>
        </w:rPr>
        <w:t>à l</w:t>
      </w:r>
      <w:r w:rsidR="008544BB" w:rsidRPr="008544BB">
        <w:rPr>
          <w:lang w:val="fr-FR"/>
        </w:rPr>
        <w:t>’</w:t>
      </w:r>
      <w:r w:rsidR="00312C10" w:rsidRPr="008544BB">
        <w:rPr>
          <w:lang w:val="fr-FR"/>
        </w:rPr>
        <w:t>attitude</w:t>
      </w:r>
      <w:r w:rsidR="0011033F" w:rsidRPr="008544BB">
        <w:rPr>
          <w:lang w:val="fr-FR"/>
        </w:rPr>
        <w:t xml:space="preserve"> hostil</w:t>
      </w:r>
      <w:r w:rsidR="00312C10" w:rsidRPr="008544BB">
        <w:rPr>
          <w:lang w:val="fr-FR"/>
        </w:rPr>
        <w:t>e</w:t>
      </w:r>
      <w:r w:rsidR="0011033F" w:rsidRPr="008544BB">
        <w:rPr>
          <w:lang w:val="fr-FR"/>
        </w:rPr>
        <w:t>, voire agressiv</w:t>
      </w:r>
      <w:r w:rsidR="00312C10" w:rsidRPr="008544BB">
        <w:rPr>
          <w:lang w:val="fr-FR"/>
        </w:rPr>
        <w:t>e</w:t>
      </w:r>
      <w:r w:rsidR="00887F09" w:rsidRPr="008544BB">
        <w:rPr>
          <w:lang w:val="fr-FR"/>
        </w:rPr>
        <w:t>,</w:t>
      </w:r>
      <w:r w:rsidR="0011033F" w:rsidRPr="008544BB">
        <w:rPr>
          <w:lang w:val="fr-FR"/>
        </w:rPr>
        <w:t xml:space="preserve"> </w:t>
      </w:r>
      <w:r w:rsidR="00273B56" w:rsidRPr="008544BB">
        <w:rPr>
          <w:lang w:val="fr-FR"/>
        </w:rPr>
        <w:t xml:space="preserve">de cette dernière </w:t>
      </w:r>
      <w:r w:rsidR="0011033F" w:rsidRPr="008544BB">
        <w:rPr>
          <w:lang w:val="fr-FR"/>
        </w:rPr>
        <w:t>à l</w:t>
      </w:r>
      <w:r w:rsidR="008544BB" w:rsidRPr="008544BB">
        <w:rPr>
          <w:lang w:val="fr-FR"/>
        </w:rPr>
        <w:t>’</w:t>
      </w:r>
      <w:r w:rsidR="0011033F" w:rsidRPr="008544BB">
        <w:rPr>
          <w:lang w:val="fr-FR"/>
        </w:rPr>
        <w:t>égard du personnel des services sociaux</w:t>
      </w:r>
      <w:r w:rsidR="00887F09" w:rsidRPr="008544BB">
        <w:rPr>
          <w:lang w:val="fr-FR"/>
        </w:rPr>
        <w:t xml:space="preserve">, </w:t>
      </w:r>
      <w:r w:rsidR="00273B56" w:rsidRPr="008544BB">
        <w:rPr>
          <w:lang w:val="fr-FR"/>
        </w:rPr>
        <w:t>à</w:t>
      </w:r>
      <w:r w:rsidR="00887F09" w:rsidRPr="008544BB">
        <w:rPr>
          <w:lang w:val="fr-FR"/>
        </w:rPr>
        <w:t xml:space="preserve"> l</w:t>
      </w:r>
      <w:r w:rsidR="008544BB" w:rsidRPr="008544BB">
        <w:rPr>
          <w:lang w:val="fr-FR"/>
        </w:rPr>
        <w:t>’</w:t>
      </w:r>
      <w:r w:rsidR="00887F09" w:rsidRPr="008544BB">
        <w:rPr>
          <w:lang w:val="fr-FR"/>
        </w:rPr>
        <w:t>état dégradé des relations entre la première et la deuxième requérante</w:t>
      </w:r>
      <w:r w:rsidR="0084369B" w:rsidRPr="008544BB">
        <w:rPr>
          <w:lang w:val="fr-FR"/>
        </w:rPr>
        <w:t xml:space="preserve"> et </w:t>
      </w:r>
      <w:r w:rsidR="00273B56" w:rsidRPr="008544BB">
        <w:rPr>
          <w:lang w:val="fr-FR"/>
        </w:rPr>
        <w:t>a</w:t>
      </w:r>
      <w:r w:rsidR="0084369B" w:rsidRPr="008544BB">
        <w:rPr>
          <w:lang w:val="fr-FR"/>
        </w:rPr>
        <w:t>u fait que le</w:t>
      </w:r>
      <w:r w:rsidR="0011033F" w:rsidRPr="008544BB">
        <w:rPr>
          <w:lang w:val="fr-FR"/>
        </w:rPr>
        <w:t xml:space="preserve"> lien familial n</w:t>
      </w:r>
      <w:r w:rsidR="008544BB" w:rsidRPr="008544BB">
        <w:rPr>
          <w:lang w:val="fr-FR"/>
        </w:rPr>
        <w:t>’</w:t>
      </w:r>
      <w:r w:rsidR="0011033F" w:rsidRPr="008544BB">
        <w:rPr>
          <w:lang w:val="fr-FR"/>
        </w:rPr>
        <w:t>a jamais été interrompu</w:t>
      </w:r>
      <w:r w:rsidR="00A37523" w:rsidRPr="008544BB">
        <w:rPr>
          <w:lang w:val="fr-FR"/>
        </w:rPr>
        <w:t>,</w:t>
      </w:r>
      <w:r w:rsidR="000329E0" w:rsidRPr="008544BB">
        <w:rPr>
          <w:lang w:val="fr-FR"/>
        </w:rPr>
        <w:t xml:space="preserve"> </w:t>
      </w:r>
      <w:r w:rsidR="00887F09" w:rsidRPr="008544BB">
        <w:rPr>
          <w:lang w:val="fr-FR"/>
        </w:rPr>
        <w:t xml:space="preserve">la Cour </w:t>
      </w:r>
      <w:r w:rsidR="0011033F" w:rsidRPr="008544BB">
        <w:rPr>
          <w:lang w:val="fr-FR"/>
        </w:rPr>
        <w:t xml:space="preserve">estime </w:t>
      </w:r>
      <w:r w:rsidR="001842A7" w:rsidRPr="008544BB">
        <w:rPr>
          <w:lang w:val="fr-FR"/>
        </w:rPr>
        <w:t>que</w:t>
      </w:r>
      <w:r w:rsidR="00983A01" w:rsidRPr="008544BB">
        <w:rPr>
          <w:lang w:val="fr-FR"/>
        </w:rPr>
        <w:t xml:space="preserve"> les autorités judiciaires ont </w:t>
      </w:r>
      <w:r w:rsidR="00887F09" w:rsidRPr="008544BB">
        <w:rPr>
          <w:lang w:val="fr-FR"/>
        </w:rPr>
        <w:t>pris les mesures nécessaires, justifiées par</w:t>
      </w:r>
      <w:r w:rsidR="00983A01" w:rsidRPr="008544BB">
        <w:rPr>
          <w:lang w:val="fr-FR"/>
        </w:rPr>
        <w:t xml:space="preserve"> des raisons adéquates et suffisantes</w:t>
      </w:r>
      <w:r w:rsidR="00887F09" w:rsidRPr="008544BB">
        <w:rPr>
          <w:lang w:val="fr-FR"/>
        </w:rPr>
        <w:t>, à la protection du bien-être des enfants en décidant le</w:t>
      </w:r>
      <w:r w:rsidRPr="008544BB">
        <w:rPr>
          <w:lang w:val="fr-FR"/>
        </w:rPr>
        <w:t xml:space="preserve"> placement</w:t>
      </w:r>
      <w:r w:rsidR="00983A01" w:rsidRPr="008544BB">
        <w:rPr>
          <w:lang w:val="fr-FR"/>
        </w:rPr>
        <w:t xml:space="preserve"> </w:t>
      </w:r>
      <w:r w:rsidR="00BA4E21" w:rsidRPr="008544BB">
        <w:rPr>
          <w:lang w:val="fr-FR"/>
        </w:rPr>
        <w:t xml:space="preserve">de ceux-ci </w:t>
      </w:r>
      <w:r w:rsidR="00A37523" w:rsidRPr="008544BB">
        <w:rPr>
          <w:lang w:val="fr-FR"/>
        </w:rPr>
        <w:t xml:space="preserve">et </w:t>
      </w:r>
      <w:r w:rsidR="00887F09" w:rsidRPr="008544BB">
        <w:rPr>
          <w:lang w:val="fr-FR"/>
        </w:rPr>
        <w:t>l</w:t>
      </w:r>
      <w:r w:rsidR="008544BB" w:rsidRPr="008544BB">
        <w:rPr>
          <w:lang w:val="fr-FR"/>
        </w:rPr>
        <w:t>’</w:t>
      </w:r>
      <w:r w:rsidR="00A37523" w:rsidRPr="008544BB">
        <w:rPr>
          <w:lang w:val="fr-FR"/>
        </w:rPr>
        <w:t>encadrement du</w:t>
      </w:r>
      <w:r w:rsidR="00983A01" w:rsidRPr="008544BB">
        <w:rPr>
          <w:lang w:val="fr-FR"/>
        </w:rPr>
        <w:t xml:space="preserve"> régime des visites.</w:t>
      </w:r>
    </w:p>
    <w:p w:rsidR="0025261F" w:rsidRPr="008544BB" w:rsidRDefault="00563948" w:rsidP="008544BB">
      <w:pPr>
        <w:pStyle w:val="ECHRPara"/>
        <w:rPr>
          <w:i/>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74</w:t>
      </w:r>
      <w:r w:rsidRPr="008544BB">
        <w:rPr>
          <w:lang w:val="fr-FR"/>
        </w:rPr>
        <w:fldChar w:fldCharType="end"/>
      </w:r>
      <w:r w:rsidRPr="008544BB">
        <w:rPr>
          <w:lang w:val="fr-FR"/>
        </w:rPr>
        <w:t>.  </w:t>
      </w:r>
      <w:r w:rsidR="00887F09" w:rsidRPr="008544BB">
        <w:rPr>
          <w:lang w:val="fr-FR"/>
        </w:rPr>
        <w:t xml:space="preserve">En </w:t>
      </w:r>
      <w:r w:rsidR="00A5000B" w:rsidRPr="008544BB">
        <w:rPr>
          <w:lang w:val="fr-FR"/>
        </w:rPr>
        <w:t>ce qui concerne le</w:t>
      </w:r>
      <w:r w:rsidR="005230A3" w:rsidRPr="008544BB">
        <w:rPr>
          <w:lang w:val="fr-FR"/>
        </w:rPr>
        <w:t xml:space="preserve"> processus décisionnel, </w:t>
      </w:r>
      <w:r w:rsidR="0044574C" w:rsidRPr="008544BB">
        <w:rPr>
          <w:lang w:val="fr-FR"/>
        </w:rPr>
        <w:t>il y a lieu d</w:t>
      </w:r>
      <w:r w:rsidR="008544BB" w:rsidRPr="008544BB">
        <w:rPr>
          <w:lang w:val="fr-FR"/>
        </w:rPr>
        <w:t>’</w:t>
      </w:r>
      <w:r w:rsidR="0044574C" w:rsidRPr="008544BB">
        <w:rPr>
          <w:lang w:val="fr-FR"/>
        </w:rPr>
        <w:t>examiner</w:t>
      </w:r>
      <w:r w:rsidR="00312C10" w:rsidRPr="008544BB">
        <w:rPr>
          <w:lang w:val="fr-FR"/>
        </w:rPr>
        <w:t xml:space="preserve"> </w:t>
      </w:r>
      <w:r w:rsidR="0044574C" w:rsidRPr="008544BB">
        <w:rPr>
          <w:lang w:val="fr-FR"/>
        </w:rPr>
        <w:t xml:space="preserve">si </w:t>
      </w:r>
      <w:r w:rsidR="005230A3" w:rsidRPr="008544BB">
        <w:rPr>
          <w:lang w:val="fr-FR"/>
        </w:rPr>
        <w:t>les conclusions des autorités nationales repos</w:t>
      </w:r>
      <w:r w:rsidR="00910BED" w:rsidRPr="008544BB">
        <w:rPr>
          <w:lang w:val="fr-FR"/>
        </w:rPr>
        <w:t>ai</w:t>
      </w:r>
      <w:r w:rsidR="005230A3" w:rsidRPr="008544BB">
        <w:rPr>
          <w:lang w:val="fr-FR"/>
        </w:rPr>
        <w:t>ent sur des éléments de preuve suffisants (y compris, le cas échéant, des déclarations de témoins, rapports des autorités compétentes, expertises psychologiques et autres</w:t>
      </w:r>
      <w:r w:rsidR="004176E0" w:rsidRPr="008544BB">
        <w:rPr>
          <w:lang w:val="fr-FR"/>
        </w:rPr>
        <w:t>,</w:t>
      </w:r>
      <w:r w:rsidR="005230A3" w:rsidRPr="008544BB">
        <w:rPr>
          <w:lang w:val="fr-FR"/>
        </w:rPr>
        <w:t xml:space="preserve"> et notes médicales) et si les parties intéressées, en particulier les parents, ont eu suffisamment l</w:t>
      </w:r>
      <w:r w:rsidR="008544BB" w:rsidRPr="008544BB">
        <w:rPr>
          <w:lang w:val="fr-FR"/>
        </w:rPr>
        <w:t>’</w:t>
      </w:r>
      <w:r w:rsidR="005230A3" w:rsidRPr="008544BB">
        <w:rPr>
          <w:lang w:val="fr-FR"/>
        </w:rPr>
        <w:t>occasion de participer à la procédure en question</w:t>
      </w:r>
      <w:r w:rsidR="009B174E" w:rsidRPr="008544BB">
        <w:rPr>
          <w:lang w:val="fr-FR"/>
        </w:rPr>
        <w:t xml:space="preserve"> (</w:t>
      </w:r>
      <w:r w:rsidR="0044574C" w:rsidRPr="008544BB">
        <w:rPr>
          <w:i/>
          <w:lang w:val="fr-FR"/>
        </w:rPr>
        <w:t>N.P.</w:t>
      </w:r>
      <w:r w:rsidR="00CD755E" w:rsidRPr="008544BB">
        <w:rPr>
          <w:i/>
          <w:lang w:val="fr-FR"/>
        </w:rPr>
        <w:t> </w:t>
      </w:r>
      <w:r w:rsidR="0044574C" w:rsidRPr="008544BB">
        <w:rPr>
          <w:i/>
          <w:lang w:val="fr-FR"/>
        </w:rPr>
        <w:t>c. République de Moldova</w:t>
      </w:r>
      <w:r w:rsidR="0044574C" w:rsidRPr="008544BB">
        <w:rPr>
          <w:lang w:val="fr-FR"/>
        </w:rPr>
        <w:t>, n</w:t>
      </w:r>
      <w:r w:rsidR="0044574C" w:rsidRPr="008544BB">
        <w:rPr>
          <w:vertAlign w:val="superscript"/>
          <w:lang w:val="fr-FR"/>
        </w:rPr>
        <w:t>o</w:t>
      </w:r>
      <w:r w:rsidR="0044574C" w:rsidRPr="008544BB">
        <w:rPr>
          <w:lang w:val="fr-FR"/>
        </w:rPr>
        <w:t xml:space="preserve"> 58455/13</w:t>
      </w:r>
      <w:r w:rsidR="0044574C" w:rsidRPr="008544BB">
        <w:rPr>
          <w:snapToGrid w:val="0"/>
          <w:lang w:val="fr-FR"/>
        </w:rPr>
        <w:t xml:space="preserve">, § 69, 6 </w:t>
      </w:r>
      <w:r w:rsidR="0044574C" w:rsidRPr="008544BB">
        <w:rPr>
          <w:lang w:val="fr-FR"/>
        </w:rPr>
        <w:t>octobre</w:t>
      </w:r>
      <w:r w:rsidR="0044574C" w:rsidRPr="008544BB">
        <w:rPr>
          <w:snapToGrid w:val="0"/>
          <w:lang w:val="fr-FR"/>
        </w:rPr>
        <w:t xml:space="preserve"> 2015, </w:t>
      </w:r>
      <w:r w:rsidR="00910BED" w:rsidRPr="008544BB">
        <w:rPr>
          <w:snapToGrid w:val="0"/>
          <w:lang w:val="fr-FR"/>
        </w:rPr>
        <w:t xml:space="preserve">et </w:t>
      </w:r>
      <w:r w:rsidR="008544BB" w:rsidRPr="008544BB">
        <w:rPr>
          <w:i/>
          <w:lang w:val="fr-FR"/>
        </w:rPr>
        <w:t xml:space="preserve">Saviny </w:t>
      </w:r>
      <w:r w:rsidR="005230A3" w:rsidRPr="008544BB">
        <w:rPr>
          <w:i/>
          <w:lang w:val="fr-FR"/>
        </w:rPr>
        <w:t>c</w:t>
      </w:r>
      <w:r w:rsidR="005B6EEC" w:rsidRPr="008544BB">
        <w:rPr>
          <w:i/>
          <w:lang w:val="fr-FR"/>
        </w:rPr>
        <w:t>. </w:t>
      </w:r>
      <w:r w:rsidR="005230A3" w:rsidRPr="008544BB">
        <w:rPr>
          <w:i/>
          <w:lang w:val="fr-FR"/>
        </w:rPr>
        <w:t>Ukraine</w:t>
      </w:r>
      <w:r w:rsidR="005230A3" w:rsidRPr="008544BB">
        <w:rPr>
          <w:lang w:val="fr-FR"/>
        </w:rPr>
        <w:t>, n</w:t>
      </w:r>
      <w:r w:rsidR="005230A3" w:rsidRPr="008544BB">
        <w:rPr>
          <w:vertAlign w:val="superscript"/>
          <w:lang w:val="fr-FR"/>
        </w:rPr>
        <w:t>o</w:t>
      </w:r>
      <w:r w:rsidR="00F41EBB" w:rsidRPr="008544BB">
        <w:rPr>
          <w:lang w:val="fr-FR"/>
        </w:rPr>
        <w:t> </w:t>
      </w:r>
      <w:r w:rsidR="005230A3" w:rsidRPr="008544BB">
        <w:rPr>
          <w:lang w:val="fr-FR"/>
        </w:rPr>
        <w:t>39948/06, § 51, 18 décembre 2008)</w:t>
      </w:r>
      <w:r w:rsidR="005230A3" w:rsidRPr="008544BB">
        <w:rPr>
          <w:i/>
          <w:lang w:val="fr-FR"/>
        </w:rPr>
        <w:t>.</w:t>
      </w:r>
    </w:p>
    <w:p w:rsidR="002F4B90" w:rsidRPr="008544BB" w:rsidRDefault="002F4B90"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75</w:t>
      </w:r>
      <w:r w:rsidRPr="008544BB">
        <w:rPr>
          <w:lang w:val="fr-FR"/>
        </w:rPr>
        <w:fldChar w:fldCharType="end"/>
      </w:r>
      <w:r w:rsidR="00F41EBB" w:rsidRPr="008544BB">
        <w:rPr>
          <w:lang w:val="fr-FR"/>
        </w:rPr>
        <w:t>.  </w:t>
      </w:r>
      <w:r w:rsidR="0011033F" w:rsidRPr="008544BB">
        <w:rPr>
          <w:lang w:val="fr-FR"/>
        </w:rPr>
        <w:t>À cet égard</w:t>
      </w:r>
      <w:r w:rsidRPr="008544BB">
        <w:rPr>
          <w:lang w:val="fr-FR"/>
        </w:rPr>
        <w:t xml:space="preserve">, </w:t>
      </w:r>
      <w:r w:rsidR="00F41EBB" w:rsidRPr="008544BB">
        <w:rPr>
          <w:lang w:val="fr-FR"/>
        </w:rPr>
        <w:t>la Cour</w:t>
      </w:r>
      <w:r w:rsidR="0044574C" w:rsidRPr="008544BB">
        <w:rPr>
          <w:lang w:val="fr-FR"/>
        </w:rPr>
        <w:t xml:space="preserve"> relève qu</w:t>
      </w:r>
      <w:r w:rsidR="008544BB" w:rsidRPr="008544BB">
        <w:rPr>
          <w:lang w:val="fr-FR"/>
        </w:rPr>
        <w:t>’</w:t>
      </w:r>
      <w:r w:rsidR="0044574C" w:rsidRPr="008544BB">
        <w:rPr>
          <w:lang w:val="fr-FR"/>
        </w:rPr>
        <w:t>en prenant</w:t>
      </w:r>
      <w:r w:rsidRPr="008544BB">
        <w:rPr>
          <w:lang w:val="fr-FR"/>
        </w:rPr>
        <w:t xml:space="preserve"> la décision de susp</w:t>
      </w:r>
      <w:r w:rsidR="00221AF8" w:rsidRPr="008544BB">
        <w:rPr>
          <w:lang w:val="fr-FR"/>
        </w:rPr>
        <w:t>ension de l</w:t>
      </w:r>
      <w:r w:rsidR="008544BB" w:rsidRPr="008544BB">
        <w:rPr>
          <w:lang w:val="fr-FR"/>
        </w:rPr>
        <w:t>’</w:t>
      </w:r>
      <w:r w:rsidR="00221AF8" w:rsidRPr="008544BB">
        <w:rPr>
          <w:lang w:val="fr-FR"/>
        </w:rPr>
        <w:t>autorité parentale du</w:t>
      </w:r>
      <w:r w:rsidRPr="008544BB">
        <w:rPr>
          <w:lang w:val="fr-FR"/>
        </w:rPr>
        <w:t xml:space="preserve"> 9 novembre 2012</w:t>
      </w:r>
      <w:r w:rsidR="0044574C" w:rsidRPr="008544BB">
        <w:rPr>
          <w:lang w:val="fr-FR"/>
        </w:rPr>
        <w:t xml:space="preserve"> le tribunal </w:t>
      </w:r>
      <w:r w:rsidR="00912B6B" w:rsidRPr="008544BB">
        <w:rPr>
          <w:lang w:val="fr-FR"/>
        </w:rPr>
        <w:t xml:space="preserve">pour enfants </w:t>
      </w:r>
      <w:r w:rsidR="0044574C" w:rsidRPr="008544BB">
        <w:rPr>
          <w:lang w:val="fr-FR"/>
        </w:rPr>
        <w:t>s</w:t>
      </w:r>
      <w:r w:rsidR="008544BB" w:rsidRPr="008544BB">
        <w:rPr>
          <w:lang w:val="fr-FR"/>
        </w:rPr>
        <w:t>’</w:t>
      </w:r>
      <w:r w:rsidR="0044574C" w:rsidRPr="008544BB">
        <w:rPr>
          <w:lang w:val="fr-FR"/>
        </w:rPr>
        <w:t xml:space="preserve">est appuyé </w:t>
      </w:r>
      <w:r w:rsidR="00221AF8" w:rsidRPr="008544BB">
        <w:rPr>
          <w:lang w:val="fr-FR"/>
        </w:rPr>
        <w:t xml:space="preserve">sur </w:t>
      </w:r>
      <w:r w:rsidR="00571118" w:rsidRPr="008544BB">
        <w:rPr>
          <w:lang w:val="fr-FR"/>
        </w:rPr>
        <w:t>l</w:t>
      </w:r>
      <w:r w:rsidR="001977B2" w:rsidRPr="008544BB">
        <w:rPr>
          <w:lang w:val="fr-FR"/>
        </w:rPr>
        <w:t>e rapport d</w:t>
      </w:r>
      <w:r w:rsidR="008544BB" w:rsidRPr="008544BB">
        <w:rPr>
          <w:lang w:val="fr-FR"/>
        </w:rPr>
        <w:t>’</w:t>
      </w:r>
      <w:r w:rsidR="00571118" w:rsidRPr="008544BB">
        <w:rPr>
          <w:lang w:val="fr-FR"/>
        </w:rPr>
        <w:t xml:space="preserve">expertise </w:t>
      </w:r>
      <w:r w:rsidR="001977B2" w:rsidRPr="008544BB">
        <w:rPr>
          <w:lang w:val="fr-FR"/>
        </w:rPr>
        <w:t>établi</w:t>
      </w:r>
      <w:r w:rsidR="00571118" w:rsidRPr="008544BB">
        <w:rPr>
          <w:lang w:val="fr-FR"/>
        </w:rPr>
        <w:t xml:space="preserve"> le 19 mai 2010 </w:t>
      </w:r>
      <w:r w:rsidRPr="008544BB">
        <w:rPr>
          <w:lang w:val="fr-FR"/>
        </w:rPr>
        <w:t>(paragraphe</w:t>
      </w:r>
      <w:r w:rsidR="003F7F39" w:rsidRPr="008544BB">
        <w:rPr>
          <w:lang w:val="fr-FR"/>
        </w:rPr>
        <w:t xml:space="preserve"> </w:t>
      </w:r>
      <w:r w:rsidR="003F7F39" w:rsidRPr="008544BB">
        <w:rPr>
          <w:lang w:val="fr-FR"/>
        </w:rPr>
        <w:fldChar w:fldCharType="begin"/>
      </w:r>
      <w:r w:rsidR="003F7F39" w:rsidRPr="008544BB">
        <w:rPr>
          <w:lang w:val="fr-FR"/>
        </w:rPr>
        <w:instrText xml:space="preserve"> REF TRIBUNAL_NOVEMBRE_2012_SUSPENSION \h </w:instrText>
      </w:r>
      <w:r w:rsidR="003F7F39" w:rsidRPr="008544BB">
        <w:rPr>
          <w:lang w:val="fr-FR"/>
        </w:rPr>
      </w:r>
      <w:r w:rsidR="003F7F39" w:rsidRPr="008544BB">
        <w:rPr>
          <w:lang w:val="fr-FR"/>
        </w:rPr>
        <w:fldChar w:fldCharType="separate"/>
      </w:r>
      <w:r w:rsidR="008544BB" w:rsidRPr="008544BB">
        <w:rPr>
          <w:noProof/>
          <w:lang w:val="fr-FR"/>
        </w:rPr>
        <w:t>31</w:t>
      </w:r>
      <w:r w:rsidR="003F7F39" w:rsidRPr="008544BB">
        <w:rPr>
          <w:lang w:val="fr-FR"/>
        </w:rPr>
        <w:fldChar w:fldCharType="end"/>
      </w:r>
      <w:r w:rsidR="00EC4E7B" w:rsidRPr="008544BB">
        <w:rPr>
          <w:lang w:val="fr-FR"/>
        </w:rPr>
        <w:t xml:space="preserve"> </w:t>
      </w:r>
      <w:r w:rsidR="00571118" w:rsidRPr="008544BB">
        <w:rPr>
          <w:lang w:val="fr-FR"/>
        </w:rPr>
        <w:t>ci</w:t>
      </w:r>
      <w:r w:rsidR="00D62E8C" w:rsidRPr="008544BB">
        <w:rPr>
          <w:lang w:val="fr-FR"/>
        </w:rPr>
        <w:noBreakHyphen/>
      </w:r>
      <w:r w:rsidR="00571118" w:rsidRPr="008544BB">
        <w:rPr>
          <w:lang w:val="fr-FR"/>
        </w:rPr>
        <w:t>dessus)</w:t>
      </w:r>
      <w:r w:rsidRPr="008544BB">
        <w:rPr>
          <w:lang w:val="fr-FR"/>
        </w:rPr>
        <w:t>.</w:t>
      </w:r>
    </w:p>
    <w:p w:rsidR="00DF6268" w:rsidRPr="008544BB" w:rsidRDefault="00571118"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76</w:t>
      </w:r>
      <w:r w:rsidRPr="008544BB">
        <w:rPr>
          <w:lang w:val="fr-FR"/>
        </w:rPr>
        <w:fldChar w:fldCharType="end"/>
      </w:r>
      <w:r w:rsidRPr="008544BB">
        <w:rPr>
          <w:lang w:val="fr-FR"/>
        </w:rPr>
        <w:t>.  </w:t>
      </w:r>
      <w:r w:rsidR="00312C10" w:rsidRPr="008544BB">
        <w:rPr>
          <w:lang w:val="fr-FR"/>
        </w:rPr>
        <w:t>S</w:t>
      </w:r>
      <w:r w:rsidR="008544BB" w:rsidRPr="008544BB">
        <w:rPr>
          <w:lang w:val="fr-FR"/>
        </w:rPr>
        <w:t>’</w:t>
      </w:r>
      <w:r w:rsidR="005B6EEC" w:rsidRPr="008544BB">
        <w:rPr>
          <w:lang w:val="fr-FR"/>
        </w:rPr>
        <w:t>il est vrai</w:t>
      </w:r>
      <w:r w:rsidR="001977B2" w:rsidRPr="008544BB">
        <w:rPr>
          <w:lang w:val="fr-FR"/>
        </w:rPr>
        <w:t xml:space="preserve">, comme </w:t>
      </w:r>
      <w:r w:rsidR="00312C10" w:rsidRPr="008544BB">
        <w:rPr>
          <w:lang w:val="fr-FR"/>
        </w:rPr>
        <w:t xml:space="preserve">le Gouvernement </w:t>
      </w:r>
      <w:r w:rsidR="001977B2" w:rsidRPr="008544BB">
        <w:rPr>
          <w:lang w:val="fr-FR"/>
        </w:rPr>
        <w:t>l</w:t>
      </w:r>
      <w:r w:rsidR="008544BB" w:rsidRPr="008544BB">
        <w:rPr>
          <w:lang w:val="fr-FR"/>
        </w:rPr>
        <w:t>’</w:t>
      </w:r>
      <w:r w:rsidR="00312C10" w:rsidRPr="008544BB">
        <w:rPr>
          <w:lang w:val="fr-FR"/>
        </w:rPr>
        <w:t>affirme</w:t>
      </w:r>
      <w:r w:rsidR="001977B2" w:rsidRPr="008544BB">
        <w:rPr>
          <w:lang w:val="fr-FR"/>
        </w:rPr>
        <w:t>,</w:t>
      </w:r>
      <w:r w:rsidRPr="008544BB">
        <w:rPr>
          <w:lang w:val="fr-FR"/>
        </w:rPr>
        <w:t xml:space="preserve"> </w:t>
      </w:r>
      <w:r w:rsidR="00312C10" w:rsidRPr="008544BB">
        <w:rPr>
          <w:lang w:val="fr-FR"/>
        </w:rPr>
        <w:t>qu</w:t>
      </w:r>
      <w:r w:rsidR="008544BB" w:rsidRPr="008544BB">
        <w:rPr>
          <w:lang w:val="fr-FR"/>
        </w:rPr>
        <w:t>’</w:t>
      </w:r>
      <w:r w:rsidR="002F4B90" w:rsidRPr="008544BB">
        <w:rPr>
          <w:lang w:val="fr-FR"/>
        </w:rPr>
        <w:t>un trouble de la personnalité de type « borderline »</w:t>
      </w:r>
      <w:r w:rsidR="00312C10" w:rsidRPr="008544BB">
        <w:rPr>
          <w:lang w:val="fr-FR"/>
        </w:rPr>
        <w:t xml:space="preserve"> </w:t>
      </w:r>
      <w:r w:rsidR="005B6EEC" w:rsidRPr="008544BB">
        <w:rPr>
          <w:lang w:val="fr-FR"/>
        </w:rPr>
        <w:t>ne requiert pas</w:t>
      </w:r>
      <w:r w:rsidR="005706DB" w:rsidRPr="008544BB">
        <w:rPr>
          <w:lang w:val="fr-FR"/>
        </w:rPr>
        <w:t xml:space="preserve"> de renouveler</w:t>
      </w:r>
      <w:r w:rsidR="00E43C7C" w:rsidRPr="008544BB">
        <w:rPr>
          <w:lang w:val="fr-FR"/>
        </w:rPr>
        <w:t xml:space="preserve"> périodiquement</w:t>
      </w:r>
      <w:r w:rsidR="005706DB" w:rsidRPr="008544BB">
        <w:rPr>
          <w:lang w:val="fr-FR"/>
        </w:rPr>
        <w:t xml:space="preserve"> </w:t>
      </w:r>
      <w:r w:rsidR="001977B2" w:rsidRPr="008544BB">
        <w:rPr>
          <w:lang w:val="fr-FR"/>
        </w:rPr>
        <w:t>l</w:t>
      </w:r>
      <w:r w:rsidR="008544BB" w:rsidRPr="008544BB">
        <w:rPr>
          <w:lang w:val="fr-FR"/>
        </w:rPr>
        <w:t>’</w:t>
      </w:r>
      <w:r w:rsidR="001977B2" w:rsidRPr="008544BB">
        <w:rPr>
          <w:lang w:val="fr-FR"/>
        </w:rPr>
        <w:t>expertise en raison d</w:t>
      </w:r>
      <w:r w:rsidR="008544BB" w:rsidRPr="008544BB">
        <w:rPr>
          <w:lang w:val="fr-FR"/>
        </w:rPr>
        <w:t>’</w:t>
      </w:r>
      <w:r w:rsidR="00DE35CC" w:rsidRPr="008544BB">
        <w:rPr>
          <w:lang w:val="fr-FR"/>
        </w:rPr>
        <w:t xml:space="preserve">une </w:t>
      </w:r>
      <w:r w:rsidR="001977B2" w:rsidRPr="008544BB">
        <w:rPr>
          <w:lang w:val="fr-FR"/>
        </w:rPr>
        <w:t>impossibilité d</w:t>
      </w:r>
      <w:r w:rsidR="008544BB" w:rsidRPr="008544BB">
        <w:rPr>
          <w:lang w:val="fr-FR"/>
        </w:rPr>
        <w:t>’</w:t>
      </w:r>
      <w:r w:rsidR="001977B2" w:rsidRPr="008544BB">
        <w:rPr>
          <w:lang w:val="fr-FR"/>
        </w:rPr>
        <w:t>apprécier</w:t>
      </w:r>
      <w:r w:rsidR="0068657A" w:rsidRPr="008544BB">
        <w:rPr>
          <w:lang w:val="fr-FR"/>
        </w:rPr>
        <w:t xml:space="preserve"> les perspectives d</w:t>
      </w:r>
      <w:r w:rsidR="008544BB" w:rsidRPr="008544BB">
        <w:rPr>
          <w:lang w:val="fr-FR"/>
        </w:rPr>
        <w:t>’</w:t>
      </w:r>
      <w:r w:rsidR="0068657A" w:rsidRPr="008544BB">
        <w:rPr>
          <w:lang w:val="fr-FR"/>
        </w:rPr>
        <w:t>évolution sur le court terme</w:t>
      </w:r>
      <w:r w:rsidR="007D103A" w:rsidRPr="008544BB">
        <w:rPr>
          <w:lang w:val="fr-FR"/>
        </w:rPr>
        <w:t xml:space="preserve"> </w:t>
      </w:r>
      <w:r w:rsidRPr="008544BB">
        <w:rPr>
          <w:lang w:val="fr-FR"/>
        </w:rPr>
        <w:t xml:space="preserve">(paragraphe </w:t>
      </w:r>
      <w:r w:rsidRPr="008544BB">
        <w:rPr>
          <w:lang w:val="fr-FR"/>
        </w:rPr>
        <w:fldChar w:fldCharType="begin"/>
      </w:r>
      <w:r w:rsidRPr="008544BB">
        <w:rPr>
          <w:lang w:val="fr-FR"/>
        </w:rPr>
        <w:instrText xml:space="preserve"> REF ECART_EXPERTISES \h </w:instrText>
      </w:r>
      <w:r w:rsidRPr="008544BB">
        <w:rPr>
          <w:lang w:val="fr-FR"/>
        </w:rPr>
      </w:r>
      <w:r w:rsidRPr="008544BB">
        <w:rPr>
          <w:lang w:val="fr-FR"/>
        </w:rPr>
        <w:fldChar w:fldCharType="separate"/>
      </w:r>
      <w:r w:rsidR="008544BB" w:rsidRPr="008544BB">
        <w:rPr>
          <w:noProof/>
          <w:lang w:val="fr-FR"/>
        </w:rPr>
        <w:t>65</w:t>
      </w:r>
      <w:r w:rsidRPr="008544BB">
        <w:rPr>
          <w:lang w:val="fr-FR"/>
        </w:rPr>
        <w:fldChar w:fldCharType="end"/>
      </w:r>
      <w:r w:rsidRPr="008544BB">
        <w:rPr>
          <w:lang w:val="fr-FR"/>
        </w:rPr>
        <w:t xml:space="preserve"> ci-dessus)</w:t>
      </w:r>
      <w:r w:rsidR="00312C10" w:rsidRPr="008544BB">
        <w:rPr>
          <w:lang w:val="fr-FR"/>
        </w:rPr>
        <w:t>, la Cour, s</w:t>
      </w:r>
      <w:r w:rsidR="005706DB" w:rsidRPr="008544BB">
        <w:rPr>
          <w:lang w:val="fr-FR"/>
        </w:rPr>
        <w:t>ans</w:t>
      </w:r>
      <w:r w:rsidR="007D103A" w:rsidRPr="008544BB">
        <w:rPr>
          <w:lang w:val="fr-FR"/>
        </w:rPr>
        <w:t xml:space="preserve"> vouloir</w:t>
      </w:r>
      <w:r w:rsidR="005706DB" w:rsidRPr="008544BB">
        <w:rPr>
          <w:lang w:val="fr-FR"/>
        </w:rPr>
        <w:t xml:space="preserve"> prendre position </w:t>
      </w:r>
      <w:r w:rsidR="00D21171" w:rsidRPr="008544BB">
        <w:rPr>
          <w:lang w:val="fr-FR"/>
        </w:rPr>
        <w:t>sur</w:t>
      </w:r>
      <w:r w:rsidR="005706DB" w:rsidRPr="008544BB">
        <w:rPr>
          <w:lang w:val="fr-FR"/>
        </w:rPr>
        <w:t xml:space="preserve"> l</w:t>
      </w:r>
      <w:r w:rsidR="0052529C" w:rsidRPr="008544BB">
        <w:rPr>
          <w:lang w:val="fr-FR"/>
        </w:rPr>
        <w:t xml:space="preserve">a validité scientifique de </w:t>
      </w:r>
      <w:r w:rsidR="007D103A" w:rsidRPr="008544BB">
        <w:rPr>
          <w:lang w:val="fr-FR"/>
        </w:rPr>
        <w:t>cet</w:t>
      </w:r>
      <w:r w:rsidR="00C92225" w:rsidRPr="008544BB">
        <w:rPr>
          <w:lang w:val="fr-FR"/>
        </w:rPr>
        <w:t>te</w:t>
      </w:r>
      <w:r w:rsidR="007D103A" w:rsidRPr="008544BB">
        <w:rPr>
          <w:lang w:val="fr-FR"/>
        </w:rPr>
        <w:t xml:space="preserve"> </w:t>
      </w:r>
      <w:r w:rsidR="001977B2" w:rsidRPr="008544BB">
        <w:rPr>
          <w:lang w:val="fr-FR"/>
        </w:rPr>
        <w:t>assertion</w:t>
      </w:r>
      <w:r w:rsidR="005706DB" w:rsidRPr="008544BB">
        <w:rPr>
          <w:lang w:val="fr-FR"/>
        </w:rPr>
        <w:t>,</w:t>
      </w:r>
      <w:r w:rsidR="007D103A" w:rsidRPr="008544BB">
        <w:rPr>
          <w:lang w:val="fr-FR"/>
        </w:rPr>
        <w:t xml:space="preserve"> </w:t>
      </w:r>
      <w:r w:rsidR="00C11C5E" w:rsidRPr="008544BB">
        <w:rPr>
          <w:lang w:val="fr-FR"/>
        </w:rPr>
        <w:t>considère</w:t>
      </w:r>
      <w:r w:rsidR="00DF6268" w:rsidRPr="008544BB">
        <w:rPr>
          <w:lang w:val="fr-FR"/>
        </w:rPr>
        <w:t xml:space="preserve"> </w:t>
      </w:r>
      <w:r w:rsidR="00C11C5E" w:rsidRPr="008544BB">
        <w:rPr>
          <w:lang w:val="fr-FR"/>
        </w:rPr>
        <w:t>que certains éléments de l</w:t>
      </w:r>
      <w:r w:rsidR="008544BB" w:rsidRPr="008544BB">
        <w:rPr>
          <w:lang w:val="fr-FR"/>
        </w:rPr>
        <w:t>’</w:t>
      </w:r>
      <w:r w:rsidR="00C11C5E" w:rsidRPr="008544BB">
        <w:rPr>
          <w:lang w:val="fr-FR"/>
        </w:rPr>
        <w:t xml:space="preserve">affaire </w:t>
      </w:r>
      <w:r w:rsidR="00213ABE" w:rsidRPr="008544BB">
        <w:rPr>
          <w:lang w:val="fr-FR"/>
        </w:rPr>
        <w:t>montrent</w:t>
      </w:r>
      <w:r w:rsidR="00C11C5E" w:rsidRPr="008544BB">
        <w:rPr>
          <w:lang w:val="fr-FR"/>
        </w:rPr>
        <w:t xml:space="preserve"> non pas un changement </w:t>
      </w:r>
      <w:r w:rsidR="00213ABE" w:rsidRPr="008544BB">
        <w:rPr>
          <w:lang w:val="fr-FR"/>
        </w:rPr>
        <w:t xml:space="preserve">de la situation litigieuse </w:t>
      </w:r>
      <w:r w:rsidR="00C11C5E" w:rsidRPr="008544BB">
        <w:rPr>
          <w:lang w:val="fr-FR"/>
        </w:rPr>
        <w:t>justifiant le retour des enfants et la réunification de la famille mais</w:t>
      </w:r>
      <w:r w:rsidR="00857C7D" w:rsidRPr="008544BB">
        <w:rPr>
          <w:lang w:val="fr-FR"/>
        </w:rPr>
        <w:t xml:space="preserve">, à tout le </w:t>
      </w:r>
      <w:r w:rsidR="00C11C5E" w:rsidRPr="008544BB">
        <w:rPr>
          <w:lang w:val="fr-FR"/>
        </w:rPr>
        <w:t>moins</w:t>
      </w:r>
      <w:r w:rsidR="00857C7D" w:rsidRPr="008544BB">
        <w:rPr>
          <w:lang w:val="fr-FR"/>
        </w:rPr>
        <w:t>,</w:t>
      </w:r>
      <w:r w:rsidR="00C11C5E" w:rsidRPr="008544BB">
        <w:rPr>
          <w:lang w:val="fr-FR"/>
        </w:rPr>
        <w:t xml:space="preserve"> une évolution positive des conditions </w:t>
      </w:r>
      <w:r w:rsidR="00857C7D" w:rsidRPr="008544BB">
        <w:rPr>
          <w:lang w:val="fr-FR"/>
        </w:rPr>
        <w:t>décrites</w:t>
      </w:r>
      <w:r w:rsidR="00C11C5E" w:rsidRPr="008544BB">
        <w:rPr>
          <w:lang w:val="fr-FR"/>
        </w:rPr>
        <w:t xml:space="preserve"> dans le premier rapport d</w:t>
      </w:r>
      <w:r w:rsidR="008544BB" w:rsidRPr="008544BB">
        <w:rPr>
          <w:lang w:val="fr-FR"/>
        </w:rPr>
        <w:t>’</w:t>
      </w:r>
      <w:r w:rsidR="00C11C5E" w:rsidRPr="008544BB">
        <w:rPr>
          <w:lang w:val="fr-FR"/>
        </w:rPr>
        <w:t>expertise.</w:t>
      </w:r>
    </w:p>
    <w:p w:rsidR="006E064B" w:rsidRPr="008544BB" w:rsidRDefault="00312C10" w:rsidP="008544BB">
      <w:pPr>
        <w:pStyle w:val="ECHRPara"/>
        <w:rPr>
          <w:i/>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77</w:t>
      </w:r>
      <w:r w:rsidRPr="008544BB">
        <w:rPr>
          <w:lang w:val="fr-FR"/>
        </w:rPr>
        <w:fldChar w:fldCharType="end"/>
      </w:r>
      <w:r w:rsidRPr="008544BB">
        <w:rPr>
          <w:lang w:val="fr-FR"/>
        </w:rPr>
        <w:t>.  </w:t>
      </w:r>
      <w:r w:rsidR="005706DB" w:rsidRPr="008544BB">
        <w:rPr>
          <w:lang w:val="fr-FR"/>
        </w:rPr>
        <w:t xml:space="preserve">En particulier, </w:t>
      </w:r>
      <w:r w:rsidR="00571BEE" w:rsidRPr="008544BB">
        <w:rPr>
          <w:lang w:val="fr-FR"/>
        </w:rPr>
        <w:t>tout d</w:t>
      </w:r>
      <w:r w:rsidR="008544BB" w:rsidRPr="008544BB">
        <w:rPr>
          <w:lang w:val="fr-FR"/>
        </w:rPr>
        <w:t>’</w:t>
      </w:r>
      <w:r w:rsidR="00571BEE" w:rsidRPr="008544BB">
        <w:rPr>
          <w:lang w:val="fr-FR"/>
        </w:rPr>
        <w:t xml:space="preserve">abord, </w:t>
      </w:r>
      <w:r w:rsidR="005706DB" w:rsidRPr="008544BB">
        <w:rPr>
          <w:lang w:val="fr-FR"/>
        </w:rPr>
        <w:t>la Cour relève</w:t>
      </w:r>
      <w:r w:rsidR="00C92225" w:rsidRPr="008544BB">
        <w:rPr>
          <w:lang w:val="fr-FR"/>
        </w:rPr>
        <w:t xml:space="preserve"> </w:t>
      </w:r>
      <w:r w:rsidR="006E064B" w:rsidRPr="008544BB">
        <w:rPr>
          <w:lang w:val="fr-FR"/>
        </w:rPr>
        <w:t>que les enfants</w:t>
      </w:r>
      <w:r w:rsidR="00314080" w:rsidRPr="008544BB">
        <w:rPr>
          <w:lang w:val="fr-FR"/>
        </w:rPr>
        <w:t xml:space="preserve"> </w:t>
      </w:r>
      <w:r w:rsidR="00857C7D" w:rsidRPr="008544BB">
        <w:rPr>
          <w:lang w:val="fr-FR"/>
        </w:rPr>
        <w:t>ont été</w:t>
      </w:r>
      <w:r w:rsidR="006E064B" w:rsidRPr="008544BB">
        <w:rPr>
          <w:lang w:val="fr-FR"/>
        </w:rPr>
        <w:t xml:space="preserve"> examinés par le personnel médical de l</w:t>
      </w:r>
      <w:r w:rsidR="008544BB" w:rsidRPr="008544BB">
        <w:rPr>
          <w:lang w:val="fr-FR"/>
        </w:rPr>
        <w:t>’</w:t>
      </w:r>
      <w:r w:rsidR="006E064B" w:rsidRPr="008544BB">
        <w:rPr>
          <w:lang w:val="fr-FR"/>
        </w:rPr>
        <w:t>hôpital de Marino</w:t>
      </w:r>
      <w:r w:rsidR="00857C7D" w:rsidRPr="008544BB">
        <w:rPr>
          <w:lang w:val="fr-FR"/>
        </w:rPr>
        <w:t>,</w:t>
      </w:r>
      <w:r w:rsidR="00314080" w:rsidRPr="008544BB">
        <w:rPr>
          <w:lang w:val="fr-FR"/>
        </w:rPr>
        <w:t xml:space="preserve"> qui </w:t>
      </w:r>
      <w:r w:rsidR="00857C7D" w:rsidRPr="008544BB">
        <w:rPr>
          <w:lang w:val="fr-FR"/>
        </w:rPr>
        <w:t xml:space="preserve">a </w:t>
      </w:r>
      <w:r w:rsidR="00314080" w:rsidRPr="008544BB">
        <w:rPr>
          <w:lang w:val="fr-FR"/>
        </w:rPr>
        <w:t>constat</w:t>
      </w:r>
      <w:r w:rsidR="00857C7D" w:rsidRPr="008544BB">
        <w:rPr>
          <w:lang w:val="fr-FR"/>
        </w:rPr>
        <w:t>é</w:t>
      </w:r>
      <w:r w:rsidR="006E064B" w:rsidRPr="008544BB">
        <w:rPr>
          <w:lang w:val="fr-FR"/>
        </w:rPr>
        <w:t xml:space="preserve"> </w:t>
      </w:r>
      <w:r w:rsidR="004176E0" w:rsidRPr="008544BB">
        <w:rPr>
          <w:lang w:val="fr-FR"/>
        </w:rPr>
        <w:t>que ceux-ci étaient e</w:t>
      </w:r>
      <w:r w:rsidR="006E064B" w:rsidRPr="008544BB">
        <w:rPr>
          <w:lang w:val="fr-FR"/>
        </w:rPr>
        <w:t xml:space="preserve">n bon état de santé et </w:t>
      </w:r>
      <w:r w:rsidR="004176E0" w:rsidRPr="008544BB">
        <w:rPr>
          <w:lang w:val="fr-FR"/>
        </w:rPr>
        <w:t>que le</w:t>
      </w:r>
      <w:r w:rsidR="006E064B" w:rsidRPr="008544BB">
        <w:rPr>
          <w:lang w:val="fr-FR"/>
        </w:rPr>
        <w:t xml:space="preserve"> rapport </w:t>
      </w:r>
      <w:r w:rsidR="00040344" w:rsidRPr="008544BB">
        <w:rPr>
          <w:lang w:val="fr-FR"/>
        </w:rPr>
        <w:t>mère</w:t>
      </w:r>
      <w:r w:rsidR="006E064B" w:rsidRPr="008544BB">
        <w:rPr>
          <w:lang w:val="fr-FR"/>
        </w:rPr>
        <w:t>-enfants</w:t>
      </w:r>
      <w:r w:rsidR="004176E0" w:rsidRPr="008544BB">
        <w:rPr>
          <w:lang w:val="fr-FR"/>
        </w:rPr>
        <w:t xml:space="preserve"> était</w:t>
      </w:r>
      <w:r w:rsidR="006E064B" w:rsidRPr="008544BB">
        <w:rPr>
          <w:lang w:val="fr-FR"/>
        </w:rPr>
        <w:t xml:space="preserve"> positif (paragraphe </w:t>
      </w:r>
      <w:r w:rsidR="006E064B" w:rsidRPr="008544BB">
        <w:rPr>
          <w:lang w:val="fr-FR"/>
        </w:rPr>
        <w:fldChar w:fldCharType="begin"/>
      </w:r>
      <w:r w:rsidR="006E064B" w:rsidRPr="008544BB">
        <w:rPr>
          <w:lang w:val="fr-FR"/>
        </w:rPr>
        <w:instrText xml:space="preserve"> REF bonne_etat_de_sante \h </w:instrText>
      </w:r>
      <w:r w:rsidR="006E064B" w:rsidRPr="008544BB">
        <w:rPr>
          <w:lang w:val="fr-FR"/>
        </w:rPr>
      </w:r>
      <w:r w:rsidR="006E064B" w:rsidRPr="008544BB">
        <w:rPr>
          <w:lang w:val="fr-FR"/>
        </w:rPr>
        <w:fldChar w:fldCharType="separate"/>
      </w:r>
      <w:r w:rsidR="008544BB" w:rsidRPr="008544BB">
        <w:rPr>
          <w:noProof/>
          <w:lang w:val="fr-FR"/>
        </w:rPr>
        <w:t>8</w:t>
      </w:r>
      <w:r w:rsidR="006E064B" w:rsidRPr="008544BB">
        <w:rPr>
          <w:lang w:val="fr-FR"/>
        </w:rPr>
        <w:fldChar w:fldCharType="end"/>
      </w:r>
      <w:r w:rsidR="006E064B" w:rsidRPr="008544BB">
        <w:rPr>
          <w:lang w:val="fr-FR"/>
        </w:rPr>
        <w:t xml:space="preserve"> ci-dessus). </w:t>
      </w:r>
      <w:r w:rsidR="00314080" w:rsidRPr="008544BB">
        <w:rPr>
          <w:lang w:val="fr-FR"/>
        </w:rPr>
        <w:t>À la différence d</w:t>
      </w:r>
      <w:r w:rsidR="008544BB" w:rsidRPr="008544BB">
        <w:rPr>
          <w:lang w:val="fr-FR"/>
        </w:rPr>
        <w:t>’</w:t>
      </w:r>
      <w:r w:rsidR="00314080" w:rsidRPr="008544BB">
        <w:rPr>
          <w:lang w:val="fr-FR"/>
        </w:rPr>
        <w:t>autres affaires que la Co</w:t>
      </w:r>
      <w:r w:rsidR="007D103A" w:rsidRPr="008544BB">
        <w:rPr>
          <w:lang w:val="fr-FR"/>
        </w:rPr>
        <w:t>ur a eu l</w:t>
      </w:r>
      <w:r w:rsidR="008544BB" w:rsidRPr="008544BB">
        <w:rPr>
          <w:lang w:val="fr-FR"/>
        </w:rPr>
        <w:t>’</w:t>
      </w:r>
      <w:r w:rsidR="007D103A" w:rsidRPr="008544BB">
        <w:rPr>
          <w:lang w:val="fr-FR"/>
        </w:rPr>
        <w:t>occasion d</w:t>
      </w:r>
      <w:r w:rsidR="008544BB" w:rsidRPr="008544BB">
        <w:rPr>
          <w:lang w:val="fr-FR"/>
        </w:rPr>
        <w:t>’</w:t>
      </w:r>
      <w:r w:rsidR="007D103A" w:rsidRPr="008544BB">
        <w:rPr>
          <w:lang w:val="fr-FR"/>
        </w:rPr>
        <w:t>examiner, dans l</w:t>
      </w:r>
      <w:r w:rsidR="00857C7D" w:rsidRPr="008544BB">
        <w:rPr>
          <w:lang w:val="fr-FR"/>
        </w:rPr>
        <w:t xml:space="preserve">a présente </w:t>
      </w:r>
      <w:r w:rsidR="007D103A" w:rsidRPr="008544BB">
        <w:rPr>
          <w:lang w:val="fr-FR"/>
        </w:rPr>
        <w:t>espèce</w:t>
      </w:r>
      <w:r w:rsidR="00857C7D" w:rsidRPr="008544BB">
        <w:rPr>
          <w:lang w:val="fr-FR"/>
        </w:rPr>
        <w:t>,</w:t>
      </w:r>
      <w:r w:rsidR="00314080" w:rsidRPr="008544BB">
        <w:rPr>
          <w:lang w:val="fr-FR"/>
        </w:rPr>
        <w:t xml:space="preserve"> les enfants n</w:t>
      </w:r>
      <w:r w:rsidR="008544BB" w:rsidRPr="008544BB">
        <w:rPr>
          <w:lang w:val="fr-FR"/>
        </w:rPr>
        <w:t>’</w:t>
      </w:r>
      <w:r w:rsidR="00314080" w:rsidRPr="008544BB">
        <w:rPr>
          <w:lang w:val="fr-FR"/>
        </w:rPr>
        <w:t>ont été</w:t>
      </w:r>
      <w:r w:rsidR="007D103A" w:rsidRPr="008544BB">
        <w:rPr>
          <w:lang w:val="fr-FR"/>
        </w:rPr>
        <w:t xml:space="preserve"> séparés de leur mère </w:t>
      </w:r>
      <w:r w:rsidR="008B6064" w:rsidRPr="008544BB">
        <w:rPr>
          <w:lang w:val="fr-FR"/>
        </w:rPr>
        <w:t xml:space="preserve">ni </w:t>
      </w:r>
      <w:r w:rsidR="00C92225" w:rsidRPr="008544BB">
        <w:rPr>
          <w:lang w:val="fr-FR"/>
        </w:rPr>
        <w:t>en raison d</w:t>
      </w:r>
      <w:r w:rsidR="008544BB" w:rsidRPr="008544BB">
        <w:rPr>
          <w:lang w:val="fr-FR"/>
        </w:rPr>
        <w:t>’</w:t>
      </w:r>
      <w:r w:rsidR="00C92225" w:rsidRPr="008544BB">
        <w:rPr>
          <w:lang w:val="fr-FR"/>
        </w:rPr>
        <w:t>une</w:t>
      </w:r>
      <w:r w:rsidR="00314080" w:rsidRPr="008544BB">
        <w:rPr>
          <w:lang w:val="fr-FR"/>
        </w:rPr>
        <w:t xml:space="preserve"> situation de violence ou de maltraitance physique ou psychique</w:t>
      </w:r>
      <w:r w:rsidR="008037C0" w:rsidRPr="008544BB">
        <w:rPr>
          <w:lang w:val="fr-FR"/>
        </w:rPr>
        <w:t xml:space="preserve">, ni </w:t>
      </w:r>
      <w:r w:rsidR="007D103A" w:rsidRPr="008544BB">
        <w:rPr>
          <w:lang w:val="fr-FR"/>
        </w:rPr>
        <w:t>en raison d</w:t>
      </w:r>
      <w:r w:rsidR="008544BB" w:rsidRPr="008544BB">
        <w:rPr>
          <w:lang w:val="fr-FR"/>
        </w:rPr>
        <w:t>’</w:t>
      </w:r>
      <w:r w:rsidR="007D103A" w:rsidRPr="008544BB">
        <w:rPr>
          <w:lang w:val="fr-FR"/>
        </w:rPr>
        <w:t>un</w:t>
      </w:r>
      <w:r w:rsidR="008037C0" w:rsidRPr="008544BB">
        <w:rPr>
          <w:lang w:val="fr-FR"/>
        </w:rPr>
        <w:t xml:space="preserve"> état de santé </w:t>
      </w:r>
      <w:r w:rsidR="008037C0" w:rsidRPr="008544BB">
        <w:rPr>
          <w:lang w:val="fr-FR"/>
        </w:rPr>
        <w:lastRenderedPageBreak/>
        <w:t>inquiétant</w:t>
      </w:r>
      <w:r w:rsidR="00314080" w:rsidRPr="008544BB">
        <w:rPr>
          <w:lang w:val="fr-FR"/>
        </w:rPr>
        <w:t xml:space="preserve"> (</w:t>
      </w:r>
      <w:r w:rsidR="008037C0" w:rsidRPr="008544BB">
        <w:rPr>
          <w:lang w:val="fr-FR"/>
        </w:rPr>
        <w:t>voir, pour la jurisprudence y mentionné</w:t>
      </w:r>
      <w:r w:rsidR="00144266" w:rsidRPr="008544BB">
        <w:rPr>
          <w:lang w:val="fr-FR"/>
        </w:rPr>
        <w:t>e</w:t>
      </w:r>
      <w:r w:rsidR="008037C0" w:rsidRPr="008544BB">
        <w:rPr>
          <w:lang w:val="fr-FR"/>
        </w:rPr>
        <w:t xml:space="preserve">, </w:t>
      </w:r>
      <w:r w:rsidRPr="008544BB">
        <w:rPr>
          <w:i/>
          <w:iCs/>
          <w:lang w:val="fr-FR"/>
        </w:rPr>
        <w:t>Barnea et Caldararu c. Italie</w:t>
      </w:r>
      <w:r w:rsidRPr="008544BB">
        <w:rPr>
          <w:iCs/>
          <w:lang w:val="fr-FR"/>
        </w:rPr>
        <w:t xml:space="preserve">, </w:t>
      </w:r>
      <w:r w:rsidRPr="008544BB">
        <w:rPr>
          <w:lang w:val="fr-FR"/>
        </w:rPr>
        <w:t>n</w:t>
      </w:r>
      <w:r w:rsidRPr="008544BB">
        <w:rPr>
          <w:vertAlign w:val="superscript"/>
          <w:lang w:val="fr-FR"/>
        </w:rPr>
        <w:t>o</w:t>
      </w:r>
      <w:r w:rsidRPr="008544BB">
        <w:rPr>
          <w:lang w:val="fr-FR"/>
        </w:rPr>
        <w:t xml:space="preserve"> 37931/15, §§</w:t>
      </w:r>
      <w:r w:rsidR="005B6EEC" w:rsidRPr="008544BB">
        <w:rPr>
          <w:lang w:val="fr-FR"/>
        </w:rPr>
        <w:t> </w:t>
      </w:r>
      <w:r w:rsidRPr="008544BB">
        <w:rPr>
          <w:lang w:val="fr-FR"/>
        </w:rPr>
        <w:t>73-74, 20 juin 2017</w:t>
      </w:r>
      <w:r w:rsidR="008037C0" w:rsidRPr="008544BB">
        <w:rPr>
          <w:snapToGrid w:val="0"/>
          <w:lang w:val="fr-FR"/>
        </w:rPr>
        <w:t>).</w:t>
      </w:r>
    </w:p>
    <w:p w:rsidR="00097636" w:rsidRPr="008544BB" w:rsidRDefault="00097636" w:rsidP="008544BB">
      <w:pPr>
        <w:pStyle w:val="ECHRPara"/>
        <w:rPr>
          <w:i/>
          <w:lang w:val="fr-FR"/>
        </w:rPr>
      </w:pPr>
      <w:r w:rsidRPr="008544BB">
        <w:rPr>
          <w:snapToGrid w:val="0"/>
          <w:lang w:val="fr-FR"/>
        </w:rPr>
        <w:fldChar w:fldCharType="begin"/>
      </w:r>
      <w:r w:rsidRPr="008544BB">
        <w:rPr>
          <w:snapToGrid w:val="0"/>
          <w:lang w:val="fr-FR"/>
        </w:rPr>
        <w:instrText xml:space="preserve"> SEQ level0 \*arabic </w:instrText>
      </w:r>
      <w:r w:rsidRPr="008544BB">
        <w:rPr>
          <w:snapToGrid w:val="0"/>
          <w:lang w:val="fr-FR"/>
        </w:rPr>
        <w:fldChar w:fldCharType="separate"/>
      </w:r>
      <w:r w:rsidR="008544BB" w:rsidRPr="008544BB">
        <w:rPr>
          <w:noProof/>
          <w:snapToGrid w:val="0"/>
          <w:lang w:val="fr-FR"/>
        </w:rPr>
        <w:t>78</w:t>
      </w:r>
      <w:r w:rsidRPr="008544BB">
        <w:rPr>
          <w:snapToGrid w:val="0"/>
          <w:lang w:val="fr-FR"/>
        </w:rPr>
        <w:fldChar w:fldCharType="end"/>
      </w:r>
      <w:r w:rsidRPr="008544BB">
        <w:rPr>
          <w:snapToGrid w:val="0"/>
          <w:lang w:val="fr-FR"/>
        </w:rPr>
        <w:t>.  </w:t>
      </w:r>
      <w:r w:rsidR="003262FE" w:rsidRPr="008544BB">
        <w:rPr>
          <w:snapToGrid w:val="0"/>
          <w:lang w:val="fr-FR"/>
        </w:rPr>
        <w:t>Ensuite</w:t>
      </w:r>
      <w:r w:rsidR="00144266" w:rsidRPr="008544BB">
        <w:rPr>
          <w:snapToGrid w:val="0"/>
          <w:lang w:val="fr-FR"/>
        </w:rPr>
        <w:t>, l</w:t>
      </w:r>
      <w:r w:rsidRPr="008544BB">
        <w:rPr>
          <w:snapToGrid w:val="0"/>
          <w:lang w:val="fr-FR"/>
        </w:rPr>
        <w:t>a Cour observe que</w:t>
      </w:r>
      <w:r w:rsidR="00FC700E" w:rsidRPr="008544BB">
        <w:rPr>
          <w:snapToGrid w:val="0"/>
          <w:lang w:val="fr-FR"/>
        </w:rPr>
        <w:t>, contrairement à l</w:t>
      </w:r>
      <w:r w:rsidR="008544BB" w:rsidRPr="008544BB">
        <w:rPr>
          <w:snapToGrid w:val="0"/>
          <w:lang w:val="fr-FR"/>
        </w:rPr>
        <w:t>’</w:t>
      </w:r>
      <w:r w:rsidR="00FC700E" w:rsidRPr="008544BB">
        <w:rPr>
          <w:snapToGrid w:val="0"/>
          <w:lang w:val="fr-FR"/>
        </w:rPr>
        <w:t>experte judiciaire,</w:t>
      </w:r>
      <w:r w:rsidRPr="008544BB">
        <w:rPr>
          <w:snapToGrid w:val="0"/>
          <w:lang w:val="fr-FR"/>
        </w:rPr>
        <w:t xml:space="preserve"> l</w:t>
      </w:r>
      <w:r w:rsidR="008544BB" w:rsidRPr="008544BB">
        <w:rPr>
          <w:snapToGrid w:val="0"/>
          <w:lang w:val="fr-FR"/>
        </w:rPr>
        <w:t>’</w:t>
      </w:r>
      <w:r w:rsidR="00857C7D" w:rsidRPr="008544BB">
        <w:rPr>
          <w:snapToGrid w:val="0"/>
          <w:lang w:val="fr-FR"/>
        </w:rPr>
        <w:t>experte</w:t>
      </w:r>
      <w:r w:rsidRPr="008544BB">
        <w:rPr>
          <w:snapToGrid w:val="0"/>
          <w:lang w:val="fr-FR"/>
        </w:rPr>
        <w:t xml:space="preserve"> </w:t>
      </w:r>
      <w:r w:rsidR="00954B8E" w:rsidRPr="008544BB">
        <w:rPr>
          <w:snapToGrid w:val="0"/>
          <w:lang w:val="fr-FR"/>
        </w:rPr>
        <w:t>choisie</w:t>
      </w:r>
      <w:r w:rsidR="00867394" w:rsidRPr="008544BB">
        <w:rPr>
          <w:snapToGrid w:val="0"/>
          <w:lang w:val="fr-FR"/>
        </w:rPr>
        <w:t xml:space="preserve"> en 2010</w:t>
      </w:r>
      <w:r w:rsidRPr="008544BB">
        <w:rPr>
          <w:snapToGrid w:val="0"/>
          <w:lang w:val="fr-FR"/>
        </w:rPr>
        <w:t xml:space="preserve"> par la première requérante</w:t>
      </w:r>
      <w:r w:rsidR="003262FE" w:rsidRPr="008544BB">
        <w:rPr>
          <w:snapToGrid w:val="0"/>
          <w:lang w:val="fr-FR"/>
        </w:rPr>
        <w:t xml:space="preserve"> </w:t>
      </w:r>
      <w:r w:rsidR="00857C7D" w:rsidRPr="008544BB">
        <w:rPr>
          <w:snapToGrid w:val="0"/>
          <w:lang w:val="fr-FR"/>
        </w:rPr>
        <w:t xml:space="preserve">a </w:t>
      </w:r>
      <w:r w:rsidR="00C92225" w:rsidRPr="008544BB">
        <w:rPr>
          <w:snapToGrid w:val="0"/>
          <w:lang w:val="fr-FR"/>
        </w:rPr>
        <w:t>estim</w:t>
      </w:r>
      <w:r w:rsidR="00857C7D" w:rsidRPr="008544BB">
        <w:rPr>
          <w:snapToGrid w:val="0"/>
          <w:lang w:val="fr-FR"/>
        </w:rPr>
        <w:t>é</w:t>
      </w:r>
      <w:r w:rsidR="003262FE" w:rsidRPr="008544BB">
        <w:rPr>
          <w:snapToGrid w:val="0"/>
          <w:lang w:val="fr-FR"/>
        </w:rPr>
        <w:t xml:space="preserve"> </w:t>
      </w:r>
      <w:r w:rsidR="005B6EEC" w:rsidRPr="008544BB">
        <w:rPr>
          <w:snapToGrid w:val="0"/>
          <w:lang w:val="fr-FR"/>
        </w:rPr>
        <w:t xml:space="preserve">que </w:t>
      </w:r>
      <w:r w:rsidR="005B6EEC" w:rsidRPr="008544BB">
        <w:rPr>
          <w:lang w:val="fr-FR"/>
        </w:rPr>
        <w:t xml:space="preserve">la séparation des enfants de leur famille était extrêmement </w:t>
      </w:r>
      <w:r w:rsidR="00857C7D" w:rsidRPr="008544BB">
        <w:rPr>
          <w:lang w:val="fr-FR"/>
        </w:rPr>
        <w:t>préjudiciable</w:t>
      </w:r>
      <w:r w:rsidR="005B6EEC" w:rsidRPr="008544BB">
        <w:rPr>
          <w:lang w:val="fr-FR"/>
        </w:rPr>
        <w:t xml:space="preserve"> à leur</w:t>
      </w:r>
      <w:r w:rsidR="00C92225" w:rsidRPr="008544BB">
        <w:rPr>
          <w:lang w:val="fr-FR"/>
        </w:rPr>
        <w:t xml:space="preserve"> développement</w:t>
      </w:r>
      <w:r w:rsidR="005B6EEC" w:rsidRPr="008544BB">
        <w:rPr>
          <w:lang w:val="fr-FR"/>
        </w:rPr>
        <w:t xml:space="preserve"> </w:t>
      </w:r>
      <w:r w:rsidR="00C92225" w:rsidRPr="008544BB">
        <w:rPr>
          <w:snapToGrid w:val="0"/>
          <w:lang w:val="fr-FR"/>
        </w:rPr>
        <w:t>(paragraphe </w:t>
      </w:r>
      <w:r w:rsidR="006D4BEB" w:rsidRPr="008544BB">
        <w:rPr>
          <w:snapToGrid w:val="0"/>
          <w:lang w:val="fr-FR"/>
        </w:rPr>
        <w:fldChar w:fldCharType="begin"/>
      </w:r>
      <w:r w:rsidR="006D4BEB" w:rsidRPr="008544BB">
        <w:rPr>
          <w:snapToGrid w:val="0"/>
          <w:lang w:val="fr-FR"/>
        </w:rPr>
        <w:instrText xml:space="preserve"> REF CONSULTANTE_1 \h </w:instrText>
      </w:r>
      <w:r w:rsidR="006D4BEB" w:rsidRPr="008544BB">
        <w:rPr>
          <w:snapToGrid w:val="0"/>
          <w:lang w:val="fr-FR"/>
        </w:rPr>
      </w:r>
      <w:r w:rsidR="006D4BEB" w:rsidRPr="008544BB">
        <w:rPr>
          <w:snapToGrid w:val="0"/>
          <w:lang w:val="fr-FR"/>
        </w:rPr>
        <w:fldChar w:fldCharType="separate"/>
      </w:r>
      <w:r w:rsidR="008544BB" w:rsidRPr="008544BB">
        <w:rPr>
          <w:noProof/>
          <w:lang w:val="fr-FR"/>
        </w:rPr>
        <w:t>19</w:t>
      </w:r>
      <w:r w:rsidR="006D4BEB" w:rsidRPr="008544BB">
        <w:rPr>
          <w:snapToGrid w:val="0"/>
          <w:lang w:val="fr-FR"/>
        </w:rPr>
        <w:fldChar w:fldCharType="end"/>
      </w:r>
      <w:r w:rsidR="006D4BEB" w:rsidRPr="008544BB">
        <w:rPr>
          <w:snapToGrid w:val="0"/>
          <w:lang w:val="fr-FR"/>
        </w:rPr>
        <w:t xml:space="preserve"> ci-dessus)</w:t>
      </w:r>
      <w:r w:rsidR="005B6EEC" w:rsidRPr="008544BB">
        <w:rPr>
          <w:snapToGrid w:val="0"/>
          <w:lang w:val="fr-FR"/>
        </w:rPr>
        <w:t>.</w:t>
      </w:r>
    </w:p>
    <w:p w:rsidR="001F3C47" w:rsidRPr="008544BB" w:rsidRDefault="00314080"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79</w:t>
      </w:r>
      <w:r w:rsidRPr="008544BB">
        <w:rPr>
          <w:lang w:val="fr-FR"/>
        </w:rPr>
        <w:fldChar w:fldCharType="end"/>
      </w:r>
      <w:r w:rsidRPr="008544BB">
        <w:rPr>
          <w:lang w:val="fr-FR"/>
        </w:rPr>
        <w:t>.  </w:t>
      </w:r>
      <w:r w:rsidR="008037C0" w:rsidRPr="008544BB">
        <w:rPr>
          <w:lang w:val="fr-FR"/>
        </w:rPr>
        <w:t xml:space="preserve">La Cour remarque également </w:t>
      </w:r>
      <w:r w:rsidR="005706DB" w:rsidRPr="008544BB">
        <w:rPr>
          <w:lang w:val="fr-FR"/>
        </w:rPr>
        <w:t xml:space="preserve">que le rapport </w:t>
      </w:r>
      <w:r w:rsidR="00867394" w:rsidRPr="008544BB">
        <w:rPr>
          <w:lang w:val="fr-FR"/>
        </w:rPr>
        <w:t>relatif aux</w:t>
      </w:r>
      <w:r w:rsidR="003C042D" w:rsidRPr="008544BB">
        <w:rPr>
          <w:lang w:val="fr-FR"/>
        </w:rPr>
        <w:t xml:space="preserve"> rencontres </w:t>
      </w:r>
      <w:r w:rsidR="00CF741E" w:rsidRPr="008544BB">
        <w:rPr>
          <w:lang w:val="fr-FR"/>
        </w:rPr>
        <w:t xml:space="preserve">organisées </w:t>
      </w:r>
      <w:r w:rsidR="00140D03" w:rsidRPr="008544BB">
        <w:rPr>
          <w:lang w:val="fr-FR"/>
        </w:rPr>
        <w:t xml:space="preserve">en milieu </w:t>
      </w:r>
      <w:r w:rsidR="003C042D" w:rsidRPr="008544BB">
        <w:rPr>
          <w:lang w:val="fr-FR"/>
        </w:rPr>
        <w:t>protégé</w:t>
      </w:r>
      <w:r w:rsidR="00D21171" w:rsidRPr="008544BB">
        <w:rPr>
          <w:lang w:val="fr-FR"/>
        </w:rPr>
        <w:t xml:space="preserve"> (paragraphe</w:t>
      </w:r>
      <w:r w:rsidR="00EC4E7B" w:rsidRPr="008544BB">
        <w:rPr>
          <w:lang w:val="fr-FR"/>
        </w:rPr>
        <w:t xml:space="preserve"> </w:t>
      </w:r>
      <w:r w:rsidR="002B705D" w:rsidRPr="008544BB">
        <w:rPr>
          <w:lang w:val="fr-FR"/>
        </w:rPr>
        <w:fldChar w:fldCharType="begin"/>
      </w:r>
      <w:r w:rsidR="002B705D" w:rsidRPr="008544BB">
        <w:rPr>
          <w:lang w:val="fr-FR"/>
        </w:rPr>
        <w:instrText xml:space="preserve"> REF RAPPORT_ESPACE_NEUTRE \h </w:instrText>
      </w:r>
      <w:r w:rsidR="002B705D" w:rsidRPr="008544BB">
        <w:rPr>
          <w:lang w:val="fr-FR"/>
        </w:rPr>
      </w:r>
      <w:r w:rsidR="002B705D" w:rsidRPr="008544BB">
        <w:rPr>
          <w:lang w:val="fr-FR"/>
        </w:rPr>
        <w:fldChar w:fldCharType="separate"/>
      </w:r>
      <w:r w:rsidR="008544BB" w:rsidRPr="008544BB">
        <w:rPr>
          <w:noProof/>
          <w:lang w:val="fr-FR"/>
        </w:rPr>
        <w:t>23</w:t>
      </w:r>
      <w:r w:rsidR="002B705D" w:rsidRPr="008544BB">
        <w:rPr>
          <w:lang w:val="fr-FR"/>
        </w:rPr>
        <w:fldChar w:fldCharType="end"/>
      </w:r>
      <w:r w:rsidR="00D21171" w:rsidRPr="008544BB">
        <w:rPr>
          <w:lang w:val="fr-FR"/>
        </w:rPr>
        <w:t xml:space="preserve"> ci</w:t>
      </w:r>
      <w:r w:rsidR="00140D03" w:rsidRPr="008544BB">
        <w:rPr>
          <w:lang w:val="fr-FR"/>
        </w:rPr>
        <w:noBreakHyphen/>
      </w:r>
      <w:r w:rsidR="00D21171" w:rsidRPr="008544BB">
        <w:rPr>
          <w:lang w:val="fr-FR"/>
        </w:rPr>
        <w:t>dessus)</w:t>
      </w:r>
      <w:r w:rsidR="005706DB" w:rsidRPr="008544BB">
        <w:rPr>
          <w:lang w:val="fr-FR"/>
        </w:rPr>
        <w:t xml:space="preserve"> fai</w:t>
      </w:r>
      <w:r w:rsidR="00140D03" w:rsidRPr="008544BB">
        <w:rPr>
          <w:lang w:val="fr-FR"/>
        </w:rPr>
        <w:t>sai</w:t>
      </w:r>
      <w:r w:rsidR="005706DB" w:rsidRPr="008544BB">
        <w:rPr>
          <w:lang w:val="fr-FR"/>
        </w:rPr>
        <w:t>t état d</w:t>
      </w:r>
      <w:r w:rsidR="008544BB" w:rsidRPr="008544BB">
        <w:rPr>
          <w:lang w:val="fr-FR"/>
        </w:rPr>
        <w:t>’</w:t>
      </w:r>
      <w:r w:rsidR="005706DB" w:rsidRPr="008544BB">
        <w:rPr>
          <w:lang w:val="fr-FR"/>
        </w:rPr>
        <w:t xml:space="preserve">une amélioration globale du comportement de la première requérante </w:t>
      </w:r>
      <w:r w:rsidR="003262FE" w:rsidRPr="008544BB">
        <w:rPr>
          <w:lang w:val="fr-FR"/>
        </w:rPr>
        <w:t>ainsi que d</w:t>
      </w:r>
      <w:r w:rsidR="008544BB" w:rsidRPr="008544BB">
        <w:rPr>
          <w:lang w:val="fr-FR"/>
        </w:rPr>
        <w:t>’</w:t>
      </w:r>
      <w:r w:rsidR="00140D03" w:rsidRPr="008544BB">
        <w:rPr>
          <w:lang w:val="fr-FR"/>
        </w:rPr>
        <w:t xml:space="preserve">une </w:t>
      </w:r>
      <w:r w:rsidR="003C042D" w:rsidRPr="008544BB">
        <w:rPr>
          <w:lang w:val="fr-FR"/>
        </w:rPr>
        <w:t>évolution positive</w:t>
      </w:r>
      <w:r w:rsidR="00FC3747" w:rsidRPr="008544BB">
        <w:rPr>
          <w:lang w:val="fr-FR"/>
        </w:rPr>
        <w:t xml:space="preserve"> </w:t>
      </w:r>
      <w:r w:rsidR="003C042D" w:rsidRPr="008544BB">
        <w:rPr>
          <w:lang w:val="fr-FR"/>
        </w:rPr>
        <w:t>d</w:t>
      </w:r>
      <w:r w:rsidR="00FC3747" w:rsidRPr="008544BB">
        <w:rPr>
          <w:lang w:val="fr-FR"/>
        </w:rPr>
        <w:t xml:space="preserve">es relations entre </w:t>
      </w:r>
      <w:r w:rsidR="00140D03" w:rsidRPr="008544BB">
        <w:rPr>
          <w:lang w:val="fr-FR"/>
        </w:rPr>
        <w:t>c</w:t>
      </w:r>
      <w:r w:rsidR="00C92225" w:rsidRPr="008544BB">
        <w:rPr>
          <w:lang w:val="fr-FR"/>
        </w:rPr>
        <w:t>elle</w:t>
      </w:r>
      <w:r w:rsidR="00140D03" w:rsidRPr="008544BB">
        <w:rPr>
          <w:lang w:val="fr-FR"/>
        </w:rPr>
        <w:t>-ci</w:t>
      </w:r>
      <w:r w:rsidR="00FC3747" w:rsidRPr="008544BB">
        <w:rPr>
          <w:lang w:val="fr-FR"/>
        </w:rPr>
        <w:t xml:space="preserve"> et les enfants</w:t>
      </w:r>
      <w:r w:rsidR="00140D03" w:rsidRPr="008544BB">
        <w:rPr>
          <w:lang w:val="fr-FR"/>
        </w:rPr>
        <w:t>,</w:t>
      </w:r>
      <w:r w:rsidR="003C042D" w:rsidRPr="008544BB">
        <w:rPr>
          <w:lang w:val="fr-FR"/>
        </w:rPr>
        <w:t xml:space="preserve"> </w:t>
      </w:r>
      <w:r w:rsidR="00040344" w:rsidRPr="008544BB">
        <w:rPr>
          <w:lang w:val="fr-FR"/>
        </w:rPr>
        <w:t>l</w:t>
      </w:r>
      <w:r w:rsidR="008544BB" w:rsidRPr="008544BB">
        <w:rPr>
          <w:lang w:val="fr-FR"/>
        </w:rPr>
        <w:t>’</w:t>
      </w:r>
      <w:r w:rsidR="00CF741E" w:rsidRPr="008544BB">
        <w:rPr>
          <w:lang w:val="fr-FR"/>
        </w:rPr>
        <w:t>équipe de « l</w:t>
      </w:r>
      <w:r w:rsidR="008544BB" w:rsidRPr="008544BB">
        <w:rPr>
          <w:lang w:val="fr-FR"/>
        </w:rPr>
        <w:t>’</w:t>
      </w:r>
      <w:r w:rsidR="00CF741E" w:rsidRPr="008544BB">
        <w:rPr>
          <w:lang w:val="fr-FR"/>
        </w:rPr>
        <w:t>Espace neutre » ayant observé l</w:t>
      </w:r>
      <w:r w:rsidR="008544BB" w:rsidRPr="008544BB">
        <w:rPr>
          <w:lang w:val="fr-FR"/>
        </w:rPr>
        <w:t>’</w:t>
      </w:r>
      <w:r w:rsidR="00CF741E" w:rsidRPr="008544BB">
        <w:rPr>
          <w:lang w:val="fr-FR"/>
        </w:rPr>
        <w:t>existence de liens affectifs forts et authentiques entre l</w:t>
      </w:r>
      <w:r w:rsidR="008544BB" w:rsidRPr="008544BB">
        <w:rPr>
          <w:lang w:val="fr-FR"/>
        </w:rPr>
        <w:t>’</w:t>
      </w:r>
      <w:r w:rsidR="00CF741E" w:rsidRPr="008544BB">
        <w:rPr>
          <w:lang w:val="fr-FR"/>
        </w:rPr>
        <w:t>intéressée et les mineurs</w:t>
      </w:r>
      <w:r w:rsidR="00FC3747" w:rsidRPr="008544BB">
        <w:rPr>
          <w:lang w:val="fr-FR"/>
        </w:rPr>
        <w:t>.</w:t>
      </w:r>
    </w:p>
    <w:p w:rsidR="00167B91" w:rsidRPr="008544BB" w:rsidRDefault="00167B91"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80</w:t>
      </w:r>
      <w:r w:rsidRPr="008544BB">
        <w:rPr>
          <w:lang w:val="fr-FR"/>
        </w:rPr>
        <w:fldChar w:fldCharType="end"/>
      </w:r>
      <w:r w:rsidRPr="008544BB">
        <w:rPr>
          <w:lang w:val="fr-FR"/>
        </w:rPr>
        <w:t>.  En</w:t>
      </w:r>
      <w:r w:rsidR="00CF741E" w:rsidRPr="008544BB">
        <w:rPr>
          <w:lang w:val="fr-FR"/>
        </w:rPr>
        <w:t xml:space="preserve"> outre,</w:t>
      </w:r>
      <w:r w:rsidR="00F93002" w:rsidRPr="008544BB">
        <w:rPr>
          <w:lang w:val="fr-FR"/>
        </w:rPr>
        <w:t xml:space="preserve"> </w:t>
      </w:r>
      <w:r w:rsidR="008037C0" w:rsidRPr="008544BB">
        <w:rPr>
          <w:lang w:val="fr-FR"/>
        </w:rPr>
        <w:t>il y a lieu d</w:t>
      </w:r>
      <w:r w:rsidR="00213ABE" w:rsidRPr="008544BB">
        <w:rPr>
          <w:lang w:val="fr-FR"/>
        </w:rPr>
        <w:t>e noter</w:t>
      </w:r>
      <w:r w:rsidRPr="008544BB">
        <w:rPr>
          <w:lang w:val="fr-FR"/>
        </w:rPr>
        <w:t xml:space="preserve"> que le procureur de la République</w:t>
      </w:r>
      <w:r w:rsidR="00B63E44" w:rsidRPr="008544BB">
        <w:rPr>
          <w:lang w:val="fr-FR"/>
        </w:rPr>
        <w:t xml:space="preserve"> près le tribunal pour enfants</w:t>
      </w:r>
      <w:r w:rsidRPr="008544BB">
        <w:rPr>
          <w:lang w:val="fr-FR"/>
        </w:rPr>
        <w:t>, à la lumière du rapport d</w:t>
      </w:r>
      <w:r w:rsidR="008544BB" w:rsidRPr="008544BB">
        <w:rPr>
          <w:lang w:val="fr-FR"/>
        </w:rPr>
        <w:t>’</w:t>
      </w:r>
      <w:r w:rsidRPr="008544BB">
        <w:rPr>
          <w:lang w:val="fr-FR"/>
        </w:rPr>
        <w:t>expertise</w:t>
      </w:r>
      <w:r w:rsidR="008037C0" w:rsidRPr="008544BB">
        <w:rPr>
          <w:lang w:val="fr-FR"/>
        </w:rPr>
        <w:t xml:space="preserve"> </w:t>
      </w:r>
      <w:r w:rsidR="00CF741E" w:rsidRPr="008544BB">
        <w:rPr>
          <w:lang w:val="fr-FR"/>
        </w:rPr>
        <w:t>établi en</w:t>
      </w:r>
      <w:r w:rsidR="008037C0" w:rsidRPr="008544BB">
        <w:rPr>
          <w:lang w:val="fr-FR"/>
        </w:rPr>
        <w:t xml:space="preserve"> mai 2010</w:t>
      </w:r>
      <w:r w:rsidRPr="008544BB">
        <w:rPr>
          <w:lang w:val="fr-FR"/>
        </w:rPr>
        <w:t xml:space="preserve">, </w:t>
      </w:r>
      <w:r w:rsidR="00CF741E" w:rsidRPr="008544BB">
        <w:rPr>
          <w:lang w:val="fr-FR"/>
        </w:rPr>
        <w:t xml:space="preserve">a </w:t>
      </w:r>
      <w:r w:rsidR="008037C0" w:rsidRPr="008544BB">
        <w:rPr>
          <w:lang w:val="fr-FR"/>
        </w:rPr>
        <w:t>sollicit</w:t>
      </w:r>
      <w:r w:rsidR="00F93002" w:rsidRPr="008544BB">
        <w:rPr>
          <w:lang w:val="fr-FR"/>
        </w:rPr>
        <w:t>é auprès du</w:t>
      </w:r>
      <w:r w:rsidR="008037C0" w:rsidRPr="008544BB">
        <w:rPr>
          <w:lang w:val="fr-FR"/>
        </w:rPr>
        <w:t xml:space="preserve"> tribunal </w:t>
      </w:r>
      <w:r w:rsidR="00F93002" w:rsidRPr="008544BB">
        <w:rPr>
          <w:lang w:val="fr-FR"/>
        </w:rPr>
        <w:t>la poursuite de l</w:t>
      </w:r>
      <w:r w:rsidR="008544BB" w:rsidRPr="008544BB">
        <w:rPr>
          <w:lang w:val="fr-FR"/>
        </w:rPr>
        <w:t>’</w:t>
      </w:r>
      <w:r w:rsidR="00F93002" w:rsidRPr="008544BB">
        <w:rPr>
          <w:lang w:val="fr-FR"/>
        </w:rPr>
        <w:t>activité de soutien à la première requérante en vue d</w:t>
      </w:r>
      <w:r w:rsidR="008544BB" w:rsidRPr="008544BB">
        <w:rPr>
          <w:lang w:val="fr-FR"/>
        </w:rPr>
        <w:t>’</w:t>
      </w:r>
      <w:r w:rsidR="00F93002" w:rsidRPr="008544BB">
        <w:rPr>
          <w:lang w:val="fr-FR"/>
        </w:rPr>
        <w:t>un rapprochement entre celle-ci et les enfants</w:t>
      </w:r>
      <w:r w:rsidR="008037C0" w:rsidRPr="008544BB">
        <w:rPr>
          <w:lang w:val="fr-FR"/>
        </w:rPr>
        <w:t xml:space="preserve"> </w:t>
      </w:r>
      <w:r w:rsidR="00EA57AC" w:rsidRPr="008544BB">
        <w:rPr>
          <w:lang w:val="fr-FR"/>
        </w:rPr>
        <w:t>(paragra</w:t>
      </w:r>
      <w:r w:rsidR="00FA3452" w:rsidRPr="008544BB">
        <w:rPr>
          <w:lang w:val="fr-FR"/>
        </w:rPr>
        <w:t>p</w:t>
      </w:r>
      <w:r w:rsidR="00EA57AC" w:rsidRPr="008544BB">
        <w:rPr>
          <w:lang w:val="fr-FR"/>
        </w:rPr>
        <w:t xml:space="preserve">he </w:t>
      </w:r>
      <w:r w:rsidR="00FA3452" w:rsidRPr="008544BB">
        <w:rPr>
          <w:lang w:val="fr-FR"/>
        </w:rPr>
        <w:fldChar w:fldCharType="begin"/>
      </w:r>
      <w:r w:rsidR="00FA3452" w:rsidRPr="008544BB">
        <w:rPr>
          <w:lang w:val="fr-FR"/>
        </w:rPr>
        <w:instrText xml:space="preserve"> REF PROCUREUR_EXPERTISE \h </w:instrText>
      </w:r>
      <w:r w:rsidR="00FA3452" w:rsidRPr="008544BB">
        <w:rPr>
          <w:lang w:val="fr-FR"/>
        </w:rPr>
      </w:r>
      <w:r w:rsidR="00FA3452" w:rsidRPr="008544BB">
        <w:rPr>
          <w:lang w:val="fr-FR"/>
        </w:rPr>
        <w:fldChar w:fldCharType="separate"/>
      </w:r>
      <w:r w:rsidR="008544BB" w:rsidRPr="008544BB">
        <w:rPr>
          <w:noProof/>
          <w:lang w:val="fr-FR"/>
        </w:rPr>
        <w:t>20</w:t>
      </w:r>
      <w:r w:rsidR="00FA3452" w:rsidRPr="008544BB">
        <w:rPr>
          <w:lang w:val="fr-FR"/>
        </w:rPr>
        <w:fldChar w:fldCharType="end"/>
      </w:r>
      <w:r w:rsidR="00EA57AC" w:rsidRPr="008544BB">
        <w:rPr>
          <w:lang w:val="fr-FR"/>
        </w:rPr>
        <w:t xml:space="preserve"> ci-dessus)</w:t>
      </w:r>
      <w:r w:rsidR="00FA3452" w:rsidRPr="008544BB">
        <w:rPr>
          <w:lang w:val="fr-FR"/>
        </w:rPr>
        <w:t xml:space="preserve">. </w:t>
      </w:r>
      <w:r w:rsidR="000E2059" w:rsidRPr="008544BB">
        <w:rPr>
          <w:lang w:val="fr-FR"/>
        </w:rPr>
        <w:t>Il convient aussi de relever qu</w:t>
      </w:r>
      <w:r w:rsidR="008544BB" w:rsidRPr="008544BB">
        <w:rPr>
          <w:lang w:val="fr-FR"/>
        </w:rPr>
        <w:t>’</w:t>
      </w:r>
      <w:r w:rsidR="000E2059" w:rsidRPr="008544BB">
        <w:rPr>
          <w:lang w:val="fr-FR"/>
        </w:rPr>
        <w:t>il</w:t>
      </w:r>
      <w:r w:rsidR="00F93002" w:rsidRPr="008544BB">
        <w:rPr>
          <w:lang w:val="fr-FR"/>
        </w:rPr>
        <w:t xml:space="preserve"> a</w:t>
      </w:r>
      <w:r w:rsidR="00C92225" w:rsidRPr="008544BB">
        <w:rPr>
          <w:lang w:val="fr-FR"/>
        </w:rPr>
        <w:t xml:space="preserve"> </w:t>
      </w:r>
      <w:r w:rsidR="00F93002" w:rsidRPr="008544BB">
        <w:rPr>
          <w:lang w:val="fr-FR"/>
        </w:rPr>
        <w:t xml:space="preserve">refusé </w:t>
      </w:r>
      <w:r w:rsidR="00FA3452" w:rsidRPr="008544BB">
        <w:rPr>
          <w:lang w:val="fr-FR"/>
        </w:rPr>
        <w:t>d</w:t>
      </w:r>
      <w:r w:rsidR="008544BB" w:rsidRPr="008544BB">
        <w:rPr>
          <w:lang w:val="fr-FR"/>
        </w:rPr>
        <w:t>’</w:t>
      </w:r>
      <w:r w:rsidR="00FA3452" w:rsidRPr="008544BB">
        <w:rPr>
          <w:lang w:val="fr-FR"/>
        </w:rPr>
        <w:t>ouvrir la procédure de vérification de l</w:t>
      </w:r>
      <w:r w:rsidR="008544BB" w:rsidRPr="008544BB">
        <w:rPr>
          <w:lang w:val="fr-FR"/>
        </w:rPr>
        <w:t>’</w:t>
      </w:r>
      <w:r w:rsidR="00FA3452" w:rsidRPr="008544BB">
        <w:rPr>
          <w:lang w:val="fr-FR"/>
        </w:rPr>
        <w:t>état d</w:t>
      </w:r>
      <w:r w:rsidR="008544BB" w:rsidRPr="008544BB">
        <w:rPr>
          <w:lang w:val="fr-FR"/>
        </w:rPr>
        <w:t>’</w:t>
      </w:r>
      <w:r w:rsidR="00FA3452" w:rsidRPr="008544BB">
        <w:rPr>
          <w:lang w:val="fr-FR"/>
        </w:rPr>
        <w:t>abandon</w:t>
      </w:r>
      <w:r w:rsidR="002B705D" w:rsidRPr="008544BB">
        <w:rPr>
          <w:lang w:val="fr-FR"/>
        </w:rPr>
        <w:t>,</w:t>
      </w:r>
      <w:r w:rsidR="00FA3452" w:rsidRPr="008544BB">
        <w:rPr>
          <w:lang w:val="fr-FR"/>
        </w:rPr>
        <w:t xml:space="preserve"> </w:t>
      </w:r>
      <w:r w:rsidR="00260FAF" w:rsidRPr="008544BB">
        <w:rPr>
          <w:lang w:val="fr-FR"/>
        </w:rPr>
        <w:t>préalable à la déclaration d</w:t>
      </w:r>
      <w:r w:rsidR="008544BB" w:rsidRPr="008544BB">
        <w:rPr>
          <w:lang w:val="fr-FR"/>
        </w:rPr>
        <w:t>’</w:t>
      </w:r>
      <w:r w:rsidR="00260FAF" w:rsidRPr="008544BB">
        <w:rPr>
          <w:lang w:val="fr-FR"/>
        </w:rPr>
        <w:t xml:space="preserve">adoptabilité, </w:t>
      </w:r>
      <w:r w:rsidR="00FA3452" w:rsidRPr="008544BB">
        <w:rPr>
          <w:lang w:val="fr-FR"/>
        </w:rPr>
        <w:t xml:space="preserve">en </w:t>
      </w:r>
      <w:r w:rsidR="00260FAF" w:rsidRPr="008544BB">
        <w:rPr>
          <w:lang w:val="fr-FR"/>
        </w:rPr>
        <w:t xml:space="preserve">raison du </w:t>
      </w:r>
      <w:r w:rsidR="00C567AC" w:rsidRPr="008544BB">
        <w:rPr>
          <w:lang w:val="fr-FR"/>
        </w:rPr>
        <w:t xml:space="preserve">fort lien affectif </w:t>
      </w:r>
      <w:r w:rsidR="00F83913" w:rsidRPr="008544BB">
        <w:rPr>
          <w:lang w:val="fr-FR"/>
        </w:rPr>
        <w:t>existant entre</w:t>
      </w:r>
      <w:r w:rsidR="00C567AC" w:rsidRPr="008544BB">
        <w:rPr>
          <w:lang w:val="fr-FR"/>
        </w:rPr>
        <w:t xml:space="preserve"> la première requérante et les mineurs</w:t>
      </w:r>
      <w:r w:rsidR="008037C0" w:rsidRPr="008544BB">
        <w:rPr>
          <w:lang w:val="fr-FR"/>
        </w:rPr>
        <w:t xml:space="preserve"> (paragraphe </w:t>
      </w:r>
      <w:r w:rsidR="00F603EE" w:rsidRPr="008544BB">
        <w:rPr>
          <w:lang w:val="fr-FR"/>
        </w:rPr>
        <w:fldChar w:fldCharType="begin"/>
      </w:r>
      <w:r w:rsidR="00F603EE" w:rsidRPr="008544BB">
        <w:rPr>
          <w:lang w:val="fr-FR"/>
        </w:rPr>
        <w:instrText xml:space="preserve"> REF RECOURS_MARS_2012 \h </w:instrText>
      </w:r>
      <w:r w:rsidR="00F603EE" w:rsidRPr="008544BB">
        <w:rPr>
          <w:lang w:val="fr-FR"/>
        </w:rPr>
      </w:r>
      <w:r w:rsidR="00F603EE" w:rsidRPr="008544BB">
        <w:rPr>
          <w:lang w:val="fr-FR"/>
        </w:rPr>
        <w:fldChar w:fldCharType="separate"/>
      </w:r>
      <w:r w:rsidR="008544BB" w:rsidRPr="008544BB">
        <w:rPr>
          <w:noProof/>
          <w:lang w:val="fr-FR"/>
        </w:rPr>
        <w:t>26</w:t>
      </w:r>
      <w:r w:rsidR="00F603EE" w:rsidRPr="008544BB">
        <w:rPr>
          <w:lang w:val="fr-FR"/>
        </w:rPr>
        <w:fldChar w:fldCharType="end"/>
      </w:r>
      <w:r w:rsidR="008037C0" w:rsidRPr="008544BB">
        <w:rPr>
          <w:lang w:val="fr-FR"/>
        </w:rPr>
        <w:t xml:space="preserve"> ci-dessus)</w:t>
      </w:r>
      <w:r w:rsidR="00C567AC" w:rsidRPr="008544BB">
        <w:rPr>
          <w:lang w:val="fr-FR"/>
        </w:rPr>
        <w:t>.</w:t>
      </w:r>
    </w:p>
    <w:p w:rsidR="001667F8" w:rsidRPr="008544BB" w:rsidRDefault="001667F8"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81</w:t>
      </w:r>
      <w:r w:rsidRPr="008544BB">
        <w:rPr>
          <w:lang w:val="fr-FR"/>
        </w:rPr>
        <w:fldChar w:fldCharType="end"/>
      </w:r>
      <w:r w:rsidRPr="008544BB">
        <w:rPr>
          <w:lang w:val="fr-FR"/>
        </w:rPr>
        <w:t>.  </w:t>
      </w:r>
      <w:r w:rsidR="00260FAF" w:rsidRPr="008544BB">
        <w:rPr>
          <w:lang w:val="fr-FR"/>
        </w:rPr>
        <w:t xml:space="preserve">Enfin, la </w:t>
      </w:r>
      <w:r w:rsidR="00B56282" w:rsidRPr="008544BB">
        <w:rPr>
          <w:lang w:val="fr-FR"/>
        </w:rPr>
        <w:t xml:space="preserve">Cour note que la </w:t>
      </w:r>
      <w:r w:rsidRPr="008544BB">
        <w:rPr>
          <w:lang w:val="fr-FR"/>
        </w:rPr>
        <w:t>cour d</w:t>
      </w:r>
      <w:r w:rsidR="008544BB" w:rsidRPr="008544BB">
        <w:rPr>
          <w:lang w:val="fr-FR"/>
        </w:rPr>
        <w:t>’</w:t>
      </w:r>
      <w:r w:rsidRPr="008544BB">
        <w:rPr>
          <w:lang w:val="fr-FR"/>
        </w:rPr>
        <w:t>appel</w:t>
      </w:r>
      <w:r w:rsidR="00B56282" w:rsidRPr="008544BB">
        <w:rPr>
          <w:lang w:val="fr-FR"/>
        </w:rPr>
        <w:t xml:space="preserve"> de Rome</w:t>
      </w:r>
      <w:r w:rsidRPr="008544BB">
        <w:rPr>
          <w:lang w:val="fr-FR"/>
        </w:rPr>
        <w:t xml:space="preserve">, </w:t>
      </w:r>
      <w:r w:rsidR="000404BD" w:rsidRPr="008544BB">
        <w:rPr>
          <w:lang w:val="fr-FR"/>
        </w:rPr>
        <w:t xml:space="preserve">tout </w:t>
      </w:r>
      <w:r w:rsidR="003F7F39" w:rsidRPr="008544BB">
        <w:rPr>
          <w:lang w:val="fr-FR"/>
        </w:rPr>
        <w:t>en confirmant l</w:t>
      </w:r>
      <w:r w:rsidR="00BB20A5" w:rsidRPr="008544BB">
        <w:rPr>
          <w:lang w:val="fr-FR"/>
        </w:rPr>
        <w:t>a décision</w:t>
      </w:r>
      <w:r w:rsidRPr="008544BB">
        <w:rPr>
          <w:lang w:val="fr-FR"/>
        </w:rPr>
        <w:t xml:space="preserve"> </w:t>
      </w:r>
      <w:r w:rsidR="00B56282" w:rsidRPr="008544BB">
        <w:rPr>
          <w:lang w:val="fr-FR"/>
        </w:rPr>
        <w:t>ayant ordonné</w:t>
      </w:r>
      <w:r w:rsidRPr="008544BB">
        <w:rPr>
          <w:lang w:val="fr-FR"/>
        </w:rPr>
        <w:t xml:space="preserve"> le placement en famille d</w:t>
      </w:r>
      <w:r w:rsidR="008544BB" w:rsidRPr="008544BB">
        <w:rPr>
          <w:lang w:val="fr-FR"/>
        </w:rPr>
        <w:t>’</w:t>
      </w:r>
      <w:r w:rsidR="003F7F39" w:rsidRPr="008544BB">
        <w:rPr>
          <w:lang w:val="fr-FR"/>
        </w:rPr>
        <w:t>accueil des mi</w:t>
      </w:r>
      <w:r w:rsidRPr="008544BB">
        <w:rPr>
          <w:lang w:val="fr-FR"/>
        </w:rPr>
        <w:t>n</w:t>
      </w:r>
      <w:r w:rsidR="003F7F39" w:rsidRPr="008544BB">
        <w:rPr>
          <w:lang w:val="fr-FR"/>
        </w:rPr>
        <w:t>e</w:t>
      </w:r>
      <w:r w:rsidRPr="008544BB">
        <w:rPr>
          <w:lang w:val="fr-FR"/>
        </w:rPr>
        <w:t xml:space="preserve">urs, </w:t>
      </w:r>
      <w:r w:rsidR="00B56282" w:rsidRPr="008544BB">
        <w:rPr>
          <w:lang w:val="fr-FR"/>
        </w:rPr>
        <w:t xml:space="preserve">a </w:t>
      </w:r>
      <w:r w:rsidR="00260FAF" w:rsidRPr="008544BB">
        <w:rPr>
          <w:lang w:val="fr-FR"/>
        </w:rPr>
        <w:t>constat</w:t>
      </w:r>
      <w:r w:rsidR="00B56282" w:rsidRPr="008544BB">
        <w:rPr>
          <w:lang w:val="fr-FR"/>
        </w:rPr>
        <w:t>é</w:t>
      </w:r>
      <w:r w:rsidR="003F7F39" w:rsidRPr="008544BB">
        <w:rPr>
          <w:lang w:val="fr-FR"/>
        </w:rPr>
        <w:t xml:space="preserve"> </w:t>
      </w:r>
      <w:r w:rsidRPr="008544BB">
        <w:rPr>
          <w:lang w:val="fr-FR"/>
        </w:rPr>
        <w:t>que l</w:t>
      </w:r>
      <w:r w:rsidR="003F7F39" w:rsidRPr="008544BB">
        <w:rPr>
          <w:lang w:val="fr-FR"/>
        </w:rPr>
        <w:t xml:space="preserve">es conditions de vie de la première requérante </w:t>
      </w:r>
      <w:r w:rsidR="00144266" w:rsidRPr="008544BB">
        <w:rPr>
          <w:lang w:val="fr-FR"/>
        </w:rPr>
        <w:t>avai</w:t>
      </w:r>
      <w:r w:rsidR="00260FAF" w:rsidRPr="008544BB">
        <w:rPr>
          <w:lang w:val="fr-FR"/>
        </w:rPr>
        <w:t>ent globalement progressé</w:t>
      </w:r>
      <w:r w:rsidR="003F7F39" w:rsidRPr="008544BB">
        <w:rPr>
          <w:lang w:val="fr-FR"/>
        </w:rPr>
        <w:t xml:space="preserve"> </w:t>
      </w:r>
      <w:r w:rsidRPr="008544BB">
        <w:rPr>
          <w:lang w:val="fr-FR"/>
        </w:rPr>
        <w:t xml:space="preserve">(paragraphe </w:t>
      </w:r>
      <w:r w:rsidRPr="008544BB">
        <w:rPr>
          <w:lang w:val="fr-FR"/>
        </w:rPr>
        <w:fldChar w:fldCharType="begin"/>
      </w:r>
      <w:r w:rsidRPr="008544BB">
        <w:rPr>
          <w:lang w:val="fr-FR"/>
        </w:rPr>
        <w:instrText xml:space="preserve"> REF COUR_APPEL_FAMILLE_ACCUEIL \h </w:instrText>
      </w:r>
      <w:r w:rsidRPr="008544BB">
        <w:rPr>
          <w:lang w:val="fr-FR"/>
        </w:rPr>
      </w:r>
      <w:r w:rsidRPr="008544BB">
        <w:rPr>
          <w:lang w:val="fr-FR"/>
        </w:rPr>
        <w:fldChar w:fldCharType="separate"/>
      </w:r>
      <w:r w:rsidR="008544BB" w:rsidRPr="008544BB">
        <w:rPr>
          <w:noProof/>
          <w:lang w:val="fr-FR"/>
        </w:rPr>
        <w:t>27</w:t>
      </w:r>
      <w:r w:rsidRPr="008544BB">
        <w:rPr>
          <w:lang w:val="fr-FR"/>
        </w:rPr>
        <w:fldChar w:fldCharType="end"/>
      </w:r>
      <w:r w:rsidRPr="008544BB">
        <w:rPr>
          <w:lang w:val="fr-FR"/>
        </w:rPr>
        <w:t xml:space="preserve"> ci-dessus)</w:t>
      </w:r>
      <w:r w:rsidR="000404BD" w:rsidRPr="008544BB">
        <w:rPr>
          <w:lang w:val="fr-FR"/>
        </w:rPr>
        <w:t>.</w:t>
      </w:r>
    </w:p>
    <w:p w:rsidR="0068657A" w:rsidRPr="008544BB" w:rsidRDefault="00C11C5E" w:rsidP="008544BB">
      <w:pPr>
        <w:pStyle w:val="ECHRPara"/>
        <w:rPr>
          <w:snapToGrid w:val="0"/>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82</w:t>
      </w:r>
      <w:r w:rsidRPr="008544BB">
        <w:rPr>
          <w:lang w:val="fr-FR"/>
        </w:rPr>
        <w:fldChar w:fldCharType="end"/>
      </w:r>
      <w:r w:rsidRPr="008544BB">
        <w:rPr>
          <w:lang w:val="fr-FR"/>
        </w:rPr>
        <w:t>.  </w:t>
      </w:r>
      <w:r w:rsidR="0068657A" w:rsidRPr="008544BB">
        <w:rPr>
          <w:lang w:val="fr-FR"/>
        </w:rPr>
        <w:t>La Cour rappelle avoir déjà jugé</w:t>
      </w:r>
      <w:r w:rsidR="008C2921" w:rsidRPr="008544BB">
        <w:rPr>
          <w:lang w:val="fr-FR"/>
        </w:rPr>
        <w:t>, dans certaines circonstances,</w:t>
      </w:r>
      <w:r w:rsidR="0068657A" w:rsidRPr="008544BB">
        <w:rPr>
          <w:lang w:val="fr-FR"/>
        </w:rPr>
        <w:t xml:space="preserve"> </w:t>
      </w:r>
      <w:r w:rsidR="006550F8" w:rsidRPr="008544BB">
        <w:rPr>
          <w:lang w:val="fr-FR"/>
        </w:rPr>
        <w:t xml:space="preserve">comme étant </w:t>
      </w:r>
      <w:r w:rsidR="008C2921" w:rsidRPr="008544BB">
        <w:rPr>
          <w:lang w:val="fr-FR"/>
        </w:rPr>
        <w:t>contraire</w:t>
      </w:r>
      <w:r w:rsidR="002F7E78" w:rsidRPr="008544BB">
        <w:rPr>
          <w:lang w:val="fr-FR"/>
        </w:rPr>
        <w:t>s</w:t>
      </w:r>
      <w:r w:rsidR="008C2921" w:rsidRPr="008544BB">
        <w:rPr>
          <w:lang w:val="fr-FR"/>
        </w:rPr>
        <w:t xml:space="preserve"> à l</w:t>
      </w:r>
      <w:r w:rsidR="008544BB" w:rsidRPr="008544BB">
        <w:rPr>
          <w:lang w:val="fr-FR"/>
        </w:rPr>
        <w:t>’</w:t>
      </w:r>
      <w:r w:rsidR="008C2921" w:rsidRPr="008544BB">
        <w:rPr>
          <w:lang w:val="fr-FR"/>
        </w:rPr>
        <w:t>article 8 de la Convention</w:t>
      </w:r>
      <w:r w:rsidR="0068657A" w:rsidRPr="008544BB">
        <w:rPr>
          <w:lang w:val="fr-FR"/>
        </w:rPr>
        <w:t xml:space="preserve"> les décisions de</w:t>
      </w:r>
      <w:r w:rsidR="008C2921" w:rsidRPr="008544BB">
        <w:rPr>
          <w:lang w:val="fr-FR"/>
        </w:rPr>
        <w:t>s autorités judiciaires</w:t>
      </w:r>
      <w:r w:rsidR="0068657A" w:rsidRPr="008544BB">
        <w:rPr>
          <w:lang w:val="fr-FR"/>
        </w:rPr>
        <w:t xml:space="preserve"> </w:t>
      </w:r>
      <w:r w:rsidR="006550F8" w:rsidRPr="008544BB">
        <w:rPr>
          <w:lang w:val="fr-FR"/>
        </w:rPr>
        <w:t>pr</w:t>
      </w:r>
      <w:r w:rsidR="00C50F9D" w:rsidRPr="008544BB">
        <w:rPr>
          <w:lang w:val="fr-FR"/>
        </w:rPr>
        <w:t>ononcées</w:t>
      </w:r>
      <w:r w:rsidR="006550F8" w:rsidRPr="008544BB">
        <w:rPr>
          <w:lang w:val="fr-FR"/>
        </w:rPr>
        <w:t xml:space="preserve"> sur le fondement d</w:t>
      </w:r>
      <w:r w:rsidR="0068657A" w:rsidRPr="008544BB">
        <w:rPr>
          <w:lang w:val="fr-FR"/>
        </w:rPr>
        <w:t>es résultats d</w:t>
      </w:r>
      <w:r w:rsidR="008544BB" w:rsidRPr="008544BB">
        <w:rPr>
          <w:lang w:val="fr-FR"/>
        </w:rPr>
        <w:t>’</w:t>
      </w:r>
      <w:r w:rsidR="0068657A" w:rsidRPr="008544BB">
        <w:rPr>
          <w:lang w:val="fr-FR"/>
        </w:rPr>
        <w:t>un ancien rapport d</w:t>
      </w:r>
      <w:r w:rsidR="008544BB" w:rsidRPr="008544BB">
        <w:rPr>
          <w:lang w:val="fr-FR"/>
        </w:rPr>
        <w:t>’</w:t>
      </w:r>
      <w:r w:rsidR="0068657A" w:rsidRPr="008544BB">
        <w:rPr>
          <w:lang w:val="fr-FR"/>
        </w:rPr>
        <w:t xml:space="preserve">expertise </w:t>
      </w:r>
      <w:r w:rsidR="006550F8" w:rsidRPr="008544BB">
        <w:rPr>
          <w:lang w:val="fr-FR"/>
        </w:rPr>
        <w:t>en l</w:t>
      </w:r>
      <w:r w:rsidR="008544BB" w:rsidRPr="008544BB">
        <w:rPr>
          <w:lang w:val="fr-FR"/>
        </w:rPr>
        <w:t>’</w:t>
      </w:r>
      <w:r w:rsidR="006550F8" w:rsidRPr="008544BB">
        <w:rPr>
          <w:lang w:val="fr-FR"/>
        </w:rPr>
        <w:t>absence de</w:t>
      </w:r>
      <w:r w:rsidR="0068657A" w:rsidRPr="008544BB">
        <w:rPr>
          <w:lang w:val="fr-FR"/>
        </w:rPr>
        <w:t xml:space="preserve"> </w:t>
      </w:r>
      <w:r w:rsidR="00C50F9D" w:rsidRPr="008544BB">
        <w:rPr>
          <w:lang w:val="fr-FR"/>
        </w:rPr>
        <w:t xml:space="preserve">prise en </w:t>
      </w:r>
      <w:r w:rsidR="0068657A" w:rsidRPr="008544BB">
        <w:rPr>
          <w:lang w:val="fr-FR"/>
        </w:rPr>
        <w:t xml:space="preserve">considération </w:t>
      </w:r>
      <w:r w:rsidR="002F7E78" w:rsidRPr="008544BB">
        <w:rPr>
          <w:lang w:val="fr-FR"/>
        </w:rPr>
        <w:t>de l</w:t>
      </w:r>
      <w:r w:rsidR="008544BB" w:rsidRPr="008544BB">
        <w:rPr>
          <w:lang w:val="fr-FR"/>
        </w:rPr>
        <w:t>’</w:t>
      </w:r>
      <w:r w:rsidR="0068657A" w:rsidRPr="008544BB">
        <w:rPr>
          <w:lang w:val="fr-FR"/>
        </w:rPr>
        <w:t xml:space="preserve">évolution de la situation concrète </w:t>
      </w:r>
      <w:r w:rsidR="00533018" w:rsidRPr="008544BB">
        <w:rPr>
          <w:lang w:val="fr-FR"/>
        </w:rPr>
        <w:t>ainsi qu</w:t>
      </w:r>
      <w:r w:rsidR="008544BB" w:rsidRPr="008544BB">
        <w:rPr>
          <w:lang w:val="fr-FR"/>
        </w:rPr>
        <w:t>’</w:t>
      </w:r>
      <w:r w:rsidR="006550F8" w:rsidRPr="008544BB">
        <w:rPr>
          <w:lang w:val="fr-FR"/>
        </w:rPr>
        <w:t>en l</w:t>
      </w:r>
      <w:r w:rsidR="008544BB" w:rsidRPr="008544BB">
        <w:rPr>
          <w:lang w:val="fr-FR"/>
        </w:rPr>
        <w:t>’</w:t>
      </w:r>
      <w:r w:rsidR="006550F8" w:rsidRPr="008544BB">
        <w:rPr>
          <w:lang w:val="fr-FR"/>
        </w:rPr>
        <w:t>absence d</w:t>
      </w:r>
      <w:r w:rsidR="008544BB" w:rsidRPr="008544BB">
        <w:rPr>
          <w:lang w:val="fr-FR"/>
        </w:rPr>
        <w:t>’</w:t>
      </w:r>
      <w:r w:rsidR="006550F8" w:rsidRPr="008544BB">
        <w:rPr>
          <w:lang w:val="fr-FR"/>
        </w:rPr>
        <w:t>une</w:t>
      </w:r>
      <w:r w:rsidR="0068657A" w:rsidRPr="008544BB">
        <w:rPr>
          <w:lang w:val="fr-FR"/>
        </w:rPr>
        <w:t xml:space="preserve"> demande</w:t>
      </w:r>
      <w:r w:rsidR="002F7E78" w:rsidRPr="008544BB">
        <w:rPr>
          <w:lang w:val="fr-FR"/>
        </w:rPr>
        <w:t xml:space="preserve"> de </w:t>
      </w:r>
      <w:r w:rsidR="0068657A" w:rsidRPr="008544BB">
        <w:rPr>
          <w:lang w:val="fr-FR"/>
        </w:rPr>
        <w:t xml:space="preserve">mise à jour dudit rapport </w:t>
      </w:r>
      <w:r w:rsidR="006550F8" w:rsidRPr="008544BB">
        <w:rPr>
          <w:lang w:val="fr-FR"/>
        </w:rPr>
        <w:t>aux fins de</w:t>
      </w:r>
      <w:r w:rsidR="0068657A" w:rsidRPr="008544BB">
        <w:rPr>
          <w:lang w:val="fr-FR"/>
        </w:rPr>
        <w:t xml:space="preserve"> vérifi</w:t>
      </w:r>
      <w:r w:rsidR="006550F8" w:rsidRPr="008544BB">
        <w:rPr>
          <w:lang w:val="fr-FR"/>
        </w:rPr>
        <w:t>cation d</w:t>
      </w:r>
      <w:r w:rsidR="0068657A" w:rsidRPr="008544BB">
        <w:rPr>
          <w:lang w:val="fr-FR"/>
        </w:rPr>
        <w:t>es éléments caractérisant la situation de l</w:t>
      </w:r>
      <w:r w:rsidR="008544BB" w:rsidRPr="008544BB">
        <w:rPr>
          <w:lang w:val="fr-FR"/>
        </w:rPr>
        <w:t>’</w:t>
      </w:r>
      <w:r w:rsidR="0068657A" w:rsidRPr="008544BB">
        <w:rPr>
          <w:lang w:val="fr-FR"/>
        </w:rPr>
        <w:t>espèce (</w:t>
      </w:r>
      <w:r w:rsidR="0068657A" w:rsidRPr="008544BB">
        <w:rPr>
          <w:i/>
          <w:lang w:val="fr-FR"/>
        </w:rPr>
        <w:t>Improta c. Italie</w:t>
      </w:r>
      <w:r w:rsidR="0068657A" w:rsidRPr="008544BB">
        <w:rPr>
          <w:lang w:val="fr-FR"/>
        </w:rPr>
        <w:t>, n</w:t>
      </w:r>
      <w:r w:rsidR="0068657A" w:rsidRPr="008544BB">
        <w:rPr>
          <w:vertAlign w:val="superscript"/>
          <w:lang w:val="fr-FR"/>
        </w:rPr>
        <w:t>o </w:t>
      </w:r>
      <w:r w:rsidR="0068657A" w:rsidRPr="008544BB">
        <w:rPr>
          <w:lang w:val="fr-FR"/>
        </w:rPr>
        <w:t>66396/14, §§ 56, 4</w:t>
      </w:r>
      <w:r w:rsidR="009640BC" w:rsidRPr="008544BB">
        <w:rPr>
          <w:lang w:val="fr-FR"/>
        </w:rPr>
        <w:t xml:space="preserve"> </w:t>
      </w:r>
      <w:r w:rsidR="0068657A" w:rsidRPr="008544BB">
        <w:rPr>
          <w:lang w:val="fr-FR"/>
        </w:rPr>
        <w:t>mai 2017</w:t>
      </w:r>
      <w:r w:rsidR="002F7E78" w:rsidRPr="008544BB">
        <w:rPr>
          <w:lang w:val="fr-FR"/>
        </w:rPr>
        <w:t>,</w:t>
      </w:r>
      <w:r w:rsidR="0068657A" w:rsidRPr="008544BB">
        <w:rPr>
          <w:lang w:val="fr-FR"/>
        </w:rPr>
        <w:t xml:space="preserve"> </w:t>
      </w:r>
      <w:r w:rsidR="0068657A" w:rsidRPr="008544BB">
        <w:rPr>
          <w:i/>
          <w:lang w:val="fr-FR"/>
        </w:rPr>
        <w:t>Cincimino c. Italie</w:t>
      </w:r>
      <w:r w:rsidR="0068657A" w:rsidRPr="008544BB">
        <w:rPr>
          <w:lang w:val="fr-FR"/>
        </w:rPr>
        <w:t>, n</w:t>
      </w:r>
      <w:r w:rsidR="0068657A" w:rsidRPr="008544BB">
        <w:rPr>
          <w:vertAlign w:val="superscript"/>
          <w:lang w:val="fr-FR"/>
        </w:rPr>
        <w:t>o</w:t>
      </w:r>
      <w:r w:rsidR="009640BC" w:rsidRPr="008544BB">
        <w:rPr>
          <w:lang w:val="fr-FR"/>
        </w:rPr>
        <w:t xml:space="preserve"> </w:t>
      </w:r>
      <w:r w:rsidR="0068657A" w:rsidRPr="008544BB">
        <w:rPr>
          <w:lang w:val="fr-FR"/>
        </w:rPr>
        <w:t>68884/13</w:t>
      </w:r>
      <w:r w:rsidR="0068657A" w:rsidRPr="008544BB">
        <w:rPr>
          <w:snapToGrid w:val="0"/>
          <w:lang w:val="fr-FR"/>
        </w:rPr>
        <w:t xml:space="preserve">, §§ 73-74, 28 </w:t>
      </w:r>
      <w:r w:rsidR="0068657A" w:rsidRPr="008544BB">
        <w:rPr>
          <w:lang w:val="fr-FR"/>
        </w:rPr>
        <w:t>avril</w:t>
      </w:r>
      <w:r w:rsidR="0068657A" w:rsidRPr="008544BB">
        <w:rPr>
          <w:snapToGrid w:val="0"/>
          <w:lang w:val="fr-FR"/>
        </w:rPr>
        <w:t xml:space="preserve"> 2016</w:t>
      </w:r>
      <w:r w:rsidR="002F7E78" w:rsidRPr="008544BB">
        <w:rPr>
          <w:snapToGrid w:val="0"/>
          <w:lang w:val="fr-FR"/>
        </w:rPr>
        <w:t xml:space="preserve">, </w:t>
      </w:r>
      <w:r w:rsidR="006550F8" w:rsidRPr="008544BB">
        <w:rPr>
          <w:snapToGrid w:val="0"/>
          <w:lang w:val="fr-FR"/>
        </w:rPr>
        <w:t xml:space="preserve">et </w:t>
      </w:r>
      <w:r w:rsidR="0068657A" w:rsidRPr="008544BB">
        <w:rPr>
          <w:i/>
          <w:lang w:val="fr-FR"/>
        </w:rPr>
        <w:t>R.M.S.</w:t>
      </w:r>
      <w:r w:rsidR="0068657A" w:rsidRPr="008544BB">
        <w:rPr>
          <w:snapToGrid w:val="0"/>
          <w:lang w:val="fr-FR"/>
        </w:rPr>
        <w:t xml:space="preserve">, précité, § 89 ; </w:t>
      </w:r>
      <w:r w:rsidR="002F7E78" w:rsidRPr="008544BB">
        <w:rPr>
          <w:snapToGrid w:val="0"/>
          <w:lang w:val="fr-FR"/>
        </w:rPr>
        <w:t xml:space="preserve">voir, </w:t>
      </w:r>
      <w:r w:rsidR="0068657A" w:rsidRPr="008544BB">
        <w:rPr>
          <w:i/>
          <w:snapToGrid w:val="0"/>
          <w:lang w:val="fr-FR"/>
        </w:rPr>
        <w:t>a contrario,</w:t>
      </w:r>
      <w:r w:rsidR="0068657A" w:rsidRPr="008544BB">
        <w:rPr>
          <w:snapToGrid w:val="0"/>
          <w:lang w:val="fr-FR"/>
        </w:rPr>
        <w:t xml:space="preserve"> </w:t>
      </w:r>
      <w:r w:rsidR="0068657A" w:rsidRPr="008544BB">
        <w:rPr>
          <w:i/>
          <w:lang w:val="fr-FR"/>
        </w:rPr>
        <w:t>Vautier c. France</w:t>
      </w:r>
      <w:r w:rsidR="0068657A" w:rsidRPr="008544BB">
        <w:rPr>
          <w:lang w:val="fr-FR"/>
        </w:rPr>
        <w:t>, n</w:t>
      </w:r>
      <w:r w:rsidR="0068657A" w:rsidRPr="008544BB">
        <w:rPr>
          <w:vertAlign w:val="superscript"/>
          <w:lang w:val="fr-FR"/>
        </w:rPr>
        <w:t>o</w:t>
      </w:r>
      <w:r w:rsidR="0068657A" w:rsidRPr="008544BB">
        <w:rPr>
          <w:lang w:val="fr-FR"/>
        </w:rPr>
        <w:t xml:space="preserve"> 28499/05</w:t>
      </w:r>
      <w:r w:rsidR="0068657A" w:rsidRPr="008544BB">
        <w:rPr>
          <w:snapToGrid w:val="0"/>
          <w:lang w:val="fr-FR"/>
        </w:rPr>
        <w:t>, §§</w:t>
      </w:r>
      <w:r w:rsidR="002F7E78" w:rsidRPr="008544BB">
        <w:rPr>
          <w:snapToGrid w:val="0"/>
          <w:lang w:val="fr-FR"/>
        </w:rPr>
        <w:t> </w:t>
      </w:r>
      <w:r w:rsidR="0068657A" w:rsidRPr="008544BB">
        <w:rPr>
          <w:snapToGrid w:val="0"/>
          <w:lang w:val="fr-FR"/>
        </w:rPr>
        <w:t xml:space="preserve">71, 74 et 75, 26 </w:t>
      </w:r>
      <w:r w:rsidR="0068657A" w:rsidRPr="008544BB">
        <w:rPr>
          <w:lang w:val="fr-FR"/>
        </w:rPr>
        <w:t>novembre</w:t>
      </w:r>
      <w:r w:rsidR="0068657A" w:rsidRPr="008544BB">
        <w:rPr>
          <w:snapToGrid w:val="0"/>
          <w:lang w:val="fr-FR"/>
        </w:rPr>
        <w:t xml:space="preserve"> 2009).</w:t>
      </w:r>
    </w:p>
    <w:p w:rsidR="00571118" w:rsidRPr="008544BB" w:rsidRDefault="0068657A" w:rsidP="008544BB">
      <w:pPr>
        <w:pStyle w:val="ECHRPara"/>
        <w:rPr>
          <w:i/>
          <w:lang w:val="fr-FR"/>
        </w:rPr>
      </w:pPr>
      <w:r w:rsidRPr="008544BB">
        <w:rPr>
          <w:snapToGrid w:val="0"/>
          <w:lang w:val="fr-FR"/>
        </w:rPr>
        <w:fldChar w:fldCharType="begin"/>
      </w:r>
      <w:r w:rsidRPr="008544BB">
        <w:rPr>
          <w:snapToGrid w:val="0"/>
          <w:lang w:val="fr-FR"/>
        </w:rPr>
        <w:instrText xml:space="preserve"> SEQ level0 \*arabic </w:instrText>
      </w:r>
      <w:r w:rsidRPr="008544BB">
        <w:rPr>
          <w:snapToGrid w:val="0"/>
          <w:lang w:val="fr-FR"/>
        </w:rPr>
        <w:fldChar w:fldCharType="separate"/>
      </w:r>
      <w:r w:rsidR="008544BB" w:rsidRPr="008544BB">
        <w:rPr>
          <w:noProof/>
          <w:snapToGrid w:val="0"/>
          <w:lang w:val="fr-FR"/>
        </w:rPr>
        <w:t>83</w:t>
      </w:r>
      <w:r w:rsidRPr="008544BB">
        <w:rPr>
          <w:snapToGrid w:val="0"/>
          <w:lang w:val="fr-FR"/>
        </w:rPr>
        <w:fldChar w:fldCharType="end"/>
      </w:r>
      <w:r w:rsidRPr="008544BB">
        <w:rPr>
          <w:snapToGrid w:val="0"/>
          <w:lang w:val="fr-FR"/>
        </w:rPr>
        <w:t>.  </w:t>
      </w:r>
      <w:r w:rsidR="00031A13" w:rsidRPr="008544BB">
        <w:rPr>
          <w:snapToGrid w:val="0"/>
          <w:lang w:val="fr-FR"/>
        </w:rPr>
        <w:t>En l</w:t>
      </w:r>
      <w:r w:rsidR="008544BB" w:rsidRPr="008544BB">
        <w:rPr>
          <w:snapToGrid w:val="0"/>
          <w:lang w:val="fr-FR"/>
        </w:rPr>
        <w:t>’</w:t>
      </w:r>
      <w:r w:rsidRPr="008544BB">
        <w:rPr>
          <w:snapToGrid w:val="0"/>
          <w:lang w:val="fr-FR"/>
        </w:rPr>
        <w:t xml:space="preserve">espèce, </w:t>
      </w:r>
      <w:r w:rsidR="00031A13" w:rsidRPr="008544BB">
        <w:rPr>
          <w:snapToGrid w:val="0"/>
          <w:lang w:val="fr-FR"/>
        </w:rPr>
        <w:t xml:space="preserve">la Cour observe que </w:t>
      </w:r>
      <w:r w:rsidRPr="008544BB">
        <w:rPr>
          <w:snapToGrid w:val="0"/>
          <w:lang w:val="fr-FR"/>
        </w:rPr>
        <w:t>le tribunal</w:t>
      </w:r>
      <w:r w:rsidR="00031A13" w:rsidRPr="008544BB">
        <w:rPr>
          <w:snapToGrid w:val="0"/>
          <w:lang w:val="fr-FR"/>
        </w:rPr>
        <w:t xml:space="preserve"> pour enfants</w:t>
      </w:r>
      <w:r w:rsidRPr="008544BB">
        <w:rPr>
          <w:snapToGrid w:val="0"/>
          <w:lang w:val="fr-FR"/>
        </w:rPr>
        <w:t xml:space="preserve"> </w:t>
      </w:r>
      <w:r w:rsidR="008C2921" w:rsidRPr="008544BB">
        <w:rPr>
          <w:lang w:val="fr-FR"/>
        </w:rPr>
        <w:t>s</w:t>
      </w:r>
      <w:r w:rsidR="008544BB" w:rsidRPr="008544BB">
        <w:rPr>
          <w:lang w:val="fr-FR"/>
        </w:rPr>
        <w:t>’</w:t>
      </w:r>
      <w:r w:rsidR="008C2921" w:rsidRPr="008544BB">
        <w:rPr>
          <w:lang w:val="fr-FR"/>
        </w:rPr>
        <w:t xml:space="preserve">est limité à reprendre les considérations </w:t>
      </w:r>
      <w:r w:rsidR="00520A07" w:rsidRPr="008544BB">
        <w:rPr>
          <w:lang w:val="fr-FR"/>
        </w:rPr>
        <w:t>figurant</w:t>
      </w:r>
      <w:r w:rsidR="008C2921" w:rsidRPr="008544BB">
        <w:rPr>
          <w:lang w:val="fr-FR"/>
        </w:rPr>
        <w:t xml:space="preserve"> dans les décisions précédentes</w:t>
      </w:r>
      <w:r w:rsidR="00A77839" w:rsidRPr="008544BB">
        <w:rPr>
          <w:lang w:val="fr-FR"/>
        </w:rPr>
        <w:t>, et ce sans tenir compte de l</w:t>
      </w:r>
      <w:r w:rsidR="008544BB" w:rsidRPr="008544BB">
        <w:rPr>
          <w:lang w:val="fr-FR"/>
        </w:rPr>
        <w:t>’</w:t>
      </w:r>
      <w:r w:rsidR="00A77839" w:rsidRPr="008544BB">
        <w:rPr>
          <w:lang w:val="fr-FR"/>
        </w:rPr>
        <w:t>évolution de la situation litigieuse décrite ci</w:t>
      </w:r>
      <w:r w:rsidR="00A77839" w:rsidRPr="008544BB">
        <w:rPr>
          <w:lang w:val="fr-FR"/>
        </w:rPr>
        <w:noBreakHyphen/>
        <w:t xml:space="preserve">dessus, </w:t>
      </w:r>
      <w:r w:rsidR="008C2921" w:rsidRPr="008544BB">
        <w:rPr>
          <w:lang w:val="fr-FR"/>
        </w:rPr>
        <w:t xml:space="preserve">et </w:t>
      </w:r>
      <w:r w:rsidR="00A77839" w:rsidRPr="008544BB">
        <w:rPr>
          <w:lang w:val="fr-FR"/>
        </w:rPr>
        <w:t>qu</w:t>
      </w:r>
      <w:r w:rsidR="008544BB" w:rsidRPr="008544BB">
        <w:rPr>
          <w:lang w:val="fr-FR"/>
        </w:rPr>
        <w:t>’</w:t>
      </w:r>
      <w:r w:rsidR="00A77839" w:rsidRPr="008544BB">
        <w:rPr>
          <w:lang w:val="fr-FR"/>
        </w:rPr>
        <w:t xml:space="preserve">il </w:t>
      </w:r>
      <w:r w:rsidR="008C2921" w:rsidRPr="008544BB">
        <w:rPr>
          <w:lang w:val="fr-FR"/>
        </w:rPr>
        <w:t>s</w:t>
      </w:r>
      <w:r w:rsidR="008544BB" w:rsidRPr="008544BB">
        <w:rPr>
          <w:lang w:val="fr-FR"/>
        </w:rPr>
        <w:t>’</w:t>
      </w:r>
      <w:r w:rsidR="008C2921" w:rsidRPr="008544BB">
        <w:rPr>
          <w:lang w:val="fr-FR"/>
        </w:rPr>
        <w:t>est appuyé</w:t>
      </w:r>
      <w:r w:rsidRPr="008544BB">
        <w:rPr>
          <w:lang w:val="fr-FR"/>
        </w:rPr>
        <w:t xml:space="preserve"> sur un rapport d</w:t>
      </w:r>
      <w:r w:rsidR="008544BB" w:rsidRPr="008544BB">
        <w:rPr>
          <w:lang w:val="fr-FR"/>
        </w:rPr>
        <w:t>’</w:t>
      </w:r>
      <w:r w:rsidRPr="008544BB">
        <w:rPr>
          <w:lang w:val="fr-FR"/>
        </w:rPr>
        <w:t>expertise rédigé vingt-neuf mois auparavant, partiellement contestée par l</w:t>
      </w:r>
      <w:r w:rsidR="008544BB" w:rsidRPr="008544BB">
        <w:rPr>
          <w:lang w:val="fr-FR"/>
        </w:rPr>
        <w:t>’</w:t>
      </w:r>
      <w:r w:rsidR="00857C7D" w:rsidRPr="008544BB">
        <w:rPr>
          <w:lang w:val="fr-FR"/>
        </w:rPr>
        <w:t>experte choisie par</w:t>
      </w:r>
      <w:r w:rsidRPr="008544BB">
        <w:rPr>
          <w:lang w:val="fr-FR"/>
        </w:rPr>
        <w:t xml:space="preserve"> la première requérante</w:t>
      </w:r>
      <w:r w:rsidR="00A77839" w:rsidRPr="008544BB">
        <w:rPr>
          <w:lang w:val="fr-FR"/>
        </w:rPr>
        <w:t>, établi</w:t>
      </w:r>
      <w:r w:rsidRPr="008544BB">
        <w:rPr>
          <w:lang w:val="fr-FR"/>
        </w:rPr>
        <w:t xml:space="preserve"> à partir de séances ayant eu lieu le 23 novembre 2009 et les 1</w:t>
      </w:r>
      <w:r w:rsidRPr="008544BB">
        <w:rPr>
          <w:vertAlign w:val="superscript"/>
          <w:lang w:val="fr-FR"/>
        </w:rPr>
        <w:t>er</w:t>
      </w:r>
      <w:r w:rsidR="00520A07" w:rsidRPr="008544BB">
        <w:rPr>
          <w:lang w:val="fr-FR"/>
        </w:rPr>
        <w:t> </w:t>
      </w:r>
      <w:r w:rsidRPr="008544BB">
        <w:rPr>
          <w:lang w:val="fr-FR"/>
        </w:rPr>
        <w:t xml:space="preserve">mars et 14 avril 2010. </w:t>
      </w:r>
      <w:r w:rsidR="008C2921" w:rsidRPr="008544BB">
        <w:rPr>
          <w:lang w:val="fr-FR"/>
        </w:rPr>
        <w:t>La Cour re</w:t>
      </w:r>
      <w:r w:rsidR="00A77839" w:rsidRPr="008544BB">
        <w:rPr>
          <w:lang w:val="fr-FR"/>
        </w:rPr>
        <w:t>lève</w:t>
      </w:r>
      <w:r w:rsidR="008C2921" w:rsidRPr="008544BB">
        <w:rPr>
          <w:lang w:val="fr-FR"/>
        </w:rPr>
        <w:t xml:space="preserve"> qu</w:t>
      </w:r>
      <w:r w:rsidR="00A77839" w:rsidRPr="008544BB">
        <w:rPr>
          <w:lang w:val="fr-FR"/>
        </w:rPr>
        <w:t>e la mesure en cause, c</w:t>
      </w:r>
      <w:r w:rsidR="00DF6268" w:rsidRPr="008544BB">
        <w:rPr>
          <w:lang w:val="fr-FR"/>
        </w:rPr>
        <w:t>ertes provisoire</w:t>
      </w:r>
      <w:r w:rsidR="00A77839" w:rsidRPr="008544BB">
        <w:rPr>
          <w:lang w:val="fr-FR"/>
        </w:rPr>
        <w:t>,</w:t>
      </w:r>
      <w:r w:rsidR="00DF6268" w:rsidRPr="008544BB">
        <w:rPr>
          <w:lang w:val="fr-FR"/>
        </w:rPr>
        <w:t xml:space="preserve"> touch</w:t>
      </w:r>
      <w:r w:rsidR="00A77839" w:rsidRPr="008544BB">
        <w:rPr>
          <w:lang w:val="fr-FR"/>
        </w:rPr>
        <w:t>ait</w:t>
      </w:r>
      <w:r w:rsidR="00DF6268" w:rsidRPr="008544BB">
        <w:rPr>
          <w:lang w:val="fr-FR"/>
        </w:rPr>
        <w:t xml:space="preserve"> néanmoins les droits du parent </w:t>
      </w:r>
      <w:r w:rsidR="00A77839" w:rsidRPr="008544BB">
        <w:rPr>
          <w:lang w:val="fr-FR"/>
        </w:rPr>
        <w:t>concerné, en l</w:t>
      </w:r>
      <w:r w:rsidR="008544BB" w:rsidRPr="008544BB">
        <w:rPr>
          <w:lang w:val="fr-FR"/>
        </w:rPr>
        <w:t>’</w:t>
      </w:r>
      <w:r w:rsidR="00A77839" w:rsidRPr="008544BB">
        <w:rPr>
          <w:lang w:val="fr-FR"/>
        </w:rPr>
        <w:t xml:space="preserve">occurrence la mère, </w:t>
      </w:r>
      <w:r w:rsidR="00DF6268" w:rsidRPr="008544BB">
        <w:rPr>
          <w:lang w:val="fr-FR"/>
        </w:rPr>
        <w:t>et comport</w:t>
      </w:r>
      <w:r w:rsidR="00A77839" w:rsidRPr="008544BB">
        <w:rPr>
          <w:lang w:val="fr-FR"/>
        </w:rPr>
        <w:t>ait</w:t>
      </w:r>
      <w:r w:rsidR="00DF6268" w:rsidRPr="008544BB">
        <w:rPr>
          <w:lang w:val="fr-FR"/>
        </w:rPr>
        <w:t xml:space="preserve"> de fait la perte de l</w:t>
      </w:r>
      <w:r w:rsidR="008544BB" w:rsidRPr="008544BB">
        <w:rPr>
          <w:lang w:val="fr-FR"/>
        </w:rPr>
        <w:t>’</w:t>
      </w:r>
      <w:r w:rsidR="00DF6268" w:rsidRPr="008544BB">
        <w:rPr>
          <w:lang w:val="fr-FR"/>
        </w:rPr>
        <w:t xml:space="preserve">autorité parentale </w:t>
      </w:r>
      <w:r w:rsidR="00A77839" w:rsidRPr="008544BB">
        <w:rPr>
          <w:lang w:val="fr-FR"/>
        </w:rPr>
        <w:t xml:space="preserve">de cette dernière </w:t>
      </w:r>
      <w:r w:rsidR="00DF6268" w:rsidRPr="008544BB">
        <w:rPr>
          <w:lang w:val="fr-FR"/>
        </w:rPr>
        <w:t>sur ses enfants</w:t>
      </w:r>
      <w:r w:rsidRPr="008544BB">
        <w:rPr>
          <w:lang w:val="fr-FR"/>
        </w:rPr>
        <w:t>.</w:t>
      </w:r>
      <w:r w:rsidR="0000318A" w:rsidRPr="008544BB">
        <w:rPr>
          <w:lang w:val="fr-FR"/>
        </w:rPr>
        <w:t xml:space="preserve"> Pour cette raison, elle estime qu</w:t>
      </w:r>
      <w:r w:rsidR="008544BB" w:rsidRPr="008544BB">
        <w:rPr>
          <w:lang w:val="fr-FR"/>
        </w:rPr>
        <w:t>’</w:t>
      </w:r>
      <w:r w:rsidR="00C013CB" w:rsidRPr="008544BB">
        <w:rPr>
          <w:lang w:val="fr-FR"/>
        </w:rPr>
        <w:t xml:space="preserve">il était </w:t>
      </w:r>
      <w:r w:rsidR="00C013CB" w:rsidRPr="008544BB">
        <w:rPr>
          <w:lang w:val="fr-FR"/>
        </w:rPr>
        <w:lastRenderedPageBreak/>
        <w:t>nécessaire de</w:t>
      </w:r>
      <w:r w:rsidR="0000318A" w:rsidRPr="008544BB">
        <w:rPr>
          <w:lang w:val="fr-FR"/>
        </w:rPr>
        <w:t xml:space="preserve"> renouveler </w:t>
      </w:r>
      <w:r w:rsidR="00C3362E" w:rsidRPr="008544BB">
        <w:rPr>
          <w:lang w:val="fr-FR"/>
        </w:rPr>
        <w:t>le rapport d</w:t>
      </w:r>
      <w:r w:rsidR="008544BB" w:rsidRPr="008544BB">
        <w:rPr>
          <w:lang w:val="fr-FR"/>
        </w:rPr>
        <w:t>’</w:t>
      </w:r>
      <w:r w:rsidR="00C3362E" w:rsidRPr="008544BB">
        <w:rPr>
          <w:lang w:val="fr-FR"/>
        </w:rPr>
        <w:t>expertise avant de prendre une décision</w:t>
      </w:r>
      <w:r w:rsidR="00C013CB" w:rsidRPr="008544BB">
        <w:rPr>
          <w:lang w:val="fr-FR"/>
        </w:rPr>
        <w:t xml:space="preserve"> relative à l</w:t>
      </w:r>
      <w:r w:rsidR="008544BB" w:rsidRPr="008544BB">
        <w:rPr>
          <w:lang w:val="fr-FR"/>
        </w:rPr>
        <w:t>’</w:t>
      </w:r>
      <w:r w:rsidR="00C013CB" w:rsidRPr="008544BB">
        <w:rPr>
          <w:lang w:val="fr-FR"/>
        </w:rPr>
        <w:t>exercice des droits parentaux</w:t>
      </w:r>
      <w:r w:rsidR="00C3362E" w:rsidRPr="008544BB">
        <w:rPr>
          <w:lang w:val="fr-FR"/>
        </w:rPr>
        <w:t>.</w:t>
      </w:r>
    </w:p>
    <w:p w:rsidR="007E63BD" w:rsidRPr="008544BB" w:rsidRDefault="0060375A" w:rsidP="008544BB">
      <w:pPr>
        <w:pStyle w:val="ECHRPara"/>
        <w:rPr>
          <w:snapToGrid w:val="0"/>
          <w:lang w:val="fr-FR"/>
        </w:rPr>
      </w:pPr>
      <w:r w:rsidRPr="008544BB">
        <w:rPr>
          <w:snapToGrid w:val="0"/>
          <w:lang w:val="fr-FR"/>
        </w:rPr>
        <w:fldChar w:fldCharType="begin"/>
      </w:r>
      <w:r w:rsidRPr="008544BB">
        <w:rPr>
          <w:snapToGrid w:val="0"/>
          <w:lang w:val="fr-FR"/>
        </w:rPr>
        <w:instrText xml:space="preserve"> SEQ level0 \*arabic </w:instrText>
      </w:r>
      <w:r w:rsidRPr="008544BB">
        <w:rPr>
          <w:snapToGrid w:val="0"/>
          <w:lang w:val="fr-FR"/>
        </w:rPr>
        <w:fldChar w:fldCharType="separate"/>
      </w:r>
      <w:r w:rsidR="008544BB" w:rsidRPr="008544BB">
        <w:rPr>
          <w:noProof/>
          <w:snapToGrid w:val="0"/>
          <w:lang w:val="fr-FR"/>
        </w:rPr>
        <w:t>84</w:t>
      </w:r>
      <w:r w:rsidRPr="008544BB">
        <w:rPr>
          <w:snapToGrid w:val="0"/>
          <w:lang w:val="fr-FR"/>
        </w:rPr>
        <w:fldChar w:fldCharType="end"/>
      </w:r>
      <w:r w:rsidRPr="008544BB">
        <w:rPr>
          <w:snapToGrid w:val="0"/>
          <w:lang w:val="fr-FR"/>
        </w:rPr>
        <w:t>.  </w:t>
      </w:r>
      <w:r w:rsidR="009F116C" w:rsidRPr="008544BB">
        <w:rPr>
          <w:snapToGrid w:val="0"/>
          <w:lang w:val="fr-FR"/>
        </w:rPr>
        <w:t>En ce qui concerne</w:t>
      </w:r>
      <w:r w:rsidRPr="008544BB">
        <w:rPr>
          <w:snapToGrid w:val="0"/>
          <w:lang w:val="fr-FR"/>
        </w:rPr>
        <w:t xml:space="preserve"> la </w:t>
      </w:r>
      <w:r w:rsidR="007E63BD" w:rsidRPr="008544BB">
        <w:rPr>
          <w:snapToGrid w:val="0"/>
          <w:lang w:val="fr-FR"/>
        </w:rPr>
        <w:t xml:space="preserve">durée de la </w:t>
      </w:r>
      <w:r w:rsidRPr="008544BB">
        <w:rPr>
          <w:snapToGrid w:val="0"/>
          <w:lang w:val="fr-FR"/>
        </w:rPr>
        <w:t>procédure</w:t>
      </w:r>
      <w:r w:rsidR="004D56EE" w:rsidRPr="008544BB">
        <w:rPr>
          <w:snapToGrid w:val="0"/>
          <w:lang w:val="fr-FR"/>
        </w:rPr>
        <w:t xml:space="preserve"> </w:t>
      </w:r>
      <w:r w:rsidR="00A77839" w:rsidRPr="008544BB">
        <w:rPr>
          <w:snapToGrid w:val="0"/>
          <w:lang w:val="fr-FR"/>
        </w:rPr>
        <w:t xml:space="preserve">prise dans sa </w:t>
      </w:r>
      <w:r w:rsidR="004D56EE" w:rsidRPr="008544BB">
        <w:rPr>
          <w:snapToGrid w:val="0"/>
          <w:lang w:val="fr-FR"/>
        </w:rPr>
        <w:t>global</w:t>
      </w:r>
      <w:r w:rsidR="00A77839" w:rsidRPr="008544BB">
        <w:rPr>
          <w:snapToGrid w:val="0"/>
          <w:lang w:val="fr-FR"/>
        </w:rPr>
        <w:t>ité</w:t>
      </w:r>
      <w:r w:rsidR="00EF374A" w:rsidRPr="008544BB">
        <w:rPr>
          <w:snapToGrid w:val="0"/>
          <w:lang w:val="fr-FR"/>
        </w:rPr>
        <w:t>,</w:t>
      </w:r>
      <w:r w:rsidRPr="008544BB">
        <w:rPr>
          <w:snapToGrid w:val="0"/>
          <w:lang w:val="fr-FR"/>
        </w:rPr>
        <w:t xml:space="preserve"> </w:t>
      </w:r>
      <w:r w:rsidR="009F116C" w:rsidRPr="008544BB">
        <w:rPr>
          <w:snapToGrid w:val="0"/>
          <w:lang w:val="fr-FR"/>
        </w:rPr>
        <w:t>l</w:t>
      </w:r>
      <w:r w:rsidR="002B705D" w:rsidRPr="008544BB">
        <w:rPr>
          <w:snapToGrid w:val="0"/>
          <w:lang w:val="fr-FR"/>
        </w:rPr>
        <w:t xml:space="preserve">a Cour </w:t>
      </w:r>
      <w:r w:rsidR="007E63BD" w:rsidRPr="008544BB">
        <w:rPr>
          <w:snapToGrid w:val="0"/>
          <w:lang w:val="fr-FR"/>
        </w:rPr>
        <w:t xml:space="preserve">rappelle </w:t>
      </w:r>
      <w:r w:rsidR="009F116C" w:rsidRPr="008544BB">
        <w:rPr>
          <w:snapToGrid w:val="0"/>
          <w:lang w:val="fr-FR"/>
        </w:rPr>
        <w:t>qu</w:t>
      </w:r>
      <w:r w:rsidR="00EF374A" w:rsidRPr="008544BB">
        <w:rPr>
          <w:snapToGrid w:val="0"/>
          <w:lang w:val="fr-FR"/>
        </w:rPr>
        <w:t>e, sur le terrain de l</w:t>
      </w:r>
      <w:r w:rsidR="008544BB" w:rsidRPr="008544BB">
        <w:rPr>
          <w:snapToGrid w:val="0"/>
          <w:lang w:val="fr-FR"/>
        </w:rPr>
        <w:t>’</w:t>
      </w:r>
      <w:r w:rsidR="00EF374A" w:rsidRPr="008544BB">
        <w:rPr>
          <w:snapToGrid w:val="0"/>
          <w:lang w:val="fr-FR"/>
        </w:rPr>
        <w:t xml:space="preserve">article 8 de la Convention, </w:t>
      </w:r>
      <w:r w:rsidR="007E63BD" w:rsidRPr="008544BB">
        <w:rPr>
          <w:snapToGrid w:val="0"/>
          <w:lang w:val="fr-FR"/>
        </w:rPr>
        <w:t>un retard dans la procédure risque toujours de trancher par un fait accompli le problème en litige (</w:t>
      </w:r>
      <w:r w:rsidR="007E63BD" w:rsidRPr="008544BB">
        <w:rPr>
          <w:i/>
          <w:snapToGrid w:val="0"/>
          <w:lang w:val="fr-FR"/>
        </w:rPr>
        <w:t>W. c. Royaume-Uni</w:t>
      </w:r>
      <w:r w:rsidR="007E63BD" w:rsidRPr="008544BB">
        <w:rPr>
          <w:snapToGrid w:val="0"/>
          <w:lang w:val="fr-FR"/>
        </w:rPr>
        <w:t>, 8 juillet 1987, §§ 64</w:t>
      </w:r>
      <w:r w:rsidR="007E63BD" w:rsidRPr="008544BB">
        <w:rPr>
          <w:snapToGrid w:val="0"/>
          <w:lang w:val="fr-FR"/>
        </w:rPr>
        <w:noBreakHyphen/>
        <w:t>65, série A n</w:t>
      </w:r>
      <w:r w:rsidR="001F3C47" w:rsidRPr="008544BB">
        <w:rPr>
          <w:snapToGrid w:val="0"/>
          <w:vertAlign w:val="superscript"/>
          <w:lang w:val="fr-FR"/>
        </w:rPr>
        <w:t>o</w:t>
      </w:r>
      <w:r w:rsidR="007E63BD" w:rsidRPr="008544BB">
        <w:rPr>
          <w:snapToGrid w:val="0"/>
          <w:lang w:val="fr-FR"/>
        </w:rPr>
        <w:t>121</w:t>
      </w:r>
      <w:r w:rsidR="00FF4AF8" w:rsidRPr="008544BB">
        <w:rPr>
          <w:snapToGrid w:val="0"/>
          <w:lang w:val="fr-FR"/>
        </w:rPr>
        <w:t>,</w:t>
      </w:r>
      <w:r w:rsidR="007E63BD" w:rsidRPr="008544BB">
        <w:rPr>
          <w:snapToGrid w:val="0"/>
          <w:lang w:val="fr-FR"/>
        </w:rPr>
        <w:t xml:space="preserve"> </w:t>
      </w:r>
      <w:r w:rsidR="00FF4AF8" w:rsidRPr="008544BB">
        <w:rPr>
          <w:i/>
          <w:snapToGrid w:val="0"/>
          <w:lang w:val="fr-FR"/>
        </w:rPr>
        <w:t>D</w:t>
      </w:r>
      <w:r w:rsidR="008544BB" w:rsidRPr="008544BB">
        <w:rPr>
          <w:i/>
          <w:snapToGrid w:val="0"/>
          <w:lang w:val="fr-FR"/>
        </w:rPr>
        <w:t>’</w:t>
      </w:r>
      <w:r w:rsidR="00FF4AF8" w:rsidRPr="008544BB">
        <w:rPr>
          <w:i/>
          <w:snapToGrid w:val="0"/>
          <w:lang w:val="fr-FR"/>
        </w:rPr>
        <w:t>Alconzo c. Italie</w:t>
      </w:r>
      <w:r w:rsidR="00FF4AF8" w:rsidRPr="008544BB">
        <w:rPr>
          <w:snapToGrid w:val="0"/>
          <w:lang w:val="fr-FR"/>
        </w:rPr>
        <w:t>, n</w:t>
      </w:r>
      <w:r w:rsidR="001F3C47" w:rsidRPr="008544BB">
        <w:rPr>
          <w:snapToGrid w:val="0"/>
          <w:vertAlign w:val="superscript"/>
          <w:lang w:val="fr-FR"/>
        </w:rPr>
        <w:t>o</w:t>
      </w:r>
      <w:r w:rsidR="00FF4AF8" w:rsidRPr="008544BB">
        <w:rPr>
          <w:snapToGrid w:val="0"/>
          <w:lang w:val="fr-FR"/>
        </w:rPr>
        <w:t xml:space="preserve"> 64297/12, § 64, 23 février 2017, </w:t>
      </w:r>
      <w:r w:rsidR="00FF4AF8" w:rsidRPr="008544BB">
        <w:rPr>
          <w:i/>
          <w:snapToGrid w:val="0"/>
          <w:lang w:val="fr-FR"/>
        </w:rPr>
        <w:t>Solarino</w:t>
      </w:r>
      <w:r w:rsidR="009640BC" w:rsidRPr="008544BB">
        <w:rPr>
          <w:i/>
          <w:snapToGrid w:val="0"/>
          <w:lang w:val="fr-FR"/>
        </w:rPr>
        <w:t xml:space="preserve"> </w:t>
      </w:r>
      <w:r w:rsidR="00FF4AF8" w:rsidRPr="008544BB">
        <w:rPr>
          <w:i/>
          <w:snapToGrid w:val="0"/>
          <w:lang w:val="fr-FR"/>
        </w:rPr>
        <w:t>c. Italie</w:t>
      </w:r>
      <w:r w:rsidR="00FF4AF8" w:rsidRPr="008544BB">
        <w:rPr>
          <w:snapToGrid w:val="0"/>
          <w:lang w:val="fr-FR"/>
        </w:rPr>
        <w:t>, n</w:t>
      </w:r>
      <w:r w:rsidR="001F3C47" w:rsidRPr="008544BB">
        <w:rPr>
          <w:snapToGrid w:val="0"/>
          <w:vertAlign w:val="superscript"/>
          <w:lang w:val="fr-FR"/>
        </w:rPr>
        <w:t>o</w:t>
      </w:r>
      <w:r w:rsidR="00FF4AF8" w:rsidRPr="008544BB">
        <w:rPr>
          <w:snapToGrid w:val="0"/>
          <w:lang w:val="fr-FR"/>
        </w:rPr>
        <w:t xml:space="preserve"> 76171/13, § 39, 9 février 2017,</w:t>
      </w:r>
      <w:r w:rsidR="00A77839" w:rsidRPr="008544BB">
        <w:rPr>
          <w:snapToGrid w:val="0"/>
          <w:lang w:val="fr-FR"/>
        </w:rPr>
        <w:t xml:space="preserve"> et</w:t>
      </w:r>
      <w:r w:rsidR="007E63BD" w:rsidRPr="008544BB">
        <w:rPr>
          <w:snapToGrid w:val="0"/>
          <w:lang w:val="fr-FR"/>
        </w:rPr>
        <w:t xml:space="preserve"> </w:t>
      </w:r>
      <w:r w:rsidR="007E63BD" w:rsidRPr="008544BB">
        <w:rPr>
          <w:i/>
          <w:snapToGrid w:val="0"/>
          <w:lang w:val="fr-FR"/>
        </w:rPr>
        <w:t>Covezzi et Morselli c. Italie</w:t>
      </w:r>
      <w:r w:rsidR="00FF4AF8" w:rsidRPr="008544BB">
        <w:rPr>
          <w:snapToGrid w:val="0"/>
          <w:lang w:val="fr-FR"/>
        </w:rPr>
        <w:t>, n</w:t>
      </w:r>
      <w:r w:rsidR="001F3C47" w:rsidRPr="008544BB">
        <w:rPr>
          <w:snapToGrid w:val="0"/>
          <w:vertAlign w:val="superscript"/>
          <w:lang w:val="fr-FR"/>
        </w:rPr>
        <w:t>o</w:t>
      </w:r>
      <w:r w:rsidR="00FF4AF8" w:rsidRPr="008544BB">
        <w:rPr>
          <w:snapToGrid w:val="0"/>
          <w:lang w:val="fr-FR"/>
        </w:rPr>
        <w:t> </w:t>
      </w:r>
      <w:r w:rsidR="007E63BD" w:rsidRPr="008544BB">
        <w:rPr>
          <w:snapToGrid w:val="0"/>
          <w:lang w:val="fr-FR"/>
        </w:rPr>
        <w:t>52763/99, § 136, 9 mai 2003).</w:t>
      </w:r>
    </w:p>
    <w:p w:rsidR="0060375A" w:rsidRPr="008544BB" w:rsidRDefault="002B705D"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85</w:t>
      </w:r>
      <w:r w:rsidRPr="008544BB">
        <w:rPr>
          <w:lang w:val="fr-FR"/>
        </w:rPr>
        <w:fldChar w:fldCharType="end"/>
      </w:r>
      <w:r w:rsidRPr="008544BB">
        <w:rPr>
          <w:lang w:val="fr-FR"/>
        </w:rPr>
        <w:t>.  </w:t>
      </w:r>
      <w:r w:rsidR="00000CE3" w:rsidRPr="008544BB">
        <w:rPr>
          <w:lang w:val="fr-FR"/>
        </w:rPr>
        <w:t xml:space="preserve">En </w:t>
      </w:r>
      <w:r w:rsidR="00FF4AF8" w:rsidRPr="008544BB">
        <w:rPr>
          <w:lang w:val="fr-FR"/>
        </w:rPr>
        <w:t>l</w:t>
      </w:r>
      <w:r w:rsidR="008544BB" w:rsidRPr="008544BB">
        <w:rPr>
          <w:lang w:val="fr-FR"/>
        </w:rPr>
        <w:t>’</w:t>
      </w:r>
      <w:r w:rsidR="00FF4AF8" w:rsidRPr="008544BB">
        <w:rPr>
          <w:lang w:val="fr-FR"/>
        </w:rPr>
        <w:t>espèce</w:t>
      </w:r>
      <w:r w:rsidR="00000CE3" w:rsidRPr="008544BB">
        <w:rPr>
          <w:lang w:val="fr-FR"/>
        </w:rPr>
        <w:t xml:space="preserve">, </w:t>
      </w:r>
      <w:r w:rsidR="0060375A" w:rsidRPr="008544BB">
        <w:rPr>
          <w:lang w:val="fr-FR"/>
        </w:rPr>
        <w:t>l</w:t>
      </w:r>
      <w:r w:rsidR="009F116C" w:rsidRPr="008544BB">
        <w:rPr>
          <w:lang w:val="fr-FR"/>
        </w:rPr>
        <w:t xml:space="preserve">a </w:t>
      </w:r>
      <w:r w:rsidR="00515195" w:rsidRPr="008544BB">
        <w:rPr>
          <w:lang w:val="fr-FR"/>
        </w:rPr>
        <w:t xml:space="preserve">Cour constate que la </w:t>
      </w:r>
      <w:r w:rsidR="009F116C" w:rsidRPr="008544BB">
        <w:rPr>
          <w:lang w:val="fr-FR"/>
        </w:rPr>
        <w:t>décision</w:t>
      </w:r>
      <w:r w:rsidR="00823BB9" w:rsidRPr="008544BB">
        <w:rPr>
          <w:lang w:val="fr-FR"/>
        </w:rPr>
        <w:t xml:space="preserve"> </w:t>
      </w:r>
      <w:r w:rsidR="0060375A" w:rsidRPr="008544BB">
        <w:rPr>
          <w:lang w:val="fr-FR"/>
        </w:rPr>
        <w:t xml:space="preserve">provisoire </w:t>
      </w:r>
      <w:r w:rsidR="00C3362E" w:rsidRPr="008544BB">
        <w:rPr>
          <w:lang w:val="fr-FR"/>
        </w:rPr>
        <w:t>du 7</w:t>
      </w:r>
      <w:r w:rsidR="00CD755E" w:rsidRPr="008544BB">
        <w:rPr>
          <w:lang w:val="fr-FR"/>
        </w:rPr>
        <w:t> </w:t>
      </w:r>
      <w:r w:rsidR="00C3362E" w:rsidRPr="008544BB">
        <w:rPr>
          <w:lang w:val="fr-FR"/>
        </w:rPr>
        <w:t>septembre 2007</w:t>
      </w:r>
      <w:r w:rsidR="00823BB9" w:rsidRPr="008544BB">
        <w:rPr>
          <w:lang w:val="fr-FR"/>
        </w:rPr>
        <w:t xml:space="preserve"> n</w:t>
      </w:r>
      <w:r w:rsidR="008544BB" w:rsidRPr="008544BB">
        <w:rPr>
          <w:lang w:val="fr-FR"/>
        </w:rPr>
        <w:t>’</w:t>
      </w:r>
      <w:r w:rsidR="00823BB9" w:rsidRPr="008544BB">
        <w:rPr>
          <w:lang w:val="fr-FR"/>
        </w:rPr>
        <w:t>a été confirmé</w:t>
      </w:r>
      <w:r w:rsidR="006E35BF" w:rsidRPr="008544BB">
        <w:rPr>
          <w:lang w:val="fr-FR"/>
        </w:rPr>
        <w:t>e</w:t>
      </w:r>
      <w:r w:rsidR="00823BB9" w:rsidRPr="008544BB">
        <w:rPr>
          <w:lang w:val="fr-FR"/>
        </w:rPr>
        <w:t xml:space="preserve"> que dix mois après</w:t>
      </w:r>
      <w:r w:rsidR="00492C87" w:rsidRPr="008544BB">
        <w:rPr>
          <w:lang w:val="fr-FR"/>
        </w:rPr>
        <w:t xml:space="preserve"> </w:t>
      </w:r>
      <w:r w:rsidR="00A3610C" w:rsidRPr="008544BB">
        <w:rPr>
          <w:lang w:val="fr-FR"/>
        </w:rPr>
        <w:t xml:space="preserve">son adoption </w:t>
      </w:r>
      <w:r w:rsidR="00492C87" w:rsidRPr="008544BB">
        <w:rPr>
          <w:lang w:val="fr-FR"/>
        </w:rPr>
        <w:t xml:space="preserve">(paragraphe </w:t>
      </w:r>
      <w:r w:rsidR="00490242" w:rsidRPr="008544BB">
        <w:rPr>
          <w:lang w:val="fr-FR"/>
        </w:rPr>
        <w:fldChar w:fldCharType="begin"/>
      </w:r>
      <w:r w:rsidR="00490242" w:rsidRPr="008544BB">
        <w:rPr>
          <w:lang w:val="fr-FR"/>
        </w:rPr>
        <w:instrText xml:space="preserve"> REF TRIBUNAL_14_7_08 \h </w:instrText>
      </w:r>
      <w:r w:rsidR="00490242" w:rsidRPr="008544BB">
        <w:rPr>
          <w:lang w:val="fr-FR"/>
        </w:rPr>
      </w:r>
      <w:r w:rsidR="00490242" w:rsidRPr="008544BB">
        <w:rPr>
          <w:lang w:val="fr-FR"/>
        </w:rPr>
        <w:fldChar w:fldCharType="separate"/>
      </w:r>
      <w:r w:rsidR="008544BB" w:rsidRPr="008544BB">
        <w:rPr>
          <w:noProof/>
          <w:lang w:val="fr-FR"/>
        </w:rPr>
        <w:t>14</w:t>
      </w:r>
      <w:r w:rsidR="00490242" w:rsidRPr="008544BB">
        <w:rPr>
          <w:lang w:val="fr-FR"/>
        </w:rPr>
        <w:fldChar w:fldCharType="end"/>
      </w:r>
      <w:r w:rsidR="00492C87" w:rsidRPr="008544BB">
        <w:rPr>
          <w:lang w:val="fr-FR"/>
        </w:rPr>
        <w:t xml:space="preserve"> ci-dessus)</w:t>
      </w:r>
      <w:r w:rsidR="0060375A" w:rsidRPr="008544BB">
        <w:rPr>
          <w:lang w:val="fr-FR"/>
        </w:rPr>
        <w:t>. L</w:t>
      </w:r>
      <w:r w:rsidR="00823BB9" w:rsidRPr="008544BB">
        <w:rPr>
          <w:lang w:val="fr-FR"/>
        </w:rPr>
        <w:t>e même écart</w:t>
      </w:r>
      <w:r w:rsidR="0084784B" w:rsidRPr="008544BB">
        <w:rPr>
          <w:lang w:val="fr-FR"/>
        </w:rPr>
        <w:t xml:space="preserve"> de dix mois</w:t>
      </w:r>
      <w:r w:rsidR="00DE5000" w:rsidRPr="008544BB">
        <w:rPr>
          <w:lang w:val="fr-FR"/>
        </w:rPr>
        <w:t xml:space="preserve"> court entre l</w:t>
      </w:r>
      <w:r w:rsidR="00FF4AF8" w:rsidRPr="008544BB">
        <w:rPr>
          <w:lang w:val="fr-FR"/>
        </w:rPr>
        <w:t>a décision</w:t>
      </w:r>
      <w:r w:rsidR="00823BB9" w:rsidRPr="008544BB">
        <w:rPr>
          <w:lang w:val="fr-FR"/>
        </w:rPr>
        <w:t xml:space="preserve"> </w:t>
      </w:r>
      <w:r w:rsidR="00A3610C" w:rsidRPr="008544BB">
        <w:rPr>
          <w:lang w:val="fr-FR"/>
        </w:rPr>
        <w:t xml:space="preserve">ayant </w:t>
      </w:r>
      <w:r w:rsidR="00823BB9" w:rsidRPr="008544BB">
        <w:rPr>
          <w:lang w:val="fr-FR"/>
        </w:rPr>
        <w:t>ordonn</w:t>
      </w:r>
      <w:r w:rsidR="00A3610C" w:rsidRPr="008544BB">
        <w:rPr>
          <w:lang w:val="fr-FR"/>
        </w:rPr>
        <w:t>é</w:t>
      </w:r>
      <w:r w:rsidR="00823BB9" w:rsidRPr="008544BB">
        <w:rPr>
          <w:lang w:val="fr-FR"/>
        </w:rPr>
        <w:t xml:space="preserve"> l</w:t>
      </w:r>
      <w:r w:rsidR="007B064A" w:rsidRPr="008544BB">
        <w:rPr>
          <w:lang w:val="fr-FR"/>
        </w:rPr>
        <w:t xml:space="preserve">a première </w:t>
      </w:r>
      <w:r w:rsidR="0084784B" w:rsidRPr="008544BB">
        <w:rPr>
          <w:lang w:val="fr-FR"/>
        </w:rPr>
        <w:t>expertise</w:t>
      </w:r>
      <w:r w:rsidR="00886C1C" w:rsidRPr="008544BB">
        <w:rPr>
          <w:lang w:val="fr-FR"/>
        </w:rPr>
        <w:t xml:space="preserve"> judiciaire</w:t>
      </w:r>
      <w:r w:rsidR="0084784B" w:rsidRPr="008544BB">
        <w:rPr>
          <w:lang w:val="fr-FR"/>
        </w:rPr>
        <w:t xml:space="preserve"> et la présentation </w:t>
      </w:r>
      <w:r w:rsidR="00FF4AF8" w:rsidRPr="008544BB">
        <w:rPr>
          <w:lang w:val="fr-FR"/>
        </w:rPr>
        <w:t xml:space="preserve">du rapport </w:t>
      </w:r>
      <w:r w:rsidR="00A3610C" w:rsidRPr="008544BB">
        <w:rPr>
          <w:lang w:val="fr-FR"/>
        </w:rPr>
        <w:t>y afférent</w:t>
      </w:r>
      <w:r w:rsidR="00515195" w:rsidRPr="008544BB">
        <w:rPr>
          <w:lang w:val="fr-FR"/>
        </w:rPr>
        <w:t xml:space="preserve"> </w:t>
      </w:r>
      <w:r w:rsidR="0084784B" w:rsidRPr="008544BB">
        <w:rPr>
          <w:lang w:val="fr-FR"/>
        </w:rPr>
        <w:t>au tribunal</w:t>
      </w:r>
      <w:r w:rsidR="007B064A" w:rsidRPr="008544BB">
        <w:rPr>
          <w:lang w:val="fr-FR"/>
        </w:rPr>
        <w:t xml:space="preserve"> pour enfants</w:t>
      </w:r>
      <w:r w:rsidR="0060375A" w:rsidRPr="008544BB">
        <w:rPr>
          <w:lang w:val="fr-FR"/>
        </w:rPr>
        <w:t xml:space="preserve">. </w:t>
      </w:r>
      <w:r w:rsidR="00A3610C" w:rsidRPr="008544BB">
        <w:rPr>
          <w:lang w:val="fr-FR"/>
        </w:rPr>
        <w:t>Par ailleurs</w:t>
      </w:r>
      <w:r w:rsidR="00000CE3" w:rsidRPr="008544BB">
        <w:rPr>
          <w:lang w:val="fr-FR"/>
        </w:rPr>
        <w:t>, la Cour estime que l</w:t>
      </w:r>
      <w:r w:rsidR="00A3610C" w:rsidRPr="008544BB">
        <w:rPr>
          <w:lang w:val="fr-FR"/>
        </w:rPr>
        <w:t>e laps de temps écoulé</w:t>
      </w:r>
      <w:r w:rsidR="00000CE3" w:rsidRPr="008544BB">
        <w:rPr>
          <w:lang w:val="fr-FR"/>
        </w:rPr>
        <w:t xml:space="preserve"> entre les deux expertises</w:t>
      </w:r>
      <w:r w:rsidR="00E460DB" w:rsidRPr="008544BB">
        <w:rPr>
          <w:lang w:val="fr-FR"/>
        </w:rPr>
        <w:t xml:space="preserve"> judiciaires</w:t>
      </w:r>
      <w:r w:rsidRPr="008544BB">
        <w:rPr>
          <w:lang w:val="fr-FR"/>
        </w:rPr>
        <w:t xml:space="preserve">, </w:t>
      </w:r>
      <w:r w:rsidR="00A3610C" w:rsidRPr="008544BB">
        <w:rPr>
          <w:lang w:val="fr-FR"/>
        </w:rPr>
        <w:t>d</w:t>
      </w:r>
      <w:r w:rsidR="008544BB" w:rsidRPr="008544BB">
        <w:rPr>
          <w:lang w:val="fr-FR"/>
        </w:rPr>
        <w:t>’</w:t>
      </w:r>
      <w:r w:rsidRPr="008544BB">
        <w:rPr>
          <w:lang w:val="fr-FR"/>
        </w:rPr>
        <w:t xml:space="preserve">environ quatre ans et six mois, </w:t>
      </w:r>
      <w:r w:rsidR="00000CE3" w:rsidRPr="008544BB">
        <w:rPr>
          <w:lang w:val="fr-FR"/>
        </w:rPr>
        <w:t>n</w:t>
      </w:r>
      <w:r w:rsidR="006809B2" w:rsidRPr="008544BB">
        <w:rPr>
          <w:lang w:val="fr-FR"/>
        </w:rPr>
        <w:t xml:space="preserve">e </w:t>
      </w:r>
      <w:r w:rsidR="00A3610C" w:rsidRPr="008544BB">
        <w:rPr>
          <w:lang w:val="fr-FR"/>
        </w:rPr>
        <w:t>peut</w:t>
      </w:r>
      <w:r w:rsidR="006809B2" w:rsidRPr="008544BB">
        <w:rPr>
          <w:lang w:val="fr-FR"/>
        </w:rPr>
        <w:t xml:space="preserve"> se justifier, notamment</w:t>
      </w:r>
      <w:r w:rsidR="00000CE3" w:rsidRPr="008544BB">
        <w:rPr>
          <w:lang w:val="fr-FR"/>
        </w:rPr>
        <w:t xml:space="preserve"> </w:t>
      </w:r>
      <w:r w:rsidR="00A3610C" w:rsidRPr="008544BB">
        <w:rPr>
          <w:lang w:val="fr-FR"/>
        </w:rPr>
        <w:t>eu égard aux</w:t>
      </w:r>
      <w:r w:rsidR="00000CE3" w:rsidRPr="008544BB">
        <w:rPr>
          <w:lang w:val="fr-FR"/>
        </w:rPr>
        <w:t xml:space="preserve"> changements </w:t>
      </w:r>
      <w:r w:rsidR="00040344" w:rsidRPr="008544BB">
        <w:rPr>
          <w:lang w:val="fr-FR"/>
        </w:rPr>
        <w:t xml:space="preserve">de la situation </w:t>
      </w:r>
      <w:r w:rsidR="00A74F91" w:rsidRPr="008544BB">
        <w:rPr>
          <w:lang w:val="fr-FR"/>
        </w:rPr>
        <w:t>litigieuse</w:t>
      </w:r>
      <w:r w:rsidR="00040344" w:rsidRPr="008544BB">
        <w:rPr>
          <w:lang w:val="fr-FR"/>
        </w:rPr>
        <w:t xml:space="preserve"> évoqués </w:t>
      </w:r>
      <w:r w:rsidR="00823BB9" w:rsidRPr="008544BB">
        <w:rPr>
          <w:i/>
          <w:lang w:val="fr-FR"/>
        </w:rPr>
        <w:t>supra</w:t>
      </w:r>
      <w:r w:rsidR="00490242" w:rsidRPr="008544BB">
        <w:rPr>
          <w:lang w:val="fr-FR"/>
        </w:rPr>
        <w:t>.</w:t>
      </w:r>
      <w:r w:rsidR="00040344" w:rsidRPr="008544BB">
        <w:rPr>
          <w:lang w:val="fr-FR"/>
        </w:rPr>
        <w:t xml:space="preserve"> </w:t>
      </w:r>
      <w:r w:rsidR="00D05C03" w:rsidRPr="008544BB">
        <w:rPr>
          <w:lang w:val="fr-FR"/>
        </w:rPr>
        <w:t>P</w:t>
      </w:r>
      <w:r w:rsidR="00040344" w:rsidRPr="008544BB">
        <w:rPr>
          <w:lang w:val="fr-FR"/>
        </w:rPr>
        <w:t>lus général</w:t>
      </w:r>
      <w:r w:rsidR="00A3610C" w:rsidRPr="008544BB">
        <w:rPr>
          <w:lang w:val="fr-FR"/>
        </w:rPr>
        <w:t>ement</w:t>
      </w:r>
      <w:r w:rsidR="00D05C03" w:rsidRPr="008544BB">
        <w:rPr>
          <w:lang w:val="fr-FR"/>
        </w:rPr>
        <w:t xml:space="preserve">, la Cour </w:t>
      </w:r>
      <w:r w:rsidR="00A3610C" w:rsidRPr="008544BB">
        <w:rPr>
          <w:lang w:val="fr-FR"/>
        </w:rPr>
        <w:t>considère</w:t>
      </w:r>
      <w:r w:rsidR="00040344" w:rsidRPr="008544BB">
        <w:rPr>
          <w:lang w:val="fr-FR"/>
        </w:rPr>
        <w:t xml:space="preserve"> que l</w:t>
      </w:r>
      <w:r w:rsidR="0060375A" w:rsidRPr="008544BB">
        <w:rPr>
          <w:lang w:val="fr-FR"/>
        </w:rPr>
        <w:t xml:space="preserve">e tribunal </w:t>
      </w:r>
      <w:r w:rsidR="00A3610C" w:rsidRPr="008544BB">
        <w:rPr>
          <w:lang w:val="fr-FR"/>
        </w:rPr>
        <w:t xml:space="preserve">pour enfants </w:t>
      </w:r>
      <w:r w:rsidR="00823BB9" w:rsidRPr="008544BB">
        <w:rPr>
          <w:lang w:val="fr-FR"/>
        </w:rPr>
        <w:t>s</w:t>
      </w:r>
      <w:r w:rsidR="008544BB" w:rsidRPr="008544BB">
        <w:rPr>
          <w:lang w:val="fr-FR"/>
        </w:rPr>
        <w:t>’</w:t>
      </w:r>
      <w:r w:rsidR="00823BB9" w:rsidRPr="008544BB">
        <w:rPr>
          <w:lang w:val="fr-FR"/>
        </w:rPr>
        <w:t xml:space="preserve">est parfois limité à réagir </w:t>
      </w:r>
      <w:r w:rsidR="00040344" w:rsidRPr="008544BB">
        <w:rPr>
          <w:lang w:val="fr-FR"/>
        </w:rPr>
        <w:t xml:space="preserve">aux sollicitations des </w:t>
      </w:r>
      <w:r w:rsidR="00A93B5A" w:rsidRPr="008544BB">
        <w:rPr>
          <w:lang w:val="fr-FR"/>
        </w:rPr>
        <w:t>mineurs</w:t>
      </w:r>
      <w:r w:rsidR="00823BB9" w:rsidRPr="008544BB">
        <w:rPr>
          <w:lang w:val="fr-FR"/>
        </w:rPr>
        <w:t xml:space="preserve"> au lieu de donner</w:t>
      </w:r>
      <w:r w:rsidR="00A961D6" w:rsidRPr="008544BB">
        <w:rPr>
          <w:lang w:val="fr-FR"/>
        </w:rPr>
        <w:t xml:space="preserve"> lui-même son</w:t>
      </w:r>
      <w:r w:rsidR="00823BB9" w:rsidRPr="008544BB">
        <w:rPr>
          <w:lang w:val="fr-FR"/>
        </w:rPr>
        <w:t xml:space="preserve"> impulsion à la procédure.</w:t>
      </w:r>
      <w:r w:rsidR="00040344" w:rsidRPr="008544BB">
        <w:rPr>
          <w:lang w:val="fr-FR"/>
        </w:rPr>
        <w:t xml:space="preserve"> </w:t>
      </w:r>
      <w:r w:rsidR="00823BB9" w:rsidRPr="008544BB">
        <w:rPr>
          <w:lang w:val="fr-FR"/>
        </w:rPr>
        <w:t>E</w:t>
      </w:r>
      <w:r w:rsidR="00040344" w:rsidRPr="008544BB">
        <w:rPr>
          <w:lang w:val="fr-FR"/>
        </w:rPr>
        <w:t xml:space="preserve">n </w:t>
      </w:r>
      <w:r w:rsidR="006809B2" w:rsidRPr="008544BB">
        <w:rPr>
          <w:lang w:val="fr-FR"/>
        </w:rPr>
        <w:t>effet</w:t>
      </w:r>
      <w:r w:rsidR="00823BB9" w:rsidRPr="008544BB">
        <w:rPr>
          <w:lang w:val="fr-FR"/>
        </w:rPr>
        <w:t>,</w:t>
      </w:r>
      <w:r w:rsidR="007E63BD" w:rsidRPr="008544BB">
        <w:rPr>
          <w:lang w:val="fr-FR"/>
        </w:rPr>
        <w:t xml:space="preserve"> </w:t>
      </w:r>
      <w:r w:rsidR="00421E37" w:rsidRPr="008544BB">
        <w:rPr>
          <w:lang w:val="fr-FR"/>
        </w:rPr>
        <w:t>ledit tribunal</w:t>
      </w:r>
      <w:r w:rsidR="007E63BD" w:rsidRPr="008544BB">
        <w:rPr>
          <w:lang w:val="fr-FR"/>
        </w:rPr>
        <w:t xml:space="preserve"> n</w:t>
      </w:r>
      <w:r w:rsidR="008544BB" w:rsidRPr="008544BB">
        <w:rPr>
          <w:lang w:val="fr-FR"/>
        </w:rPr>
        <w:t>’</w:t>
      </w:r>
      <w:r w:rsidR="007E63BD" w:rsidRPr="008544BB">
        <w:rPr>
          <w:lang w:val="fr-FR"/>
        </w:rPr>
        <w:t xml:space="preserve">a pas </w:t>
      </w:r>
      <w:r w:rsidR="006809B2" w:rsidRPr="008544BB">
        <w:rPr>
          <w:lang w:val="fr-FR"/>
        </w:rPr>
        <w:t>procédé avec la célérité nécessaire au placement des enfants en famille d</w:t>
      </w:r>
      <w:r w:rsidR="008544BB" w:rsidRPr="008544BB">
        <w:rPr>
          <w:lang w:val="fr-FR"/>
        </w:rPr>
        <w:t>’</w:t>
      </w:r>
      <w:r w:rsidR="006809B2" w:rsidRPr="008544BB">
        <w:rPr>
          <w:lang w:val="fr-FR"/>
        </w:rPr>
        <w:t>accueil</w:t>
      </w:r>
      <w:r w:rsidR="00C94AE3" w:rsidRPr="008544BB">
        <w:rPr>
          <w:lang w:val="fr-FR"/>
        </w:rPr>
        <w:t>,</w:t>
      </w:r>
      <w:r w:rsidR="006809B2" w:rsidRPr="008544BB">
        <w:rPr>
          <w:lang w:val="fr-FR"/>
        </w:rPr>
        <w:t xml:space="preserve"> mais </w:t>
      </w:r>
      <w:r w:rsidR="00421E37" w:rsidRPr="008544BB">
        <w:rPr>
          <w:lang w:val="fr-FR"/>
        </w:rPr>
        <w:t xml:space="preserve">il </w:t>
      </w:r>
      <w:r w:rsidR="006809B2" w:rsidRPr="008544BB">
        <w:rPr>
          <w:lang w:val="fr-FR"/>
        </w:rPr>
        <w:t xml:space="preserve">a </w:t>
      </w:r>
      <w:r w:rsidR="00421E37" w:rsidRPr="008544BB">
        <w:rPr>
          <w:lang w:val="fr-FR"/>
        </w:rPr>
        <w:t xml:space="preserve">plutôt </w:t>
      </w:r>
      <w:r w:rsidR="006809B2" w:rsidRPr="008544BB">
        <w:rPr>
          <w:lang w:val="fr-FR"/>
        </w:rPr>
        <w:t>réagi à l</w:t>
      </w:r>
      <w:r w:rsidR="008544BB" w:rsidRPr="008544BB">
        <w:rPr>
          <w:lang w:val="fr-FR"/>
        </w:rPr>
        <w:t>’</w:t>
      </w:r>
      <w:r w:rsidR="006809B2" w:rsidRPr="008544BB">
        <w:rPr>
          <w:lang w:val="fr-FR"/>
        </w:rPr>
        <w:t>insistance</w:t>
      </w:r>
      <w:r w:rsidR="00DE5000" w:rsidRPr="008544BB">
        <w:rPr>
          <w:lang w:val="fr-FR"/>
        </w:rPr>
        <w:t>, voir</w:t>
      </w:r>
      <w:r w:rsidR="00A961D6" w:rsidRPr="008544BB">
        <w:rPr>
          <w:lang w:val="fr-FR"/>
        </w:rPr>
        <w:t>e</w:t>
      </w:r>
      <w:r w:rsidR="00040344" w:rsidRPr="008544BB">
        <w:rPr>
          <w:lang w:val="fr-FR"/>
        </w:rPr>
        <w:t xml:space="preserve"> </w:t>
      </w:r>
      <w:r w:rsidR="006809B2" w:rsidRPr="008544BB">
        <w:rPr>
          <w:lang w:val="fr-FR"/>
        </w:rPr>
        <w:t>la</w:t>
      </w:r>
      <w:r w:rsidR="00040344" w:rsidRPr="008544BB">
        <w:rPr>
          <w:lang w:val="fr-FR"/>
        </w:rPr>
        <w:t xml:space="preserve"> ténacité</w:t>
      </w:r>
      <w:r w:rsidR="00A961D6" w:rsidRPr="008544BB">
        <w:rPr>
          <w:lang w:val="fr-FR"/>
        </w:rPr>
        <w:t>,</w:t>
      </w:r>
      <w:r w:rsidR="006809B2" w:rsidRPr="008544BB">
        <w:rPr>
          <w:lang w:val="fr-FR"/>
        </w:rPr>
        <w:t xml:space="preserve"> de L.</w:t>
      </w:r>
      <w:r w:rsidR="00FF4AF8" w:rsidRPr="008544BB">
        <w:rPr>
          <w:lang w:val="fr-FR"/>
        </w:rPr>
        <w:t>,</w:t>
      </w:r>
      <w:r w:rsidR="006809B2" w:rsidRPr="008544BB">
        <w:rPr>
          <w:lang w:val="fr-FR"/>
        </w:rPr>
        <w:t xml:space="preserve"> qui a </w:t>
      </w:r>
      <w:r w:rsidR="0084784B" w:rsidRPr="008544BB">
        <w:rPr>
          <w:lang w:val="fr-FR"/>
        </w:rPr>
        <w:t>obtenu d</w:t>
      </w:r>
      <w:r w:rsidR="00421E37" w:rsidRPr="008544BB">
        <w:rPr>
          <w:lang w:val="fr-FR"/>
        </w:rPr>
        <w:t xml:space="preserve">e cette juridiction </w:t>
      </w:r>
      <w:r w:rsidR="0084784B" w:rsidRPr="008544BB">
        <w:rPr>
          <w:lang w:val="fr-FR"/>
        </w:rPr>
        <w:t>u</w:t>
      </w:r>
      <w:r w:rsidR="00DE5000" w:rsidRPr="008544BB">
        <w:rPr>
          <w:lang w:val="fr-FR"/>
        </w:rPr>
        <w:t xml:space="preserve">ne </w:t>
      </w:r>
      <w:r w:rsidR="00C94AE3" w:rsidRPr="008544BB">
        <w:rPr>
          <w:lang w:val="fr-FR"/>
        </w:rPr>
        <w:t>décision</w:t>
      </w:r>
      <w:r w:rsidR="00DE5000" w:rsidRPr="008544BB">
        <w:rPr>
          <w:lang w:val="fr-FR"/>
        </w:rPr>
        <w:t xml:space="preserve"> rapide en l</w:t>
      </w:r>
      <w:r w:rsidR="008544BB" w:rsidRPr="008544BB">
        <w:rPr>
          <w:lang w:val="fr-FR"/>
        </w:rPr>
        <w:t>’</w:t>
      </w:r>
      <w:r w:rsidR="00DE5000" w:rsidRPr="008544BB">
        <w:rPr>
          <w:lang w:val="fr-FR"/>
        </w:rPr>
        <w:t xml:space="preserve">espace de quelques </w:t>
      </w:r>
      <w:r w:rsidR="00421E37" w:rsidRPr="008544BB">
        <w:rPr>
          <w:lang w:val="fr-FR"/>
        </w:rPr>
        <w:t>semaines</w:t>
      </w:r>
      <w:r w:rsidR="00A74F91" w:rsidRPr="008544BB">
        <w:rPr>
          <w:lang w:val="fr-FR"/>
        </w:rPr>
        <w:t xml:space="preserve"> (paragraphe </w:t>
      </w:r>
      <w:r w:rsidR="00A74F91" w:rsidRPr="008544BB">
        <w:rPr>
          <w:lang w:val="fr-FR"/>
        </w:rPr>
        <w:fldChar w:fldCharType="begin"/>
      </w:r>
      <w:r w:rsidR="00A74F91" w:rsidRPr="008544BB">
        <w:rPr>
          <w:lang w:val="fr-FR"/>
        </w:rPr>
        <w:instrText xml:space="preserve"> REF LETTRE_L \h </w:instrText>
      </w:r>
      <w:r w:rsidR="00A74F91" w:rsidRPr="008544BB">
        <w:rPr>
          <w:lang w:val="fr-FR"/>
        </w:rPr>
      </w:r>
      <w:r w:rsidR="00A74F91" w:rsidRPr="008544BB">
        <w:rPr>
          <w:lang w:val="fr-FR"/>
        </w:rPr>
        <w:fldChar w:fldCharType="separate"/>
      </w:r>
      <w:r w:rsidR="008544BB" w:rsidRPr="008544BB">
        <w:rPr>
          <w:noProof/>
          <w:lang w:val="fr-FR"/>
        </w:rPr>
        <w:t>24</w:t>
      </w:r>
      <w:r w:rsidR="00A74F91" w:rsidRPr="008544BB">
        <w:rPr>
          <w:lang w:val="fr-FR"/>
        </w:rPr>
        <w:fldChar w:fldCharType="end"/>
      </w:r>
      <w:r w:rsidR="00A74F91" w:rsidRPr="008544BB">
        <w:rPr>
          <w:lang w:val="fr-FR"/>
        </w:rPr>
        <w:t xml:space="preserve"> ci-dessus)</w:t>
      </w:r>
      <w:r w:rsidR="0042020D" w:rsidRPr="008544BB">
        <w:rPr>
          <w:lang w:val="fr-FR"/>
        </w:rPr>
        <w:t>.</w:t>
      </w:r>
      <w:r w:rsidR="0060375A" w:rsidRPr="008544BB">
        <w:rPr>
          <w:lang w:val="fr-FR"/>
        </w:rPr>
        <w:t xml:space="preserve"> </w:t>
      </w:r>
      <w:r w:rsidR="0084784B" w:rsidRPr="008544BB">
        <w:rPr>
          <w:lang w:val="fr-FR"/>
        </w:rPr>
        <w:t>Dans le même sens</w:t>
      </w:r>
      <w:r w:rsidR="0042020D" w:rsidRPr="008544BB">
        <w:rPr>
          <w:lang w:val="fr-FR"/>
        </w:rPr>
        <w:t xml:space="preserve">, </w:t>
      </w:r>
      <w:r w:rsidR="0084784B" w:rsidRPr="008544BB">
        <w:rPr>
          <w:lang w:val="fr-FR"/>
        </w:rPr>
        <w:t>au lieu de prendre</w:t>
      </w:r>
      <w:r w:rsidR="00DE5000" w:rsidRPr="008544BB">
        <w:rPr>
          <w:lang w:val="fr-FR"/>
        </w:rPr>
        <w:t xml:space="preserve"> en compte les conclusions du</w:t>
      </w:r>
      <w:r w:rsidR="0084784B" w:rsidRPr="008544BB">
        <w:rPr>
          <w:lang w:val="fr-FR"/>
        </w:rPr>
        <w:t xml:space="preserve"> deuxième rapport d</w:t>
      </w:r>
      <w:r w:rsidR="008544BB" w:rsidRPr="008544BB">
        <w:rPr>
          <w:lang w:val="fr-FR"/>
        </w:rPr>
        <w:t>’</w:t>
      </w:r>
      <w:r w:rsidR="0084784B" w:rsidRPr="008544BB">
        <w:rPr>
          <w:lang w:val="fr-FR"/>
        </w:rPr>
        <w:t>expertise</w:t>
      </w:r>
      <w:r w:rsidR="00DE5000" w:rsidRPr="008544BB">
        <w:rPr>
          <w:lang w:val="fr-FR"/>
        </w:rPr>
        <w:t xml:space="preserve"> et d</w:t>
      </w:r>
      <w:r w:rsidR="008544BB" w:rsidRPr="008544BB">
        <w:rPr>
          <w:lang w:val="fr-FR"/>
        </w:rPr>
        <w:t>’</w:t>
      </w:r>
      <w:r w:rsidR="00DE5000" w:rsidRPr="008544BB">
        <w:rPr>
          <w:lang w:val="fr-FR"/>
        </w:rPr>
        <w:t xml:space="preserve">adopter les </w:t>
      </w:r>
      <w:r w:rsidR="00421E37" w:rsidRPr="008544BB">
        <w:rPr>
          <w:lang w:val="fr-FR"/>
        </w:rPr>
        <w:t xml:space="preserve">éventuelles </w:t>
      </w:r>
      <w:r w:rsidR="00DE5000" w:rsidRPr="008544BB">
        <w:rPr>
          <w:lang w:val="fr-FR"/>
        </w:rPr>
        <w:t xml:space="preserve">mesures </w:t>
      </w:r>
      <w:r w:rsidR="00405631" w:rsidRPr="008544BB">
        <w:rPr>
          <w:lang w:val="fr-FR"/>
        </w:rPr>
        <w:t>qui s</w:t>
      </w:r>
      <w:r w:rsidR="008544BB" w:rsidRPr="008544BB">
        <w:rPr>
          <w:lang w:val="fr-FR"/>
        </w:rPr>
        <w:t>’</w:t>
      </w:r>
      <w:r w:rsidR="00405631" w:rsidRPr="008544BB">
        <w:rPr>
          <w:lang w:val="fr-FR"/>
        </w:rPr>
        <w:t>imposaient</w:t>
      </w:r>
      <w:r w:rsidR="00567119" w:rsidRPr="008544BB">
        <w:rPr>
          <w:lang w:val="fr-FR"/>
        </w:rPr>
        <w:t xml:space="preserve"> (paragraphe </w:t>
      </w:r>
      <w:r w:rsidR="00567119" w:rsidRPr="008544BB">
        <w:rPr>
          <w:lang w:val="fr-FR"/>
        </w:rPr>
        <w:fldChar w:fldCharType="begin"/>
      </w:r>
      <w:r w:rsidR="00567119" w:rsidRPr="008544BB">
        <w:rPr>
          <w:lang w:val="fr-FR"/>
        </w:rPr>
        <w:instrText xml:space="preserve"> REF EXPERTISE_2 \h </w:instrText>
      </w:r>
      <w:r w:rsidR="00567119" w:rsidRPr="008544BB">
        <w:rPr>
          <w:lang w:val="fr-FR"/>
        </w:rPr>
      </w:r>
      <w:r w:rsidR="00567119" w:rsidRPr="008544BB">
        <w:rPr>
          <w:lang w:val="fr-FR"/>
        </w:rPr>
        <w:fldChar w:fldCharType="separate"/>
      </w:r>
      <w:r w:rsidR="008544BB" w:rsidRPr="008544BB">
        <w:rPr>
          <w:noProof/>
          <w:lang w:val="fr-FR"/>
        </w:rPr>
        <w:t>37</w:t>
      </w:r>
      <w:r w:rsidR="00567119" w:rsidRPr="008544BB">
        <w:rPr>
          <w:lang w:val="fr-FR"/>
        </w:rPr>
        <w:fldChar w:fldCharType="end"/>
      </w:r>
      <w:r w:rsidR="00567119" w:rsidRPr="008544BB">
        <w:rPr>
          <w:lang w:val="fr-FR"/>
        </w:rPr>
        <w:t xml:space="preserve"> ci</w:t>
      </w:r>
      <w:r w:rsidR="00405631" w:rsidRPr="008544BB">
        <w:rPr>
          <w:lang w:val="fr-FR"/>
        </w:rPr>
        <w:noBreakHyphen/>
      </w:r>
      <w:r w:rsidR="00567119" w:rsidRPr="008544BB">
        <w:rPr>
          <w:lang w:val="fr-FR"/>
        </w:rPr>
        <w:t>dessus)</w:t>
      </w:r>
      <w:r w:rsidR="0084784B" w:rsidRPr="008544BB">
        <w:rPr>
          <w:lang w:val="fr-FR"/>
        </w:rPr>
        <w:t xml:space="preserve">, </w:t>
      </w:r>
      <w:r w:rsidR="004D56EE" w:rsidRPr="008544BB">
        <w:rPr>
          <w:lang w:val="fr-FR"/>
        </w:rPr>
        <w:t xml:space="preserve">le tribunal </w:t>
      </w:r>
      <w:r w:rsidR="00886C1C" w:rsidRPr="008544BB">
        <w:rPr>
          <w:lang w:val="fr-FR"/>
        </w:rPr>
        <w:t xml:space="preserve">pour enfants </w:t>
      </w:r>
      <w:r w:rsidR="004D56EE" w:rsidRPr="008544BB">
        <w:rPr>
          <w:lang w:val="fr-FR"/>
        </w:rPr>
        <w:t>n</w:t>
      </w:r>
      <w:r w:rsidR="008544BB" w:rsidRPr="008544BB">
        <w:rPr>
          <w:lang w:val="fr-FR"/>
        </w:rPr>
        <w:t>’</w:t>
      </w:r>
      <w:r w:rsidR="004D56EE" w:rsidRPr="008544BB">
        <w:rPr>
          <w:lang w:val="fr-FR"/>
        </w:rPr>
        <w:t>a fait qu</w:t>
      </w:r>
      <w:r w:rsidR="008544BB" w:rsidRPr="008544BB">
        <w:rPr>
          <w:lang w:val="fr-FR"/>
        </w:rPr>
        <w:t>’</w:t>
      </w:r>
      <w:r w:rsidR="004D56EE" w:rsidRPr="008544BB">
        <w:rPr>
          <w:lang w:val="fr-FR"/>
        </w:rPr>
        <w:t>acter le choix</w:t>
      </w:r>
      <w:r w:rsidR="0084784B" w:rsidRPr="008544BB">
        <w:rPr>
          <w:lang w:val="fr-FR"/>
        </w:rPr>
        <w:t xml:space="preserve"> du mineur de retrouver sa famille l</w:t>
      </w:r>
      <w:r w:rsidR="006809B2" w:rsidRPr="008544BB">
        <w:rPr>
          <w:lang w:val="fr-FR"/>
        </w:rPr>
        <w:t>orsque</w:t>
      </w:r>
      <w:r w:rsidR="004D56EE" w:rsidRPr="008544BB">
        <w:rPr>
          <w:lang w:val="fr-FR"/>
        </w:rPr>
        <w:t xml:space="preserve"> celui-ci</w:t>
      </w:r>
      <w:r w:rsidR="006809B2" w:rsidRPr="008544BB">
        <w:rPr>
          <w:lang w:val="fr-FR"/>
        </w:rPr>
        <w:t xml:space="preserve">, </w:t>
      </w:r>
      <w:r w:rsidR="00421E37" w:rsidRPr="008544BB">
        <w:rPr>
          <w:lang w:val="fr-FR"/>
        </w:rPr>
        <w:t>alors</w:t>
      </w:r>
      <w:r w:rsidR="0042020D" w:rsidRPr="008544BB">
        <w:rPr>
          <w:lang w:val="fr-FR"/>
        </w:rPr>
        <w:t xml:space="preserve"> adolescent, </w:t>
      </w:r>
      <w:r w:rsidR="007A7D25" w:rsidRPr="008544BB">
        <w:rPr>
          <w:lang w:val="fr-FR"/>
        </w:rPr>
        <w:t>s</w:t>
      </w:r>
      <w:r w:rsidR="008544BB" w:rsidRPr="008544BB">
        <w:rPr>
          <w:lang w:val="fr-FR"/>
        </w:rPr>
        <w:t>’</w:t>
      </w:r>
      <w:r w:rsidR="007A7D25" w:rsidRPr="008544BB">
        <w:rPr>
          <w:lang w:val="fr-FR"/>
        </w:rPr>
        <w:t>est échappé à deux reprises de la structure d</w:t>
      </w:r>
      <w:r w:rsidR="008544BB" w:rsidRPr="008544BB">
        <w:rPr>
          <w:lang w:val="fr-FR"/>
        </w:rPr>
        <w:t>’</w:t>
      </w:r>
      <w:r w:rsidR="007A7D25" w:rsidRPr="008544BB">
        <w:rPr>
          <w:lang w:val="fr-FR"/>
        </w:rPr>
        <w:t>accueil</w:t>
      </w:r>
      <w:r w:rsidR="00490242" w:rsidRPr="008544BB">
        <w:rPr>
          <w:lang w:val="fr-FR"/>
        </w:rPr>
        <w:t xml:space="preserve"> pour se rendre au domicile de</w:t>
      </w:r>
      <w:r w:rsidR="0084784B" w:rsidRPr="008544BB">
        <w:rPr>
          <w:lang w:val="fr-FR"/>
        </w:rPr>
        <w:t xml:space="preserve"> la deuxième requérant</w:t>
      </w:r>
      <w:r w:rsidR="00DE5000" w:rsidRPr="008544BB">
        <w:rPr>
          <w:lang w:val="fr-FR"/>
        </w:rPr>
        <w:t>e</w:t>
      </w:r>
      <w:r w:rsidR="00421E37" w:rsidRPr="008544BB">
        <w:rPr>
          <w:lang w:val="fr-FR"/>
        </w:rPr>
        <w:t>,</w:t>
      </w:r>
      <w:r w:rsidR="0084784B" w:rsidRPr="008544BB">
        <w:rPr>
          <w:lang w:val="fr-FR"/>
        </w:rPr>
        <w:t xml:space="preserve"> où la première requérante </w:t>
      </w:r>
      <w:r w:rsidR="00DE5000" w:rsidRPr="008544BB">
        <w:rPr>
          <w:lang w:val="fr-FR"/>
        </w:rPr>
        <w:t>habitait</w:t>
      </w:r>
      <w:r w:rsidR="0089168B" w:rsidRPr="008544BB">
        <w:rPr>
          <w:lang w:val="fr-FR"/>
        </w:rPr>
        <w:t xml:space="preserve"> (</w:t>
      </w:r>
      <w:r w:rsidR="00A74F91" w:rsidRPr="008544BB">
        <w:rPr>
          <w:lang w:val="fr-FR"/>
        </w:rPr>
        <w:t>paragraphe</w:t>
      </w:r>
      <w:r w:rsidR="0089168B" w:rsidRPr="008544BB">
        <w:rPr>
          <w:lang w:val="fr-FR"/>
        </w:rPr>
        <w:t>s</w:t>
      </w:r>
      <w:r w:rsidR="00567119" w:rsidRPr="008544BB">
        <w:rPr>
          <w:lang w:val="fr-FR"/>
        </w:rPr>
        <w:t xml:space="preserve"> </w:t>
      </w:r>
      <w:r w:rsidR="00567119" w:rsidRPr="008544BB">
        <w:rPr>
          <w:lang w:val="fr-FR"/>
        </w:rPr>
        <w:fldChar w:fldCharType="begin"/>
      </w:r>
      <w:r w:rsidR="00567119" w:rsidRPr="008544BB">
        <w:rPr>
          <w:lang w:val="fr-FR"/>
        </w:rPr>
        <w:instrText xml:space="preserve"> REF PREMIERE_FUITE \h </w:instrText>
      </w:r>
      <w:r w:rsidR="00567119" w:rsidRPr="008544BB">
        <w:rPr>
          <w:lang w:val="fr-FR"/>
        </w:rPr>
      </w:r>
      <w:r w:rsidR="00567119" w:rsidRPr="008544BB">
        <w:rPr>
          <w:lang w:val="fr-FR"/>
        </w:rPr>
        <w:fldChar w:fldCharType="separate"/>
      </w:r>
      <w:r w:rsidR="008544BB" w:rsidRPr="008544BB">
        <w:rPr>
          <w:noProof/>
          <w:lang w:val="fr-FR"/>
        </w:rPr>
        <w:t>38</w:t>
      </w:r>
      <w:r w:rsidR="00567119" w:rsidRPr="008544BB">
        <w:rPr>
          <w:lang w:val="fr-FR"/>
        </w:rPr>
        <w:fldChar w:fldCharType="end"/>
      </w:r>
      <w:r w:rsidR="0089168B" w:rsidRPr="008544BB">
        <w:rPr>
          <w:lang w:val="fr-FR"/>
        </w:rPr>
        <w:t xml:space="preserve"> et </w:t>
      </w:r>
      <w:r w:rsidR="0089168B" w:rsidRPr="008544BB">
        <w:rPr>
          <w:lang w:val="fr-FR"/>
        </w:rPr>
        <w:fldChar w:fldCharType="begin"/>
      </w:r>
      <w:r w:rsidR="0089168B" w:rsidRPr="008544BB">
        <w:rPr>
          <w:lang w:val="fr-FR"/>
        </w:rPr>
        <w:instrText xml:space="preserve"> REF DEUXIEME_FUITE \h </w:instrText>
      </w:r>
      <w:r w:rsidR="0089168B" w:rsidRPr="008544BB">
        <w:rPr>
          <w:lang w:val="fr-FR"/>
        </w:rPr>
      </w:r>
      <w:r w:rsidR="0089168B" w:rsidRPr="008544BB">
        <w:rPr>
          <w:lang w:val="fr-FR"/>
        </w:rPr>
        <w:fldChar w:fldCharType="separate"/>
      </w:r>
      <w:r w:rsidR="008544BB" w:rsidRPr="008544BB">
        <w:rPr>
          <w:noProof/>
          <w:lang w:val="fr-FR"/>
        </w:rPr>
        <w:t>40</w:t>
      </w:r>
      <w:r w:rsidR="0089168B" w:rsidRPr="008544BB">
        <w:rPr>
          <w:lang w:val="fr-FR"/>
        </w:rPr>
        <w:fldChar w:fldCharType="end"/>
      </w:r>
      <w:r w:rsidR="00A74F91" w:rsidRPr="008544BB">
        <w:rPr>
          <w:lang w:val="fr-FR"/>
        </w:rPr>
        <w:t xml:space="preserve"> ci-dessus).</w:t>
      </w:r>
    </w:p>
    <w:p w:rsidR="005F65E8" w:rsidRPr="008544BB" w:rsidRDefault="0060375A" w:rsidP="008544BB">
      <w:pPr>
        <w:pStyle w:val="ECHRPara"/>
        <w:rPr>
          <w:snapToGrid w:val="0"/>
          <w:lang w:val="fr-FR"/>
        </w:rPr>
      </w:pPr>
      <w:r w:rsidRPr="008544BB">
        <w:rPr>
          <w:snapToGrid w:val="0"/>
          <w:lang w:val="fr-FR"/>
        </w:rPr>
        <w:fldChar w:fldCharType="begin"/>
      </w:r>
      <w:r w:rsidRPr="008544BB">
        <w:rPr>
          <w:snapToGrid w:val="0"/>
          <w:lang w:val="fr-FR"/>
        </w:rPr>
        <w:instrText xml:space="preserve"> SEQ level0 \*arabic </w:instrText>
      </w:r>
      <w:r w:rsidRPr="008544BB">
        <w:rPr>
          <w:snapToGrid w:val="0"/>
          <w:lang w:val="fr-FR"/>
        </w:rPr>
        <w:fldChar w:fldCharType="separate"/>
      </w:r>
      <w:r w:rsidR="008544BB" w:rsidRPr="008544BB">
        <w:rPr>
          <w:noProof/>
          <w:snapToGrid w:val="0"/>
          <w:lang w:val="fr-FR"/>
        </w:rPr>
        <w:t>86</w:t>
      </w:r>
      <w:r w:rsidRPr="008544BB">
        <w:rPr>
          <w:snapToGrid w:val="0"/>
          <w:lang w:val="fr-FR"/>
        </w:rPr>
        <w:fldChar w:fldCharType="end"/>
      </w:r>
      <w:r w:rsidRPr="008544BB">
        <w:rPr>
          <w:snapToGrid w:val="0"/>
          <w:lang w:val="fr-FR"/>
        </w:rPr>
        <w:t xml:space="preserve">.  Dès lors, </w:t>
      </w:r>
      <w:r w:rsidR="00B15855" w:rsidRPr="008544BB">
        <w:rPr>
          <w:snapToGrid w:val="0"/>
          <w:lang w:val="fr-FR"/>
        </w:rPr>
        <w:t>eu égard à ce qui précède, la Cour considère que le processus décisionnel n</w:t>
      </w:r>
      <w:r w:rsidR="008544BB" w:rsidRPr="008544BB">
        <w:rPr>
          <w:snapToGrid w:val="0"/>
          <w:lang w:val="fr-FR"/>
        </w:rPr>
        <w:t>’</w:t>
      </w:r>
      <w:r w:rsidR="00B15855" w:rsidRPr="008544BB">
        <w:rPr>
          <w:snapToGrid w:val="0"/>
          <w:lang w:val="fr-FR"/>
        </w:rPr>
        <w:t>a pas satisfait aux exigences procédurales inhérentes à l</w:t>
      </w:r>
      <w:r w:rsidR="008544BB" w:rsidRPr="008544BB">
        <w:rPr>
          <w:snapToGrid w:val="0"/>
          <w:lang w:val="fr-FR"/>
        </w:rPr>
        <w:t>’</w:t>
      </w:r>
      <w:r w:rsidR="00B15855" w:rsidRPr="008544BB">
        <w:rPr>
          <w:snapToGrid w:val="0"/>
          <w:lang w:val="fr-FR"/>
        </w:rPr>
        <w:t>article 8 de la Convention.</w:t>
      </w:r>
    </w:p>
    <w:p w:rsidR="0060375A" w:rsidRPr="008544BB" w:rsidRDefault="005F65E8"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87</w:t>
      </w:r>
      <w:r w:rsidRPr="008544BB">
        <w:rPr>
          <w:lang w:val="fr-FR"/>
        </w:rPr>
        <w:fldChar w:fldCharType="end"/>
      </w:r>
      <w:r w:rsidRPr="008544BB">
        <w:rPr>
          <w:lang w:val="fr-FR"/>
        </w:rPr>
        <w:t>.  </w:t>
      </w:r>
      <w:r w:rsidR="00B15855" w:rsidRPr="008544BB">
        <w:rPr>
          <w:lang w:val="fr-FR"/>
        </w:rPr>
        <w:t>La Cour conclut en conséquence que l</w:t>
      </w:r>
      <w:r w:rsidR="008544BB" w:rsidRPr="008544BB">
        <w:rPr>
          <w:lang w:val="fr-FR"/>
        </w:rPr>
        <w:t>’</w:t>
      </w:r>
      <w:r w:rsidR="00B15855" w:rsidRPr="008544BB">
        <w:rPr>
          <w:lang w:val="fr-FR"/>
        </w:rPr>
        <w:t>État a méconnu à l</w:t>
      </w:r>
      <w:r w:rsidR="008544BB" w:rsidRPr="008544BB">
        <w:rPr>
          <w:lang w:val="fr-FR"/>
        </w:rPr>
        <w:t>’</w:t>
      </w:r>
      <w:r w:rsidR="00B15855" w:rsidRPr="008544BB">
        <w:rPr>
          <w:lang w:val="fr-FR"/>
        </w:rPr>
        <w:t>égard des requérant</w:t>
      </w:r>
      <w:r w:rsidR="003E3CE2" w:rsidRPr="008544BB">
        <w:rPr>
          <w:lang w:val="fr-FR"/>
        </w:rPr>
        <w:t>e</w:t>
      </w:r>
      <w:r w:rsidR="00B15855" w:rsidRPr="008544BB">
        <w:rPr>
          <w:lang w:val="fr-FR"/>
        </w:rPr>
        <w:t>s les obligations positives mises à sa charge par l</w:t>
      </w:r>
      <w:r w:rsidR="008544BB" w:rsidRPr="008544BB">
        <w:rPr>
          <w:lang w:val="fr-FR"/>
        </w:rPr>
        <w:t>’</w:t>
      </w:r>
      <w:r w:rsidR="00B15855" w:rsidRPr="008544BB">
        <w:rPr>
          <w:lang w:val="fr-FR"/>
        </w:rPr>
        <w:t>article 8 de la Convention. Partant, il y a eu violation de cette disposition.</w:t>
      </w:r>
    </w:p>
    <w:p w:rsidR="00E77CB3" w:rsidRPr="008544BB" w:rsidRDefault="002648F6" w:rsidP="008544BB">
      <w:pPr>
        <w:pStyle w:val="ECHRHeading1"/>
        <w:rPr>
          <w:lang w:val="fr-FR"/>
        </w:rPr>
      </w:pPr>
      <w:r w:rsidRPr="008544BB">
        <w:rPr>
          <w:lang w:val="fr-FR"/>
        </w:rPr>
        <w:t>II</w:t>
      </w:r>
      <w:r w:rsidR="00E77CB3" w:rsidRPr="008544BB">
        <w:rPr>
          <w:lang w:val="fr-FR"/>
        </w:rPr>
        <w:t>.  SUR LA VIOLATION ALLÉGUÉE DE L</w:t>
      </w:r>
      <w:r w:rsidR="008544BB" w:rsidRPr="008544BB">
        <w:rPr>
          <w:lang w:val="fr-FR"/>
        </w:rPr>
        <w:t>’</w:t>
      </w:r>
      <w:r w:rsidR="00E77CB3" w:rsidRPr="008544BB">
        <w:rPr>
          <w:lang w:val="fr-FR"/>
        </w:rPr>
        <w:t xml:space="preserve">ARTICLE </w:t>
      </w:r>
      <w:r w:rsidRPr="008544BB">
        <w:rPr>
          <w:lang w:val="fr-FR"/>
        </w:rPr>
        <w:t>3</w:t>
      </w:r>
      <w:r w:rsidR="00E77CB3" w:rsidRPr="008544BB">
        <w:rPr>
          <w:lang w:val="fr-FR"/>
        </w:rPr>
        <w:t xml:space="preserve"> DE LA CONVENTION</w:t>
      </w:r>
    </w:p>
    <w:p w:rsidR="00E77CB3" w:rsidRPr="008544BB" w:rsidRDefault="004A4240"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88</w:t>
      </w:r>
      <w:r w:rsidRPr="008544BB">
        <w:rPr>
          <w:lang w:val="fr-FR"/>
        </w:rPr>
        <w:fldChar w:fldCharType="end"/>
      </w:r>
      <w:r w:rsidR="00E77CB3" w:rsidRPr="008544BB">
        <w:rPr>
          <w:lang w:val="fr-FR"/>
        </w:rPr>
        <w:t>.  </w:t>
      </w:r>
      <w:r w:rsidRPr="008544BB">
        <w:rPr>
          <w:lang w:val="fr-FR"/>
        </w:rPr>
        <w:t>Les requérant</w:t>
      </w:r>
      <w:r w:rsidR="003E3CE2" w:rsidRPr="008544BB">
        <w:rPr>
          <w:lang w:val="fr-FR"/>
        </w:rPr>
        <w:t>e</w:t>
      </w:r>
      <w:r w:rsidRPr="008544BB">
        <w:rPr>
          <w:lang w:val="fr-FR"/>
        </w:rPr>
        <w:t>s</w:t>
      </w:r>
      <w:r w:rsidR="00E77CB3" w:rsidRPr="008544BB">
        <w:rPr>
          <w:lang w:val="fr-FR"/>
        </w:rPr>
        <w:t xml:space="preserve"> dénonce</w:t>
      </w:r>
      <w:r w:rsidRPr="008544BB">
        <w:rPr>
          <w:lang w:val="fr-FR"/>
        </w:rPr>
        <w:t>nt</w:t>
      </w:r>
      <w:r w:rsidR="00CC70E7" w:rsidRPr="008544BB">
        <w:rPr>
          <w:lang w:val="fr-FR"/>
        </w:rPr>
        <w:t xml:space="preserve"> une violation du</w:t>
      </w:r>
      <w:r w:rsidR="002648F6" w:rsidRPr="008544BB">
        <w:rPr>
          <w:lang w:val="fr-FR"/>
        </w:rPr>
        <w:t xml:space="preserve"> droit</w:t>
      </w:r>
      <w:r w:rsidR="00CC70E7" w:rsidRPr="008544BB">
        <w:rPr>
          <w:lang w:val="fr-FR"/>
        </w:rPr>
        <w:t xml:space="preserve"> de L. et S.</w:t>
      </w:r>
      <w:r w:rsidR="002648F6" w:rsidRPr="008544BB">
        <w:rPr>
          <w:lang w:val="fr-FR"/>
        </w:rPr>
        <w:t xml:space="preserve"> à ne pas être soumis à des traitements inhumains et dégradants.</w:t>
      </w:r>
      <w:r w:rsidR="00E77CB3" w:rsidRPr="008544BB">
        <w:rPr>
          <w:lang w:val="fr-FR"/>
        </w:rPr>
        <w:t xml:space="preserve"> </w:t>
      </w:r>
      <w:r w:rsidRPr="008544BB">
        <w:rPr>
          <w:lang w:val="fr-FR"/>
        </w:rPr>
        <w:t>Elles</w:t>
      </w:r>
      <w:r w:rsidR="00E77CB3" w:rsidRPr="008544BB">
        <w:rPr>
          <w:lang w:val="fr-FR"/>
        </w:rPr>
        <w:t xml:space="preserve"> invoque</w:t>
      </w:r>
      <w:r w:rsidRPr="008544BB">
        <w:rPr>
          <w:lang w:val="fr-FR"/>
        </w:rPr>
        <w:t>nt</w:t>
      </w:r>
      <w:r w:rsidR="00E77CB3" w:rsidRPr="008544BB">
        <w:rPr>
          <w:lang w:val="fr-FR"/>
        </w:rPr>
        <w:t xml:space="preserve"> l</w:t>
      </w:r>
      <w:r w:rsidR="008544BB" w:rsidRPr="008544BB">
        <w:rPr>
          <w:lang w:val="fr-FR"/>
        </w:rPr>
        <w:t>’</w:t>
      </w:r>
      <w:r w:rsidR="00E77CB3" w:rsidRPr="008544BB">
        <w:rPr>
          <w:lang w:val="fr-FR"/>
        </w:rPr>
        <w:t xml:space="preserve">article </w:t>
      </w:r>
      <w:r w:rsidR="00E43620" w:rsidRPr="008544BB">
        <w:rPr>
          <w:lang w:val="fr-FR"/>
        </w:rPr>
        <w:t>3</w:t>
      </w:r>
      <w:r w:rsidR="00F41EBB" w:rsidRPr="008544BB">
        <w:rPr>
          <w:lang w:val="fr-FR"/>
        </w:rPr>
        <w:t xml:space="preserve"> de la Convention, ainsi libellé</w:t>
      </w:r>
      <w:r w:rsidR="00841496" w:rsidRPr="008544BB">
        <w:rPr>
          <w:lang w:val="fr-FR"/>
        </w:rPr>
        <w:t> :</w:t>
      </w:r>
    </w:p>
    <w:p w:rsidR="00F41EBB" w:rsidRPr="008544BB" w:rsidRDefault="00F41EBB" w:rsidP="008544BB">
      <w:pPr>
        <w:pStyle w:val="ECHRParaQuote"/>
        <w:rPr>
          <w:lang w:val="fr-FR"/>
        </w:rPr>
      </w:pPr>
      <w:r w:rsidRPr="008544BB">
        <w:rPr>
          <w:lang w:val="fr-FR"/>
        </w:rPr>
        <w:lastRenderedPageBreak/>
        <w:t>« Nul ne peut être soumis à la torture ni à des peines ou traitements inhumains ou dégradants. »</w:t>
      </w:r>
    </w:p>
    <w:p w:rsidR="00FA28A0" w:rsidRPr="008544BB" w:rsidRDefault="004A4240"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89</w:t>
      </w:r>
      <w:r w:rsidRPr="008544BB">
        <w:rPr>
          <w:lang w:val="fr-FR"/>
        </w:rPr>
        <w:fldChar w:fldCharType="end"/>
      </w:r>
      <w:r w:rsidR="00E77CB3" w:rsidRPr="008544BB">
        <w:rPr>
          <w:lang w:val="fr-FR"/>
        </w:rPr>
        <w:t xml:space="preserve">.  Le Gouvernement </w:t>
      </w:r>
      <w:r w:rsidR="00841496" w:rsidRPr="008544BB">
        <w:rPr>
          <w:lang w:val="fr-FR"/>
        </w:rPr>
        <w:t>estime</w:t>
      </w:r>
      <w:r w:rsidR="00FA28A0" w:rsidRPr="008544BB">
        <w:rPr>
          <w:lang w:val="fr-FR"/>
        </w:rPr>
        <w:t xml:space="preserve"> que </w:t>
      </w:r>
      <w:r w:rsidR="00C0787F" w:rsidRPr="008544BB">
        <w:rPr>
          <w:lang w:val="fr-FR"/>
        </w:rPr>
        <w:t>c</w:t>
      </w:r>
      <w:r w:rsidR="00FA28A0" w:rsidRPr="008544BB">
        <w:rPr>
          <w:lang w:val="fr-FR"/>
        </w:rPr>
        <w:t xml:space="preserve">e grief </w:t>
      </w:r>
      <w:r w:rsidR="00C0787F" w:rsidRPr="008544BB">
        <w:rPr>
          <w:lang w:val="fr-FR"/>
        </w:rPr>
        <w:t>est</w:t>
      </w:r>
      <w:r w:rsidR="00935F52" w:rsidRPr="008544BB">
        <w:rPr>
          <w:lang w:val="fr-FR"/>
        </w:rPr>
        <w:t xml:space="preserve"> manifestement mal fondé.</w:t>
      </w:r>
      <w:r w:rsidR="00102E12" w:rsidRPr="008544BB">
        <w:rPr>
          <w:lang w:val="fr-FR"/>
        </w:rPr>
        <w:t xml:space="preserve"> I</w:t>
      </w:r>
      <w:r w:rsidR="00FA28A0" w:rsidRPr="008544BB">
        <w:rPr>
          <w:lang w:val="fr-FR"/>
        </w:rPr>
        <w:t xml:space="preserve">l </w:t>
      </w:r>
      <w:r w:rsidR="00841496" w:rsidRPr="008544BB">
        <w:rPr>
          <w:lang w:val="fr-FR"/>
        </w:rPr>
        <w:t>sou</w:t>
      </w:r>
      <w:r w:rsidR="00102E12" w:rsidRPr="008544BB">
        <w:rPr>
          <w:lang w:val="fr-FR"/>
        </w:rPr>
        <w:t>tient</w:t>
      </w:r>
      <w:r w:rsidR="00FA28A0" w:rsidRPr="008544BB">
        <w:rPr>
          <w:lang w:val="fr-FR"/>
        </w:rPr>
        <w:t xml:space="preserve"> qu</w:t>
      </w:r>
      <w:r w:rsidR="008544BB" w:rsidRPr="008544BB">
        <w:rPr>
          <w:lang w:val="fr-FR"/>
        </w:rPr>
        <w:t>’</w:t>
      </w:r>
      <w:r w:rsidR="00FA28A0" w:rsidRPr="008544BB">
        <w:rPr>
          <w:lang w:val="fr-FR"/>
        </w:rPr>
        <w:t>aucune preuve n</w:t>
      </w:r>
      <w:r w:rsidR="008544BB" w:rsidRPr="008544BB">
        <w:rPr>
          <w:lang w:val="fr-FR"/>
        </w:rPr>
        <w:t>’</w:t>
      </w:r>
      <w:r w:rsidR="00FA28A0" w:rsidRPr="008544BB">
        <w:rPr>
          <w:lang w:val="fr-FR"/>
        </w:rPr>
        <w:t>a été fournie</w:t>
      </w:r>
      <w:r w:rsidR="00C0787F" w:rsidRPr="008544BB">
        <w:rPr>
          <w:lang w:val="fr-FR"/>
        </w:rPr>
        <w:t xml:space="preserve"> quant aux dénoncés mauvais traitements</w:t>
      </w:r>
      <w:r w:rsidR="00FA28A0" w:rsidRPr="008544BB">
        <w:rPr>
          <w:lang w:val="fr-FR"/>
        </w:rPr>
        <w:t xml:space="preserve"> dont les mineurs auraient été victimes</w:t>
      </w:r>
      <w:r w:rsidR="00100005" w:rsidRPr="008544BB">
        <w:rPr>
          <w:lang w:val="fr-FR"/>
        </w:rPr>
        <w:t xml:space="preserve"> </w:t>
      </w:r>
      <w:r w:rsidR="00841496" w:rsidRPr="008544BB">
        <w:rPr>
          <w:lang w:val="fr-FR"/>
        </w:rPr>
        <w:t>au sein</w:t>
      </w:r>
      <w:r w:rsidR="00100005" w:rsidRPr="008544BB">
        <w:rPr>
          <w:lang w:val="fr-FR"/>
        </w:rPr>
        <w:t xml:space="preserve"> de la maison d</w:t>
      </w:r>
      <w:r w:rsidR="008544BB" w:rsidRPr="008544BB">
        <w:rPr>
          <w:lang w:val="fr-FR"/>
        </w:rPr>
        <w:t>’</w:t>
      </w:r>
      <w:r w:rsidR="00100005" w:rsidRPr="008544BB">
        <w:rPr>
          <w:lang w:val="fr-FR"/>
        </w:rPr>
        <w:t>accueil « Rocca di Papa » et que m</w:t>
      </w:r>
      <w:r w:rsidR="00FA28A0" w:rsidRPr="008544BB">
        <w:rPr>
          <w:lang w:val="fr-FR"/>
        </w:rPr>
        <w:t>ême la blessure de L.</w:t>
      </w:r>
      <w:r w:rsidR="00841496" w:rsidRPr="008544BB">
        <w:rPr>
          <w:lang w:val="fr-FR"/>
        </w:rPr>
        <w:t>,</w:t>
      </w:r>
      <w:r w:rsidR="00FA28A0" w:rsidRPr="008544BB">
        <w:rPr>
          <w:lang w:val="fr-FR"/>
        </w:rPr>
        <w:t xml:space="preserve"> </w:t>
      </w:r>
      <w:r w:rsidR="00100005" w:rsidRPr="008544BB">
        <w:rPr>
          <w:lang w:val="fr-FR"/>
        </w:rPr>
        <w:t>suturée</w:t>
      </w:r>
      <w:r w:rsidR="00FA28A0" w:rsidRPr="008544BB">
        <w:rPr>
          <w:lang w:val="fr-FR"/>
        </w:rPr>
        <w:t xml:space="preserve"> à l</w:t>
      </w:r>
      <w:r w:rsidR="008544BB" w:rsidRPr="008544BB">
        <w:rPr>
          <w:lang w:val="fr-FR"/>
        </w:rPr>
        <w:t>’</w:t>
      </w:r>
      <w:r w:rsidR="00FA28A0" w:rsidRPr="008544BB">
        <w:rPr>
          <w:lang w:val="fr-FR"/>
        </w:rPr>
        <w:t>hôpital</w:t>
      </w:r>
      <w:r w:rsidR="00841496" w:rsidRPr="008544BB">
        <w:rPr>
          <w:lang w:val="fr-FR"/>
        </w:rPr>
        <w:t>,</w:t>
      </w:r>
      <w:r w:rsidR="00FA28A0" w:rsidRPr="008544BB">
        <w:rPr>
          <w:lang w:val="fr-FR"/>
        </w:rPr>
        <w:t xml:space="preserve"> ne </w:t>
      </w:r>
      <w:r w:rsidR="00841496" w:rsidRPr="008544BB">
        <w:rPr>
          <w:lang w:val="fr-FR"/>
        </w:rPr>
        <w:t>peut</w:t>
      </w:r>
      <w:r w:rsidR="00FA28A0" w:rsidRPr="008544BB">
        <w:rPr>
          <w:lang w:val="fr-FR"/>
        </w:rPr>
        <w:t xml:space="preserve"> être </w:t>
      </w:r>
      <w:r w:rsidR="00C0787F" w:rsidRPr="008544BB">
        <w:rPr>
          <w:lang w:val="fr-FR"/>
        </w:rPr>
        <w:t>considéré</w:t>
      </w:r>
      <w:r w:rsidR="00100005" w:rsidRPr="008544BB">
        <w:rPr>
          <w:lang w:val="fr-FR"/>
        </w:rPr>
        <w:t>e</w:t>
      </w:r>
      <w:r w:rsidR="00FA28A0" w:rsidRPr="008544BB">
        <w:rPr>
          <w:lang w:val="fr-FR"/>
        </w:rPr>
        <w:t xml:space="preserve"> comme </w:t>
      </w:r>
      <w:r w:rsidR="00841496" w:rsidRPr="008544BB">
        <w:rPr>
          <w:lang w:val="fr-FR"/>
        </w:rPr>
        <w:t>démontrant l</w:t>
      </w:r>
      <w:r w:rsidR="008544BB" w:rsidRPr="008544BB">
        <w:rPr>
          <w:lang w:val="fr-FR"/>
        </w:rPr>
        <w:t>’</w:t>
      </w:r>
      <w:r w:rsidR="00841496" w:rsidRPr="008544BB">
        <w:rPr>
          <w:lang w:val="fr-FR"/>
        </w:rPr>
        <w:t xml:space="preserve">existence </w:t>
      </w:r>
      <w:r w:rsidR="00FA28A0" w:rsidRPr="008544BB">
        <w:rPr>
          <w:lang w:val="fr-FR"/>
        </w:rPr>
        <w:t>d</w:t>
      </w:r>
      <w:r w:rsidR="008544BB" w:rsidRPr="008544BB">
        <w:rPr>
          <w:lang w:val="fr-FR"/>
        </w:rPr>
        <w:t>’</w:t>
      </w:r>
      <w:r w:rsidR="00FA28A0" w:rsidRPr="008544BB">
        <w:rPr>
          <w:lang w:val="fr-FR"/>
        </w:rPr>
        <w:t>un mauvais traitement</w:t>
      </w:r>
      <w:r w:rsidR="00C0787F" w:rsidRPr="008544BB">
        <w:rPr>
          <w:lang w:val="fr-FR"/>
        </w:rPr>
        <w:t xml:space="preserve">, </w:t>
      </w:r>
      <w:r w:rsidR="00841496" w:rsidRPr="008544BB">
        <w:rPr>
          <w:lang w:val="fr-FR"/>
        </w:rPr>
        <w:t>puisqu</w:t>
      </w:r>
      <w:r w:rsidR="008544BB" w:rsidRPr="008544BB">
        <w:rPr>
          <w:lang w:val="fr-FR"/>
        </w:rPr>
        <w:t>’</w:t>
      </w:r>
      <w:r w:rsidR="00E67DEC" w:rsidRPr="008544BB">
        <w:rPr>
          <w:lang w:val="fr-FR"/>
        </w:rPr>
        <w:t xml:space="preserve">elle serait </w:t>
      </w:r>
      <w:r w:rsidR="00841496" w:rsidRPr="008544BB">
        <w:rPr>
          <w:lang w:val="fr-FR"/>
        </w:rPr>
        <w:t>tout</w:t>
      </w:r>
      <w:r w:rsidR="00100005" w:rsidRPr="008544BB">
        <w:rPr>
          <w:lang w:val="fr-FR"/>
        </w:rPr>
        <w:t xml:space="preserve"> simplement</w:t>
      </w:r>
      <w:r w:rsidR="00FA28A0" w:rsidRPr="008544BB">
        <w:rPr>
          <w:lang w:val="fr-FR"/>
        </w:rPr>
        <w:t xml:space="preserve"> </w:t>
      </w:r>
      <w:r w:rsidR="00E67DEC" w:rsidRPr="008544BB">
        <w:rPr>
          <w:lang w:val="fr-FR"/>
        </w:rPr>
        <w:t xml:space="preserve">la conséquence </w:t>
      </w:r>
      <w:r w:rsidR="00C0787F" w:rsidRPr="008544BB">
        <w:rPr>
          <w:lang w:val="fr-FR"/>
        </w:rPr>
        <w:t>d</w:t>
      </w:r>
      <w:r w:rsidR="008544BB" w:rsidRPr="008544BB">
        <w:rPr>
          <w:lang w:val="fr-FR"/>
        </w:rPr>
        <w:t>’</w:t>
      </w:r>
      <w:r w:rsidR="00C0787F" w:rsidRPr="008544BB">
        <w:rPr>
          <w:lang w:val="fr-FR"/>
        </w:rPr>
        <w:t>un</w:t>
      </w:r>
      <w:r w:rsidR="00FA28A0" w:rsidRPr="008544BB">
        <w:rPr>
          <w:lang w:val="fr-FR"/>
        </w:rPr>
        <w:t xml:space="preserve"> événement aléatoire</w:t>
      </w:r>
      <w:r w:rsidR="00C0787F" w:rsidRPr="008544BB">
        <w:rPr>
          <w:lang w:val="fr-FR"/>
        </w:rPr>
        <w:t xml:space="preserve"> et</w:t>
      </w:r>
      <w:r w:rsidR="00FA28A0" w:rsidRPr="008544BB">
        <w:rPr>
          <w:lang w:val="fr-FR"/>
        </w:rPr>
        <w:t xml:space="preserve"> </w:t>
      </w:r>
      <w:r w:rsidR="00D63A07" w:rsidRPr="008544BB">
        <w:rPr>
          <w:lang w:val="fr-FR"/>
        </w:rPr>
        <w:t>fréquent</w:t>
      </w:r>
      <w:r w:rsidR="00FA28A0" w:rsidRPr="008544BB">
        <w:rPr>
          <w:lang w:val="fr-FR"/>
        </w:rPr>
        <w:t xml:space="preserve"> d</w:t>
      </w:r>
      <w:r w:rsidR="00D63A07" w:rsidRPr="008544BB">
        <w:rPr>
          <w:lang w:val="fr-FR"/>
        </w:rPr>
        <w:t>ans l</w:t>
      </w:r>
      <w:r w:rsidR="008544BB" w:rsidRPr="008544BB">
        <w:rPr>
          <w:lang w:val="fr-FR"/>
        </w:rPr>
        <w:t>’</w:t>
      </w:r>
      <w:r w:rsidR="00D63A07" w:rsidRPr="008544BB">
        <w:rPr>
          <w:lang w:val="fr-FR"/>
        </w:rPr>
        <w:t>existence</w:t>
      </w:r>
      <w:r w:rsidR="00FA28A0" w:rsidRPr="008544BB">
        <w:rPr>
          <w:lang w:val="fr-FR"/>
        </w:rPr>
        <w:t xml:space="preserve"> d</w:t>
      </w:r>
      <w:r w:rsidR="008544BB" w:rsidRPr="008544BB">
        <w:rPr>
          <w:lang w:val="fr-FR"/>
        </w:rPr>
        <w:t>’</w:t>
      </w:r>
      <w:r w:rsidR="00FA28A0" w:rsidRPr="008544BB">
        <w:rPr>
          <w:lang w:val="fr-FR"/>
        </w:rPr>
        <w:t>un enfant.</w:t>
      </w:r>
      <w:r w:rsidR="00935F52" w:rsidRPr="008544BB">
        <w:rPr>
          <w:lang w:val="fr-FR"/>
        </w:rPr>
        <w:t xml:space="preserve"> </w:t>
      </w:r>
      <w:r w:rsidR="00841496" w:rsidRPr="008544BB">
        <w:rPr>
          <w:lang w:val="fr-FR"/>
        </w:rPr>
        <w:t>L</w:t>
      </w:r>
      <w:r w:rsidR="00FA28A0" w:rsidRPr="008544BB">
        <w:rPr>
          <w:lang w:val="fr-FR"/>
        </w:rPr>
        <w:t>e Gouvernem</w:t>
      </w:r>
      <w:r w:rsidR="00102E12" w:rsidRPr="008544BB">
        <w:rPr>
          <w:lang w:val="fr-FR"/>
        </w:rPr>
        <w:t xml:space="preserve">ent </w:t>
      </w:r>
      <w:r w:rsidR="00D00ADE" w:rsidRPr="008544BB">
        <w:rPr>
          <w:lang w:val="fr-FR"/>
        </w:rPr>
        <w:t>ajoute</w:t>
      </w:r>
      <w:r w:rsidR="00102E12" w:rsidRPr="008544BB">
        <w:rPr>
          <w:lang w:val="fr-FR"/>
        </w:rPr>
        <w:t xml:space="preserve">, sans </w:t>
      </w:r>
      <w:r w:rsidR="00841496" w:rsidRPr="008544BB">
        <w:rPr>
          <w:lang w:val="fr-FR"/>
        </w:rPr>
        <w:t xml:space="preserve">donner de </w:t>
      </w:r>
      <w:r w:rsidR="00102E12" w:rsidRPr="008544BB">
        <w:rPr>
          <w:lang w:val="fr-FR"/>
        </w:rPr>
        <w:t>précision</w:t>
      </w:r>
      <w:r w:rsidR="00841496" w:rsidRPr="008544BB">
        <w:rPr>
          <w:lang w:val="fr-FR"/>
        </w:rPr>
        <w:t>s d</w:t>
      </w:r>
      <w:r w:rsidR="008544BB" w:rsidRPr="008544BB">
        <w:rPr>
          <w:lang w:val="fr-FR"/>
        </w:rPr>
        <w:t>’</w:t>
      </w:r>
      <w:r w:rsidR="00841496" w:rsidRPr="008544BB">
        <w:rPr>
          <w:lang w:val="fr-FR"/>
        </w:rPr>
        <w:t>ordre temporel</w:t>
      </w:r>
      <w:r w:rsidR="00102E12" w:rsidRPr="008544BB">
        <w:rPr>
          <w:lang w:val="fr-FR"/>
        </w:rPr>
        <w:t>,</w:t>
      </w:r>
      <w:r w:rsidR="006036AA" w:rsidRPr="008544BB">
        <w:rPr>
          <w:lang w:val="fr-FR"/>
        </w:rPr>
        <w:t xml:space="preserve"> qu</w:t>
      </w:r>
      <w:r w:rsidR="00841496" w:rsidRPr="008544BB">
        <w:rPr>
          <w:lang w:val="fr-FR"/>
        </w:rPr>
        <w:t>e</w:t>
      </w:r>
      <w:r w:rsidR="009F5B8D" w:rsidRPr="008544BB">
        <w:rPr>
          <w:lang w:val="fr-FR"/>
        </w:rPr>
        <w:t xml:space="preserve"> </w:t>
      </w:r>
      <w:r w:rsidR="006036AA" w:rsidRPr="008544BB">
        <w:rPr>
          <w:lang w:val="fr-FR"/>
        </w:rPr>
        <w:t xml:space="preserve">le procureur de la République </w:t>
      </w:r>
      <w:r w:rsidR="009F5B8D" w:rsidRPr="008544BB">
        <w:rPr>
          <w:lang w:val="fr-FR"/>
        </w:rPr>
        <w:t xml:space="preserve">de Velletri </w:t>
      </w:r>
      <w:r w:rsidR="006036AA" w:rsidRPr="008544BB">
        <w:rPr>
          <w:lang w:val="fr-FR"/>
        </w:rPr>
        <w:t xml:space="preserve">a ouvert une enquête préliminaire </w:t>
      </w:r>
      <w:r w:rsidR="009F5B8D" w:rsidRPr="008544BB">
        <w:rPr>
          <w:lang w:val="fr-FR"/>
        </w:rPr>
        <w:t>à l</w:t>
      </w:r>
      <w:r w:rsidR="008544BB" w:rsidRPr="008544BB">
        <w:rPr>
          <w:lang w:val="fr-FR"/>
        </w:rPr>
        <w:t>’</w:t>
      </w:r>
      <w:r w:rsidR="009F5B8D" w:rsidRPr="008544BB">
        <w:rPr>
          <w:lang w:val="fr-FR"/>
        </w:rPr>
        <w:t>issue des investigations menées par le commissariat de police de Frascati</w:t>
      </w:r>
      <w:r w:rsidR="00EB0310" w:rsidRPr="008544BB">
        <w:rPr>
          <w:lang w:val="fr-FR"/>
        </w:rPr>
        <w:t xml:space="preserve"> au sujet des plaintes déposées par la première requérante</w:t>
      </w:r>
      <w:r w:rsidR="009F5B8D" w:rsidRPr="008544BB">
        <w:rPr>
          <w:lang w:val="fr-FR"/>
        </w:rPr>
        <w:t>, que</w:t>
      </w:r>
      <w:r w:rsidR="006036AA" w:rsidRPr="008544BB">
        <w:rPr>
          <w:lang w:val="fr-FR"/>
        </w:rPr>
        <w:t xml:space="preserve"> l</w:t>
      </w:r>
      <w:r w:rsidR="00A60675" w:rsidRPr="008544BB">
        <w:rPr>
          <w:lang w:val="fr-FR"/>
        </w:rPr>
        <w:t>a</w:t>
      </w:r>
      <w:r w:rsidR="006036AA" w:rsidRPr="008544BB">
        <w:rPr>
          <w:lang w:val="fr-FR"/>
        </w:rPr>
        <w:t xml:space="preserve"> président</w:t>
      </w:r>
      <w:r w:rsidR="00A60675" w:rsidRPr="008544BB">
        <w:rPr>
          <w:lang w:val="fr-FR"/>
        </w:rPr>
        <w:t>e</w:t>
      </w:r>
      <w:r w:rsidR="006036AA" w:rsidRPr="008544BB">
        <w:rPr>
          <w:lang w:val="fr-FR"/>
        </w:rPr>
        <w:t xml:space="preserve"> du tribunal</w:t>
      </w:r>
      <w:r w:rsidR="007A7D25" w:rsidRPr="008544BB">
        <w:rPr>
          <w:lang w:val="fr-FR"/>
        </w:rPr>
        <w:t xml:space="preserve"> pour enfants</w:t>
      </w:r>
      <w:r w:rsidR="006036AA" w:rsidRPr="008544BB">
        <w:rPr>
          <w:lang w:val="fr-FR"/>
        </w:rPr>
        <w:t xml:space="preserve"> a visité la maison d</w:t>
      </w:r>
      <w:r w:rsidR="008544BB" w:rsidRPr="008544BB">
        <w:rPr>
          <w:lang w:val="fr-FR"/>
        </w:rPr>
        <w:t>’</w:t>
      </w:r>
      <w:r w:rsidR="006036AA" w:rsidRPr="008544BB">
        <w:rPr>
          <w:lang w:val="fr-FR"/>
        </w:rPr>
        <w:t xml:space="preserve">accueil et rencontré les </w:t>
      </w:r>
      <w:r w:rsidR="00EB0310" w:rsidRPr="008544BB">
        <w:rPr>
          <w:lang w:val="fr-FR"/>
        </w:rPr>
        <w:t>mineurs</w:t>
      </w:r>
      <w:r w:rsidR="006036AA" w:rsidRPr="008544BB">
        <w:rPr>
          <w:lang w:val="fr-FR"/>
        </w:rPr>
        <w:t xml:space="preserve"> </w:t>
      </w:r>
      <w:r w:rsidR="00EB0310" w:rsidRPr="008544BB">
        <w:rPr>
          <w:lang w:val="fr-FR"/>
        </w:rPr>
        <w:t>hébergés</w:t>
      </w:r>
      <w:r w:rsidR="009F5B8D" w:rsidRPr="008544BB">
        <w:rPr>
          <w:lang w:val="fr-FR"/>
        </w:rPr>
        <w:t xml:space="preserve"> en son sein</w:t>
      </w:r>
      <w:r w:rsidR="00EB0310" w:rsidRPr="008544BB">
        <w:rPr>
          <w:lang w:val="fr-FR"/>
        </w:rPr>
        <w:t xml:space="preserve"> et que, en tout état de cause,</w:t>
      </w:r>
      <w:r w:rsidR="006036AA" w:rsidRPr="008544BB">
        <w:rPr>
          <w:lang w:val="fr-FR"/>
        </w:rPr>
        <w:t xml:space="preserve"> aucun </w:t>
      </w:r>
      <w:r w:rsidR="00EB0310" w:rsidRPr="008544BB">
        <w:rPr>
          <w:lang w:val="fr-FR"/>
        </w:rPr>
        <w:t xml:space="preserve">de ces enfants </w:t>
      </w:r>
      <w:r w:rsidR="006036AA" w:rsidRPr="008544BB">
        <w:rPr>
          <w:lang w:val="fr-FR"/>
        </w:rPr>
        <w:t>n</w:t>
      </w:r>
      <w:r w:rsidR="00EB0310" w:rsidRPr="008544BB">
        <w:rPr>
          <w:lang w:val="fr-FR"/>
        </w:rPr>
        <w:t>e s</w:t>
      </w:r>
      <w:r w:rsidR="008544BB" w:rsidRPr="008544BB">
        <w:rPr>
          <w:lang w:val="fr-FR"/>
        </w:rPr>
        <w:t>’</w:t>
      </w:r>
      <w:r w:rsidR="00EB0310" w:rsidRPr="008544BB">
        <w:rPr>
          <w:lang w:val="fr-FR"/>
        </w:rPr>
        <w:t>est</w:t>
      </w:r>
      <w:r w:rsidR="007A7D25" w:rsidRPr="008544BB">
        <w:rPr>
          <w:lang w:val="fr-FR"/>
        </w:rPr>
        <w:t xml:space="preserve"> plaint d</w:t>
      </w:r>
      <w:r w:rsidR="008544BB" w:rsidRPr="008544BB">
        <w:rPr>
          <w:lang w:val="fr-FR"/>
        </w:rPr>
        <w:t>’</w:t>
      </w:r>
      <w:r w:rsidR="007A7D25" w:rsidRPr="008544BB">
        <w:rPr>
          <w:lang w:val="fr-FR"/>
        </w:rPr>
        <w:t>avoir fait l</w:t>
      </w:r>
      <w:r w:rsidR="008544BB" w:rsidRPr="008544BB">
        <w:rPr>
          <w:lang w:val="fr-FR"/>
        </w:rPr>
        <w:t>’</w:t>
      </w:r>
      <w:r w:rsidR="007A7D25" w:rsidRPr="008544BB">
        <w:rPr>
          <w:lang w:val="fr-FR"/>
        </w:rPr>
        <w:t>objet de mauvais traitements</w:t>
      </w:r>
      <w:r w:rsidR="006036AA" w:rsidRPr="008544BB">
        <w:rPr>
          <w:lang w:val="fr-FR"/>
        </w:rPr>
        <w:t xml:space="preserve"> dans </w:t>
      </w:r>
      <w:r w:rsidR="00EB0310" w:rsidRPr="008544BB">
        <w:rPr>
          <w:lang w:val="fr-FR"/>
        </w:rPr>
        <w:t>cette</w:t>
      </w:r>
      <w:r w:rsidR="006036AA" w:rsidRPr="008544BB">
        <w:rPr>
          <w:lang w:val="fr-FR"/>
        </w:rPr>
        <w:t xml:space="preserve"> structure.</w:t>
      </w:r>
    </w:p>
    <w:p w:rsidR="00D05C03" w:rsidRPr="008544BB" w:rsidRDefault="00D05C03"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90</w:t>
      </w:r>
      <w:r w:rsidRPr="008544BB">
        <w:rPr>
          <w:lang w:val="fr-FR"/>
        </w:rPr>
        <w:fldChar w:fldCharType="end"/>
      </w:r>
      <w:r w:rsidRPr="008544BB">
        <w:rPr>
          <w:lang w:val="fr-FR"/>
        </w:rPr>
        <w:t>.  Les requérant</w:t>
      </w:r>
      <w:r w:rsidR="003E3CE2" w:rsidRPr="008544BB">
        <w:rPr>
          <w:lang w:val="fr-FR"/>
        </w:rPr>
        <w:t>e</w:t>
      </w:r>
      <w:r w:rsidRPr="008544BB">
        <w:rPr>
          <w:lang w:val="fr-FR"/>
        </w:rPr>
        <w:t xml:space="preserve">s </w:t>
      </w:r>
      <w:r w:rsidR="00631A13" w:rsidRPr="008544BB">
        <w:rPr>
          <w:lang w:val="fr-FR"/>
        </w:rPr>
        <w:t>rétorquent</w:t>
      </w:r>
      <w:r w:rsidRPr="008544BB">
        <w:rPr>
          <w:lang w:val="fr-FR"/>
        </w:rPr>
        <w:t xml:space="preserve"> qu</w:t>
      </w:r>
      <w:r w:rsidR="008544BB" w:rsidRPr="008544BB">
        <w:rPr>
          <w:lang w:val="fr-FR"/>
        </w:rPr>
        <w:t>’</w:t>
      </w:r>
      <w:r w:rsidRPr="008544BB">
        <w:rPr>
          <w:lang w:val="fr-FR"/>
        </w:rPr>
        <w:t xml:space="preserve">une obligation positive de protection et de prévention des personnes vulnérables, </w:t>
      </w:r>
      <w:r w:rsidR="00631A13" w:rsidRPr="008544BB">
        <w:rPr>
          <w:lang w:val="fr-FR"/>
        </w:rPr>
        <w:t>parmi lesquel</w:t>
      </w:r>
      <w:r w:rsidR="00413912" w:rsidRPr="008544BB">
        <w:rPr>
          <w:lang w:val="fr-FR"/>
        </w:rPr>
        <w:t>le</w:t>
      </w:r>
      <w:r w:rsidR="00631A13" w:rsidRPr="008544BB">
        <w:rPr>
          <w:lang w:val="fr-FR"/>
        </w:rPr>
        <w:t>s</w:t>
      </w:r>
      <w:r w:rsidRPr="008544BB">
        <w:rPr>
          <w:lang w:val="fr-FR"/>
        </w:rPr>
        <w:t xml:space="preserve"> les </w:t>
      </w:r>
      <w:r w:rsidR="00631A13" w:rsidRPr="008544BB">
        <w:rPr>
          <w:lang w:val="fr-FR"/>
        </w:rPr>
        <w:t>mineurs</w:t>
      </w:r>
      <w:r w:rsidRPr="008544BB">
        <w:rPr>
          <w:lang w:val="fr-FR"/>
        </w:rPr>
        <w:t xml:space="preserve">, </w:t>
      </w:r>
      <w:r w:rsidR="00F06AF7" w:rsidRPr="008544BB">
        <w:rPr>
          <w:lang w:val="fr-FR"/>
        </w:rPr>
        <w:t xml:space="preserve">pèse sur les États </w:t>
      </w:r>
      <w:r w:rsidR="00631A13" w:rsidRPr="008544BB">
        <w:rPr>
          <w:lang w:val="fr-FR"/>
        </w:rPr>
        <w:t>et que cette obligation</w:t>
      </w:r>
      <w:r w:rsidRPr="008544BB">
        <w:rPr>
          <w:lang w:val="fr-FR"/>
        </w:rPr>
        <w:t xml:space="preserve"> peut aller jusqu</w:t>
      </w:r>
      <w:r w:rsidR="008544BB" w:rsidRPr="008544BB">
        <w:rPr>
          <w:lang w:val="fr-FR"/>
        </w:rPr>
        <w:t>’</w:t>
      </w:r>
      <w:r w:rsidRPr="008544BB">
        <w:rPr>
          <w:lang w:val="fr-FR"/>
        </w:rPr>
        <w:t>à une véritable obligation d</w:t>
      </w:r>
      <w:r w:rsidR="008544BB" w:rsidRPr="008544BB">
        <w:rPr>
          <w:lang w:val="fr-FR"/>
        </w:rPr>
        <w:t>’</w:t>
      </w:r>
      <w:r w:rsidRPr="008544BB">
        <w:rPr>
          <w:lang w:val="fr-FR"/>
        </w:rPr>
        <w:t xml:space="preserve">assistance </w:t>
      </w:r>
      <w:r w:rsidR="00631A13" w:rsidRPr="008544BB">
        <w:rPr>
          <w:lang w:val="fr-FR"/>
        </w:rPr>
        <w:t>en cas de soumission de</w:t>
      </w:r>
      <w:r w:rsidRPr="008544BB">
        <w:rPr>
          <w:lang w:val="fr-FR"/>
        </w:rPr>
        <w:t xml:space="preserve"> ces personnes au contrôle des autorités nationales. Elles </w:t>
      </w:r>
      <w:r w:rsidR="00631A13" w:rsidRPr="008544BB">
        <w:rPr>
          <w:lang w:val="fr-FR"/>
        </w:rPr>
        <w:t>soutiennent</w:t>
      </w:r>
      <w:r w:rsidRPr="008544BB">
        <w:rPr>
          <w:lang w:val="fr-FR"/>
        </w:rPr>
        <w:t xml:space="preserve"> que </w:t>
      </w:r>
      <w:r w:rsidR="00631A13" w:rsidRPr="008544BB">
        <w:rPr>
          <w:lang w:val="fr-FR"/>
        </w:rPr>
        <w:t>L. et S.</w:t>
      </w:r>
      <w:r w:rsidRPr="008544BB">
        <w:rPr>
          <w:lang w:val="fr-FR"/>
        </w:rPr>
        <w:t xml:space="preserve"> </w:t>
      </w:r>
      <w:r w:rsidR="00935F52" w:rsidRPr="008544BB">
        <w:rPr>
          <w:lang w:val="fr-FR"/>
        </w:rPr>
        <w:t xml:space="preserve">ont été victimes de </w:t>
      </w:r>
      <w:r w:rsidR="00631A13" w:rsidRPr="008544BB">
        <w:rPr>
          <w:lang w:val="fr-FR"/>
        </w:rPr>
        <w:t xml:space="preserve">négligences et de </w:t>
      </w:r>
      <w:r w:rsidR="00935F52" w:rsidRPr="008544BB">
        <w:rPr>
          <w:lang w:val="fr-FR"/>
        </w:rPr>
        <w:t>violences</w:t>
      </w:r>
      <w:r w:rsidR="00631A13" w:rsidRPr="008544BB">
        <w:rPr>
          <w:lang w:val="fr-FR"/>
        </w:rPr>
        <w:t xml:space="preserve"> pendant leur séjour à la maison d</w:t>
      </w:r>
      <w:r w:rsidR="008544BB" w:rsidRPr="008544BB">
        <w:rPr>
          <w:lang w:val="fr-FR"/>
        </w:rPr>
        <w:t>’</w:t>
      </w:r>
      <w:r w:rsidR="00631A13" w:rsidRPr="008544BB">
        <w:rPr>
          <w:lang w:val="fr-FR"/>
        </w:rPr>
        <w:t xml:space="preserve">accueil « Rocca di Papa », ce qui </w:t>
      </w:r>
      <w:r w:rsidR="00BB3F99" w:rsidRPr="008544BB">
        <w:rPr>
          <w:lang w:val="fr-FR"/>
        </w:rPr>
        <w:t>serait</w:t>
      </w:r>
      <w:r w:rsidR="00C0787F" w:rsidRPr="008544BB">
        <w:rPr>
          <w:lang w:val="fr-FR"/>
        </w:rPr>
        <w:t xml:space="preserve"> confirmé</w:t>
      </w:r>
      <w:r w:rsidRPr="008544BB">
        <w:rPr>
          <w:lang w:val="fr-FR"/>
        </w:rPr>
        <w:t xml:space="preserve"> par les déclarations </w:t>
      </w:r>
      <w:r w:rsidR="00935F52" w:rsidRPr="008544BB">
        <w:rPr>
          <w:lang w:val="fr-FR"/>
        </w:rPr>
        <w:t>d</w:t>
      </w:r>
      <w:r w:rsidR="00631A13" w:rsidRPr="008544BB">
        <w:rPr>
          <w:lang w:val="fr-FR"/>
        </w:rPr>
        <w:t>u personnel</w:t>
      </w:r>
      <w:r w:rsidRPr="008544BB">
        <w:rPr>
          <w:lang w:val="fr-FR"/>
        </w:rPr>
        <w:t xml:space="preserve"> de </w:t>
      </w:r>
      <w:r w:rsidR="007335A7" w:rsidRPr="008544BB">
        <w:rPr>
          <w:lang w:val="fr-FR"/>
        </w:rPr>
        <w:t>cette structure</w:t>
      </w:r>
      <w:r w:rsidRPr="008544BB">
        <w:rPr>
          <w:lang w:val="fr-FR"/>
        </w:rPr>
        <w:t>.</w:t>
      </w:r>
    </w:p>
    <w:p w:rsidR="00D05C03" w:rsidRPr="008544BB" w:rsidRDefault="00D05C03"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91</w:t>
      </w:r>
      <w:r w:rsidRPr="008544BB">
        <w:rPr>
          <w:lang w:val="fr-FR"/>
        </w:rPr>
        <w:fldChar w:fldCharType="end"/>
      </w:r>
      <w:r w:rsidRPr="008544BB">
        <w:rPr>
          <w:lang w:val="fr-FR"/>
        </w:rPr>
        <w:t>.  La Cour rappelle que les allégations de mauvais traitements contraires à l</w:t>
      </w:r>
      <w:r w:rsidR="008544BB" w:rsidRPr="008544BB">
        <w:rPr>
          <w:lang w:val="fr-FR"/>
        </w:rPr>
        <w:t>’</w:t>
      </w:r>
      <w:r w:rsidRPr="008544BB">
        <w:rPr>
          <w:lang w:val="fr-FR"/>
        </w:rPr>
        <w:t xml:space="preserve">article 3 </w:t>
      </w:r>
      <w:r w:rsidR="00631A13" w:rsidRPr="008544BB">
        <w:rPr>
          <w:lang w:val="fr-FR"/>
        </w:rPr>
        <w:t xml:space="preserve">de la Convention </w:t>
      </w:r>
      <w:r w:rsidRPr="008544BB">
        <w:rPr>
          <w:lang w:val="fr-FR"/>
        </w:rPr>
        <w:t>doivent être étayées par des éléments de preuve appropriés (</w:t>
      </w:r>
      <w:r w:rsidR="00D05E59" w:rsidRPr="008544BB">
        <w:rPr>
          <w:i/>
          <w:lang w:val="fr-FR"/>
        </w:rPr>
        <w:t>Klaas c. Allemagne</w:t>
      </w:r>
      <w:r w:rsidR="00D05E59" w:rsidRPr="008544BB">
        <w:rPr>
          <w:lang w:val="fr-FR"/>
        </w:rPr>
        <w:t>, 22 septembre 1993, §</w:t>
      </w:r>
      <w:r w:rsidR="00631A13" w:rsidRPr="008544BB">
        <w:rPr>
          <w:lang w:val="fr-FR"/>
        </w:rPr>
        <w:t> </w:t>
      </w:r>
      <w:r w:rsidR="00D05E59" w:rsidRPr="008544BB">
        <w:rPr>
          <w:lang w:val="fr-FR"/>
        </w:rPr>
        <w:t>30, série A n</w:t>
      </w:r>
      <w:r w:rsidR="001F3C47" w:rsidRPr="008544BB">
        <w:rPr>
          <w:vertAlign w:val="superscript"/>
          <w:lang w:val="fr-FR"/>
        </w:rPr>
        <w:t>o</w:t>
      </w:r>
      <w:r w:rsidR="00D05E59" w:rsidRPr="008544BB">
        <w:rPr>
          <w:lang w:val="fr-FR"/>
        </w:rPr>
        <w:t xml:space="preserve"> 269, </w:t>
      </w:r>
      <w:r w:rsidR="00D05E59" w:rsidRPr="008544BB">
        <w:rPr>
          <w:i/>
          <w:lang w:val="fr-FR"/>
        </w:rPr>
        <w:t>Erdagöz c. Turquie</w:t>
      </w:r>
      <w:r w:rsidR="00D05E59" w:rsidRPr="008544BB">
        <w:rPr>
          <w:lang w:val="fr-FR"/>
        </w:rPr>
        <w:t xml:space="preserve">, 22 octobre 1997, § 40, </w:t>
      </w:r>
      <w:r w:rsidR="00D05E59" w:rsidRPr="008544BB">
        <w:rPr>
          <w:i/>
          <w:lang w:val="fr-FR"/>
        </w:rPr>
        <w:t>Recueil des arrêts et décisions</w:t>
      </w:r>
      <w:r w:rsidR="00D05E59" w:rsidRPr="008544BB">
        <w:rPr>
          <w:lang w:val="fr-FR"/>
        </w:rPr>
        <w:t xml:space="preserve"> 1997</w:t>
      </w:r>
      <w:r w:rsidR="00D05E59" w:rsidRPr="008544BB">
        <w:rPr>
          <w:lang w:val="fr-FR"/>
        </w:rPr>
        <w:noBreakHyphen/>
        <w:t xml:space="preserve">VI, et </w:t>
      </w:r>
      <w:r w:rsidR="00D05E59" w:rsidRPr="008544BB">
        <w:rPr>
          <w:i/>
          <w:lang w:val="fr-FR"/>
        </w:rPr>
        <w:t>Jalloh c. Allemagne</w:t>
      </w:r>
      <w:r w:rsidR="00D05E59" w:rsidRPr="008544BB">
        <w:rPr>
          <w:lang w:val="fr-FR"/>
        </w:rPr>
        <w:t xml:space="preserve"> [GC], n</w:t>
      </w:r>
      <w:r w:rsidR="001F3C47" w:rsidRPr="008544BB">
        <w:rPr>
          <w:vertAlign w:val="superscript"/>
          <w:lang w:val="fr-FR"/>
        </w:rPr>
        <w:t>o</w:t>
      </w:r>
      <w:r w:rsidR="00D05E59" w:rsidRPr="008544BB">
        <w:rPr>
          <w:lang w:val="fr-FR"/>
        </w:rPr>
        <w:t xml:space="preserve"> 54810/00, § 67, CEDH 2006</w:t>
      </w:r>
      <w:r w:rsidR="00D05E59" w:rsidRPr="008544BB">
        <w:rPr>
          <w:lang w:val="fr-FR"/>
        </w:rPr>
        <w:noBreakHyphen/>
        <w:t>IX).</w:t>
      </w:r>
    </w:p>
    <w:p w:rsidR="004C2B11" w:rsidRPr="008544BB" w:rsidRDefault="004C2B11"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92</w:t>
      </w:r>
      <w:r w:rsidRPr="008544BB">
        <w:rPr>
          <w:lang w:val="fr-FR"/>
        </w:rPr>
        <w:fldChar w:fldCharType="end"/>
      </w:r>
      <w:r w:rsidRPr="008544BB">
        <w:rPr>
          <w:lang w:val="fr-FR"/>
        </w:rPr>
        <w:t>.  </w:t>
      </w:r>
      <w:r w:rsidR="00D05C03" w:rsidRPr="008544BB">
        <w:rPr>
          <w:lang w:val="fr-FR"/>
        </w:rPr>
        <w:t xml:space="preserve">À cet égard, la Cour </w:t>
      </w:r>
      <w:r w:rsidR="00C0787F" w:rsidRPr="008544BB">
        <w:rPr>
          <w:lang w:val="fr-FR"/>
        </w:rPr>
        <w:t>estime</w:t>
      </w:r>
      <w:r w:rsidR="00D05C03" w:rsidRPr="008544BB">
        <w:rPr>
          <w:lang w:val="fr-FR"/>
        </w:rPr>
        <w:t xml:space="preserve"> que</w:t>
      </w:r>
      <w:r w:rsidR="00631A13" w:rsidRPr="008544BB">
        <w:rPr>
          <w:lang w:val="fr-FR"/>
        </w:rPr>
        <w:t>, en l</w:t>
      </w:r>
      <w:r w:rsidR="008544BB" w:rsidRPr="008544BB">
        <w:rPr>
          <w:lang w:val="fr-FR"/>
        </w:rPr>
        <w:t>’</w:t>
      </w:r>
      <w:r w:rsidR="00631A13" w:rsidRPr="008544BB">
        <w:rPr>
          <w:lang w:val="fr-FR"/>
        </w:rPr>
        <w:t>espèce,</w:t>
      </w:r>
      <w:r w:rsidR="00D05E59" w:rsidRPr="008544BB">
        <w:rPr>
          <w:lang w:val="fr-FR"/>
        </w:rPr>
        <w:t xml:space="preserve"> les autorités chargées de l</w:t>
      </w:r>
      <w:r w:rsidR="008544BB" w:rsidRPr="008544BB">
        <w:rPr>
          <w:lang w:val="fr-FR"/>
        </w:rPr>
        <w:t>’</w:t>
      </w:r>
      <w:r w:rsidR="00D05E59" w:rsidRPr="008544BB">
        <w:rPr>
          <w:lang w:val="fr-FR"/>
        </w:rPr>
        <w:t xml:space="preserve">enquête ont rapidement réagi </w:t>
      </w:r>
      <w:r w:rsidR="004D56EE" w:rsidRPr="008544BB">
        <w:rPr>
          <w:lang w:val="fr-FR"/>
        </w:rPr>
        <w:t xml:space="preserve">aux plaintes </w:t>
      </w:r>
      <w:r w:rsidR="00631A13" w:rsidRPr="008544BB">
        <w:rPr>
          <w:lang w:val="fr-FR"/>
        </w:rPr>
        <w:t xml:space="preserve">de la première requérante </w:t>
      </w:r>
      <w:r w:rsidR="00D05E59" w:rsidRPr="008544BB">
        <w:rPr>
          <w:lang w:val="fr-FR"/>
        </w:rPr>
        <w:t>pour établir les faits dénoncés</w:t>
      </w:r>
      <w:r w:rsidR="00763CA6" w:rsidRPr="008544BB">
        <w:rPr>
          <w:lang w:val="fr-FR"/>
        </w:rPr>
        <w:t xml:space="preserve"> (paragraphe </w:t>
      </w:r>
      <w:r w:rsidR="00763CA6" w:rsidRPr="008544BB">
        <w:rPr>
          <w:lang w:val="fr-FR"/>
        </w:rPr>
        <w:fldChar w:fldCharType="begin"/>
      </w:r>
      <w:r w:rsidR="00763CA6" w:rsidRPr="008544BB">
        <w:rPr>
          <w:lang w:val="fr-FR"/>
        </w:rPr>
        <w:instrText xml:space="preserve"> REF Commissariat_Frascati \h </w:instrText>
      </w:r>
      <w:r w:rsidR="00763CA6" w:rsidRPr="008544BB">
        <w:rPr>
          <w:lang w:val="fr-FR"/>
        </w:rPr>
      </w:r>
      <w:r w:rsidR="00763CA6" w:rsidRPr="008544BB">
        <w:rPr>
          <w:lang w:val="fr-FR"/>
        </w:rPr>
        <w:fldChar w:fldCharType="separate"/>
      </w:r>
      <w:r w:rsidR="008544BB" w:rsidRPr="008544BB">
        <w:rPr>
          <w:noProof/>
          <w:lang w:val="fr-FR"/>
        </w:rPr>
        <w:t>43</w:t>
      </w:r>
      <w:r w:rsidR="00763CA6" w:rsidRPr="008544BB">
        <w:rPr>
          <w:lang w:val="fr-FR"/>
        </w:rPr>
        <w:fldChar w:fldCharType="end"/>
      </w:r>
      <w:r w:rsidR="00763CA6" w:rsidRPr="008544BB">
        <w:rPr>
          <w:lang w:val="fr-FR"/>
        </w:rPr>
        <w:t xml:space="preserve"> ci-dessus). </w:t>
      </w:r>
      <w:r w:rsidR="00D05E59" w:rsidRPr="008544BB">
        <w:rPr>
          <w:lang w:val="fr-FR"/>
        </w:rPr>
        <w:t>Selon les dernières informations dont la Cour</w:t>
      </w:r>
      <w:r w:rsidR="00631A13" w:rsidRPr="008544BB">
        <w:rPr>
          <w:lang w:val="fr-FR"/>
        </w:rPr>
        <w:t xml:space="preserve"> dispose</w:t>
      </w:r>
      <w:r w:rsidR="00D05E59" w:rsidRPr="008544BB">
        <w:rPr>
          <w:lang w:val="fr-FR"/>
        </w:rPr>
        <w:t>, l</w:t>
      </w:r>
      <w:r w:rsidR="00A60675" w:rsidRPr="008544BB">
        <w:rPr>
          <w:lang w:val="fr-FR"/>
        </w:rPr>
        <w:t>a</w:t>
      </w:r>
      <w:r w:rsidR="00D05E59" w:rsidRPr="008544BB">
        <w:rPr>
          <w:lang w:val="fr-FR"/>
        </w:rPr>
        <w:t xml:space="preserve"> président</w:t>
      </w:r>
      <w:r w:rsidR="00A60675" w:rsidRPr="008544BB">
        <w:rPr>
          <w:lang w:val="fr-FR"/>
        </w:rPr>
        <w:t>e</w:t>
      </w:r>
      <w:r w:rsidR="00D05E59" w:rsidRPr="008544BB">
        <w:rPr>
          <w:lang w:val="fr-FR"/>
        </w:rPr>
        <w:t xml:space="preserve"> du tribunal </w:t>
      </w:r>
      <w:r w:rsidR="00631A13" w:rsidRPr="008544BB">
        <w:rPr>
          <w:lang w:val="fr-FR"/>
        </w:rPr>
        <w:t>pour enfants</w:t>
      </w:r>
      <w:r w:rsidR="003D6E90" w:rsidRPr="008544BB">
        <w:rPr>
          <w:lang w:val="fr-FR"/>
        </w:rPr>
        <w:t>, qui</w:t>
      </w:r>
      <w:r w:rsidR="00631A13" w:rsidRPr="008544BB">
        <w:rPr>
          <w:lang w:val="fr-FR"/>
        </w:rPr>
        <w:t xml:space="preserve"> </w:t>
      </w:r>
      <w:r w:rsidR="00D05E59" w:rsidRPr="008544BB">
        <w:rPr>
          <w:lang w:val="fr-FR"/>
        </w:rPr>
        <w:t>a visité la maison d</w:t>
      </w:r>
      <w:r w:rsidR="008544BB" w:rsidRPr="008544BB">
        <w:rPr>
          <w:lang w:val="fr-FR"/>
        </w:rPr>
        <w:t>’</w:t>
      </w:r>
      <w:r w:rsidR="00D05E59" w:rsidRPr="008544BB">
        <w:rPr>
          <w:lang w:val="fr-FR"/>
        </w:rPr>
        <w:t>accueil et rencontré les mineurs</w:t>
      </w:r>
      <w:r w:rsidR="00615A51" w:rsidRPr="008544BB">
        <w:rPr>
          <w:lang w:val="fr-FR"/>
        </w:rPr>
        <w:t xml:space="preserve"> </w:t>
      </w:r>
      <w:r w:rsidR="00631A13" w:rsidRPr="008544BB">
        <w:rPr>
          <w:lang w:val="fr-FR"/>
        </w:rPr>
        <w:t>hébergés en son sein</w:t>
      </w:r>
      <w:r w:rsidR="003D6E90" w:rsidRPr="008544BB">
        <w:rPr>
          <w:lang w:val="fr-FR"/>
        </w:rPr>
        <w:t>, n</w:t>
      </w:r>
      <w:r w:rsidR="008544BB" w:rsidRPr="008544BB">
        <w:rPr>
          <w:lang w:val="fr-FR"/>
        </w:rPr>
        <w:t>’</w:t>
      </w:r>
      <w:r w:rsidR="003D6E90" w:rsidRPr="008544BB">
        <w:rPr>
          <w:lang w:val="fr-FR"/>
        </w:rPr>
        <w:t>a relevé</w:t>
      </w:r>
      <w:r w:rsidR="00615A51" w:rsidRPr="008544BB">
        <w:rPr>
          <w:lang w:val="fr-FR"/>
        </w:rPr>
        <w:t xml:space="preserve"> aucun élément pouvant</w:t>
      </w:r>
      <w:r w:rsidR="00DE5000" w:rsidRPr="008544BB">
        <w:rPr>
          <w:lang w:val="fr-FR"/>
        </w:rPr>
        <w:t xml:space="preserve"> </w:t>
      </w:r>
      <w:r w:rsidR="00615A51" w:rsidRPr="008544BB">
        <w:rPr>
          <w:lang w:val="fr-FR"/>
        </w:rPr>
        <w:t xml:space="preserve">confirmer </w:t>
      </w:r>
      <w:r w:rsidR="00DE5000" w:rsidRPr="008544BB">
        <w:rPr>
          <w:lang w:val="fr-FR"/>
        </w:rPr>
        <w:t>l</w:t>
      </w:r>
      <w:r w:rsidR="00615A51" w:rsidRPr="008544BB">
        <w:rPr>
          <w:lang w:val="fr-FR"/>
        </w:rPr>
        <w:t>es allégation</w:t>
      </w:r>
      <w:r w:rsidR="00DE5000" w:rsidRPr="008544BB">
        <w:rPr>
          <w:lang w:val="fr-FR"/>
        </w:rPr>
        <w:t>s des requérant</w:t>
      </w:r>
      <w:r w:rsidR="003E3CE2" w:rsidRPr="008544BB">
        <w:rPr>
          <w:lang w:val="fr-FR"/>
        </w:rPr>
        <w:t>e</w:t>
      </w:r>
      <w:r w:rsidR="00DE5000" w:rsidRPr="008544BB">
        <w:rPr>
          <w:lang w:val="fr-FR"/>
        </w:rPr>
        <w:t>s</w:t>
      </w:r>
      <w:r w:rsidR="00615A51" w:rsidRPr="008544BB">
        <w:rPr>
          <w:lang w:val="fr-FR"/>
        </w:rPr>
        <w:t xml:space="preserve"> </w:t>
      </w:r>
      <w:r w:rsidR="00D05E59" w:rsidRPr="008544BB">
        <w:rPr>
          <w:lang w:val="fr-FR"/>
        </w:rPr>
        <w:t xml:space="preserve">(paragraphe </w:t>
      </w:r>
      <w:r w:rsidR="00D05E59" w:rsidRPr="008544BB">
        <w:rPr>
          <w:lang w:val="fr-FR"/>
        </w:rPr>
        <w:fldChar w:fldCharType="begin"/>
      </w:r>
      <w:r w:rsidR="00D05E59" w:rsidRPr="008544BB">
        <w:rPr>
          <w:lang w:val="fr-FR"/>
        </w:rPr>
        <w:instrText xml:space="preserve"> REF VISITE_PRESIDENT_TRIBUNAL \h </w:instrText>
      </w:r>
      <w:r w:rsidR="00D05E59" w:rsidRPr="008544BB">
        <w:rPr>
          <w:lang w:val="fr-FR"/>
        </w:rPr>
      </w:r>
      <w:r w:rsidR="00D05E59" w:rsidRPr="008544BB">
        <w:rPr>
          <w:lang w:val="fr-FR"/>
        </w:rPr>
        <w:fldChar w:fldCharType="separate"/>
      </w:r>
      <w:r w:rsidR="008544BB" w:rsidRPr="008544BB">
        <w:rPr>
          <w:noProof/>
          <w:lang w:val="fr-FR"/>
        </w:rPr>
        <w:t>45</w:t>
      </w:r>
      <w:r w:rsidR="00D05E59" w:rsidRPr="008544BB">
        <w:rPr>
          <w:lang w:val="fr-FR"/>
        </w:rPr>
        <w:fldChar w:fldCharType="end"/>
      </w:r>
      <w:r w:rsidR="00615A51" w:rsidRPr="008544BB">
        <w:rPr>
          <w:lang w:val="fr-FR"/>
        </w:rPr>
        <w:t xml:space="preserve"> ci-dessus)</w:t>
      </w:r>
      <w:r w:rsidR="003D6E90" w:rsidRPr="008544BB">
        <w:rPr>
          <w:lang w:val="fr-FR"/>
        </w:rPr>
        <w:t>.</w:t>
      </w:r>
      <w:r w:rsidR="00D05E59" w:rsidRPr="008544BB">
        <w:rPr>
          <w:lang w:val="fr-FR"/>
        </w:rPr>
        <w:t xml:space="preserve"> </w:t>
      </w:r>
      <w:r w:rsidR="00631A13" w:rsidRPr="008544BB">
        <w:rPr>
          <w:lang w:val="fr-FR"/>
        </w:rPr>
        <w:t>Par ailleurs</w:t>
      </w:r>
      <w:r w:rsidR="00D05E59" w:rsidRPr="008544BB">
        <w:rPr>
          <w:lang w:val="fr-FR"/>
        </w:rPr>
        <w:t>,</w:t>
      </w:r>
      <w:r w:rsidRPr="008544BB">
        <w:rPr>
          <w:lang w:val="fr-FR"/>
        </w:rPr>
        <w:t xml:space="preserve"> </w:t>
      </w:r>
      <w:r w:rsidR="003D6E90" w:rsidRPr="008544BB">
        <w:rPr>
          <w:lang w:val="fr-FR"/>
        </w:rPr>
        <w:t>celles-ci</w:t>
      </w:r>
      <w:r w:rsidR="003A4FF6" w:rsidRPr="008544BB">
        <w:rPr>
          <w:lang w:val="fr-FR"/>
        </w:rPr>
        <w:t xml:space="preserve"> </w:t>
      </w:r>
      <w:r w:rsidR="004D56EE" w:rsidRPr="008544BB">
        <w:rPr>
          <w:lang w:val="fr-FR"/>
        </w:rPr>
        <w:t>n</w:t>
      </w:r>
      <w:r w:rsidR="008544BB" w:rsidRPr="008544BB">
        <w:rPr>
          <w:lang w:val="fr-FR"/>
        </w:rPr>
        <w:t>’</w:t>
      </w:r>
      <w:r w:rsidR="00EC3ACD" w:rsidRPr="008544BB">
        <w:rPr>
          <w:lang w:val="fr-FR"/>
        </w:rPr>
        <w:t xml:space="preserve">ont pas informé </w:t>
      </w:r>
      <w:r w:rsidR="004D56EE" w:rsidRPr="008544BB">
        <w:rPr>
          <w:lang w:val="fr-FR"/>
        </w:rPr>
        <w:t xml:space="preserve">la Cour </w:t>
      </w:r>
      <w:r w:rsidR="00EC3ACD" w:rsidRPr="008544BB">
        <w:rPr>
          <w:lang w:val="fr-FR"/>
        </w:rPr>
        <w:t>des conclusions et suites éventuelles de l</w:t>
      </w:r>
      <w:r w:rsidR="008544BB" w:rsidRPr="008544BB">
        <w:rPr>
          <w:lang w:val="fr-FR"/>
        </w:rPr>
        <w:t>’</w:t>
      </w:r>
      <w:r w:rsidR="00EC3ACD" w:rsidRPr="008544BB">
        <w:rPr>
          <w:lang w:val="fr-FR"/>
        </w:rPr>
        <w:t>enquête préliminaire</w:t>
      </w:r>
      <w:r w:rsidR="00631A13" w:rsidRPr="008544BB">
        <w:rPr>
          <w:lang w:val="fr-FR"/>
        </w:rPr>
        <w:t> ; e</w:t>
      </w:r>
      <w:r w:rsidR="00EC3ACD" w:rsidRPr="008544BB">
        <w:rPr>
          <w:lang w:val="fr-FR"/>
        </w:rPr>
        <w:t>lles se sont limité</w:t>
      </w:r>
      <w:r w:rsidR="00631A13" w:rsidRPr="008544BB">
        <w:rPr>
          <w:lang w:val="fr-FR"/>
        </w:rPr>
        <w:t>e</w:t>
      </w:r>
      <w:r w:rsidR="00EC3ACD" w:rsidRPr="008544BB">
        <w:rPr>
          <w:lang w:val="fr-FR"/>
        </w:rPr>
        <w:t xml:space="preserve">s à soumettre un article de presse relatant la </w:t>
      </w:r>
      <w:r w:rsidR="00954126" w:rsidRPr="008544BB">
        <w:rPr>
          <w:lang w:val="fr-FR"/>
        </w:rPr>
        <w:t>clôture</w:t>
      </w:r>
      <w:r w:rsidR="00EC3ACD" w:rsidRPr="008544BB">
        <w:rPr>
          <w:lang w:val="fr-FR"/>
        </w:rPr>
        <w:t xml:space="preserve"> d</w:t>
      </w:r>
      <w:r w:rsidR="008544BB" w:rsidRPr="008544BB">
        <w:rPr>
          <w:lang w:val="fr-FR"/>
        </w:rPr>
        <w:t>’</w:t>
      </w:r>
      <w:r w:rsidR="00EC3ACD" w:rsidRPr="008544BB">
        <w:rPr>
          <w:lang w:val="fr-FR"/>
        </w:rPr>
        <w:t>une procédure pénale relative à d</w:t>
      </w:r>
      <w:r w:rsidR="008544BB" w:rsidRPr="008544BB">
        <w:rPr>
          <w:lang w:val="fr-FR"/>
        </w:rPr>
        <w:t>’</w:t>
      </w:r>
      <w:r w:rsidR="00EC3ACD" w:rsidRPr="008544BB">
        <w:rPr>
          <w:lang w:val="fr-FR"/>
        </w:rPr>
        <w:t xml:space="preserve">autres faits qui auraient eu lieu </w:t>
      </w:r>
      <w:r w:rsidR="00841496" w:rsidRPr="008544BB">
        <w:rPr>
          <w:lang w:val="fr-FR"/>
        </w:rPr>
        <w:t>au sein</w:t>
      </w:r>
      <w:r w:rsidR="00EC3ACD" w:rsidRPr="008544BB">
        <w:rPr>
          <w:lang w:val="fr-FR"/>
        </w:rPr>
        <w:t xml:space="preserve"> de la maison d</w:t>
      </w:r>
      <w:r w:rsidR="008544BB" w:rsidRPr="008544BB">
        <w:rPr>
          <w:lang w:val="fr-FR"/>
        </w:rPr>
        <w:t>’</w:t>
      </w:r>
      <w:r w:rsidR="00EC3ACD" w:rsidRPr="008544BB">
        <w:rPr>
          <w:lang w:val="fr-FR"/>
        </w:rPr>
        <w:t>accueil « Rocca di Papa ».</w:t>
      </w:r>
    </w:p>
    <w:p w:rsidR="00FA28A0" w:rsidRPr="008544BB" w:rsidRDefault="00102E12"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93</w:t>
      </w:r>
      <w:r w:rsidRPr="008544BB">
        <w:rPr>
          <w:lang w:val="fr-FR"/>
        </w:rPr>
        <w:fldChar w:fldCharType="end"/>
      </w:r>
      <w:r w:rsidRPr="008544BB">
        <w:rPr>
          <w:lang w:val="fr-FR"/>
        </w:rPr>
        <w:t>.  </w:t>
      </w:r>
      <w:r w:rsidR="00CC70E7" w:rsidRPr="008544BB">
        <w:rPr>
          <w:lang w:val="fr-FR"/>
        </w:rPr>
        <w:t>Partant,</w:t>
      </w:r>
      <w:r w:rsidR="00D05C03" w:rsidRPr="008544BB">
        <w:rPr>
          <w:lang w:val="fr-FR"/>
        </w:rPr>
        <w:t xml:space="preserve"> la Cour considère que</w:t>
      </w:r>
      <w:r w:rsidR="00CC70E7" w:rsidRPr="008544BB">
        <w:rPr>
          <w:lang w:val="fr-FR"/>
        </w:rPr>
        <w:t xml:space="preserve"> </w:t>
      </w:r>
      <w:r w:rsidR="00D05C03" w:rsidRPr="008544BB">
        <w:rPr>
          <w:lang w:val="fr-FR"/>
        </w:rPr>
        <w:t xml:space="preserve">ce grief est manifestement mal fondé et </w:t>
      </w:r>
      <w:r w:rsidR="008840AF" w:rsidRPr="008544BB">
        <w:rPr>
          <w:lang w:val="fr-FR"/>
        </w:rPr>
        <w:t>qu</w:t>
      </w:r>
      <w:r w:rsidR="008544BB" w:rsidRPr="008544BB">
        <w:rPr>
          <w:lang w:val="fr-FR"/>
        </w:rPr>
        <w:t>’</w:t>
      </w:r>
      <w:r w:rsidR="008840AF" w:rsidRPr="008544BB">
        <w:rPr>
          <w:lang w:val="fr-FR"/>
        </w:rPr>
        <w:t xml:space="preserve">il </w:t>
      </w:r>
      <w:r w:rsidR="00D05C03" w:rsidRPr="008544BB">
        <w:rPr>
          <w:lang w:val="fr-FR"/>
        </w:rPr>
        <w:t>doit être rejeté</w:t>
      </w:r>
      <w:r w:rsidR="008840AF" w:rsidRPr="008544BB">
        <w:rPr>
          <w:lang w:val="fr-FR"/>
        </w:rPr>
        <w:t>,</w:t>
      </w:r>
      <w:r w:rsidR="00D05C03" w:rsidRPr="008544BB">
        <w:rPr>
          <w:lang w:val="fr-FR"/>
        </w:rPr>
        <w:t xml:space="preserve"> en application de l</w:t>
      </w:r>
      <w:r w:rsidR="008544BB" w:rsidRPr="008544BB">
        <w:rPr>
          <w:lang w:val="fr-FR"/>
        </w:rPr>
        <w:t>’</w:t>
      </w:r>
      <w:r w:rsidR="00D05C03" w:rsidRPr="008544BB">
        <w:rPr>
          <w:lang w:val="fr-FR"/>
        </w:rPr>
        <w:t>article 35 §§ 3 et 4 de la Convention.</w:t>
      </w:r>
    </w:p>
    <w:p w:rsidR="00E77CB3" w:rsidRPr="008544BB" w:rsidRDefault="007E56B1" w:rsidP="008544BB">
      <w:pPr>
        <w:pStyle w:val="ECHRHeading1"/>
        <w:rPr>
          <w:lang w:val="fr-FR"/>
        </w:rPr>
      </w:pPr>
      <w:r w:rsidRPr="008544BB">
        <w:rPr>
          <w:lang w:val="fr-FR"/>
        </w:rPr>
        <w:lastRenderedPageBreak/>
        <w:t>III</w:t>
      </w:r>
      <w:r w:rsidR="00E77CB3" w:rsidRPr="008544BB">
        <w:rPr>
          <w:lang w:val="fr-FR"/>
        </w:rPr>
        <w:t>.  SUR L</w:t>
      </w:r>
      <w:r w:rsidR="008544BB" w:rsidRPr="008544BB">
        <w:rPr>
          <w:lang w:val="fr-FR"/>
        </w:rPr>
        <w:t>’</w:t>
      </w:r>
      <w:r w:rsidR="00E77CB3" w:rsidRPr="008544BB">
        <w:rPr>
          <w:lang w:val="fr-FR"/>
        </w:rPr>
        <w:t>APPLICATION DE L</w:t>
      </w:r>
      <w:r w:rsidR="008544BB" w:rsidRPr="008544BB">
        <w:rPr>
          <w:lang w:val="fr-FR"/>
        </w:rPr>
        <w:t>’</w:t>
      </w:r>
      <w:r w:rsidR="00E77CB3" w:rsidRPr="008544BB">
        <w:rPr>
          <w:lang w:val="fr-FR"/>
        </w:rPr>
        <w:t>ARTICLE 41 DE LA CONVENTION</w:t>
      </w:r>
    </w:p>
    <w:p w:rsidR="00E77CB3" w:rsidRPr="008544BB" w:rsidRDefault="004A4240"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94</w:t>
      </w:r>
      <w:r w:rsidRPr="008544BB">
        <w:rPr>
          <w:lang w:val="fr-FR"/>
        </w:rPr>
        <w:fldChar w:fldCharType="end"/>
      </w:r>
      <w:r w:rsidR="00E77CB3" w:rsidRPr="008544BB">
        <w:rPr>
          <w:lang w:val="fr-FR"/>
        </w:rPr>
        <w:t>.  Aux termes de l</w:t>
      </w:r>
      <w:r w:rsidR="008544BB" w:rsidRPr="008544BB">
        <w:rPr>
          <w:lang w:val="fr-FR"/>
        </w:rPr>
        <w:t>’</w:t>
      </w:r>
      <w:r w:rsidR="00E77CB3" w:rsidRPr="008544BB">
        <w:rPr>
          <w:lang w:val="fr-FR"/>
        </w:rPr>
        <w:t>article 41 de la Convention,</w:t>
      </w:r>
    </w:p>
    <w:p w:rsidR="00E77CB3" w:rsidRPr="008544BB" w:rsidRDefault="00E77CB3" w:rsidP="008544BB">
      <w:pPr>
        <w:pStyle w:val="ECHRParaQuote"/>
        <w:keepNext/>
        <w:keepLines/>
        <w:rPr>
          <w:lang w:val="fr-FR"/>
        </w:rPr>
      </w:pPr>
      <w:r w:rsidRPr="008544BB">
        <w:rPr>
          <w:lang w:val="fr-FR"/>
        </w:rPr>
        <w:t>« Si la Cour déclare qu</w:t>
      </w:r>
      <w:r w:rsidR="008544BB" w:rsidRPr="008544BB">
        <w:rPr>
          <w:lang w:val="fr-FR"/>
        </w:rPr>
        <w:t>’</w:t>
      </w:r>
      <w:r w:rsidRPr="008544BB">
        <w:rPr>
          <w:lang w:val="fr-FR"/>
        </w:rPr>
        <w:t>il y a eu violation de la Convention ou de ses Protocoles, et si le droit interne de la Haute Partie contractante ne permet d</w:t>
      </w:r>
      <w:r w:rsidR="008544BB" w:rsidRPr="008544BB">
        <w:rPr>
          <w:lang w:val="fr-FR"/>
        </w:rPr>
        <w:t>’</w:t>
      </w:r>
      <w:r w:rsidRPr="008544BB">
        <w:rPr>
          <w:lang w:val="fr-FR"/>
        </w:rPr>
        <w:t>effacer qu</w:t>
      </w:r>
      <w:r w:rsidR="008544BB" w:rsidRPr="008544BB">
        <w:rPr>
          <w:lang w:val="fr-FR"/>
        </w:rPr>
        <w:t>’</w:t>
      </w:r>
      <w:r w:rsidRPr="008544BB">
        <w:rPr>
          <w:lang w:val="fr-FR"/>
        </w:rPr>
        <w:t>imparfaitement les conséquences de cette violation, la Cour accorde à la partie lésée, s</w:t>
      </w:r>
      <w:r w:rsidR="008544BB" w:rsidRPr="008544BB">
        <w:rPr>
          <w:lang w:val="fr-FR"/>
        </w:rPr>
        <w:t>’</w:t>
      </w:r>
      <w:r w:rsidRPr="008544BB">
        <w:rPr>
          <w:lang w:val="fr-FR"/>
        </w:rPr>
        <w:t>il y a lieu, une satisfaction équitable. »</w:t>
      </w:r>
    </w:p>
    <w:p w:rsidR="00E77CB3" w:rsidRPr="008544BB" w:rsidRDefault="00E77CB3" w:rsidP="008544BB">
      <w:pPr>
        <w:pStyle w:val="ECHRHeading2"/>
        <w:rPr>
          <w:lang w:val="fr-FR"/>
        </w:rPr>
      </w:pPr>
      <w:r w:rsidRPr="008544BB">
        <w:rPr>
          <w:lang w:val="fr-FR"/>
        </w:rPr>
        <w:t>A.  Dommage</w:t>
      </w:r>
    </w:p>
    <w:p w:rsidR="00D05C03" w:rsidRPr="008544BB" w:rsidRDefault="00D05C03" w:rsidP="008544BB">
      <w:pPr>
        <w:pStyle w:val="ECHRPara"/>
        <w:contextualSpacing/>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95</w:t>
      </w:r>
      <w:r w:rsidRPr="008544BB">
        <w:rPr>
          <w:lang w:val="fr-FR"/>
        </w:rPr>
        <w:fldChar w:fldCharType="end"/>
      </w:r>
      <w:r w:rsidRPr="008544BB">
        <w:rPr>
          <w:lang w:val="fr-FR"/>
        </w:rPr>
        <w:t>.  </w:t>
      </w:r>
      <w:r w:rsidR="00552F07" w:rsidRPr="008544BB">
        <w:rPr>
          <w:lang w:val="fr-FR"/>
        </w:rPr>
        <w:t>Les</w:t>
      </w:r>
      <w:r w:rsidR="00286B0B" w:rsidRPr="008544BB">
        <w:rPr>
          <w:lang w:val="fr-FR"/>
        </w:rPr>
        <w:t xml:space="preserve"> </w:t>
      </w:r>
      <w:r w:rsidR="00E31E6F" w:rsidRPr="008544BB">
        <w:rPr>
          <w:lang w:val="fr-FR"/>
        </w:rPr>
        <w:t>requérant</w:t>
      </w:r>
      <w:r w:rsidR="003E3CE2" w:rsidRPr="008544BB">
        <w:rPr>
          <w:lang w:val="fr-FR"/>
        </w:rPr>
        <w:t>e</w:t>
      </w:r>
      <w:r w:rsidR="00552F07" w:rsidRPr="008544BB">
        <w:rPr>
          <w:lang w:val="fr-FR"/>
        </w:rPr>
        <w:t>s</w:t>
      </w:r>
      <w:r w:rsidR="00E31E6F" w:rsidRPr="008544BB">
        <w:rPr>
          <w:lang w:val="fr-FR"/>
        </w:rPr>
        <w:t xml:space="preserve"> réclame</w:t>
      </w:r>
      <w:r w:rsidR="00552F07" w:rsidRPr="008544BB">
        <w:rPr>
          <w:lang w:val="fr-FR"/>
        </w:rPr>
        <w:t>nt</w:t>
      </w:r>
      <w:r w:rsidR="00E31E6F" w:rsidRPr="008544BB">
        <w:rPr>
          <w:lang w:val="fr-FR"/>
        </w:rPr>
        <w:t xml:space="preserve"> 50 000 </w:t>
      </w:r>
      <w:r w:rsidR="00286B0B" w:rsidRPr="008544BB">
        <w:rPr>
          <w:lang w:val="fr-FR"/>
        </w:rPr>
        <w:t>euros (</w:t>
      </w:r>
      <w:r w:rsidR="00E31E6F" w:rsidRPr="008544BB">
        <w:rPr>
          <w:lang w:val="fr-FR"/>
        </w:rPr>
        <w:t>EUR</w:t>
      </w:r>
      <w:r w:rsidR="00286B0B" w:rsidRPr="008544BB">
        <w:rPr>
          <w:lang w:val="fr-FR"/>
        </w:rPr>
        <w:t>)</w:t>
      </w:r>
      <w:r w:rsidR="00E31E6F" w:rsidRPr="008544BB">
        <w:rPr>
          <w:lang w:val="fr-FR"/>
        </w:rPr>
        <w:t xml:space="preserve"> pour </w:t>
      </w:r>
      <w:r w:rsidR="00EC3ACD" w:rsidRPr="008544BB">
        <w:rPr>
          <w:lang w:val="fr-FR"/>
        </w:rPr>
        <w:t>la première requérante</w:t>
      </w:r>
      <w:r w:rsidR="00E31E6F" w:rsidRPr="008544BB">
        <w:rPr>
          <w:lang w:val="fr-FR"/>
        </w:rPr>
        <w:t>, 30</w:t>
      </w:r>
      <w:r w:rsidR="009640BC" w:rsidRPr="008544BB">
        <w:rPr>
          <w:lang w:val="fr-FR"/>
        </w:rPr>
        <w:t> </w:t>
      </w:r>
      <w:r w:rsidR="00E31E6F" w:rsidRPr="008544BB">
        <w:rPr>
          <w:lang w:val="fr-FR"/>
        </w:rPr>
        <w:t>000</w:t>
      </w:r>
      <w:r w:rsidR="009640BC" w:rsidRPr="008544BB">
        <w:rPr>
          <w:lang w:val="fr-FR"/>
        </w:rPr>
        <w:t xml:space="preserve"> </w:t>
      </w:r>
      <w:r w:rsidR="00E31E6F" w:rsidRPr="008544BB">
        <w:rPr>
          <w:lang w:val="fr-FR"/>
        </w:rPr>
        <w:t>EUR pour</w:t>
      </w:r>
      <w:r w:rsidR="00EC3ACD" w:rsidRPr="008544BB">
        <w:rPr>
          <w:lang w:val="fr-FR"/>
        </w:rPr>
        <w:t xml:space="preserve"> la deuxième requérante</w:t>
      </w:r>
      <w:r w:rsidR="00E31E6F" w:rsidRPr="008544BB">
        <w:rPr>
          <w:lang w:val="fr-FR"/>
        </w:rPr>
        <w:t xml:space="preserve"> et 30</w:t>
      </w:r>
      <w:r w:rsidR="00700BBB" w:rsidRPr="008544BB">
        <w:rPr>
          <w:lang w:val="fr-FR"/>
        </w:rPr>
        <w:t> </w:t>
      </w:r>
      <w:r w:rsidR="00E31E6F" w:rsidRPr="008544BB">
        <w:rPr>
          <w:lang w:val="fr-FR"/>
        </w:rPr>
        <w:t>000 EUR</w:t>
      </w:r>
      <w:r w:rsidR="00186188" w:rsidRPr="008544BB">
        <w:rPr>
          <w:lang w:val="fr-FR"/>
        </w:rPr>
        <w:t xml:space="preserve"> </w:t>
      </w:r>
      <w:r w:rsidR="00E31E6F" w:rsidRPr="008544BB">
        <w:rPr>
          <w:lang w:val="fr-FR"/>
        </w:rPr>
        <w:t>pour cha</w:t>
      </w:r>
      <w:r w:rsidR="00286B0B" w:rsidRPr="008544BB">
        <w:rPr>
          <w:lang w:val="fr-FR"/>
        </w:rPr>
        <w:t>cun des</w:t>
      </w:r>
      <w:r w:rsidR="00E31E6F" w:rsidRPr="008544BB">
        <w:rPr>
          <w:lang w:val="fr-FR"/>
        </w:rPr>
        <w:t xml:space="preserve"> enfant</w:t>
      </w:r>
      <w:r w:rsidR="00286B0B" w:rsidRPr="008544BB">
        <w:rPr>
          <w:lang w:val="fr-FR"/>
        </w:rPr>
        <w:t>s</w:t>
      </w:r>
      <w:r w:rsidR="00552F07" w:rsidRPr="008544BB">
        <w:rPr>
          <w:lang w:val="fr-FR"/>
        </w:rPr>
        <w:t xml:space="preserve"> au titre des préjudices matériel et moral subis d</w:t>
      </w:r>
      <w:r w:rsidR="008544BB" w:rsidRPr="008544BB">
        <w:rPr>
          <w:lang w:val="fr-FR"/>
        </w:rPr>
        <w:t>’</w:t>
      </w:r>
      <w:r w:rsidR="00552F07" w:rsidRPr="008544BB">
        <w:rPr>
          <w:lang w:val="fr-FR"/>
        </w:rPr>
        <w:t>après elles du fait de la violation alléguée des articles 3 et 8 de la Convention</w:t>
      </w:r>
      <w:r w:rsidRPr="008544BB">
        <w:rPr>
          <w:lang w:val="fr-FR"/>
        </w:rPr>
        <w:t>.</w:t>
      </w:r>
    </w:p>
    <w:p w:rsidR="00D05C03" w:rsidRPr="008544BB" w:rsidRDefault="00D05C03" w:rsidP="008544BB">
      <w:pPr>
        <w:pStyle w:val="ECHRPara"/>
        <w:contextualSpacing/>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96</w:t>
      </w:r>
      <w:r w:rsidRPr="008544BB">
        <w:rPr>
          <w:lang w:val="fr-FR"/>
        </w:rPr>
        <w:fldChar w:fldCharType="end"/>
      </w:r>
      <w:r w:rsidRPr="008544BB">
        <w:rPr>
          <w:lang w:val="fr-FR"/>
        </w:rPr>
        <w:t xml:space="preserve">.  Le Gouvernement estime </w:t>
      </w:r>
      <w:r w:rsidR="00700BBB" w:rsidRPr="008544BB">
        <w:rPr>
          <w:lang w:val="fr-FR"/>
        </w:rPr>
        <w:t>que les</w:t>
      </w:r>
      <w:r w:rsidRPr="008544BB">
        <w:rPr>
          <w:lang w:val="fr-FR"/>
        </w:rPr>
        <w:t xml:space="preserve"> somme</w:t>
      </w:r>
      <w:r w:rsidR="00700BBB" w:rsidRPr="008544BB">
        <w:rPr>
          <w:lang w:val="fr-FR"/>
        </w:rPr>
        <w:t>s réclamées sont</w:t>
      </w:r>
      <w:r w:rsidRPr="008544BB">
        <w:rPr>
          <w:lang w:val="fr-FR"/>
        </w:rPr>
        <w:t xml:space="preserve"> excessive</w:t>
      </w:r>
      <w:r w:rsidR="00700BBB" w:rsidRPr="008544BB">
        <w:rPr>
          <w:lang w:val="fr-FR"/>
        </w:rPr>
        <w:t>s. Il considère</w:t>
      </w:r>
      <w:r w:rsidRPr="008544BB">
        <w:rPr>
          <w:lang w:val="fr-FR"/>
        </w:rPr>
        <w:t xml:space="preserve"> que</w:t>
      </w:r>
      <w:r w:rsidR="00700BBB" w:rsidRPr="008544BB">
        <w:rPr>
          <w:lang w:val="fr-FR"/>
        </w:rPr>
        <w:t>,</w:t>
      </w:r>
      <w:r w:rsidRPr="008544BB">
        <w:rPr>
          <w:lang w:val="fr-FR"/>
        </w:rPr>
        <w:t xml:space="preserve"> si la Cour devait </w:t>
      </w:r>
      <w:r w:rsidR="00700BBB" w:rsidRPr="008544BB">
        <w:rPr>
          <w:lang w:val="fr-FR"/>
        </w:rPr>
        <w:t>parvenir à un constat de</w:t>
      </w:r>
      <w:r w:rsidRPr="008544BB">
        <w:rPr>
          <w:lang w:val="fr-FR"/>
        </w:rPr>
        <w:t xml:space="preserve"> violation de la Convention, </w:t>
      </w:r>
      <w:r w:rsidR="00700BBB" w:rsidRPr="008544BB">
        <w:rPr>
          <w:lang w:val="fr-FR"/>
        </w:rPr>
        <w:t>un tel constat</w:t>
      </w:r>
      <w:r w:rsidRPr="008544BB">
        <w:rPr>
          <w:lang w:val="fr-FR"/>
        </w:rPr>
        <w:t xml:space="preserve"> constituerait une importante mesure compensatoire pour les requérantes, </w:t>
      </w:r>
      <w:r w:rsidR="00700BBB" w:rsidRPr="008544BB">
        <w:rPr>
          <w:lang w:val="fr-FR"/>
        </w:rPr>
        <w:t>puisque, selon lui,</w:t>
      </w:r>
      <w:r w:rsidRPr="008544BB">
        <w:rPr>
          <w:lang w:val="fr-FR"/>
        </w:rPr>
        <w:t xml:space="preserve"> le recours </w:t>
      </w:r>
      <w:r w:rsidR="00700BBB" w:rsidRPr="008544BB">
        <w:rPr>
          <w:lang w:val="fr-FR"/>
        </w:rPr>
        <w:t>offert par l</w:t>
      </w:r>
      <w:r w:rsidR="008544BB" w:rsidRPr="008544BB">
        <w:rPr>
          <w:lang w:val="fr-FR"/>
        </w:rPr>
        <w:t>’</w:t>
      </w:r>
      <w:r w:rsidR="00700BBB" w:rsidRPr="008544BB">
        <w:rPr>
          <w:lang w:val="fr-FR"/>
        </w:rPr>
        <w:t xml:space="preserve">article 34 de la Convention </w:t>
      </w:r>
      <w:r w:rsidRPr="008544BB">
        <w:rPr>
          <w:lang w:val="fr-FR"/>
        </w:rPr>
        <w:t>n</w:t>
      </w:r>
      <w:r w:rsidR="008544BB" w:rsidRPr="008544BB">
        <w:rPr>
          <w:lang w:val="fr-FR"/>
        </w:rPr>
        <w:t>’</w:t>
      </w:r>
      <w:r w:rsidRPr="008544BB">
        <w:rPr>
          <w:lang w:val="fr-FR"/>
        </w:rPr>
        <w:t xml:space="preserve">a </w:t>
      </w:r>
      <w:r w:rsidR="00700BBB" w:rsidRPr="008544BB">
        <w:rPr>
          <w:lang w:val="fr-FR"/>
        </w:rPr>
        <w:t>assurément pas été</w:t>
      </w:r>
      <w:r w:rsidRPr="008544BB">
        <w:rPr>
          <w:lang w:val="fr-FR"/>
        </w:rPr>
        <w:t xml:space="preserve"> proposé </w:t>
      </w:r>
      <w:r w:rsidR="00700BBB" w:rsidRPr="008544BB">
        <w:rPr>
          <w:lang w:val="fr-FR"/>
        </w:rPr>
        <w:t>à des fins</w:t>
      </w:r>
      <w:r w:rsidRPr="008544BB">
        <w:rPr>
          <w:lang w:val="fr-FR"/>
        </w:rPr>
        <w:t xml:space="preserve"> économiques. </w:t>
      </w:r>
      <w:r w:rsidR="00700BBB" w:rsidRPr="008544BB">
        <w:rPr>
          <w:lang w:val="fr-FR"/>
        </w:rPr>
        <w:t>En outre, en ce qui concerne les</w:t>
      </w:r>
      <w:r w:rsidRPr="008544BB">
        <w:rPr>
          <w:lang w:val="fr-FR"/>
        </w:rPr>
        <w:t xml:space="preserve"> montants demandés </w:t>
      </w:r>
      <w:r w:rsidR="00613894" w:rsidRPr="008544BB">
        <w:rPr>
          <w:lang w:val="fr-FR"/>
        </w:rPr>
        <w:t>pour les</w:t>
      </w:r>
      <w:r w:rsidRPr="008544BB">
        <w:rPr>
          <w:lang w:val="fr-FR"/>
        </w:rPr>
        <w:t xml:space="preserve"> enfants, </w:t>
      </w:r>
      <w:r w:rsidR="00700BBB" w:rsidRPr="008544BB">
        <w:rPr>
          <w:lang w:val="fr-FR"/>
        </w:rPr>
        <w:t>il conteste leur fondement au motif que les requérantes</w:t>
      </w:r>
      <w:r w:rsidRPr="008544BB">
        <w:rPr>
          <w:lang w:val="fr-FR"/>
        </w:rPr>
        <w:t xml:space="preserve"> n</w:t>
      </w:r>
      <w:r w:rsidR="008544BB" w:rsidRPr="008544BB">
        <w:rPr>
          <w:lang w:val="fr-FR"/>
        </w:rPr>
        <w:t>’</w:t>
      </w:r>
      <w:r w:rsidRPr="008544BB">
        <w:rPr>
          <w:lang w:val="fr-FR"/>
        </w:rPr>
        <w:t xml:space="preserve">ont pas la qualité pour agir </w:t>
      </w:r>
      <w:r w:rsidR="00700BBB" w:rsidRPr="008544BB">
        <w:rPr>
          <w:lang w:val="fr-FR"/>
        </w:rPr>
        <w:t>au</w:t>
      </w:r>
      <w:r w:rsidRPr="008544BB">
        <w:rPr>
          <w:lang w:val="fr-FR"/>
        </w:rPr>
        <w:t xml:space="preserve"> nom</w:t>
      </w:r>
      <w:r w:rsidR="00700BBB" w:rsidRPr="008544BB">
        <w:rPr>
          <w:lang w:val="fr-FR"/>
        </w:rPr>
        <w:t xml:space="preserve"> des mineurs</w:t>
      </w:r>
      <w:r w:rsidRPr="008544BB">
        <w:rPr>
          <w:lang w:val="fr-FR"/>
        </w:rPr>
        <w:t>.</w:t>
      </w:r>
    </w:p>
    <w:p w:rsidR="00E77CB3" w:rsidRPr="008544BB" w:rsidRDefault="004A4240"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97</w:t>
      </w:r>
      <w:r w:rsidRPr="008544BB">
        <w:rPr>
          <w:lang w:val="fr-FR"/>
        </w:rPr>
        <w:fldChar w:fldCharType="end"/>
      </w:r>
      <w:r w:rsidR="00E77CB3" w:rsidRPr="008544BB">
        <w:rPr>
          <w:lang w:val="fr-FR"/>
        </w:rPr>
        <w:t>.  La Cour considère qu</w:t>
      </w:r>
      <w:r w:rsidR="008544BB" w:rsidRPr="008544BB">
        <w:rPr>
          <w:lang w:val="fr-FR"/>
        </w:rPr>
        <w:t>’</w:t>
      </w:r>
      <w:r w:rsidR="00E77CB3" w:rsidRPr="008544BB">
        <w:rPr>
          <w:lang w:val="fr-FR"/>
        </w:rPr>
        <w:t>il y a lieu d</w:t>
      </w:r>
      <w:r w:rsidR="008544BB" w:rsidRPr="008544BB">
        <w:rPr>
          <w:lang w:val="fr-FR"/>
        </w:rPr>
        <w:t>’</w:t>
      </w:r>
      <w:r w:rsidR="00E77CB3" w:rsidRPr="008544BB">
        <w:rPr>
          <w:lang w:val="fr-FR"/>
        </w:rPr>
        <w:t xml:space="preserve">octroyer </w:t>
      </w:r>
      <w:r w:rsidR="00314A8D" w:rsidRPr="008544BB">
        <w:rPr>
          <w:lang w:val="fr-FR"/>
        </w:rPr>
        <w:t xml:space="preserve">conjointement </w:t>
      </w:r>
      <w:r w:rsidRPr="008544BB">
        <w:rPr>
          <w:lang w:val="fr-FR"/>
        </w:rPr>
        <w:t>aux requérant</w:t>
      </w:r>
      <w:r w:rsidR="003E3CE2" w:rsidRPr="008544BB">
        <w:rPr>
          <w:lang w:val="fr-FR"/>
        </w:rPr>
        <w:t>e</w:t>
      </w:r>
      <w:r w:rsidRPr="008544BB">
        <w:rPr>
          <w:lang w:val="fr-FR"/>
        </w:rPr>
        <w:t>s</w:t>
      </w:r>
      <w:r w:rsidR="008342DC" w:rsidRPr="008544BB">
        <w:rPr>
          <w:lang w:val="fr-FR"/>
        </w:rPr>
        <w:t xml:space="preserve"> </w:t>
      </w:r>
      <w:r w:rsidR="003F23D1" w:rsidRPr="008544BB">
        <w:rPr>
          <w:lang w:val="fr-FR"/>
        </w:rPr>
        <w:t>1</w:t>
      </w:r>
      <w:r w:rsidR="009F7952" w:rsidRPr="008544BB">
        <w:rPr>
          <w:lang w:val="fr-FR"/>
        </w:rPr>
        <w:t>2</w:t>
      </w:r>
      <w:r w:rsidR="00700BBB" w:rsidRPr="008544BB">
        <w:rPr>
          <w:lang w:val="fr-FR"/>
        </w:rPr>
        <w:t> </w:t>
      </w:r>
      <w:r w:rsidR="008342DC" w:rsidRPr="008544BB">
        <w:rPr>
          <w:lang w:val="fr-FR"/>
        </w:rPr>
        <w:t>000</w:t>
      </w:r>
      <w:r w:rsidR="00E77CB3" w:rsidRPr="008544BB">
        <w:rPr>
          <w:lang w:val="fr-FR"/>
        </w:rPr>
        <w:t xml:space="preserve"> EUR </w:t>
      </w:r>
      <w:r w:rsidR="00314A8D" w:rsidRPr="008544BB">
        <w:rPr>
          <w:lang w:val="fr-FR"/>
        </w:rPr>
        <w:t>pour dommage</w:t>
      </w:r>
      <w:r w:rsidR="00E77CB3" w:rsidRPr="008544BB">
        <w:rPr>
          <w:lang w:val="fr-FR"/>
        </w:rPr>
        <w:t xml:space="preserve"> moral.</w:t>
      </w:r>
    </w:p>
    <w:p w:rsidR="00E77CB3" w:rsidRPr="008544BB" w:rsidRDefault="00E77CB3" w:rsidP="008544BB">
      <w:pPr>
        <w:pStyle w:val="ECHRHeading2"/>
        <w:rPr>
          <w:lang w:val="fr-FR"/>
        </w:rPr>
      </w:pPr>
      <w:r w:rsidRPr="008544BB">
        <w:rPr>
          <w:lang w:val="fr-FR"/>
        </w:rPr>
        <w:t>B.  Frais et dépens</w:t>
      </w:r>
    </w:p>
    <w:p w:rsidR="00D05C03" w:rsidRPr="008544BB" w:rsidRDefault="00D05C03" w:rsidP="008544BB">
      <w:pPr>
        <w:pStyle w:val="ECHRPara"/>
        <w:contextualSpacing/>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98</w:t>
      </w:r>
      <w:r w:rsidRPr="008544BB">
        <w:rPr>
          <w:lang w:val="fr-FR"/>
        </w:rPr>
        <w:fldChar w:fldCharType="end"/>
      </w:r>
      <w:r w:rsidRPr="008544BB">
        <w:rPr>
          <w:lang w:val="fr-FR"/>
        </w:rPr>
        <w:t>.  Les requérant</w:t>
      </w:r>
      <w:r w:rsidR="003E3CE2" w:rsidRPr="008544BB">
        <w:rPr>
          <w:lang w:val="fr-FR"/>
        </w:rPr>
        <w:t>e</w:t>
      </w:r>
      <w:r w:rsidRPr="008544BB">
        <w:rPr>
          <w:lang w:val="fr-FR"/>
        </w:rPr>
        <w:t xml:space="preserve">s demandent également </w:t>
      </w:r>
      <w:r w:rsidR="00503644" w:rsidRPr="008544BB">
        <w:rPr>
          <w:lang w:val="fr-FR"/>
        </w:rPr>
        <w:t xml:space="preserve">9 464 EUR pour les frais et dépens </w:t>
      </w:r>
      <w:r w:rsidR="00F1347A" w:rsidRPr="008544BB">
        <w:rPr>
          <w:lang w:val="fr-FR"/>
        </w:rPr>
        <w:t>exposés</w:t>
      </w:r>
      <w:r w:rsidR="00503644" w:rsidRPr="008544BB">
        <w:rPr>
          <w:lang w:val="fr-FR"/>
        </w:rPr>
        <w:t xml:space="preserve"> devant les juridictions internes et 30</w:t>
      </w:r>
      <w:r w:rsidR="00F1347A" w:rsidRPr="008544BB">
        <w:rPr>
          <w:lang w:val="fr-FR"/>
        </w:rPr>
        <w:t> </w:t>
      </w:r>
      <w:r w:rsidR="00503644" w:rsidRPr="008544BB">
        <w:rPr>
          <w:lang w:val="fr-FR"/>
        </w:rPr>
        <w:t>831</w:t>
      </w:r>
      <w:r w:rsidR="00F1347A" w:rsidRPr="008544BB">
        <w:rPr>
          <w:lang w:val="fr-FR"/>
        </w:rPr>
        <w:t>,</w:t>
      </w:r>
      <w:r w:rsidR="00503644" w:rsidRPr="008544BB">
        <w:rPr>
          <w:lang w:val="fr-FR"/>
        </w:rPr>
        <w:t>84</w:t>
      </w:r>
      <w:r w:rsidRPr="008544BB">
        <w:rPr>
          <w:lang w:val="fr-FR"/>
        </w:rPr>
        <w:t xml:space="preserve"> EUR pour </w:t>
      </w:r>
      <w:r w:rsidR="00503644" w:rsidRPr="008544BB">
        <w:rPr>
          <w:lang w:val="fr-FR"/>
        </w:rPr>
        <w:t>ce</w:t>
      </w:r>
      <w:r w:rsidR="0023766D" w:rsidRPr="008544BB">
        <w:rPr>
          <w:lang w:val="fr-FR"/>
        </w:rPr>
        <w:t>ux</w:t>
      </w:r>
      <w:r w:rsidR="00503644" w:rsidRPr="008544BB">
        <w:rPr>
          <w:lang w:val="fr-FR"/>
        </w:rPr>
        <w:t xml:space="preserve"> en</w:t>
      </w:r>
      <w:r w:rsidR="00F1347A" w:rsidRPr="008544BB">
        <w:rPr>
          <w:lang w:val="fr-FR"/>
        </w:rPr>
        <w:t>gagés</w:t>
      </w:r>
      <w:r w:rsidR="00503644" w:rsidRPr="008544BB">
        <w:rPr>
          <w:lang w:val="fr-FR"/>
        </w:rPr>
        <w:t xml:space="preserve"> devant</w:t>
      </w:r>
      <w:r w:rsidRPr="008544BB">
        <w:rPr>
          <w:lang w:val="fr-FR"/>
        </w:rPr>
        <w:t xml:space="preserve"> la Cour.</w:t>
      </w:r>
    </w:p>
    <w:p w:rsidR="00D05C03" w:rsidRPr="008544BB" w:rsidRDefault="00D05C03"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99</w:t>
      </w:r>
      <w:r w:rsidRPr="008544BB">
        <w:rPr>
          <w:lang w:val="fr-FR"/>
        </w:rPr>
        <w:fldChar w:fldCharType="end"/>
      </w:r>
      <w:r w:rsidRPr="008544BB">
        <w:rPr>
          <w:lang w:val="fr-FR"/>
        </w:rPr>
        <w:t xml:space="preserve">.  Le Gouvernement </w:t>
      </w:r>
      <w:r w:rsidR="003F23D1" w:rsidRPr="008544BB">
        <w:rPr>
          <w:lang w:val="fr-FR"/>
        </w:rPr>
        <w:t>conteste ces prétentions</w:t>
      </w:r>
      <w:r w:rsidRPr="008544BB">
        <w:rPr>
          <w:lang w:val="fr-FR"/>
        </w:rPr>
        <w:t>.</w:t>
      </w:r>
    </w:p>
    <w:p w:rsidR="00E77CB3" w:rsidRPr="008544BB" w:rsidRDefault="004A4240"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100</w:t>
      </w:r>
      <w:r w:rsidRPr="008544BB">
        <w:rPr>
          <w:lang w:val="fr-FR"/>
        </w:rPr>
        <w:fldChar w:fldCharType="end"/>
      </w:r>
      <w:r w:rsidR="00E77CB3" w:rsidRPr="008544BB">
        <w:rPr>
          <w:lang w:val="fr-FR"/>
        </w:rPr>
        <w:t>.  </w:t>
      </w:r>
      <w:r w:rsidRPr="008544BB">
        <w:rPr>
          <w:lang w:val="fr-FR"/>
        </w:rPr>
        <w:t xml:space="preserve">Selon la jurisprudence de la Cour, un requérant ne peut obtenir le remboursement de ses frais et dépens que dans la mesure où se trouvent établis leur réalité, leur nécessité et le caractère raisonnable de leur taux. </w:t>
      </w:r>
      <w:r w:rsidR="0023766D" w:rsidRPr="008544BB">
        <w:rPr>
          <w:lang w:val="fr-FR"/>
        </w:rPr>
        <w:t>En l</w:t>
      </w:r>
      <w:r w:rsidR="008544BB" w:rsidRPr="008544BB">
        <w:rPr>
          <w:lang w:val="fr-FR"/>
        </w:rPr>
        <w:t>’</w:t>
      </w:r>
      <w:r w:rsidR="0023766D" w:rsidRPr="008544BB">
        <w:rPr>
          <w:lang w:val="fr-FR"/>
        </w:rPr>
        <w:t>espèce</w:t>
      </w:r>
      <w:r w:rsidR="003F23D1" w:rsidRPr="008544BB">
        <w:rPr>
          <w:lang w:val="fr-FR"/>
        </w:rPr>
        <w:t xml:space="preserve">, </w:t>
      </w:r>
      <w:r w:rsidRPr="008544BB">
        <w:rPr>
          <w:lang w:val="fr-FR"/>
        </w:rPr>
        <w:t>compte</w:t>
      </w:r>
      <w:r w:rsidR="00E77CB3" w:rsidRPr="008544BB">
        <w:rPr>
          <w:lang w:val="fr-FR"/>
        </w:rPr>
        <w:t xml:space="preserve"> tenu des documents </w:t>
      </w:r>
      <w:r w:rsidR="00D576CF" w:rsidRPr="008544BB">
        <w:rPr>
          <w:lang w:val="fr-FR"/>
        </w:rPr>
        <w:t>dont elle dispose</w:t>
      </w:r>
      <w:r w:rsidR="00E77CB3" w:rsidRPr="008544BB">
        <w:rPr>
          <w:lang w:val="fr-FR"/>
        </w:rPr>
        <w:t xml:space="preserve"> et de sa jurisprudence, la Cour estime raisonnable la somme </w:t>
      </w:r>
      <w:r w:rsidR="0023766D" w:rsidRPr="008544BB">
        <w:rPr>
          <w:lang w:val="fr-FR"/>
        </w:rPr>
        <w:t xml:space="preserve">globale </w:t>
      </w:r>
      <w:r w:rsidR="00E77CB3" w:rsidRPr="008544BB">
        <w:rPr>
          <w:lang w:val="fr-FR"/>
        </w:rPr>
        <w:t xml:space="preserve">de </w:t>
      </w:r>
      <w:r w:rsidR="00935F52" w:rsidRPr="008544BB">
        <w:rPr>
          <w:lang w:val="fr-FR"/>
        </w:rPr>
        <w:t>1</w:t>
      </w:r>
      <w:r w:rsidR="001A3345" w:rsidRPr="008544BB">
        <w:rPr>
          <w:lang w:val="fr-FR"/>
        </w:rPr>
        <w:t>2</w:t>
      </w:r>
      <w:r w:rsidR="003C01B6" w:rsidRPr="008544BB">
        <w:rPr>
          <w:lang w:val="fr-FR"/>
        </w:rPr>
        <w:t> </w:t>
      </w:r>
      <w:r w:rsidR="00935F52" w:rsidRPr="008544BB">
        <w:rPr>
          <w:lang w:val="fr-FR"/>
        </w:rPr>
        <w:t>000</w:t>
      </w:r>
      <w:r w:rsidR="00E77CB3" w:rsidRPr="008544BB">
        <w:rPr>
          <w:lang w:val="fr-FR"/>
        </w:rPr>
        <w:t xml:space="preserve"> EUR tous frais confondus et l</w:t>
      </w:r>
      <w:r w:rsidR="008544BB" w:rsidRPr="008544BB">
        <w:rPr>
          <w:lang w:val="fr-FR"/>
        </w:rPr>
        <w:t>’</w:t>
      </w:r>
      <w:r w:rsidR="00E77CB3" w:rsidRPr="008544BB">
        <w:rPr>
          <w:lang w:val="fr-FR"/>
        </w:rPr>
        <w:t xml:space="preserve">accorde </w:t>
      </w:r>
      <w:r w:rsidR="00935F52" w:rsidRPr="008544BB">
        <w:rPr>
          <w:lang w:val="fr-FR"/>
        </w:rPr>
        <w:t>aux requérant</w:t>
      </w:r>
      <w:r w:rsidR="003E3CE2" w:rsidRPr="008544BB">
        <w:rPr>
          <w:lang w:val="fr-FR"/>
        </w:rPr>
        <w:t>e</w:t>
      </w:r>
      <w:r w:rsidRPr="008544BB">
        <w:rPr>
          <w:lang w:val="fr-FR"/>
        </w:rPr>
        <w:t>s</w:t>
      </w:r>
      <w:r w:rsidR="00E77CB3" w:rsidRPr="008544BB">
        <w:rPr>
          <w:lang w:val="fr-FR"/>
        </w:rPr>
        <w:t>.</w:t>
      </w:r>
    </w:p>
    <w:p w:rsidR="00E77CB3" w:rsidRPr="008544BB" w:rsidRDefault="00E77CB3" w:rsidP="008544BB">
      <w:pPr>
        <w:pStyle w:val="ECHRHeading2"/>
        <w:rPr>
          <w:lang w:val="fr-FR"/>
        </w:rPr>
      </w:pPr>
      <w:r w:rsidRPr="008544BB">
        <w:rPr>
          <w:lang w:val="fr-FR"/>
        </w:rPr>
        <w:t>C.  Intérêts moratoires</w:t>
      </w:r>
    </w:p>
    <w:p w:rsidR="00E77CB3" w:rsidRPr="008544BB" w:rsidRDefault="001F3C47" w:rsidP="008544BB">
      <w:pPr>
        <w:pStyle w:val="ECHRPara"/>
        <w:rPr>
          <w:lang w:val="fr-FR"/>
        </w:rPr>
      </w:pPr>
      <w:r w:rsidRPr="008544BB">
        <w:rPr>
          <w:lang w:val="fr-FR"/>
        </w:rPr>
        <w:fldChar w:fldCharType="begin"/>
      </w:r>
      <w:r w:rsidRPr="008544BB">
        <w:rPr>
          <w:lang w:val="fr-FR"/>
        </w:rPr>
        <w:instrText xml:space="preserve"> SEQ level0 \*arabic </w:instrText>
      </w:r>
      <w:r w:rsidRPr="008544BB">
        <w:rPr>
          <w:lang w:val="fr-FR"/>
        </w:rPr>
        <w:fldChar w:fldCharType="separate"/>
      </w:r>
      <w:r w:rsidR="008544BB" w:rsidRPr="008544BB">
        <w:rPr>
          <w:noProof/>
          <w:lang w:val="fr-FR"/>
        </w:rPr>
        <w:t>101</w:t>
      </w:r>
      <w:r w:rsidRPr="008544BB">
        <w:rPr>
          <w:lang w:val="fr-FR"/>
        </w:rPr>
        <w:fldChar w:fldCharType="end"/>
      </w:r>
      <w:r w:rsidRPr="008544BB">
        <w:rPr>
          <w:lang w:val="fr-FR"/>
        </w:rPr>
        <w:t>.  </w:t>
      </w:r>
      <w:r w:rsidR="00E77CB3" w:rsidRPr="008544BB">
        <w:rPr>
          <w:lang w:val="fr-FR"/>
        </w:rPr>
        <w:t>La Cour juge approprié de calquer le taux des intérêts moratoires sur le taux d</w:t>
      </w:r>
      <w:r w:rsidR="008544BB" w:rsidRPr="008544BB">
        <w:rPr>
          <w:lang w:val="fr-FR"/>
        </w:rPr>
        <w:t>’</w:t>
      </w:r>
      <w:r w:rsidR="00E77CB3" w:rsidRPr="008544BB">
        <w:rPr>
          <w:lang w:val="fr-FR"/>
        </w:rPr>
        <w:t>intérêt de la facilité de prêt marginal de la Banque centrale européenne majoré de trois points de pourcentage.</w:t>
      </w:r>
    </w:p>
    <w:p w:rsidR="00E77CB3" w:rsidRPr="008544BB" w:rsidRDefault="00E77CB3" w:rsidP="008544BB">
      <w:pPr>
        <w:pStyle w:val="ECHRTitle1"/>
        <w:rPr>
          <w:lang w:val="fr-FR"/>
        </w:rPr>
      </w:pPr>
      <w:r w:rsidRPr="008544BB">
        <w:rPr>
          <w:lang w:val="fr-FR"/>
        </w:rPr>
        <w:lastRenderedPageBreak/>
        <w:t>PAR CES MOTIFS, LA COUR</w:t>
      </w:r>
      <w:r w:rsidR="004A4240" w:rsidRPr="008544BB">
        <w:rPr>
          <w:lang w:val="fr-FR"/>
        </w:rPr>
        <w:t>, À L</w:t>
      </w:r>
      <w:r w:rsidR="008544BB" w:rsidRPr="008544BB">
        <w:rPr>
          <w:lang w:val="fr-FR"/>
        </w:rPr>
        <w:t>’</w:t>
      </w:r>
      <w:r w:rsidR="004A4240" w:rsidRPr="008544BB">
        <w:rPr>
          <w:lang w:val="fr-FR"/>
        </w:rPr>
        <w:t>UNANIMITÉ,</w:t>
      </w:r>
    </w:p>
    <w:p w:rsidR="00E77CB3" w:rsidRPr="008544BB" w:rsidRDefault="00FB2B45" w:rsidP="008544BB">
      <w:pPr>
        <w:pStyle w:val="JuList"/>
        <w:rPr>
          <w:b/>
          <w:lang w:val="fr-FR"/>
        </w:rPr>
      </w:pPr>
      <w:r w:rsidRPr="008544BB">
        <w:rPr>
          <w:lang w:val="fr-FR"/>
        </w:rPr>
        <w:t>1.  </w:t>
      </w:r>
      <w:r w:rsidRPr="008544BB">
        <w:rPr>
          <w:i/>
          <w:lang w:val="fr-FR"/>
        </w:rPr>
        <w:t>Déclare</w:t>
      </w:r>
      <w:r w:rsidRPr="008544BB">
        <w:rPr>
          <w:lang w:val="fr-FR"/>
        </w:rPr>
        <w:t xml:space="preserve"> </w:t>
      </w:r>
      <w:r w:rsidR="004A4240" w:rsidRPr="008544BB">
        <w:rPr>
          <w:lang w:val="fr-FR"/>
        </w:rPr>
        <w:t>la requête recevable</w:t>
      </w:r>
      <w:r w:rsidRPr="008544BB">
        <w:rPr>
          <w:lang w:val="fr-FR"/>
        </w:rPr>
        <w:t xml:space="preserve"> quant au grief tiré de </w:t>
      </w:r>
      <w:r w:rsidR="00891383" w:rsidRPr="008544BB">
        <w:rPr>
          <w:lang w:val="fr-FR"/>
        </w:rPr>
        <w:t>l</w:t>
      </w:r>
      <w:r w:rsidR="008544BB" w:rsidRPr="008544BB">
        <w:rPr>
          <w:lang w:val="fr-FR"/>
        </w:rPr>
        <w:t>’</w:t>
      </w:r>
      <w:r w:rsidR="00891383" w:rsidRPr="008544BB">
        <w:rPr>
          <w:lang w:val="fr-FR"/>
        </w:rPr>
        <w:t>article 8 de la Convention</w:t>
      </w:r>
      <w:r w:rsidR="003C01B6" w:rsidRPr="008544BB">
        <w:rPr>
          <w:lang w:val="fr-FR"/>
        </w:rPr>
        <w:t>,</w:t>
      </w:r>
      <w:r w:rsidRPr="008544BB">
        <w:rPr>
          <w:lang w:val="fr-FR"/>
        </w:rPr>
        <w:t xml:space="preserve"> et </w:t>
      </w:r>
      <w:r w:rsidR="004A4240" w:rsidRPr="008544BB">
        <w:rPr>
          <w:lang w:val="fr-FR"/>
        </w:rPr>
        <w:t>irrecevable</w:t>
      </w:r>
      <w:r w:rsidRPr="008544BB">
        <w:rPr>
          <w:lang w:val="fr-FR"/>
        </w:rPr>
        <w:t xml:space="preserve"> pour le surplus ;</w:t>
      </w:r>
    </w:p>
    <w:p w:rsidR="00E77CB3" w:rsidRPr="008544BB" w:rsidRDefault="00E77CB3" w:rsidP="008544BB">
      <w:pPr>
        <w:pStyle w:val="JuList"/>
        <w:rPr>
          <w:lang w:val="fr-FR"/>
        </w:rPr>
      </w:pPr>
    </w:p>
    <w:p w:rsidR="00E77CB3" w:rsidRPr="008544BB" w:rsidRDefault="00891383" w:rsidP="008544BB">
      <w:pPr>
        <w:pStyle w:val="JuList"/>
        <w:rPr>
          <w:lang w:val="fr-FR"/>
        </w:rPr>
      </w:pPr>
      <w:r w:rsidRPr="008544BB">
        <w:rPr>
          <w:lang w:val="fr-FR"/>
        </w:rPr>
        <w:t>2</w:t>
      </w:r>
      <w:r w:rsidR="00E77CB3" w:rsidRPr="008544BB">
        <w:rPr>
          <w:lang w:val="fr-FR"/>
        </w:rPr>
        <w:t>.  </w:t>
      </w:r>
      <w:r w:rsidR="00E77CB3" w:rsidRPr="008544BB">
        <w:rPr>
          <w:i/>
          <w:lang w:val="fr-FR"/>
        </w:rPr>
        <w:t>Dit</w:t>
      </w:r>
      <w:r w:rsidR="00E77CB3" w:rsidRPr="008544BB">
        <w:rPr>
          <w:lang w:val="fr-FR"/>
        </w:rPr>
        <w:t xml:space="preserve"> qu</w:t>
      </w:r>
      <w:r w:rsidR="008544BB" w:rsidRPr="008544BB">
        <w:rPr>
          <w:lang w:val="fr-FR"/>
        </w:rPr>
        <w:t>’</w:t>
      </w:r>
      <w:r w:rsidR="00E77CB3" w:rsidRPr="008544BB">
        <w:rPr>
          <w:lang w:val="fr-FR"/>
        </w:rPr>
        <w:t>il y a eu violation de l</w:t>
      </w:r>
      <w:r w:rsidR="008544BB" w:rsidRPr="008544BB">
        <w:rPr>
          <w:lang w:val="fr-FR"/>
        </w:rPr>
        <w:t>’</w:t>
      </w:r>
      <w:r w:rsidR="00E77CB3" w:rsidRPr="008544BB">
        <w:rPr>
          <w:lang w:val="fr-FR"/>
        </w:rPr>
        <w:t xml:space="preserve">article </w:t>
      </w:r>
      <w:r w:rsidRPr="008544BB">
        <w:rPr>
          <w:lang w:val="fr-FR"/>
        </w:rPr>
        <w:t>8</w:t>
      </w:r>
      <w:r w:rsidR="00E77CB3" w:rsidRPr="008544BB">
        <w:rPr>
          <w:lang w:val="fr-FR"/>
        </w:rPr>
        <w:t xml:space="preserve"> de la Convention ;</w:t>
      </w:r>
    </w:p>
    <w:p w:rsidR="00E77CB3" w:rsidRPr="008544BB" w:rsidRDefault="00E77CB3" w:rsidP="008544BB">
      <w:pPr>
        <w:pStyle w:val="JuList"/>
        <w:ind w:left="0" w:firstLine="0"/>
        <w:rPr>
          <w:lang w:val="fr-FR"/>
        </w:rPr>
      </w:pPr>
    </w:p>
    <w:p w:rsidR="00CA4945" w:rsidRPr="008544BB" w:rsidRDefault="00891383" w:rsidP="008544BB">
      <w:pPr>
        <w:pStyle w:val="JuList"/>
        <w:rPr>
          <w:lang w:val="fr-FR"/>
        </w:rPr>
      </w:pPr>
      <w:r w:rsidRPr="008544BB">
        <w:rPr>
          <w:lang w:val="fr-FR"/>
        </w:rPr>
        <w:t>3</w:t>
      </w:r>
      <w:r w:rsidR="00E77CB3" w:rsidRPr="008544BB">
        <w:rPr>
          <w:lang w:val="fr-FR"/>
        </w:rPr>
        <w:t>.  </w:t>
      </w:r>
      <w:r w:rsidR="00E77CB3" w:rsidRPr="008544BB">
        <w:rPr>
          <w:i/>
          <w:lang w:val="fr-FR"/>
        </w:rPr>
        <w:t>Dit</w:t>
      </w:r>
    </w:p>
    <w:p w:rsidR="00E77CB3" w:rsidRPr="008544BB" w:rsidRDefault="00E77CB3" w:rsidP="008544BB">
      <w:pPr>
        <w:pStyle w:val="JuLista"/>
        <w:rPr>
          <w:lang w:val="fr-FR"/>
        </w:rPr>
      </w:pPr>
      <w:r w:rsidRPr="008544BB">
        <w:rPr>
          <w:lang w:val="fr-FR"/>
        </w:rPr>
        <w:t>a)  que l</w:t>
      </w:r>
      <w:r w:rsidR="008544BB" w:rsidRPr="008544BB">
        <w:rPr>
          <w:lang w:val="fr-FR"/>
        </w:rPr>
        <w:t>’</w:t>
      </w:r>
      <w:r w:rsidRPr="008544BB">
        <w:rPr>
          <w:lang w:val="fr-FR"/>
        </w:rPr>
        <w:t xml:space="preserve">État défendeur doit verser </w:t>
      </w:r>
      <w:r w:rsidR="004A4240" w:rsidRPr="008544BB">
        <w:rPr>
          <w:lang w:val="fr-FR"/>
        </w:rPr>
        <w:t>aux requérantes</w:t>
      </w:r>
      <w:r w:rsidRPr="008544BB">
        <w:rPr>
          <w:lang w:val="fr-FR"/>
        </w:rPr>
        <w:t>, dans les trois mois, les sommes suivantes :</w:t>
      </w:r>
    </w:p>
    <w:p w:rsidR="00E77CB3" w:rsidRPr="008544BB" w:rsidRDefault="00E77CB3" w:rsidP="008544BB">
      <w:pPr>
        <w:pStyle w:val="JuListi"/>
        <w:rPr>
          <w:lang w:val="fr-FR" w:eastAsia="en-GB"/>
        </w:rPr>
      </w:pPr>
      <w:r w:rsidRPr="008544BB">
        <w:rPr>
          <w:lang w:val="fr-FR" w:eastAsia="en-GB"/>
        </w:rPr>
        <w:t>i</w:t>
      </w:r>
      <w:r w:rsidR="004763E8" w:rsidRPr="008544BB">
        <w:rPr>
          <w:lang w:val="fr-FR" w:eastAsia="en-GB"/>
        </w:rPr>
        <w:t>.</w:t>
      </w:r>
      <w:r w:rsidRPr="008544BB">
        <w:rPr>
          <w:lang w:val="fr-FR" w:eastAsia="en-GB"/>
        </w:rPr>
        <w:t>  </w:t>
      </w:r>
      <w:r w:rsidR="00891383" w:rsidRPr="008544BB">
        <w:rPr>
          <w:lang w:val="fr-FR"/>
        </w:rPr>
        <w:t>1</w:t>
      </w:r>
      <w:r w:rsidR="009F7952" w:rsidRPr="008544BB">
        <w:rPr>
          <w:lang w:val="fr-FR"/>
        </w:rPr>
        <w:t>2</w:t>
      </w:r>
      <w:r w:rsidR="00891383" w:rsidRPr="008544BB">
        <w:rPr>
          <w:lang w:val="fr-FR"/>
        </w:rPr>
        <w:t xml:space="preserve"> 000</w:t>
      </w:r>
      <w:r w:rsidRPr="008544BB">
        <w:rPr>
          <w:lang w:val="fr-FR" w:eastAsia="en-GB"/>
        </w:rPr>
        <w:t xml:space="preserve"> EUR (</w:t>
      </w:r>
      <w:r w:rsidR="009F7952" w:rsidRPr="008544BB">
        <w:rPr>
          <w:lang w:val="fr-FR" w:eastAsia="en-GB"/>
        </w:rPr>
        <w:t>douze</w:t>
      </w:r>
      <w:r w:rsidR="00891383" w:rsidRPr="008544BB">
        <w:rPr>
          <w:lang w:val="fr-FR" w:eastAsia="en-GB"/>
        </w:rPr>
        <w:t xml:space="preserve"> mille</w:t>
      </w:r>
      <w:r w:rsidRPr="008544BB">
        <w:rPr>
          <w:lang w:val="fr-FR" w:eastAsia="en-GB"/>
        </w:rPr>
        <w:t xml:space="preserve"> euros) plus tout montant pouvant être dû à titre d</w:t>
      </w:r>
      <w:r w:rsidR="008544BB" w:rsidRPr="008544BB">
        <w:rPr>
          <w:lang w:val="fr-FR" w:eastAsia="en-GB"/>
        </w:rPr>
        <w:t>’</w:t>
      </w:r>
      <w:r w:rsidRPr="008544BB">
        <w:rPr>
          <w:lang w:val="fr-FR" w:eastAsia="en-GB"/>
        </w:rPr>
        <w:t>impôt, pour dommage m</w:t>
      </w:r>
      <w:r w:rsidR="00891383" w:rsidRPr="008544BB">
        <w:rPr>
          <w:lang w:val="fr-FR" w:eastAsia="en-GB"/>
        </w:rPr>
        <w:t>oral</w:t>
      </w:r>
      <w:r w:rsidR="00592657" w:rsidRPr="008544BB">
        <w:rPr>
          <w:lang w:val="fr-FR" w:eastAsia="en-GB"/>
        </w:rPr>
        <w:t> ;</w:t>
      </w:r>
    </w:p>
    <w:p w:rsidR="00E77CB3" w:rsidRPr="008544BB" w:rsidRDefault="00E77CB3" w:rsidP="008544BB">
      <w:pPr>
        <w:pStyle w:val="JuListi"/>
        <w:rPr>
          <w:lang w:val="fr-FR" w:eastAsia="en-GB"/>
        </w:rPr>
      </w:pPr>
      <w:r w:rsidRPr="008544BB">
        <w:rPr>
          <w:lang w:val="fr-FR" w:eastAsia="en-GB"/>
        </w:rPr>
        <w:t>ii</w:t>
      </w:r>
      <w:r w:rsidR="004763E8" w:rsidRPr="008544BB">
        <w:rPr>
          <w:lang w:val="fr-FR" w:eastAsia="en-GB"/>
        </w:rPr>
        <w:t>.</w:t>
      </w:r>
      <w:r w:rsidRPr="008544BB">
        <w:rPr>
          <w:lang w:val="fr-FR" w:eastAsia="en-GB"/>
        </w:rPr>
        <w:t>  </w:t>
      </w:r>
      <w:r w:rsidR="001F53D9" w:rsidRPr="008544BB">
        <w:rPr>
          <w:lang w:val="fr-FR" w:eastAsia="en-GB"/>
        </w:rPr>
        <w:t>1</w:t>
      </w:r>
      <w:r w:rsidR="001A3345" w:rsidRPr="008544BB">
        <w:rPr>
          <w:lang w:val="fr-FR" w:eastAsia="en-GB"/>
        </w:rPr>
        <w:t>2</w:t>
      </w:r>
      <w:r w:rsidR="001F53D9" w:rsidRPr="008544BB">
        <w:rPr>
          <w:lang w:val="fr-FR" w:eastAsia="en-GB"/>
        </w:rPr>
        <w:t xml:space="preserve"> 000</w:t>
      </w:r>
      <w:r w:rsidRPr="008544BB">
        <w:rPr>
          <w:lang w:val="fr-FR" w:eastAsia="en-GB"/>
        </w:rPr>
        <w:t xml:space="preserve"> EUR (</w:t>
      </w:r>
      <w:r w:rsidR="001F53D9" w:rsidRPr="008544BB">
        <w:rPr>
          <w:lang w:val="fr-FR" w:eastAsia="en-GB"/>
        </w:rPr>
        <w:t>d</w:t>
      </w:r>
      <w:r w:rsidR="001A3345" w:rsidRPr="008544BB">
        <w:rPr>
          <w:lang w:val="fr-FR" w:eastAsia="en-GB"/>
        </w:rPr>
        <w:t>ouze</w:t>
      </w:r>
      <w:r w:rsidR="001C663A" w:rsidRPr="008544BB">
        <w:rPr>
          <w:lang w:val="fr-FR" w:eastAsia="en-GB"/>
        </w:rPr>
        <w:t xml:space="preserve"> </w:t>
      </w:r>
      <w:r w:rsidR="001F53D9" w:rsidRPr="008544BB">
        <w:rPr>
          <w:lang w:val="fr-FR" w:eastAsia="en-GB"/>
        </w:rPr>
        <w:t>mille</w:t>
      </w:r>
      <w:r w:rsidRPr="008544BB">
        <w:rPr>
          <w:lang w:val="fr-FR" w:eastAsia="en-GB"/>
        </w:rPr>
        <w:t xml:space="preserve"> euros), plus tout montant </w:t>
      </w:r>
      <w:r w:rsidR="005E37C6" w:rsidRPr="008544BB">
        <w:rPr>
          <w:lang w:val="fr-FR" w:eastAsia="en-GB"/>
        </w:rPr>
        <w:t xml:space="preserve">pouvant être dû par </w:t>
      </w:r>
      <w:r w:rsidR="004A4240" w:rsidRPr="008544BB">
        <w:rPr>
          <w:lang w:val="fr-FR"/>
        </w:rPr>
        <w:t>les requérantes</w:t>
      </w:r>
      <w:r w:rsidR="005E37C6" w:rsidRPr="008544BB">
        <w:rPr>
          <w:lang w:val="fr-FR" w:eastAsia="en-GB"/>
        </w:rPr>
        <w:t xml:space="preserve"> à titre d</w:t>
      </w:r>
      <w:r w:rsidR="008544BB" w:rsidRPr="008544BB">
        <w:rPr>
          <w:lang w:val="fr-FR" w:eastAsia="en-GB"/>
        </w:rPr>
        <w:t>’</w:t>
      </w:r>
      <w:r w:rsidR="005E37C6" w:rsidRPr="008544BB">
        <w:rPr>
          <w:lang w:val="fr-FR" w:eastAsia="en-GB"/>
        </w:rPr>
        <w:t>impôt, pour frais et dépens</w:t>
      </w:r>
      <w:r w:rsidR="00592657" w:rsidRPr="008544BB">
        <w:rPr>
          <w:lang w:val="fr-FR" w:eastAsia="en-GB"/>
        </w:rPr>
        <w:t> ;</w:t>
      </w:r>
    </w:p>
    <w:p w:rsidR="003175BA" w:rsidRPr="008544BB" w:rsidRDefault="00E77CB3" w:rsidP="008544BB">
      <w:pPr>
        <w:pStyle w:val="JuLista"/>
        <w:rPr>
          <w:lang w:val="fr-FR"/>
        </w:rPr>
      </w:pPr>
      <w:r w:rsidRPr="008544BB">
        <w:rPr>
          <w:lang w:val="fr-FR"/>
        </w:rPr>
        <w:t>b)  qu</w:t>
      </w:r>
      <w:r w:rsidR="008544BB" w:rsidRPr="008544BB">
        <w:rPr>
          <w:lang w:val="fr-FR"/>
        </w:rPr>
        <w:t>’</w:t>
      </w:r>
      <w:r w:rsidRPr="008544BB">
        <w:rPr>
          <w:lang w:val="fr-FR"/>
        </w:rPr>
        <w:t>à compter de l</w:t>
      </w:r>
      <w:r w:rsidR="008544BB" w:rsidRPr="008544BB">
        <w:rPr>
          <w:lang w:val="fr-FR"/>
        </w:rPr>
        <w:t>’</w:t>
      </w:r>
      <w:r w:rsidRPr="008544BB">
        <w:rPr>
          <w:lang w:val="fr-FR"/>
        </w:rPr>
        <w:t>expiration dudit délai et jusqu</w:t>
      </w:r>
      <w:r w:rsidR="008544BB" w:rsidRPr="008544BB">
        <w:rPr>
          <w:lang w:val="fr-FR"/>
        </w:rPr>
        <w:t>’</w:t>
      </w:r>
      <w:r w:rsidRPr="008544BB">
        <w:rPr>
          <w:lang w:val="fr-FR"/>
        </w:rPr>
        <w:t>au versement, ces montants seront à majorer d</w:t>
      </w:r>
      <w:r w:rsidR="008544BB" w:rsidRPr="008544BB">
        <w:rPr>
          <w:lang w:val="fr-FR"/>
        </w:rPr>
        <w:t>’</w:t>
      </w:r>
      <w:r w:rsidRPr="008544BB">
        <w:rPr>
          <w:lang w:val="fr-FR"/>
        </w:rPr>
        <w:t>un intérêt simple à un taux égal à celui de la facilité de prêt marginal de la Banque centrale européenne applicable pendant cette période, augmenté de trois points de pourcentage</w:t>
      </w:r>
      <w:r w:rsidR="00592657" w:rsidRPr="008544BB">
        <w:rPr>
          <w:lang w:val="fr-FR"/>
        </w:rPr>
        <w:t> ;</w:t>
      </w:r>
    </w:p>
    <w:p w:rsidR="00E77CB3" w:rsidRPr="008544BB" w:rsidRDefault="00E77CB3" w:rsidP="008544BB">
      <w:pPr>
        <w:pStyle w:val="JuLista"/>
        <w:rPr>
          <w:lang w:val="fr-FR"/>
        </w:rPr>
      </w:pPr>
    </w:p>
    <w:p w:rsidR="00E77CB3" w:rsidRPr="008544BB" w:rsidRDefault="00891383" w:rsidP="008544BB">
      <w:pPr>
        <w:pStyle w:val="JuList"/>
        <w:rPr>
          <w:lang w:val="fr-FR"/>
        </w:rPr>
      </w:pPr>
      <w:r w:rsidRPr="008544BB">
        <w:rPr>
          <w:lang w:val="fr-FR"/>
        </w:rPr>
        <w:t>4</w:t>
      </w:r>
      <w:r w:rsidR="00E77CB3" w:rsidRPr="008544BB">
        <w:rPr>
          <w:lang w:val="fr-FR"/>
        </w:rPr>
        <w:t>.  </w:t>
      </w:r>
      <w:r w:rsidR="00E77CB3" w:rsidRPr="008544BB">
        <w:rPr>
          <w:i/>
          <w:lang w:val="fr-FR"/>
        </w:rPr>
        <w:t>Rejette</w:t>
      </w:r>
      <w:r w:rsidR="004A4240" w:rsidRPr="008544BB">
        <w:rPr>
          <w:lang w:val="fr-FR"/>
        </w:rPr>
        <w:t xml:space="preserve"> </w:t>
      </w:r>
      <w:r w:rsidR="00E77CB3" w:rsidRPr="008544BB">
        <w:rPr>
          <w:lang w:val="fr-FR"/>
        </w:rPr>
        <w:t>la demande de satisfaction équitable pour le surplus.</w:t>
      </w:r>
    </w:p>
    <w:p w:rsidR="00E77CB3" w:rsidRPr="008544BB" w:rsidRDefault="00E77CB3" w:rsidP="008544BB">
      <w:pPr>
        <w:pStyle w:val="JuParaLast"/>
        <w:keepNext w:val="0"/>
        <w:keepLines w:val="0"/>
        <w:rPr>
          <w:lang w:val="fr-FR"/>
        </w:rPr>
      </w:pPr>
      <w:r w:rsidRPr="008544BB">
        <w:rPr>
          <w:lang w:val="fr-FR"/>
        </w:rPr>
        <w:t>Fait en français, puis communiqué par écrit le </w:t>
      </w:r>
      <w:r w:rsidR="00CD755E" w:rsidRPr="008544BB">
        <w:rPr>
          <w:lang w:val="fr-FR"/>
        </w:rPr>
        <w:t>12 juillet 2018</w:t>
      </w:r>
      <w:r w:rsidRPr="008544BB">
        <w:rPr>
          <w:lang w:val="fr-FR"/>
        </w:rPr>
        <w:t>, en application de l</w:t>
      </w:r>
      <w:r w:rsidR="008544BB" w:rsidRPr="008544BB">
        <w:rPr>
          <w:lang w:val="fr-FR"/>
        </w:rPr>
        <w:t>’</w:t>
      </w:r>
      <w:r w:rsidRPr="008544BB">
        <w:rPr>
          <w:lang w:val="fr-FR"/>
        </w:rPr>
        <w:t>article 77 §§ 2 et 3 du règlement</w:t>
      </w:r>
      <w:r w:rsidR="00AC0824" w:rsidRPr="008544BB">
        <w:rPr>
          <w:lang w:val="fr-FR"/>
        </w:rPr>
        <w:t xml:space="preserve"> de la Cour</w:t>
      </w:r>
      <w:r w:rsidRPr="008544BB">
        <w:rPr>
          <w:lang w:val="fr-FR"/>
        </w:rPr>
        <w:t>.</w:t>
      </w:r>
    </w:p>
    <w:p w:rsidR="004D15F3" w:rsidRPr="008544BB" w:rsidRDefault="004A4240" w:rsidP="008544BB">
      <w:pPr>
        <w:pStyle w:val="JuSigned"/>
        <w:rPr>
          <w:lang w:val="es-ES_tradnl"/>
        </w:rPr>
      </w:pPr>
      <w:r w:rsidRPr="008544BB">
        <w:rPr>
          <w:lang w:val="fr-FR"/>
        </w:rPr>
        <w:tab/>
      </w:r>
      <w:r w:rsidR="0054005C" w:rsidRPr="008544BB">
        <w:rPr>
          <w:lang w:val="es-ES_tradnl"/>
        </w:rPr>
        <w:t>Abel Campos</w:t>
      </w:r>
      <w:r w:rsidR="00E77CB3" w:rsidRPr="008544BB">
        <w:rPr>
          <w:lang w:val="es-ES_tradnl"/>
        </w:rPr>
        <w:tab/>
      </w:r>
      <w:r w:rsidR="000053A2" w:rsidRPr="008544BB">
        <w:rPr>
          <w:lang w:val="es-ES_tradnl"/>
        </w:rPr>
        <w:t xml:space="preserve">Kristina Pardalos </w:t>
      </w:r>
      <w:r w:rsidR="00E77CB3" w:rsidRPr="008544BB">
        <w:rPr>
          <w:lang w:val="es-ES_tradnl"/>
        </w:rPr>
        <w:br/>
      </w:r>
      <w:r w:rsidR="00E77CB3" w:rsidRPr="008544BB">
        <w:rPr>
          <w:lang w:val="es-ES_tradnl"/>
        </w:rPr>
        <w:tab/>
      </w:r>
      <w:r w:rsidR="00671B44" w:rsidRPr="008544BB">
        <w:rPr>
          <w:lang w:val="es-ES_tradnl"/>
        </w:rPr>
        <w:t>Greffi</w:t>
      </w:r>
      <w:r w:rsidR="0054005C" w:rsidRPr="008544BB">
        <w:rPr>
          <w:lang w:val="es-ES_tradnl"/>
        </w:rPr>
        <w:t>er</w:t>
      </w:r>
      <w:r w:rsidR="00E77CB3" w:rsidRPr="008544BB">
        <w:rPr>
          <w:lang w:val="es-ES_tradnl"/>
        </w:rPr>
        <w:tab/>
      </w:r>
      <w:r w:rsidR="000053A2" w:rsidRPr="008544BB">
        <w:rPr>
          <w:lang w:val="es-ES_tradnl"/>
        </w:rPr>
        <w:t>Présidente</w:t>
      </w:r>
    </w:p>
    <w:sectPr w:rsidR="004D15F3" w:rsidRPr="008544BB" w:rsidSect="00CA4945">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C81" w:rsidRPr="0019607A" w:rsidRDefault="008A7C81" w:rsidP="00E77CB3">
      <w:pPr>
        <w:rPr>
          <w:lang w:val="fr-FR"/>
        </w:rPr>
      </w:pPr>
      <w:r w:rsidRPr="0019607A">
        <w:rPr>
          <w:lang w:val="fr-FR"/>
        </w:rPr>
        <w:separator/>
      </w:r>
    </w:p>
  </w:endnote>
  <w:endnote w:type="continuationSeparator" w:id="0">
    <w:p w:rsidR="008A7C81" w:rsidRPr="0019607A" w:rsidRDefault="008A7C81" w:rsidP="00E77CB3">
      <w:pPr>
        <w:rPr>
          <w:lang w:val="fr-FR"/>
        </w:rPr>
      </w:pPr>
      <w:r w:rsidRPr="0019607A">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3A7" w:rsidRPr="00150BFA" w:rsidRDefault="002563A7" w:rsidP="00E76F95">
    <w:pPr>
      <w:jc w:val="center"/>
    </w:pPr>
    <w:r>
      <w:rPr>
        <w:noProof/>
        <w:lang w:val="it-IT" w:eastAsia="it-IT"/>
      </w:rPr>
      <w:drawing>
        <wp:inline distT="0" distB="0" distL="0" distR="0" wp14:anchorId="7D51C5CE" wp14:editId="451E5C1B">
          <wp:extent cx="771525" cy="619125"/>
          <wp:effectExtent l="0" t="0" r="9525" b="9525"/>
          <wp:docPr id="25" name="Picture 2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2563A7" w:rsidRDefault="002563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C81" w:rsidRPr="0019607A" w:rsidRDefault="008A7C81" w:rsidP="00E77CB3">
      <w:pPr>
        <w:rPr>
          <w:lang w:val="fr-FR"/>
        </w:rPr>
      </w:pPr>
      <w:r w:rsidRPr="0019607A">
        <w:rPr>
          <w:lang w:val="fr-FR"/>
        </w:rPr>
        <w:separator/>
      </w:r>
    </w:p>
  </w:footnote>
  <w:footnote w:type="continuationSeparator" w:id="0">
    <w:p w:rsidR="008A7C81" w:rsidRPr="0019607A" w:rsidRDefault="008A7C81" w:rsidP="00E77CB3">
      <w:pPr>
        <w:rPr>
          <w:lang w:val="fr-FR"/>
        </w:rPr>
      </w:pPr>
      <w:r w:rsidRPr="0019607A">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3A7" w:rsidRPr="00CA4945" w:rsidRDefault="002563A7" w:rsidP="00CA4945">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3A7" w:rsidRPr="00A45145" w:rsidRDefault="002563A7" w:rsidP="00E76F95">
    <w:pPr>
      <w:jc w:val="center"/>
    </w:pPr>
    <w:r>
      <w:rPr>
        <w:noProof/>
        <w:lang w:val="it-IT" w:eastAsia="it-IT"/>
      </w:rPr>
      <w:drawing>
        <wp:inline distT="0" distB="0" distL="0" distR="0" wp14:anchorId="18C7E6B3" wp14:editId="47EA29C8">
          <wp:extent cx="2962275" cy="1219200"/>
          <wp:effectExtent l="0" t="0" r="9525" b="0"/>
          <wp:docPr id="13" name="Picture 1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2563A7" w:rsidRDefault="002563A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3A7" w:rsidRPr="0008362C" w:rsidRDefault="002563A7" w:rsidP="00C611D8">
    <w:pPr>
      <w:pStyle w:val="ECHRHeader"/>
      <w:rPr>
        <w:lang w:val="fr-FR"/>
      </w:rPr>
    </w:pPr>
    <w:r>
      <w:rPr>
        <w:rStyle w:val="Numeropagina"/>
      </w:rPr>
      <w:fldChar w:fldCharType="begin"/>
    </w:r>
    <w:r w:rsidRPr="0008362C">
      <w:rPr>
        <w:rStyle w:val="Numeropagina"/>
        <w:lang w:val="fr-FR"/>
      </w:rPr>
      <w:instrText xml:space="preserve"> PAGE </w:instrText>
    </w:r>
    <w:r>
      <w:rPr>
        <w:rStyle w:val="Numeropagina"/>
      </w:rPr>
      <w:fldChar w:fldCharType="separate"/>
    </w:r>
    <w:r w:rsidR="00074D30">
      <w:rPr>
        <w:rStyle w:val="Numeropagina"/>
        <w:noProof/>
        <w:lang w:val="fr-FR"/>
      </w:rPr>
      <w:t>20</w:t>
    </w:r>
    <w:r>
      <w:rPr>
        <w:rStyle w:val="Numeropagina"/>
      </w:rPr>
      <w:fldChar w:fldCharType="end"/>
    </w:r>
    <w:r w:rsidRPr="0008362C">
      <w:rPr>
        <w:rStyle w:val="Numeropagina"/>
        <w:lang w:val="fr-FR"/>
      </w:rPr>
      <w:tab/>
    </w:r>
    <w:r>
      <w:rPr>
        <w:noProof/>
        <w:lang w:val="fr-FR"/>
      </w:rPr>
      <w:t>ARRÊT</w:t>
    </w:r>
    <w:r w:rsidRPr="0008362C">
      <w:rPr>
        <w:lang w:val="fr-FR"/>
      </w:rPr>
      <w:t xml:space="preserve"> D</w:t>
    </w:r>
    <w:r>
      <w:rPr>
        <w:lang w:val="fr-FR"/>
      </w:rPr>
      <w:t>’</w:t>
    </w:r>
    <w:r w:rsidRPr="0008362C">
      <w:rPr>
        <w:lang w:val="fr-FR"/>
      </w:rPr>
      <w:t>ACUNTO ET PIGNATARO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3A7" w:rsidRPr="0019607A" w:rsidRDefault="002563A7" w:rsidP="00C63990">
    <w:pPr>
      <w:pStyle w:val="ECHRHeader"/>
      <w:rPr>
        <w:lang w:val="fr-FR"/>
      </w:rPr>
    </w:pPr>
    <w:r w:rsidRPr="0019607A">
      <w:rPr>
        <w:lang w:val="fr-FR"/>
      </w:rPr>
      <w:tab/>
    </w:r>
    <w:r>
      <w:rPr>
        <w:noProof/>
        <w:lang w:val="fr-FR"/>
      </w:rPr>
      <w:t>ARRÊT</w:t>
    </w:r>
    <w:r w:rsidRPr="0008362C">
      <w:rPr>
        <w:lang w:val="fr-FR"/>
      </w:rPr>
      <w:t xml:space="preserve"> D</w:t>
    </w:r>
    <w:r>
      <w:rPr>
        <w:lang w:val="fr-FR"/>
      </w:rPr>
      <w:t>’</w:t>
    </w:r>
    <w:r w:rsidRPr="0008362C">
      <w:rPr>
        <w:lang w:val="fr-FR"/>
      </w:rPr>
      <w:t>ACUNTO ET PIGNATARO c. ITALIE</w:t>
    </w:r>
    <w:r w:rsidRPr="0008362C">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074D30">
      <w:rPr>
        <w:rStyle w:val="Numeropagina"/>
        <w:noProof/>
        <w:lang w:val="fr-FR"/>
      </w:rPr>
      <w:t>19</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95E1EA0"/>
    <w:multiLevelType w:val="hybridMultilevel"/>
    <w:tmpl w:val="3E76C37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0D6F13B6"/>
    <w:multiLevelType w:val="hybridMultilevel"/>
    <w:tmpl w:val="B32E89B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
    <w:nsid w:val="197008FA"/>
    <w:multiLevelType w:val="hybridMultilevel"/>
    <w:tmpl w:val="21EE1FA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234952F6"/>
    <w:multiLevelType w:val="hybridMultilevel"/>
    <w:tmpl w:val="C0703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704A65"/>
    <w:multiLevelType w:val="hybridMultilevel"/>
    <w:tmpl w:val="9B1AB26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303C2198"/>
    <w:multiLevelType w:val="hybridMultilevel"/>
    <w:tmpl w:val="1BAE4D9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38751468"/>
    <w:multiLevelType w:val="hybridMultilevel"/>
    <w:tmpl w:val="FD9A97C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38F0084A"/>
    <w:multiLevelType w:val="hybridMultilevel"/>
    <w:tmpl w:val="5A84D93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39CE5C6F"/>
    <w:multiLevelType w:val="hybridMultilevel"/>
    <w:tmpl w:val="A6C442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3BC52A52"/>
    <w:multiLevelType w:val="hybridMultilevel"/>
    <w:tmpl w:val="A36CDE32"/>
    <w:lvl w:ilvl="0" w:tplc="0EE02256">
      <w:numFmt w:val="bullet"/>
      <w:lvlText w:val="•"/>
      <w:lvlJc w:val="left"/>
      <w:pPr>
        <w:ind w:left="734" w:hanging="45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nsid w:val="405424F9"/>
    <w:multiLevelType w:val="hybridMultilevel"/>
    <w:tmpl w:val="287EC2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416D224B"/>
    <w:multiLevelType w:val="hybridMultilevel"/>
    <w:tmpl w:val="41F84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281FF7"/>
    <w:multiLevelType w:val="hybridMultilevel"/>
    <w:tmpl w:val="1302B8DC"/>
    <w:lvl w:ilvl="0" w:tplc="0EE02256">
      <w:numFmt w:val="bullet"/>
      <w:lvlText w:val="•"/>
      <w:lvlJc w:val="left"/>
      <w:pPr>
        <w:ind w:left="1018" w:hanging="45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130700A"/>
    <w:multiLevelType w:val="hybridMultilevel"/>
    <w:tmpl w:val="17FE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612CD8"/>
    <w:multiLevelType w:val="hybridMultilevel"/>
    <w:tmpl w:val="1C1A57E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7">
    <w:nsid w:val="5174260D"/>
    <w:multiLevelType w:val="hybridMultilevel"/>
    <w:tmpl w:val="E850D80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8">
    <w:nsid w:val="5FBE3620"/>
    <w:multiLevelType w:val="hybridMultilevel"/>
    <w:tmpl w:val="74624E2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64A1457C"/>
    <w:multiLevelType w:val="hybridMultilevel"/>
    <w:tmpl w:val="CCD4857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0">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6C1416C5"/>
    <w:multiLevelType w:val="hybridMultilevel"/>
    <w:tmpl w:val="561603B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2">
    <w:nsid w:val="76072A76"/>
    <w:multiLevelType w:val="hybridMultilevel"/>
    <w:tmpl w:val="4F2EEE5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76FE3EB6"/>
    <w:multiLevelType w:val="hybridMultilevel"/>
    <w:tmpl w:val="0D34F520"/>
    <w:lvl w:ilvl="0" w:tplc="0EE02256">
      <w:numFmt w:val="bullet"/>
      <w:lvlText w:val="•"/>
      <w:lvlJc w:val="left"/>
      <w:pPr>
        <w:ind w:left="734"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40553B"/>
    <w:multiLevelType w:val="hybridMultilevel"/>
    <w:tmpl w:val="E0B653FC"/>
    <w:lvl w:ilvl="0" w:tplc="0EE02256">
      <w:numFmt w:val="bullet"/>
      <w:lvlText w:val="•"/>
      <w:lvlJc w:val="left"/>
      <w:pPr>
        <w:ind w:left="1018" w:hanging="45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9"/>
  </w:num>
  <w:num w:numId="2">
    <w:abstractNumId w:val="15"/>
  </w:num>
  <w:num w:numId="3">
    <w:abstractNumId w:val="10"/>
  </w:num>
  <w:num w:numId="4">
    <w:abstractNumId w:val="30"/>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33"/>
  </w:num>
  <w:num w:numId="16">
    <w:abstractNumId w:val="21"/>
  </w:num>
  <w:num w:numId="17">
    <w:abstractNumId w:val="34"/>
  </w:num>
  <w:num w:numId="18">
    <w:abstractNumId w:val="35"/>
  </w:num>
  <w:num w:numId="19">
    <w:abstractNumId w:val="24"/>
  </w:num>
  <w:num w:numId="20">
    <w:abstractNumId w:val="17"/>
  </w:num>
  <w:num w:numId="21">
    <w:abstractNumId w:val="14"/>
  </w:num>
  <w:num w:numId="22">
    <w:abstractNumId w:val="19"/>
  </w:num>
  <w:num w:numId="23">
    <w:abstractNumId w:val="22"/>
  </w:num>
  <w:num w:numId="24">
    <w:abstractNumId w:val="13"/>
  </w:num>
  <w:num w:numId="25">
    <w:abstractNumId w:val="16"/>
  </w:num>
  <w:num w:numId="26">
    <w:abstractNumId w:val="18"/>
  </w:num>
  <w:num w:numId="27">
    <w:abstractNumId w:val="12"/>
  </w:num>
  <w:num w:numId="28">
    <w:abstractNumId w:val="25"/>
  </w:num>
  <w:num w:numId="29">
    <w:abstractNumId w:val="26"/>
  </w:num>
  <w:num w:numId="30">
    <w:abstractNumId w:val="32"/>
  </w:num>
  <w:num w:numId="31">
    <w:abstractNumId w:val="20"/>
  </w:num>
  <w:num w:numId="32">
    <w:abstractNumId w:val="31"/>
  </w:num>
  <w:num w:numId="33">
    <w:abstractNumId w:val="23"/>
  </w:num>
  <w:num w:numId="34">
    <w:abstractNumId w:val="29"/>
  </w:num>
  <w:num w:numId="35">
    <w:abstractNumId w:val="27"/>
  </w:num>
  <w:num w:numId="36">
    <w:abstractNumId w:val="28"/>
  </w:num>
  <w:num w:numId="37">
    <w:abstractNumId w:val="11"/>
  </w:num>
  <w:num w:numId="38">
    <w:abstractNumId w:val="33"/>
  </w:num>
  <w:num w:numId="39">
    <w:abstractNumId w:val="33"/>
  </w:num>
  <w:num w:numId="40">
    <w:abstractNumId w:val="33"/>
  </w:num>
  <w:num w:numId="41">
    <w:abstractNumId w:val="33"/>
  </w:num>
  <w:num w:numId="42">
    <w:abstractNumId w:val="33"/>
  </w:num>
  <w:num w:numId="43">
    <w:abstractNumId w:val="33"/>
  </w:num>
  <w:num w:numId="44">
    <w:abstractNumId w:val="33"/>
  </w:num>
  <w:num w:numId="4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4A4240"/>
    <w:rsid w:val="00000227"/>
    <w:rsid w:val="00000CE3"/>
    <w:rsid w:val="00001975"/>
    <w:rsid w:val="000024C4"/>
    <w:rsid w:val="0000318A"/>
    <w:rsid w:val="000041F8"/>
    <w:rsid w:val="000042A8"/>
    <w:rsid w:val="00004308"/>
    <w:rsid w:val="0000446B"/>
    <w:rsid w:val="00004597"/>
    <w:rsid w:val="000053A2"/>
    <w:rsid w:val="00005BF0"/>
    <w:rsid w:val="00007154"/>
    <w:rsid w:val="0000728E"/>
    <w:rsid w:val="0000756D"/>
    <w:rsid w:val="000103AE"/>
    <w:rsid w:val="0001054A"/>
    <w:rsid w:val="00011D69"/>
    <w:rsid w:val="00012AD3"/>
    <w:rsid w:val="000137AA"/>
    <w:rsid w:val="00015C2D"/>
    <w:rsid w:val="00015F00"/>
    <w:rsid w:val="00017AC0"/>
    <w:rsid w:val="000204FC"/>
    <w:rsid w:val="00021BE0"/>
    <w:rsid w:val="00022278"/>
    <w:rsid w:val="00022C1D"/>
    <w:rsid w:val="00025137"/>
    <w:rsid w:val="00025879"/>
    <w:rsid w:val="00026501"/>
    <w:rsid w:val="00031347"/>
    <w:rsid w:val="00031A13"/>
    <w:rsid w:val="000329E0"/>
    <w:rsid w:val="00034987"/>
    <w:rsid w:val="0003529E"/>
    <w:rsid w:val="00035334"/>
    <w:rsid w:val="000374CA"/>
    <w:rsid w:val="000401CF"/>
    <w:rsid w:val="00040344"/>
    <w:rsid w:val="000404BD"/>
    <w:rsid w:val="00041AE9"/>
    <w:rsid w:val="00042D00"/>
    <w:rsid w:val="00043A74"/>
    <w:rsid w:val="000447DE"/>
    <w:rsid w:val="00045B21"/>
    <w:rsid w:val="00050181"/>
    <w:rsid w:val="00052E5E"/>
    <w:rsid w:val="0005608C"/>
    <w:rsid w:val="000602DF"/>
    <w:rsid w:val="00060790"/>
    <w:rsid w:val="00061B05"/>
    <w:rsid w:val="000632D5"/>
    <w:rsid w:val="000644EE"/>
    <w:rsid w:val="000653BF"/>
    <w:rsid w:val="000660A2"/>
    <w:rsid w:val="00066839"/>
    <w:rsid w:val="00066A71"/>
    <w:rsid w:val="00066D4E"/>
    <w:rsid w:val="000730E1"/>
    <w:rsid w:val="00074BCA"/>
    <w:rsid w:val="00074D30"/>
    <w:rsid w:val="00082ECB"/>
    <w:rsid w:val="00083223"/>
    <w:rsid w:val="0008362C"/>
    <w:rsid w:val="00086485"/>
    <w:rsid w:val="00091601"/>
    <w:rsid w:val="00091E56"/>
    <w:rsid w:val="000925AD"/>
    <w:rsid w:val="0009332D"/>
    <w:rsid w:val="00093FDF"/>
    <w:rsid w:val="00094DE7"/>
    <w:rsid w:val="00096266"/>
    <w:rsid w:val="000968DE"/>
    <w:rsid w:val="00096957"/>
    <w:rsid w:val="00096FA9"/>
    <w:rsid w:val="00097636"/>
    <w:rsid w:val="000A24EB"/>
    <w:rsid w:val="000A2B01"/>
    <w:rsid w:val="000A32BC"/>
    <w:rsid w:val="000B6923"/>
    <w:rsid w:val="000C18E4"/>
    <w:rsid w:val="000C2C29"/>
    <w:rsid w:val="000C49F6"/>
    <w:rsid w:val="000C5F3C"/>
    <w:rsid w:val="000C6DCC"/>
    <w:rsid w:val="000C7A6A"/>
    <w:rsid w:val="000D0C39"/>
    <w:rsid w:val="000D40C6"/>
    <w:rsid w:val="000D47AA"/>
    <w:rsid w:val="000D6A45"/>
    <w:rsid w:val="000D721F"/>
    <w:rsid w:val="000E069B"/>
    <w:rsid w:val="000E0E82"/>
    <w:rsid w:val="000E1DC5"/>
    <w:rsid w:val="000E2059"/>
    <w:rsid w:val="000E223F"/>
    <w:rsid w:val="000E3C16"/>
    <w:rsid w:val="000E5A6B"/>
    <w:rsid w:val="000E5E2E"/>
    <w:rsid w:val="000E7D45"/>
    <w:rsid w:val="000F00EF"/>
    <w:rsid w:val="000F160C"/>
    <w:rsid w:val="000F2D02"/>
    <w:rsid w:val="000F5EED"/>
    <w:rsid w:val="000F7851"/>
    <w:rsid w:val="00100005"/>
    <w:rsid w:val="001018E1"/>
    <w:rsid w:val="00102E12"/>
    <w:rsid w:val="00104E23"/>
    <w:rsid w:val="0010755D"/>
    <w:rsid w:val="0011033F"/>
    <w:rsid w:val="00110AE5"/>
    <w:rsid w:val="00111B0C"/>
    <w:rsid w:val="00113CCE"/>
    <w:rsid w:val="001152DA"/>
    <w:rsid w:val="00116DC2"/>
    <w:rsid w:val="00120D6C"/>
    <w:rsid w:val="00121B2E"/>
    <w:rsid w:val="0012335B"/>
    <w:rsid w:val="00123840"/>
    <w:rsid w:val="001257EC"/>
    <w:rsid w:val="00132695"/>
    <w:rsid w:val="00133D33"/>
    <w:rsid w:val="00134D64"/>
    <w:rsid w:val="00135A30"/>
    <w:rsid w:val="00135C40"/>
    <w:rsid w:val="0013612C"/>
    <w:rsid w:val="00137FF6"/>
    <w:rsid w:val="00140D03"/>
    <w:rsid w:val="00141650"/>
    <w:rsid w:val="00141CFC"/>
    <w:rsid w:val="00142B7E"/>
    <w:rsid w:val="00144266"/>
    <w:rsid w:val="0014448D"/>
    <w:rsid w:val="00145F13"/>
    <w:rsid w:val="001516A3"/>
    <w:rsid w:val="00154326"/>
    <w:rsid w:val="0015479A"/>
    <w:rsid w:val="0016174F"/>
    <w:rsid w:val="001619D7"/>
    <w:rsid w:val="00162707"/>
    <w:rsid w:val="0016299F"/>
    <w:rsid w:val="00162A12"/>
    <w:rsid w:val="00163CB4"/>
    <w:rsid w:val="00166530"/>
    <w:rsid w:val="001667F8"/>
    <w:rsid w:val="00167370"/>
    <w:rsid w:val="00167B91"/>
    <w:rsid w:val="00170FF6"/>
    <w:rsid w:val="00172499"/>
    <w:rsid w:val="00172903"/>
    <w:rsid w:val="001732A9"/>
    <w:rsid w:val="00173B41"/>
    <w:rsid w:val="001744C4"/>
    <w:rsid w:val="00176EE8"/>
    <w:rsid w:val="00177888"/>
    <w:rsid w:val="00177907"/>
    <w:rsid w:val="00181FE5"/>
    <w:rsid w:val="001832BD"/>
    <w:rsid w:val="0018374B"/>
    <w:rsid w:val="001842A7"/>
    <w:rsid w:val="00184425"/>
    <w:rsid w:val="00185F66"/>
    <w:rsid w:val="00186188"/>
    <w:rsid w:val="001943B5"/>
    <w:rsid w:val="001949DC"/>
    <w:rsid w:val="00195134"/>
    <w:rsid w:val="0019607A"/>
    <w:rsid w:val="0019677A"/>
    <w:rsid w:val="001977B2"/>
    <w:rsid w:val="001A10E2"/>
    <w:rsid w:val="001A145B"/>
    <w:rsid w:val="001A3345"/>
    <w:rsid w:val="001A3EF2"/>
    <w:rsid w:val="001A42EB"/>
    <w:rsid w:val="001A674C"/>
    <w:rsid w:val="001B2A20"/>
    <w:rsid w:val="001B3B24"/>
    <w:rsid w:val="001B634C"/>
    <w:rsid w:val="001B7851"/>
    <w:rsid w:val="001C0F98"/>
    <w:rsid w:val="001C2A42"/>
    <w:rsid w:val="001C33F7"/>
    <w:rsid w:val="001C3531"/>
    <w:rsid w:val="001C41FA"/>
    <w:rsid w:val="001C663A"/>
    <w:rsid w:val="001D056D"/>
    <w:rsid w:val="001D5904"/>
    <w:rsid w:val="001D63ED"/>
    <w:rsid w:val="001D663C"/>
    <w:rsid w:val="001D7348"/>
    <w:rsid w:val="001E035B"/>
    <w:rsid w:val="001E07F7"/>
    <w:rsid w:val="001E0961"/>
    <w:rsid w:val="001E0B6D"/>
    <w:rsid w:val="001E3264"/>
    <w:rsid w:val="001E36D0"/>
    <w:rsid w:val="001E3EAE"/>
    <w:rsid w:val="001E6F32"/>
    <w:rsid w:val="001F0F28"/>
    <w:rsid w:val="001F2145"/>
    <w:rsid w:val="001F3C47"/>
    <w:rsid w:val="001F4E43"/>
    <w:rsid w:val="001F53D9"/>
    <w:rsid w:val="001F6262"/>
    <w:rsid w:val="001F67B0"/>
    <w:rsid w:val="001F6F11"/>
    <w:rsid w:val="001F7B3D"/>
    <w:rsid w:val="00205D79"/>
    <w:rsid w:val="00205F9F"/>
    <w:rsid w:val="002065B6"/>
    <w:rsid w:val="002102E0"/>
    <w:rsid w:val="00210338"/>
    <w:rsid w:val="002115FC"/>
    <w:rsid w:val="0021206E"/>
    <w:rsid w:val="00213A89"/>
    <w:rsid w:val="00213ABE"/>
    <w:rsid w:val="0021423C"/>
    <w:rsid w:val="002147AB"/>
    <w:rsid w:val="00214E79"/>
    <w:rsid w:val="00216A48"/>
    <w:rsid w:val="00216A54"/>
    <w:rsid w:val="0021788F"/>
    <w:rsid w:val="00220D73"/>
    <w:rsid w:val="00221AF8"/>
    <w:rsid w:val="002256E7"/>
    <w:rsid w:val="00230D00"/>
    <w:rsid w:val="0023199E"/>
    <w:rsid w:val="00231DF7"/>
    <w:rsid w:val="00231FD1"/>
    <w:rsid w:val="002339E0"/>
    <w:rsid w:val="00233CF8"/>
    <w:rsid w:val="00234A15"/>
    <w:rsid w:val="0023575D"/>
    <w:rsid w:val="00237148"/>
    <w:rsid w:val="0023766D"/>
    <w:rsid w:val="0024222D"/>
    <w:rsid w:val="00243432"/>
    <w:rsid w:val="00244868"/>
    <w:rsid w:val="00244B0E"/>
    <w:rsid w:val="00244F6C"/>
    <w:rsid w:val="00246ABB"/>
    <w:rsid w:val="00250138"/>
    <w:rsid w:val="00252586"/>
    <w:rsid w:val="0025261F"/>
    <w:rsid w:val="002532C5"/>
    <w:rsid w:val="002540AC"/>
    <w:rsid w:val="00255FE4"/>
    <w:rsid w:val="002563A7"/>
    <w:rsid w:val="00257CE8"/>
    <w:rsid w:val="00260C03"/>
    <w:rsid w:val="00260FAF"/>
    <w:rsid w:val="002648F6"/>
    <w:rsid w:val="0026540E"/>
    <w:rsid w:val="00265CCA"/>
    <w:rsid w:val="00271A98"/>
    <w:rsid w:val="00273B56"/>
    <w:rsid w:val="00275123"/>
    <w:rsid w:val="00275542"/>
    <w:rsid w:val="002775E0"/>
    <w:rsid w:val="00281647"/>
    <w:rsid w:val="00282240"/>
    <w:rsid w:val="002830D7"/>
    <w:rsid w:val="00286B0B"/>
    <w:rsid w:val="0029081E"/>
    <w:rsid w:val="00291379"/>
    <w:rsid w:val="002948AD"/>
    <w:rsid w:val="00296DEB"/>
    <w:rsid w:val="002A01CC"/>
    <w:rsid w:val="002A15CA"/>
    <w:rsid w:val="002A183B"/>
    <w:rsid w:val="002A20A8"/>
    <w:rsid w:val="002A58D3"/>
    <w:rsid w:val="002A61B1"/>
    <w:rsid w:val="002A663C"/>
    <w:rsid w:val="002A6C14"/>
    <w:rsid w:val="002A7047"/>
    <w:rsid w:val="002A758B"/>
    <w:rsid w:val="002B0D08"/>
    <w:rsid w:val="002B2691"/>
    <w:rsid w:val="002B29EE"/>
    <w:rsid w:val="002B3E82"/>
    <w:rsid w:val="002B444B"/>
    <w:rsid w:val="002B5887"/>
    <w:rsid w:val="002B65A1"/>
    <w:rsid w:val="002B6720"/>
    <w:rsid w:val="002B6D21"/>
    <w:rsid w:val="002B705D"/>
    <w:rsid w:val="002C0925"/>
    <w:rsid w:val="002C0E27"/>
    <w:rsid w:val="002C3040"/>
    <w:rsid w:val="002C3617"/>
    <w:rsid w:val="002C41E7"/>
    <w:rsid w:val="002C452B"/>
    <w:rsid w:val="002C48D3"/>
    <w:rsid w:val="002C60BC"/>
    <w:rsid w:val="002C6E9D"/>
    <w:rsid w:val="002D022D"/>
    <w:rsid w:val="002D23B6"/>
    <w:rsid w:val="002D24BB"/>
    <w:rsid w:val="002D2717"/>
    <w:rsid w:val="002D69E3"/>
    <w:rsid w:val="002E02CB"/>
    <w:rsid w:val="002E3461"/>
    <w:rsid w:val="002E6C4D"/>
    <w:rsid w:val="002E753C"/>
    <w:rsid w:val="002F06E8"/>
    <w:rsid w:val="002F266D"/>
    <w:rsid w:val="002F2AF7"/>
    <w:rsid w:val="002F4B90"/>
    <w:rsid w:val="002F7E1C"/>
    <w:rsid w:val="002F7E78"/>
    <w:rsid w:val="003000D9"/>
    <w:rsid w:val="00301A75"/>
    <w:rsid w:val="00302F70"/>
    <w:rsid w:val="0030336F"/>
    <w:rsid w:val="0030375E"/>
    <w:rsid w:val="0030661B"/>
    <w:rsid w:val="00310656"/>
    <w:rsid w:val="0031172B"/>
    <w:rsid w:val="00312A30"/>
    <w:rsid w:val="00312C10"/>
    <w:rsid w:val="00314080"/>
    <w:rsid w:val="00314A8D"/>
    <w:rsid w:val="003175BA"/>
    <w:rsid w:val="00320F72"/>
    <w:rsid w:val="0032463E"/>
    <w:rsid w:val="0032465B"/>
    <w:rsid w:val="003252F0"/>
    <w:rsid w:val="00326224"/>
    <w:rsid w:val="003262FE"/>
    <w:rsid w:val="00330B64"/>
    <w:rsid w:val="00331385"/>
    <w:rsid w:val="00336378"/>
    <w:rsid w:val="00337EE4"/>
    <w:rsid w:val="00340FFD"/>
    <w:rsid w:val="00343DCA"/>
    <w:rsid w:val="00344FD0"/>
    <w:rsid w:val="00347339"/>
    <w:rsid w:val="00347A2F"/>
    <w:rsid w:val="00350246"/>
    <w:rsid w:val="003506B1"/>
    <w:rsid w:val="00354F8C"/>
    <w:rsid w:val="00356AC7"/>
    <w:rsid w:val="00360179"/>
    <w:rsid w:val="00360263"/>
    <w:rsid w:val="003609FA"/>
    <w:rsid w:val="003615E9"/>
    <w:rsid w:val="00370BBA"/>
    <w:rsid w:val="003710C8"/>
    <w:rsid w:val="003728F1"/>
    <w:rsid w:val="003750BE"/>
    <w:rsid w:val="00380A51"/>
    <w:rsid w:val="00380F43"/>
    <w:rsid w:val="00384D70"/>
    <w:rsid w:val="0038550A"/>
    <w:rsid w:val="00385E21"/>
    <w:rsid w:val="00387B9D"/>
    <w:rsid w:val="00390BAE"/>
    <w:rsid w:val="00390DCE"/>
    <w:rsid w:val="00392258"/>
    <w:rsid w:val="0039364F"/>
    <w:rsid w:val="00395444"/>
    <w:rsid w:val="00396686"/>
    <w:rsid w:val="0039778E"/>
    <w:rsid w:val="003A125F"/>
    <w:rsid w:val="003A3696"/>
    <w:rsid w:val="003A4FF6"/>
    <w:rsid w:val="003B0564"/>
    <w:rsid w:val="003B2814"/>
    <w:rsid w:val="003B4511"/>
    <w:rsid w:val="003B4941"/>
    <w:rsid w:val="003B6475"/>
    <w:rsid w:val="003B754A"/>
    <w:rsid w:val="003C01B6"/>
    <w:rsid w:val="003C042D"/>
    <w:rsid w:val="003C1CB1"/>
    <w:rsid w:val="003C3B71"/>
    <w:rsid w:val="003C5714"/>
    <w:rsid w:val="003C630A"/>
    <w:rsid w:val="003C6B9F"/>
    <w:rsid w:val="003C6E2A"/>
    <w:rsid w:val="003D0299"/>
    <w:rsid w:val="003D4223"/>
    <w:rsid w:val="003D44B5"/>
    <w:rsid w:val="003D6E90"/>
    <w:rsid w:val="003D73A5"/>
    <w:rsid w:val="003E3CE2"/>
    <w:rsid w:val="003E6D80"/>
    <w:rsid w:val="003F02F1"/>
    <w:rsid w:val="003F05FA"/>
    <w:rsid w:val="003F23D1"/>
    <w:rsid w:val="003F244A"/>
    <w:rsid w:val="003F30B8"/>
    <w:rsid w:val="003F350E"/>
    <w:rsid w:val="003F4C45"/>
    <w:rsid w:val="003F5BB7"/>
    <w:rsid w:val="003F5F7B"/>
    <w:rsid w:val="003F7D64"/>
    <w:rsid w:val="003F7F39"/>
    <w:rsid w:val="0040024F"/>
    <w:rsid w:val="00401C9B"/>
    <w:rsid w:val="00405631"/>
    <w:rsid w:val="0040592F"/>
    <w:rsid w:val="00405F99"/>
    <w:rsid w:val="0041214E"/>
    <w:rsid w:val="00413912"/>
    <w:rsid w:val="00414300"/>
    <w:rsid w:val="004147EA"/>
    <w:rsid w:val="004176E0"/>
    <w:rsid w:val="0042020D"/>
    <w:rsid w:val="00421D82"/>
    <w:rsid w:val="00421E37"/>
    <w:rsid w:val="00423546"/>
    <w:rsid w:val="00425C67"/>
    <w:rsid w:val="00427E7A"/>
    <w:rsid w:val="00430A40"/>
    <w:rsid w:val="00434EC4"/>
    <w:rsid w:val="00436C49"/>
    <w:rsid w:val="0044361D"/>
    <w:rsid w:val="00445366"/>
    <w:rsid w:val="0044574C"/>
    <w:rsid w:val="00447F5B"/>
    <w:rsid w:val="0045067D"/>
    <w:rsid w:val="004523D8"/>
    <w:rsid w:val="00453FAB"/>
    <w:rsid w:val="00455451"/>
    <w:rsid w:val="004568E5"/>
    <w:rsid w:val="00456DD2"/>
    <w:rsid w:val="00461DB0"/>
    <w:rsid w:val="00462A0C"/>
    <w:rsid w:val="00463926"/>
    <w:rsid w:val="004640DC"/>
    <w:rsid w:val="00464C9A"/>
    <w:rsid w:val="00465150"/>
    <w:rsid w:val="004658F0"/>
    <w:rsid w:val="00466B25"/>
    <w:rsid w:val="0047302E"/>
    <w:rsid w:val="004741F5"/>
    <w:rsid w:val="00474F3D"/>
    <w:rsid w:val="004763E8"/>
    <w:rsid w:val="00477E3A"/>
    <w:rsid w:val="00483E5F"/>
    <w:rsid w:val="00485FF9"/>
    <w:rsid w:val="00486E86"/>
    <w:rsid w:val="00487360"/>
    <w:rsid w:val="00490242"/>
    <w:rsid w:val="004907F0"/>
    <w:rsid w:val="0049140B"/>
    <w:rsid w:val="004923A5"/>
    <w:rsid w:val="00492C87"/>
    <w:rsid w:val="00493A41"/>
    <w:rsid w:val="0049670F"/>
    <w:rsid w:val="00496BFB"/>
    <w:rsid w:val="00497ADE"/>
    <w:rsid w:val="004A15C7"/>
    <w:rsid w:val="004A4240"/>
    <w:rsid w:val="004A580F"/>
    <w:rsid w:val="004B013B"/>
    <w:rsid w:val="004B0531"/>
    <w:rsid w:val="004B0DBD"/>
    <w:rsid w:val="004B112B"/>
    <w:rsid w:val="004B149C"/>
    <w:rsid w:val="004B79EA"/>
    <w:rsid w:val="004C01E4"/>
    <w:rsid w:val="004C086C"/>
    <w:rsid w:val="004C1F56"/>
    <w:rsid w:val="004C27BC"/>
    <w:rsid w:val="004C2B11"/>
    <w:rsid w:val="004C4729"/>
    <w:rsid w:val="004D15F3"/>
    <w:rsid w:val="004D5311"/>
    <w:rsid w:val="004D56EE"/>
    <w:rsid w:val="004D5DCC"/>
    <w:rsid w:val="004E1AD6"/>
    <w:rsid w:val="004E3447"/>
    <w:rsid w:val="004E5881"/>
    <w:rsid w:val="004F10AF"/>
    <w:rsid w:val="004F11A4"/>
    <w:rsid w:val="004F1541"/>
    <w:rsid w:val="004F2275"/>
    <w:rsid w:val="004F2389"/>
    <w:rsid w:val="004F2979"/>
    <w:rsid w:val="004F304D"/>
    <w:rsid w:val="004F345D"/>
    <w:rsid w:val="004F54B2"/>
    <w:rsid w:val="004F61BE"/>
    <w:rsid w:val="004F66B1"/>
    <w:rsid w:val="0050006A"/>
    <w:rsid w:val="0050229C"/>
    <w:rsid w:val="005029CE"/>
    <w:rsid w:val="00502EF1"/>
    <w:rsid w:val="00503644"/>
    <w:rsid w:val="00505958"/>
    <w:rsid w:val="00510228"/>
    <w:rsid w:val="005111FB"/>
    <w:rsid w:val="00511C07"/>
    <w:rsid w:val="00512FD5"/>
    <w:rsid w:val="00513FB6"/>
    <w:rsid w:val="00514294"/>
    <w:rsid w:val="00515195"/>
    <w:rsid w:val="005173A6"/>
    <w:rsid w:val="00520A07"/>
    <w:rsid w:val="00520BAA"/>
    <w:rsid w:val="0052225D"/>
    <w:rsid w:val="005230A3"/>
    <w:rsid w:val="00525208"/>
    <w:rsid w:val="0052529C"/>
    <w:rsid w:val="005257A5"/>
    <w:rsid w:val="005264C0"/>
    <w:rsid w:val="00526A8A"/>
    <w:rsid w:val="005271D8"/>
    <w:rsid w:val="0053014E"/>
    <w:rsid w:val="00530C2E"/>
    <w:rsid w:val="0053171F"/>
    <w:rsid w:val="0053181B"/>
    <w:rsid w:val="00531D5C"/>
    <w:rsid w:val="00531DF2"/>
    <w:rsid w:val="00533018"/>
    <w:rsid w:val="005377C8"/>
    <w:rsid w:val="0054005C"/>
    <w:rsid w:val="005442EE"/>
    <w:rsid w:val="0054633A"/>
    <w:rsid w:val="00547353"/>
    <w:rsid w:val="005474E7"/>
    <w:rsid w:val="00550931"/>
    <w:rsid w:val="005512A3"/>
    <w:rsid w:val="00552F07"/>
    <w:rsid w:val="00553E3F"/>
    <w:rsid w:val="005578CE"/>
    <w:rsid w:val="00562781"/>
    <w:rsid w:val="00563948"/>
    <w:rsid w:val="00566E67"/>
    <w:rsid w:val="00567119"/>
    <w:rsid w:val="00567459"/>
    <w:rsid w:val="005706DB"/>
    <w:rsid w:val="00571118"/>
    <w:rsid w:val="00571BEE"/>
    <w:rsid w:val="0057271C"/>
    <w:rsid w:val="00572845"/>
    <w:rsid w:val="00574C83"/>
    <w:rsid w:val="00575D50"/>
    <w:rsid w:val="005800A5"/>
    <w:rsid w:val="005902D6"/>
    <w:rsid w:val="0059246E"/>
    <w:rsid w:val="00592657"/>
    <w:rsid w:val="00592772"/>
    <w:rsid w:val="0059574A"/>
    <w:rsid w:val="00596468"/>
    <w:rsid w:val="005A02CB"/>
    <w:rsid w:val="005A1B9B"/>
    <w:rsid w:val="005A1EE0"/>
    <w:rsid w:val="005A3BB3"/>
    <w:rsid w:val="005A64AB"/>
    <w:rsid w:val="005A6751"/>
    <w:rsid w:val="005A67D4"/>
    <w:rsid w:val="005A73BC"/>
    <w:rsid w:val="005B092E"/>
    <w:rsid w:val="005B152C"/>
    <w:rsid w:val="005B1EE0"/>
    <w:rsid w:val="005B2B24"/>
    <w:rsid w:val="005B4425"/>
    <w:rsid w:val="005B4B94"/>
    <w:rsid w:val="005B606C"/>
    <w:rsid w:val="005B6EEC"/>
    <w:rsid w:val="005C0350"/>
    <w:rsid w:val="005C1F89"/>
    <w:rsid w:val="005C3EE8"/>
    <w:rsid w:val="005C4C26"/>
    <w:rsid w:val="005C6AE7"/>
    <w:rsid w:val="005C7C47"/>
    <w:rsid w:val="005D34F9"/>
    <w:rsid w:val="005D4190"/>
    <w:rsid w:val="005D67A3"/>
    <w:rsid w:val="005D6D81"/>
    <w:rsid w:val="005E2988"/>
    <w:rsid w:val="005E3085"/>
    <w:rsid w:val="005E3331"/>
    <w:rsid w:val="005E3412"/>
    <w:rsid w:val="005E37C6"/>
    <w:rsid w:val="005F4919"/>
    <w:rsid w:val="005F49C0"/>
    <w:rsid w:val="005F51E1"/>
    <w:rsid w:val="005F57C1"/>
    <w:rsid w:val="005F65E8"/>
    <w:rsid w:val="005F687E"/>
    <w:rsid w:val="005F68A4"/>
    <w:rsid w:val="0060114D"/>
    <w:rsid w:val="00601D4F"/>
    <w:rsid w:val="006027C5"/>
    <w:rsid w:val="00602BC2"/>
    <w:rsid w:val="006036AA"/>
    <w:rsid w:val="0060375A"/>
    <w:rsid w:val="00605E8E"/>
    <w:rsid w:val="00611C80"/>
    <w:rsid w:val="00613894"/>
    <w:rsid w:val="00614014"/>
    <w:rsid w:val="00615A51"/>
    <w:rsid w:val="00615F06"/>
    <w:rsid w:val="00617E0D"/>
    <w:rsid w:val="00620692"/>
    <w:rsid w:val="0062359D"/>
    <w:rsid w:val="006242CA"/>
    <w:rsid w:val="006266B1"/>
    <w:rsid w:val="00627507"/>
    <w:rsid w:val="00631A13"/>
    <w:rsid w:val="006324B3"/>
    <w:rsid w:val="00633717"/>
    <w:rsid w:val="006344E1"/>
    <w:rsid w:val="00634858"/>
    <w:rsid w:val="0064084A"/>
    <w:rsid w:val="00646454"/>
    <w:rsid w:val="0065298D"/>
    <w:rsid w:val="00653FF6"/>
    <w:rsid w:val="006545C4"/>
    <w:rsid w:val="00654C1A"/>
    <w:rsid w:val="00654C3A"/>
    <w:rsid w:val="00654F66"/>
    <w:rsid w:val="006550F8"/>
    <w:rsid w:val="006576F7"/>
    <w:rsid w:val="0066077A"/>
    <w:rsid w:val="00661971"/>
    <w:rsid w:val="00661CE8"/>
    <w:rsid w:val="006623D9"/>
    <w:rsid w:val="00664D28"/>
    <w:rsid w:val="0066550C"/>
    <w:rsid w:val="00667B26"/>
    <w:rsid w:val="00667EFE"/>
    <w:rsid w:val="0067144B"/>
    <w:rsid w:val="006716F2"/>
    <w:rsid w:val="00671B44"/>
    <w:rsid w:val="006809B2"/>
    <w:rsid w:val="00682BF2"/>
    <w:rsid w:val="00684938"/>
    <w:rsid w:val="006859CE"/>
    <w:rsid w:val="0068657A"/>
    <w:rsid w:val="006866E6"/>
    <w:rsid w:val="006872B7"/>
    <w:rsid w:val="00690ED3"/>
    <w:rsid w:val="00691270"/>
    <w:rsid w:val="00694A2E"/>
    <w:rsid w:val="00694BA8"/>
    <w:rsid w:val="006A037C"/>
    <w:rsid w:val="006A1CBD"/>
    <w:rsid w:val="006A36F4"/>
    <w:rsid w:val="006A406F"/>
    <w:rsid w:val="006A5D3A"/>
    <w:rsid w:val="006B1F2E"/>
    <w:rsid w:val="006B5950"/>
    <w:rsid w:val="006B5EC5"/>
    <w:rsid w:val="006C1BCB"/>
    <w:rsid w:val="006C23D4"/>
    <w:rsid w:val="006C2EDA"/>
    <w:rsid w:val="006C4CC2"/>
    <w:rsid w:val="006C5FF8"/>
    <w:rsid w:val="006C615B"/>
    <w:rsid w:val="006C64BE"/>
    <w:rsid w:val="006C7342"/>
    <w:rsid w:val="006C7BB0"/>
    <w:rsid w:val="006D0287"/>
    <w:rsid w:val="006D3237"/>
    <w:rsid w:val="006D4BEB"/>
    <w:rsid w:val="006E064B"/>
    <w:rsid w:val="006E2E37"/>
    <w:rsid w:val="006E301C"/>
    <w:rsid w:val="006E35BF"/>
    <w:rsid w:val="006E3CF1"/>
    <w:rsid w:val="006E746A"/>
    <w:rsid w:val="006E7E80"/>
    <w:rsid w:val="006F2FC2"/>
    <w:rsid w:val="006F337D"/>
    <w:rsid w:val="006F48CA"/>
    <w:rsid w:val="006F64DD"/>
    <w:rsid w:val="006F69C0"/>
    <w:rsid w:val="00700BBB"/>
    <w:rsid w:val="00701E55"/>
    <w:rsid w:val="00702142"/>
    <w:rsid w:val="00706295"/>
    <w:rsid w:val="00711B9F"/>
    <w:rsid w:val="00715127"/>
    <w:rsid w:val="007155BF"/>
    <w:rsid w:val="00715E8E"/>
    <w:rsid w:val="0071626F"/>
    <w:rsid w:val="007170CF"/>
    <w:rsid w:val="0071716C"/>
    <w:rsid w:val="00722ABA"/>
    <w:rsid w:val="00723580"/>
    <w:rsid w:val="00723755"/>
    <w:rsid w:val="007238D7"/>
    <w:rsid w:val="007277B0"/>
    <w:rsid w:val="0073136C"/>
    <w:rsid w:val="00731F0F"/>
    <w:rsid w:val="00732FAE"/>
    <w:rsid w:val="00733250"/>
    <w:rsid w:val="007335A7"/>
    <w:rsid w:val="00733ED7"/>
    <w:rsid w:val="00741404"/>
    <w:rsid w:val="0074249B"/>
    <w:rsid w:val="00743F3C"/>
    <w:rsid w:val="007449E5"/>
    <w:rsid w:val="00746F53"/>
    <w:rsid w:val="00747196"/>
    <w:rsid w:val="00747FF0"/>
    <w:rsid w:val="00750AE3"/>
    <w:rsid w:val="007513B3"/>
    <w:rsid w:val="00753136"/>
    <w:rsid w:val="007553A0"/>
    <w:rsid w:val="0075575F"/>
    <w:rsid w:val="0076078F"/>
    <w:rsid w:val="00760D26"/>
    <w:rsid w:val="00763CA6"/>
    <w:rsid w:val="00764D4E"/>
    <w:rsid w:val="00765A1F"/>
    <w:rsid w:val="00765C6D"/>
    <w:rsid w:val="00767797"/>
    <w:rsid w:val="0077068F"/>
    <w:rsid w:val="007744F4"/>
    <w:rsid w:val="00775B6D"/>
    <w:rsid w:val="00776766"/>
    <w:rsid w:val="00776D68"/>
    <w:rsid w:val="00777495"/>
    <w:rsid w:val="00780A76"/>
    <w:rsid w:val="00782FCD"/>
    <w:rsid w:val="00784163"/>
    <w:rsid w:val="007850EE"/>
    <w:rsid w:val="0078581E"/>
    <w:rsid w:val="00785B95"/>
    <w:rsid w:val="0079027D"/>
    <w:rsid w:val="00790E96"/>
    <w:rsid w:val="00793366"/>
    <w:rsid w:val="0079374B"/>
    <w:rsid w:val="00794883"/>
    <w:rsid w:val="007952DA"/>
    <w:rsid w:val="007A0662"/>
    <w:rsid w:val="007A0725"/>
    <w:rsid w:val="007A7062"/>
    <w:rsid w:val="007A716F"/>
    <w:rsid w:val="007A7624"/>
    <w:rsid w:val="007A7D25"/>
    <w:rsid w:val="007B064A"/>
    <w:rsid w:val="007B08DE"/>
    <w:rsid w:val="007B120F"/>
    <w:rsid w:val="007B270A"/>
    <w:rsid w:val="007B3C64"/>
    <w:rsid w:val="007B4B56"/>
    <w:rsid w:val="007B62B7"/>
    <w:rsid w:val="007C0695"/>
    <w:rsid w:val="007C1C7F"/>
    <w:rsid w:val="007C36AC"/>
    <w:rsid w:val="007C419A"/>
    <w:rsid w:val="007C4922"/>
    <w:rsid w:val="007C4B1E"/>
    <w:rsid w:val="007C4CC8"/>
    <w:rsid w:val="007C5300"/>
    <w:rsid w:val="007C5426"/>
    <w:rsid w:val="007C5798"/>
    <w:rsid w:val="007C5982"/>
    <w:rsid w:val="007C6BBF"/>
    <w:rsid w:val="007C7472"/>
    <w:rsid w:val="007D103A"/>
    <w:rsid w:val="007D4832"/>
    <w:rsid w:val="007E21B2"/>
    <w:rsid w:val="007E2802"/>
    <w:rsid w:val="007E2C4E"/>
    <w:rsid w:val="007E3ED4"/>
    <w:rsid w:val="007E48C2"/>
    <w:rsid w:val="007E4F73"/>
    <w:rsid w:val="007E56B1"/>
    <w:rsid w:val="007E5FBE"/>
    <w:rsid w:val="007E63BD"/>
    <w:rsid w:val="007F1905"/>
    <w:rsid w:val="007F4F51"/>
    <w:rsid w:val="00801300"/>
    <w:rsid w:val="00802C64"/>
    <w:rsid w:val="008037C0"/>
    <w:rsid w:val="00804233"/>
    <w:rsid w:val="008055BD"/>
    <w:rsid w:val="00805E52"/>
    <w:rsid w:val="008061D0"/>
    <w:rsid w:val="00806FC6"/>
    <w:rsid w:val="00810B38"/>
    <w:rsid w:val="00810EF6"/>
    <w:rsid w:val="00811678"/>
    <w:rsid w:val="0081169C"/>
    <w:rsid w:val="008173BF"/>
    <w:rsid w:val="0082015C"/>
    <w:rsid w:val="008204C7"/>
    <w:rsid w:val="00820992"/>
    <w:rsid w:val="00823602"/>
    <w:rsid w:val="00823BB9"/>
    <w:rsid w:val="008255F5"/>
    <w:rsid w:val="00826AAA"/>
    <w:rsid w:val="0083014E"/>
    <w:rsid w:val="0083214A"/>
    <w:rsid w:val="008323C4"/>
    <w:rsid w:val="00834220"/>
    <w:rsid w:val="008342DC"/>
    <w:rsid w:val="00841496"/>
    <w:rsid w:val="0084351A"/>
    <w:rsid w:val="0084369B"/>
    <w:rsid w:val="008442E6"/>
    <w:rsid w:val="00844C8F"/>
    <w:rsid w:val="00845723"/>
    <w:rsid w:val="0084784B"/>
    <w:rsid w:val="00851EF9"/>
    <w:rsid w:val="008525E2"/>
    <w:rsid w:val="008544BB"/>
    <w:rsid w:val="008577FD"/>
    <w:rsid w:val="00857C7D"/>
    <w:rsid w:val="00860B03"/>
    <w:rsid w:val="00862B68"/>
    <w:rsid w:val="0086497A"/>
    <w:rsid w:val="00865B5D"/>
    <w:rsid w:val="00867394"/>
    <w:rsid w:val="00870A35"/>
    <w:rsid w:val="008713A1"/>
    <w:rsid w:val="00872155"/>
    <w:rsid w:val="00873A3E"/>
    <w:rsid w:val="00874212"/>
    <w:rsid w:val="008752BD"/>
    <w:rsid w:val="008754AB"/>
    <w:rsid w:val="00875AB3"/>
    <w:rsid w:val="0088060C"/>
    <w:rsid w:val="00880FA1"/>
    <w:rsid w:val="0088273B"/>
    <w:rsid w:val="008840AF"/>
    <w:rsid w:val="008851E6"/>
    <w:rsid w:val="008856D0"/>
    <w:rsid w:val="00885D66"/>
    <w:rsid w:val="00886C1C"/>
    <w:rsid w:val="00887714"/>
    <w:rsid w:val="00887F09"/>
    <w:rsid w:val="00891383"/>
    <w:rsid w:val="0089168B"/>
    <w:rsid w:val="00892845"/>
    <w:rsid w:val="00893576"/>
    <w:rsid w:val="00893E73"/>
    <w:rsid w:val="00897210"/>
    <w:rsid w:val="008A7221"/>
    <w:rsid w:val="008A7C81"/>
    <w:rsid w:val="008B02DC"/>
    <w:rsid w:val="008B1BC9"/>
    <w:rsid w:val="008B3392"/>
    <w:rsid w:val="008B3B9F"/>
    <w:rsid w:val="008B3F29"/>
    <w:rsid w:val="008B57CE"/>
    <w:rsid w:val="008B6064"/>
    <w:rsid w:val="008B6237"/>
    <w:rsid w:val="008C26DE"/>
    <w:rsid w:val="008C2921"/>
    <w:rsid w:val="008D1293"/>
    <w:rsid w:val="008D2225"/>
    <w:rsid w:val="008D27D9"/>
    <w:rsid w:val="008D3D76"/>
    <w:rsid w:val="008D3F69"/>
    <w:rsid w:val="008D4752"/>
    <w:rsid w:val="008D7298"/>
    <w:rsid w:val="008D7508"/>
    <w:rsid w:val="008E271C"/>
    <w:rsid w:val="008E418E"/>
    <w:rsid w:val="008E593E"/>
    <w:rsid w:val="008E5BC6"/>
    <w:rsid w:val="008E67F8"/>
    <w:rsid w:val="008E6A25"/>
    <w:rsid w:val="008F03C1"/>
    <w:rsid w:val="008F2EDC"/>
    <w:rsid w:val="008F5193"/>
    <w:rsid w:val="00900962"/>
    <w:rsid w:val="009013A7"/>
    <w:rsid w:val="009017FB"/>
    <w:rsid w:val="009017FC"/>
    <w:rsid w:val="00902E64"/>
    <w:rsid w:val="00903E4E"/>
    <w:rsid w:val="0090506B"/>
    <w:rsid w:val="009050C9"/>
    <w:rsid w:val="009066FC"/>
    <w:rsid w:val="00910BED"/>
    <w:rsid w:val="00912B6B"/>
    <w:rsid w:val="00912CDF"/>
    <w:rsid w:val="009140A3"/>
    <w:rsid w:val="009144A2"/>
    <w:rsid w:val="009145E6"/>
    <w:rsid w:val="0091510C"/>
    <w:rsid w:val="00915286"/>
    <w:rsid w:val="009152D9"/>
    <w:rsid w:val="00915E6E"/>
    <w:rsid w:val="0091620D"/>
    <w:rsid w:val="009259AC"/>
    <w:rsid w:val="00926AD5"/>
    <w:rsid w:val="00926F38"/>
    <w:rsid w:val="00930461"/>
    <w:rsid w:val="00934301"/>
    <w:rsid w:val="00935F52"/>
    <w:rsid w:val="00936C2D"/>
    <w:rsid w:val="00936CD1"/>
    <w:rsid w:val="00941747"/>
    <w:rsid w:val="00941EFB"/>
    <w:rsid w:val="00942309"/>
    <w:rsid w:val="00942F43"/>
    <w:rsid w:val="0094560F"/>
    <w:rsid w:val="0094747F"/>
    <w:rsid w:val="00947AFB"/>
    <w:rsid w:val="00951D7D"/>
    <w:rsid w:val="00952AF8"/>
    <w:rsid w:val="00953A38"/>
    <w:rsid w:val="00954126"/>
    <w:rsid w:val="00954B8E"/>
    <w:rsid w:val="009557A6"/>
    <w:rsid w:val="00960E40"/>
    <w:rsid w:val="009630C7"/>
    <w:rsid w:val="009640BC"/>
    <w:rsid w:val="00965736"/>
    <w:rsid w:val="009657A7"/>
    <w:rsid w:val="00966FCB"/>
    <w:rsid w:val="009677B6"/>
    <w:rsid w:val="00972B55"/>
    <w:rsid w:val="00973C00"/>
    <w:rsid w:val="009743B7"/>
    <w:rsid w:val="00974AF5"/>
    <w:rsid w:val="00975963"/>
    <w:rsid w:val="009776A2"/>
    <w:rsid w:val="009803D7"/>
    <w:rsid w:val="0098228B"/>
    <w:rsid w:val="009828DA"/>
    <w:rsid w:val="00983A01"/>
    <w:rsid w:val="00984ED2"/>
    <w:rsid w:val="00985BAB"/>
    <w:rsid w:val="00985ED9"/>
    <w:rsid w:val="00991504"/>
    <w:rsid w:val="009925A1"/>
    <w:rsid w:val="009A7907"/>
    <w:rsid w:val="009B174E"/>
    <w:rsid w:val="009B1B5F"/>
    <w:rsid w:val="009B2345"/>
    <w:rsid w:val="009B390C"/>
    <w:rsid w:val="009B44E6"/>
    <w:rsid w:val="009B4D86"/>
    <w:rsid w:val="009B52AF"/>
    <w:rsid w:val="009B6673"/>
    <w:rsid w:val="009C191B"/>
    <w:rsid w:val="009C1A3D"/>
    <w:rsid w:val="009C1F1B"/>
    <w:rsid w:val="009C23AA"/>
    <w:rsid w:val="009C2BD6"/>
    <w:rsid w:val="009C2DBF"/>
    <w:rsid w:val="009C5881"/>
    <w:rsid w:val="009D1028"/>
    <w:rsid w:val="009D16B0"/>
    <w:rsid w:val="009D1BC2"/>
    <w:rsid w:val="009D3928"/>
    <w:rsid w:val="009E1F32"/>
    <w:rsid w:val="009E3767"/>
    <w:rsid w:val="009E402D"/>
    <w:rsid w:val="009E59DB"/>
    <w:rsid w:val="009E776C"/>
    <w:rsid w:val="009F116C"/>
    <w:rsid w:val="009F4011"/>
    <w:rsid w:val="009F44CA"/>
    <w:rsid w:val="009F4D7A"/>
    <w:rsid w:val="009F54EB"/>
    <w:rsid w:val="009F5B8D"/>
    <w:rsid w:val="009F5CF2"/>
    <w:rsid w:val="009F626E"/>
    <w:rsid w:val="009F7952"/>
    <w:rsid w:val="00A00144"/>
    <w:rsid w:val="00A002EE"/>
    <w:rsid w:val="00A02F1B"/>
    <w:rsid w:val="00A04AD8"/>
    <w:rsid w:val="00A04E0F"/>
    <w:rsid w:val="00A070D0"/>
    <w:rsid w:val="00A1107F"/>
    <w:rsid w:val="00A1726E"/>
    <w:rsid w:val="00A204CF"/>
    <w:rsid w:val="00A23D49"/>
    <w:rsid w:val="00A27004"/>
    <w:rsid w:val="00A27D51"/>
    <w:rsid w:val="00A30C29"/>
    <w:rsid w:val="00A34DD6"/>
    <w:rsid w:val="00A3610C"/>
    <w:rsid w:val="00A36819"/>
    <w:rsid w:val="00A36989"/>
    <w:rsid w:val="00A37523"/>
    <w:rsid w:val="00A3790E"/>
    <w:rsid w:val="00A40130"/>
    <w:rsid w:val="00A43308"/>
    <w:rsid w:val="00A43628"/>
    <w:rsid w:val="00A4592F"/>
    <w:rsid w:val="00A45A54"/>
    <w:rsid w:val="00A5000B"/>
    <w:rsid w:val="00A54192"/>
    <w:rsid w:val="00A565A1"/>
    <w:rsid w:val="00A6035E"/>
    <w:rsid w:val="00A60675"/>
    <w:rsid w:val="00A6144C"/>
    <w:rsid w:val="00A61607"/>
    <w:rsid w:val="00A620B9"/>
    <w:rsid w:val="00A621D3"/>
    <w:rsid w:val="00A636F0"/>
    <w:rsid w:val="00A644FF"/>
    <w:rsid w:val="00A66617"/>
    <w:rsid w:val="00A671F8"/>
    <w:rsid w:val="00A673A4"/>
    <w:rsid w:val="00A67531"/>
    <w:rsid w:val="00A70A9C"/>
    <w:rsid w:val="00A724AE"/>
    <w:rsid w:val="00A73329"/>
    <w:rsid w:val="00A747F3"/>
    <w:rsid w:val="00A74BC1"/>
    <w:rsid w:val="00A74F91"/>
    <w:rsid w:val="00A77839"/>
    <w:rsid w:val="00A82359"/>
    <w:rsid w:val="00A8486D"/>
    <w:rsid w:val="00A865D2"/>
    <w:rsid w:val="00A876A7"/>
    <w:rsid w:val="00A93B5A"/>
    <w:rsid w:val="00A9446E"/>
    <w:rsid w:val="00A94C20"/>
    <w:rsid w:val="00A95D9E"/>
    <w:rsid w:val="00A961D6"/>
    <w:rsid w:val="00A970D8"/>
    <w:rsid w:val="00A97AF0"/>
    <w:rsid w:val="00A97CB2"/>
    <w:rsid w:val="00AA1E0C"/>
    <w:rsid w:val="00AA227F"/>
    <w:rsid w:val="00AA3BC7"/>
    <w:rsid w:val="00AA3DAD"/>
    <w:rsid w:val="00AA754A"/>
    <w:rsid w:val="00AA755B"/>
    <w:rsid w:val="00AB099E"/>
    <w:rsid w:val="00AB159E"/>
    <w:rsid w:val="00AB4328"/>
    <w:rsid w:val="00AB71BE"/>
    <w:rsid w:val="00AB72D4"/>
    <w:rsid w:val="00AC0824"/>
    <w:rsid w:val="00AC4EBF"/>
    <w:rsid w:val="00AC629E"/>
    <w:rsid w:val="00AD412E"/>
    <w:rsid w:val="00AD4AE7"/>
    <w:rsid w:val="00AE0A2E"/>
    <w:rsid w:val="00AE0CD2"/>
    <w:rsid w:val="00AE354C"/>
    <w:rsid w:val="00AE391F"/>
    <w:rsid w:val="00AE47C2"/>
    <w:rsid w:val="00AF4B07"/>
    <w:rsid w:val="00AF5CC8"/>
    <w:rsid w:val="00AF6186"/>
    <w:rsid w:val="00AF7A3A"/>
    <w:rsid w:val="00B04A4F"/>
    <w:rsid w:val="00B0709D"/>
    <w:rsid w:val="00B15855"/>
    <w:rsid w:val="00B160DB"/>
    <w:rsid w:val="00B20836"/>
    <w:rsid w:val="00B235BB"/>
    <w:rsid w:val="00B23F76"/>
    <w:rsid w:val="00B27A44"/>
    <w:rsid w:val="00B30BBF"/>
    <w:rsid w:val="00B32995"/>
    <w:rsid w:val="00B33C03"/>
    <w:rsid w:val="00B43CD8"/>
    <w:rsid w:val="00B44D6F"/>
    <w:rsid w:val="00B44E56"/>
    <w:rsid w:val="00B46543"/>
    <w:rsid w:val="00B47D33"/>
    <w:rsid w:val="00B52BE0"/>
    <w:rsid w:val="00B54133"/>
    <w:rsid w:val="00B54138"/>
    <w:rsid w:val="00B558F6"/>
    <w:rsid w:val="00B56282"/>
    <w:rsid w:val="00B63E44"/>
    <w:rsid w:val="00B642D2"/>
    <w:rsid w:val="00B66769"/>
    <w:rsid w:val="00B701ED"/>
    <w:rsid w:val="00B70887"/>
    <w:rsid w:val="00B7096E"/>
    <w:rsid w:val="00B73992"/>
    <w:rsid w:val="00B757BA"/>
    <w:rsid w:val="00B7785F"/>
    <w:rsid w:val="00B8086C"/>
    <w:rsid w:val="00B80D52"/>
    <w:rsid w:val="00B813AD"/>
    <w:rsid w:val="00B836A6"/>
    <w:rsid w:val="00B83793"/>
    <w:rsid w:val="00B85A04"/>
    <w:rsid w:val="00B861B4"/>
    <w:rsid w:val="00B86DFE"/>
    <w:rsid w:val="00B90990"/>
    <w:rsid w:val="00B922FF"/>
    <w:rsid w:val="00B9281E"/>
    <w:rsid w:val="00B93925"/>
    <w:rsid w:val="00B93C79"/>
    <w:rsid w:val="00B93ECF"/>
    <w:rsid w:val="00B94BB8"/>
    <w:rsid w:val="00B95187"/>
    <w:rsid w:val="00B960C3"/>
    <w:rsid w:val="00B9776F"/>
    <w:rsid w:val="00BA00ED"/>
    <w:rsid w:val="00BA2D55"/>
    <w:rsid w:val="00BA4E21"/>
    <w:rsid w:val="00BA71B1"/>
    <w:rsid w:val="00BA7D07"/>
    <w:rsid w:val="00BB0637"/>
    <w:rsid w:val="00BB20A5"/>
    <w:rsid w:val="00BB33D9"/>
    <w:rsid w:val="00BB345F"/>
    <w:rsid w:val="00BB3F99"/>
    <w:rsid w:val="00BB5BFF"/>
    <w:rsid w:val="00BB68EA"/>
    <w:rsid w:val="00BB6B7E"/>
    <w:rsid w:val="00BC1C27"/>
    <w:rsid w:val="00BC47F6"/>
    <w:rsid w:val="00BC4A8F"/>
    <w:rsid w:val="00BC53AB"/>
    <w:rsid w:val="00BC6BBF"/>
    <w:rsid w:val="00BD0653"/>
    <w:rsid w:val="00BD1572"/>
    <w:rsid w:val="00BD52CB"/>
    <w:rsid w:val="00BD538E"/>
    <w:rsid w:val="00BD6631"/>
    <w:rsid w:val="00BD6664"/>
    <w:rsid w:val="00BD6D51"/>
    <w:rsid w:val="00BD7D87"/>
    <w:rsid w:val="00BE05B0"/>
    <w:rsid w:val="00BE14E3"/>
    <w:rsid w:val="00BE1A3E"/>
    <w:rsid w:val="00BE2121"/>
    <w:rsid w:val="00BE3095"/>
    <w:rsid w:val="00BE3774"/>
    <w:rsid w:val="00BE41E5"/>
    <w:rsid w:val="00BE4208"/>
    <w:rsid w:val="00BE47C2"/>
    <w:rsid w:val="00BE4D24"/>
    <w:rsid w:val="00BE4E67"/>
    <w:rsid w:val="00BF4109"/>
    <w:rsid w:val="00BF45CA"/>
    <w:rsid w:val="00BF4CC3"/>
    <w:rsid w:val="00BF6FD1"/>
    <w:rsid w:val="00C011D7"/>
    <w:rsid w:val="00C013CB"/>
    <w:rsid w:val="00C031E6"/>
    <w:rsid w:val="00C05311"/>
    <w:rsid w:val="00C054C7"/>
    <w:rsid w:val="00C057B5"/>
    <w:rsid w:val="00C066B8"/>
    <w:rsid w:val="00C06E15"/>
    <w:rsid w:val="00C07022"/>
    <w:rsid w:val="00C074FB"/>
    <w:rsid w:val="00C0787F"/>
    <w:rsid w:val="00C11C5E"/>
    <w:rsid w:val="00C1262B"/>
    <w:rsid w:val="00C217A1"/>
    <w:rsid w:val="00C222AC"/>
    <w:rsid w:val="00C22687"/>
    <w:rsid w:val="00C24185"/>
    <w:rsid w:val="00C25D0A"/>
    <w:rsid w:val="00C31AC6"/>
    <w:rsid w:val="00C31AC8"/>
    <w:rsid w:val="00C322DE"/>
    <w:rsid w:val="00C32E4D"/>
    <w:rsid w:val="00C330D3"/>
    <w:rsid w:val="00C333A0"/>
    <w:rsid w:val="00C3362E"/>
    <w:rsid w:val="00C36408"/>
    <w:rsid w:val="00C36A81"/>
    <w:rsid w:val="00C3767C"/>
    <w:rsid w:val="00C40C06"/>
    <w:rsid w:val="00C41974"/>
    <w:rsid w:val="00C43C3D"/>
    <w:rsid w:val="00C50F9D"/>
    <w:rsid w:val="00C53F4A"/>
    <w:rsid w:val="00C54125"/>
    <w:rsid w:val="00C5449A"/>
    <w:rsid w:val="00C55B54"/>
    <w:rsid w:val="00C562EE"/>
    <w:rsid w:val="00C567AC"/>
    <w:rsid w:val="00C6098E"/>
    <w:rsid w:val="00C611D8"/>
    <w:rsid w:val="00C6152C"/>
    <w:rsid w:val="00C6210C"/>
    <w:rsid w:val="00C62A11"/>
    <w:rsid w:val="00C63799"/>
    <w:rsid w:val="00C63990"/>
    <w:rsid w:val="00C64EF6"/>
    <w:rsid w:val="00C65050"/>
    <w:rsid w:val="00C71039"/>
    <w:rsid w:val="00C74810"/>
    <w:rsid w:val="00C75892"/>
    <w:rsid w:val="00C80E6C"/>
    <w:rsid w:val="00C827BD"/>
    <w:rsid w:val="00C873B1"/>
    <w:rsid w:val="00C9077C"/>
    <w:rsid w:val="00C90D68"/>
    <w:rsid w:val="00C91601"/>
    <w:rsid w:val="00C92225"/>
    <w:rsid w:val="00C939FE"/>
    <w:rsid w:val="00C94AE3"/>
    <w:rsid w:val="00CA0FF8"/>
    <w:rsid w:val="00CA16F6"/>
    <w:rsid w:val="00CA45E9"/>
    <w:rsid w:val="00CA4945"/>
    <w:rsid w:val="00CA4BDA"/>
    <w:rsid w:val="00CA4EA4"/>
    <w:rsid w:val="00CA596F"/>
    <w:rsid w:val="00CA6556"/>
    <w:rsid w:val="00CB1F66"/>
    <w:rsid w:val="00CB2779"/>
    <w:rsid w:val="00CB2951"/>
    <w:rsid w:val="00CC3FE5"/>
    <w:rsid w:val="00CC5F57"/>
    <w:rsid w:val="00CC61B6"/>
    <w:rsid w:val="00CC70E7"/>
    <w:rsid w:val="00CC71E6"/>
    <w:rsid w:val="00CD16F8"/>
    <w:rsid w:val="00CD1D42"/>
    <w:rsid w:val="00CD282B"/>
    <w:rsid w:val="00CD335B"/>
    <w:rsid w:val="00CD4B0E"/>
    <w:rsid w:val="00CD4C35"/>
    <w:rsid w:val="00CD5BEE"/>
    <w:rsid w:val="00CD6F5D"/>
    <w:rsid w:val="00CD7369"/>
    <w:rsid w:val="00CD755E"/>
    <w:rsid w:val="00CE0B0E"/>
    <w:rsid w:val="00CE0F25"/>
    <w:rsid w:val="00CE3831"/>
    <w:rsid w:val="00CE6B66"/>
    <w:rsid w:val="00CF35BA"/>
    <w:rsid w:val="00CF40CB"/>
    <w:rsid w:val="00CF47B1"/>
    <w:rsid w:val="00CF4B9D"/>
    <w:rsid w:val="00CF741E"/>
    <w:rsid w:val="00CF77FF"/>
    <w:rsid w:val="00D00422"/>
    <w:rsid w:val="00D00ABB"/>
    <w:rsid w:val="00D00ADE"/>
    <w:rsid w:val="00D01864"/>
    <w:rsid w:val="00D02EEC"/>
    <w:rsid w:val="00D03551"/>
    <w:rsid w:val="00D054A1"/>
    <w:rsid w:val="00D05C03"/>
    <w:rsid w:val="00D05E59"/>
    <w:rsid w:val="00D06A63"/>
    <w:rsid w:val="00D07E0E"/>
    <w:rsid w:val="00D11478"/>
    <w:rsid w:val="00D15ED0"/>
    <w:rsid w:val="00D17185"/>
    <w:rsid w:val="00D2078A"/>
    <w:rsid w:val="00D208B4"/>
    <w:rsid w:val="00D21171"/>
    <w:rsid w:val="00D217AE"/>
    <w:rsid w:val="00D21B3E"/>
    <w:rsid w:val="00D21FED"/>
    <w:rsid w:val="00D22118"/>
    <w:rsid w:val="00D22BC6"/>
    <w:rsid w:val="00D24251"/>
    <w:rsid w:val="00D250D7"/>
    <w:rsid w:val="00D32E9D"/>
    <w:rsid w:val="00D343E2"/>
    <w:rsid w:val="00D361A2"/>
    <w:rsid w:val="00D37C1F"/>
    <w:rsid w:val="00D42AFF"/>
    <w:rsid w:val="00D44C2E"/>
    <w:rsid w:val="00D45414"/>
    <w:rsid w:val="00D457A9"/>
    <w:rsid w:val="00D549C7"/>
    <w:rsid w:val="00D566BD"/>
    <w:rsid w:val="00D576CF"/>
    <w:rsid w:val="00D57A4D"/>
    <w:rsid w:val="00D60AA7"/>
    <w:rsid w:val="00D62E74"/>
    <w:rsid w:val="00D62E8C"/>
    <w:rsid w:val="00D62F02"/>
    <w:rsid w:val="00D63356"/>
    <w:rsid w:val="00D63A07"/>
    <w:rsid w:val="00D6435F"/>
    <w:rsid w:val="00D64746"/>
    <w:rsid w:val="00D65DE4"/>
    <w:rsid w:val="00D7187A"/>
    <w:rsid w:val="00D71E0A"/>
    <w:rsid w:val="00D72697"/>
    <w:rsid w:val="00D7374D"/>
    <w:rsid w:val="00D747A6"/>
    <w:rsid w:val="00D74CC6"/>
    <w:rsid w:val="00D75E28"/>
    <w:rsid w:val="00D772C2"/>
    <w:rsid w:val="00D8008E"/>
    <w:rsid w:val="00D81B8C"/>
    <w:rsid w:val="00D82992"/>
    <w:rsid w:val="00D82C45"/>
    <w:rsid w:val="00D83DB0"/>
    <w:rsid w:val="00D908A8"/>
    <w:rsid w:val="00D9662B"/>
    <w:rsid w:val="00D977B6"/>
    <w:rsid w:val="00DA01D3"/>
    <w:rsid w:val="00DA4A31"/>
    <w:rsid w:val="00DA7B04"/>
    <w:rsid w:val="00DB14CC"/>
    <w:rsid w:val="00DB36C2"/>
    <w:rsid w:val="00DB4947"/>
    <w:rsid w:val="00DB5FA8"/>
    <w:rsid w:val="00DB684B"/>
    <w:rsid w:val="00DB686E"/>
    <w:rsid w:val="00DB7DF6"/>
    <w:rsid w:val="00DC1667"/>
    <w:rsid w:val="00DC169B"/>
    <w:rsid w:val="00DC2030"/>
    <w:rsid w:val="00DC2AB9"/>
    <w:rsid w:val="00DC397B"/>
    <w:rsid w:val="00DC500C"/>
    <w:rsid w:val="00DC58A6"/>
    <w:rsid w:val="00DC5E14"/>
    <w:rsid w:val="00DC63F0"/>
    <w:rsid w:val="00DD4AAB"/>
    <w:rsid w:val="00DD5146"/>
    <w:rsid w:val="00DD6EE5"/>
    <w:rsid w:val="00DE35CC"/>
    <w:rsid w:val="00DE386C"/>
    <w:rsid w:val="00DE4D35"/>
    <w:rsid w:val="00DE5000"/>
    <w:rsid w:val="00DE572F"/>
    <w:rsid w:val="00DE7288"/>
    <w:rsid w:val="00DF098B"/>
    <w:rsid w:val="00DF11C4"/>
    <w:rsid w:val="00DF210C"/>
    <w:rsid w:val="00DF3690"/>
    <w:rsid w:val="00DF4B6A"/>
    <w:rsid w:val="00DF6268"/>
    <w:rsid w:val="00E01E65"/>
    <w:rsid w:val="00E02C09"/>
    <w:rsid w:val="00E02F9E"/>
    <w:rsid w:val="00E04D59"/>
    <w:rsid w:val="00E07DA1"/>
    <w:rsid w:val="00E123CB"/>
    <w:rsid w:val="00E132E1"/>
    <w:rsid w:val="00E16F56"/>
    <w:rsid w:val="00E177B5"/>
    <w:rsid w:val="00E20E13"/>
    <w:rsid w:val="00E21DBC"/>
    <w:rsid w:val="00E275D7"/>
    <w:rsid w:val="00E27DBE"/>
    <w:rsid w:val="00E27EB2"/>
    <w:rsid w:val="00E31471"/>
    <w:rsid w:val="00E317C1"/>
    <w:rsid w:val="00E31E6F"/>
    <w:rsid w:val="00E32AB1"/>
    <w:rsid w:val="00E352FE"/>
    <w:rsid w:val="00E36C71"/>
    <w:rsid w:val="00E36E3A"/>
    <w:rsid w:val="00E37341"/>
    <w:rsid w:val="00E373F5"/>
    <w:rsid w:val="00E37C32"/>
    <w:rsid w:val="00E40325"/>
    <w:rsid w:val="00E40404"/>
    <w:rsid w:val="00E40595"/>
    <w:rsid w:val="00E43620"/>
    <w:rsid w:val="00E43C7C"/>
    <w:rsid w:val="00E4529A"/>
    <w:rsid w:val="00E459C6"/>
    <w:rsid w:val="00E45DD3"/>
    <w:rsid w:val="00E460DB"/>
    <w:rsid w:val="00E47589"/>
    <w:rsid w:val="00E50A8F"/>
    <w:rsid w:val="00E5228B"/>
    <w:rsid w:val="00E54128"/>
    <w:rsid w:val="00E54C88"/>
    <w:rsid w:val="00E57623"/>
    <w:rsid w:val="00E57DDC"/>
    <w:rsid w:val="00E6046C"/>
    <w:rsid w:val="00E60766"/>
    <w:rsid w:val="00E621D7"/>
    <w:rsid w:val="00E64915"/>
    <w:rsid w:val="00E65689"/>
    <w:rsid w:val="00E661D4"/>
    <w:rsid w:val="00E672A1"/>
    <w:rsid w:val="00E67DEC"/>
    <w:rsid w:val="00E70091"/>
    <w:rsid w:val="00E720F5"/>
    <w:rsid w:val="00E72B3F"/>
    <w:rsid w:val="00E76111"/>
    <w:rsid w:val="00E76D47"/>
    <w:rsid w:val="00E76F95"/>
    <w:rsid w:val="00E77429"/>
    <w:rsid w:val="00E77CB3"/>
    <w:rsid w:val="00E830E2"/>
    <w:rsid w:val="00E84579"/>
    <w:rsid w:val="00E849F7"/>
    <w:rsid w:val="00E84D4B"/>
    <w:rsid w:val="00E85531"/>
    <w:rsid w:val="00E85F88"/>
    <w:rsid w:val="00E8624B"/>
    <w:rsid w:val="00E902CA"/>
    <w:rsid w:val="00E90302"/>
    <w:rsid w:val="00E913A7"/>
    <w:rsid w:val="00E923F5"/>
    <w:rsid w:val="00E960F0"/>
    <w:rsid w:val="00E97396"/>
    <w:rsid w:val="00E979BA"/>
    <w:rsid w:val="00E97C85"/>
    <w:rsid w:val="00E97DAF"/>
    <w:rsid w:val="00EA185E"/>
    <w:rsid w:val="00EA26E7"/>
    <w:rsid w:val="00EA57AC"/>
    <w:rsid w:val="00EA592A"/>
    <w:rsid w:val="00EA5DAB"/>
    <w:rsid w:val="00EA6201"/>
    <w:rsid w:val="00EB0310"/>
    <w:rsid w:val="00EB06AE"/>
    <w:rsid w:val="00EB14E4"/>
    <w:rsid w:val="00EB32A5"/>
    <w:rsid w:val="00EB34ED"/>
    <w:rsid w:val="00EB7BE0"/>
    <w:rsid w:val="00EB7E63"/>
    <w:rsid w:val="00EC315E"/>
    <w:rsid w:val="00EC3ACD"/>
    <w:rsid w:val="00EC4E7B"/>
    <w:rsid w:val="00EC596A"/>
    <w:rsid w:val="00ED077C"/>
    <w:rsid w:val="00ED1190"/>
    <w:rsid w:val="00ED39AA"/>
    <w:rsid w:val="00ED6544"/>
    <w:rsid w:val="00EE0277"/>
    <w:rsid w:val="00EE3E00"/>
    <w:rsid w:val="00EE5DD2"/>
    <w:rsid w:val="00EE76FA"/>
    <w:rsid w:val="00EF0A2E"/>
    <w:rsid w:val="00EF19EB"/>
    <w:rsid w:val="00EF2A8D"/>
    <w:rsid w:val="00EF2C70"/>
    <w:rsid w:val="00EF374A"/>
    <w:rsid w:val="00EF3C3A"/>
    <w:rsid w:val="00EF63C2"/>
    <w:rsid w:val="00EF6C05"/>
    <w:rsid w:val="00F007FC"/>
    <w:rsid w:val="00F00951"/>
    <w:rsid w:val="00F00A79"/>
    <w:rsid w:val="00F00E86"/>
    <w:rsid w:val="00F04CFD"/>
    <w:rsid w:val="00F06AF7"/>
    <w:rsid w:val="00F07C1E"/>
    <w:rsid w:val="00F10329"/>
    <w:rsid w:val="00F105DB"/>
    <w:rsid w:val="00F132BC"/>
    <w:rsid w:val="00F1347A"/>
    <w:rsid w:val="00F13496"/>
    <w:rsid w:val="00F13D80"/>
    <w:rsid w:val="00F15881"/>
    <w:rsid w:val="00F16AAA"/>
    <w:rsid w:val="00F20419"/>
    <w:rsid w:val="00F20422"/>
    <w:rsid w:val="00F21161"/>
    <w:rsid w:val="00F218EF"/>
    <w:rsid w:val="00F21BC7"/>
    <w:rsid w:val="00F21E98"/>
    <w:rsid w:val="00F22317"/>
    <w:rsid w:val="00F223E5"/>
    <w:rsid w:val="00F24491"/>
    <w:rsid w:val="00F24FFA"/>
    <w:rsid w:val="00F25EE6"/>
    <w:rsid w:val="00F266A2"/>
    <w:rsid w:val="00F26CE6"/>
    <w:rsid w:val="00F32269"/>
    <w:rsid w:val="00F353F6"/>
    <w:rsid w:val="00F35505"/>
    <w:rsid w:val="00F36FE2"/>
    <w:rsid w:val="00F37540"/>
    <w:rsid w:val="00F41EBB"/>
    <w:rsid w:val="00F44192"/>
    <w:rsid w:val="00F45260"/>
    <w:rsid w:val="00F45B93"/>
    <w:rsid w:val="00F5085E"/>
    <w:rsid w:val="00F5573D"/>
    <w:rsid w:val="00F56A6F"/>
    <w:rsid w:val="00F5709C"/>
    <w:rsid w:val="00F603EE"/>
    <w:rsid w:val="00F64EF1"/>
    <w:rsid w:val="00F65E46"/>
    <w:rsid w:val="00F67C08"/>
    <w:rsid w:val="00F71E79"/>
    <w:rsid w:val="00F72390"/>
    <w:rsid w:val="00F72AD6"/>
    <w:rsid w:val="00F73A7E"/>
    <w:rsid w:val="00F83913"/>
    <w:rsid w:val="00F85DC1"/>
    <w:rsid w:val="00F8765F"/>
    <w:rsid w:val="00F87744"/>
    <w:rsid w:val="00F8794E"/>
    <w:rsid w:val="00F87AEB"/>
    <w:rsid w:val="00F90767"/>
    <w:rsid w:val="00F93002"/>
    <w:rsid w:val="00F93CE2"/>
    <w:rsid w:val="00F956E3"/>
    <w:rsid w:val="00FA28A0"/>
    <w:rsid w:val="00FA3452"/>
    <w:rsid w:val="00FA3C96"/>
    <w:rsid w:val="00FA685B"/>
    <w:rsid w:val="00FA73EC"/>
    <w:rsid w:val="00FB0C01"/>
    <w:rsid w:val="00FB2B45"/>
    <w:rsid w:val="00FB32E2"/>
    <w:rsid w:val="00FB46DE"/>
    <w:rsid w:val="00FB7DB0"/>
    <w:rsid w:val="00FC18F2"/>
    <w:rsid w:val="00FC2E4D"/>
    <w:rsid w:val="00FC3747"/>
    <w:rsid w:val="00FC39E5"/>
    <w:rsid w:val="00FC3A78"/>
    <w:rsid w:val="00FC700E"/>
    <w:rsid w:val="00FD1005"/>
    <w:rsid w:val="00FD38C7"/>
    <w:rsid w:val="00FD4672"/>
    <w:rsid w:val="00FD6C75"/>
    <w:rsid w:val="00FD6E2F"/>
    <w:rsid w:val="00FE232A"/>
    <w:rsid w:val="00FE3EAC"/>
    <w:rsid w:val="00FE45AE"/>
    <w:rsid w:val="00FE71B3"/>
    <w:rsid w:val="00FF0FA1"/>
    <w:rsid w:val="00FF13B3"/>
    <w:rsid w:val="00FF245F"/>
    <w:rsid w:val="00FF42C5"/>
    <w:rsid w:val="00FF47AF"/>
    <w:rsid w:val="00FF4A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E76F95"/>
    <w:pPr>
      <w:jc w:val="both"/>
    </w:pPr>
    <w:rPr>
      <w:rFonts w:eastAsiaTheme="minorEastAsia"/>
      <w:sz w:val="24"/>
      <w:lang w:val="en-GB"/>
    </w:rPr>
  </w:style>
  <w:style w:type="paragraph" w:styleId="Titolo1">
    <w:name w:val="heading 1"/>
    <w:basedOn w:val="Normale"/>
    <w:next w:val="Normale"/>
    <w:link w:val="Titolo1Carattere"/>
    <w:uiPriority w:val="99"/>
    <w:semiHidden/>
    <w:rsid w:val="00E76F9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E76F9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E76F95"/>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E76F95"/>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E76F95"/>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E76F9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E76F95"/>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E76F95"/>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E76F95"/>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E76F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76F95"/>
    <w:rPr>
      <w:rFonts w:ascii="Tahoma" w:eastAsiaTheme="minorEastAsia" w:hAnsi="Tahoma" w:cs="Tahoma"/>
      <w:sz w:val="16"/>
      <w:szCs w:val="16"/>
      <w:lang w:val="en-GB"/>
    </w:rPr>
  </w:style>
  <w:style w:type="character" w:styleId="Titolodellibro">
    <w:name w:val="Book Title"/>
    <w:uiPriority w:val="99"/>
    <w:semiHidden/>
    <w:qFormat/>
    <w:rsid w:val="00E76F95"/>
    <w:rPr>
      <w:i/>
      <w:iCs/>
      <w:smallCaps/>
      <w:spacing w:val="5"/>
    </w:rPr>
  </w:style>
  <w:style w:type="paragraph" w:customStyle="1" w:styleId="ECHRHeader">
    <w:name w:val="ECHR_Header"/>
    <w:aliases w:val="Ju_Header"/>
    <w:basedOn w:val="Intestazione"/>
    <w:uiPriority w:val="4"/>
    <w:qFormat/>
    <w:rsid w:val="00E76F95"/>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E76F95"/>
    <w:pPr>
      <w:jc w:val="left"/>
    </w:pPr>
    <w:rPr>
      <w:sz w:val="8"/>
    </w:rPr>
  </w:style>
  <w:style w:type="character" w:styleId="Enfasigrassetto">
    <w:name w:val="Strong"/>
    <w:uiPriority w:val="99"/>
    <w:semiHidden/>
    <w:qFormat/>
    <w:rsid w:val="00E76F95"/>
    <w:rPr>
      <w:b/>
      <w:bCs/>
    </w:rPr>
  </w:style>
  <w:style w:type="paragraph" w:styleId="Nessunaspaziatura">
    <w:name w:val="No Spacing"/>
    <w:basedOn w:val="Normale"/>
    <w:link w:val="NessunaspaziaturaCarattere"/>
    <w:semiHidden/>
    <w:qFormat/>
    <w:rsid w:val="00E76F95"/>
    <w:rPr>
      <w:sz w:val="22"/>
      <w:lang w:val="en-US"/>
    </w:rPr>
  </w:style>
  <w:style w:type="character" w:customStyle="1" w:styleId="NessunaspaziaturaCarattere">
    <w:name w:val="Nessuna spaziatura Carattere"/>
    <w:basedOn w:val="Carpredefinitoparagrafo"/>
    <w:link w:val="Nessunaspaziatura"/>
    <w:semiHidden/>
    <w:rsid w:val="00E76F95"/>
    <w:rPr>
      <w:rFonts w:eastAsiaTheme="minorEastAsia"/>
    </w:rPr>
  </w:style>
  <w:style w:type="paragraph" w:customStyle="1" w:styleId="ECHRFooterLine">
    <w:name w:val="ECHR_Footer_Line"/>
    <w:aliases w:val="Footer_Line"/>
    <w:basedOn w:val="Normale"/>
    <w:next w:val="ECHRFooter"/>
    <w:uiPriority w:val="57"/>
    <w:semiHidden/>
    <w:rsid w:val="00E76F95"/>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E76F95"/>
  </w:style>
  <w:style w:type="paragraph" w:customStyle="1" w:styleId="DecList">
    <w:name w:val="Dec_List"/>
    <w:basedOn w:val="Normale"/>
    <w:uiPriority w:val="9"/>
    <w:semiHidden/>
    <w:qFormat/>
    <w:rsid w:val="00E76F95"/>
    <w:pPr>
      <w:spacing w:before="240"/>
      <w:ind w:left="284"/>
    </w:pPr>
  </w:style>
  <w:style w:type="paragraph" w:customStyle="1" w:styleId="DummyStyle">
    <w:name w:val="Dummy_Style"/>
    <w:basedOn w:val="Normale"/>
    <w:semiHidden/>
    <w:qFormat/>
    <w:rsid w:val="00E76F95"/>
    <w:rPr>
      <w:color w:val="00B050"/>
    </w:rPr>
  </w:style>
  <w:style w:type="paragraph" w:customStyle="1" w:styleId="ECHRTitleCentre3">
    <w:name w:val="ECHR_Title_Centre_3"/>
    <w:aliases w:val="Ju_H_Article"/>
    <w:basedOn w:val="Normale"/>
    <w:next w:val="ECHRParaQuote"/>
    <w:uiPriority w:val="27"/>
    <w:qFormat/>
    <w:rsid w:val="00E76F95"/>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E76F95"/>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E76F95"/>
    <w:pPr>
      <w:numPr>
        <w:numId w:val="45"/>
      </w:numPr>
      <w:jc w:val="left"/>
    </w:pPr>
    <w:rPr>
      <w:b/>
    </w:rPr>
  </w:style>
  <w:style w:type="paragraph" w:customStyle="1" w:styleId="JuCourt">
    <w:name w:val="Ju_Court"/>
    <w:basedOn w:val="Normale"/>
    <w:next w:val="Normale"/>
    <w:uiPriority w:val="16"/>
    <w:qFormat/>
    <w:rsid w:val="00E76F95"/>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E76F95"/>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E76F95"/>
    <w:pPr>
      <w:spacing w:after="240"/>
      <w:jc w:val="center"/>
      <w:outlineLvl w:val="0"/>
    </w:pPr>
    <w:rPr>
      <w:rFonts w:asciiTheme="majorHAnsi" w:hAnsiTheme="majorHAnsi"/>
    </w:rPr>
  </w:style>
  <w:style w:type="paragraph" w:customStyle="1" w:styleId="JuInitialled">
    <w:name w:val="Ju_Initialled"/>
    <w:basedOn w:val="Normale"/>
    <w:uiPriority w:val="31"/>
    <w:qFormat/>
    <w:rsid w:val="00E76F95"/>
    <w:pPr>
      <w:tabs>
        <w:tab w:val="center" w:pos="6407"/>
      </w:tabs>
      <w:spacing w:before="720"/>
      <w:jc w:val="right"/>
    </w:pPr>
  </w:style>
  <w:style w:type="paragraph" w:styleId="Titolo">
    <w:name w:val="Title"/>
    <w:basedOn w:val="Normale"/>
    <w:next w:val="Normale"/>
    <w:link w:val="TitoloCarattere"/>
    <w:uiPriority w:val="99"/>
    <w:semiHidden/>
    <w:qFormat/>
    <w:rsid w:val="00E76F95"/>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E76F95"/>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E76F95"/>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E76F95"/>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E76F95"/>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E76F95"/>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E76F95"/>
    <w:pPr>
      <w:keepNext/>
      <w:keepLines/>
      <w:spacing w:before="240" w:after="120"/>
      <w:ind w:left="1236"/>
    </w:pPr>
    <w:rPr>
      <w:sz w:val="20"/>
      <w:lang w:val="en-GB"/>
    </w:rPr>
  </w:style>
  <w:style w:type="character" w:customStyle="1" w:styleId="JuITMark">
    <w:name w:val="Ju_ITMark"/>
    <w:basedOn w:val="Carpredefinitoparagrafo"/>
    <w:uiPriority w:val="38"/>
    <w:qFormat/>
    <w:rsid w:val="00E76F95"/>
    <w:rPr>
      <w:vanish w:val="0"/>
      <w:color w:val="auto"/>
      <w:sz w:val="14"/>
      <w:bdr w:val="none" w:sz="0" w:space="0" w:color="auto"/>
      <w:shd w:val="clear" w:color="auto" w:fill="BEE5FF" w:themeFill="background1" w:themeFillTint="33"/>
    </w:rPr>
  </w:style>
  <w:style w:type="character" w:customStyle="1" w:styleId="JUNAMES">
    <w:name w:val="JU_NAMES"/>
    <w:uiPriority w:val="17"/>
    <w:qFormat/>
    <w:rsid w:val="00E76F95"/>
    <w:rPr>
      <w:caps w:val="0"/>
      <w:smallCaps/>
    </w:rPr>
  </w:style>
  <w:style w:type="paragraph" w:customStyle="1" w:styleId="JuParaSub">
    <w:name w:val="Ju_Para_Sub"/>
    <w:basedOn w:val="ECHRPara"/>
    <w:uiPriority w:val="13"/>
    <w:qFormat/>
    <w:rsid w:val="00E76F95"/>
    <w:pPr>
      <w:ind w:left="284"/>
    </w:pPr>
  </w:style>
  <w:style w:type="paragraph" w:styleId="Intestazione">
    <w:name w:val="header"/>
    <w:basedOn w:val="Normale"/>
    <w:link w:val="IntestazioneCarattere"/>
    <w:uiPriority w:val="57"/>
    <w:semiHidden/>
    <w:rsid w:val="00E76F95"/>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E76F95"/>
    <w:rPr>
      <w:sz w:val="24"/>
      <w:lang w:val="en-GB"/>
    </w:rPr>
  </w:style>
  <w:style w:type="character" w:customStyle="1" w:styleId="Titolo1Carattere">
    <w:name w:val="Titolo 1 Carattere"/>
    <w:basedOn w:val="Carpredefinitoparagrafo"/>
    <w:link w:val="Titolo1"/>
    <w:uiPriority w:val="99"/>
    <w:semiHidden/>
    <w:rsid w:val="00E76F95"/>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E76F95"/>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E76F95"/>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E76F95"/>
    <w:rPr>
      <w:rFonts w:asciiTheme="majorHAnsi" w:eastAsiaTheme="majorEastAsia" w:hAnsiTheme="majorHAnsi" w:cstheme="majorBidi"/>
      <w:b/>
      <w:bCs/>
      <w:color w:val="4D4D4D"/>
      <w:sz w:val="26"/>
      <w:szCs w:val="26"/>
      <w:lang w:val="en-GB"/>
    </w:rPr>
  </w:style>
  <w:style w:type="paragraph" w:customStyle="1" w:styleId="JuQuotSub">
    <w:name w:val="Ju_Quot_Sub"/>
    <w:basedOn w:val="ECHRParaQuote"/>
    <w:uiPriority w:val="15"/>
    <w:qFormat/>
    <w:rsid w:val="00E76F95"/>
    <w:pPr>
      <w:ind w:left="567"/>
    </w:pPr>
  </w:style>
  <w:style w:type="paragraph" w:customStyle="1" w:styleId="ECHRDecisionBody">
    <w:name w:val="ECHR_Decision_Body"/>
    <w:aliases w:val="Ju_Judges"/>
    <w:basedOn w:val="Normale"/>
    <w:uiPriority w:val="11"/>
    <w:qFormat/>
    <w:rsid w:val="00E76F95"/>
    <w:pPr>
      <w:tabs>
        <w:tab w:val="left" w:pos="567"/>
        <w:tab w:val="left" w:pos="1134"/>
      </w:tabs>
      <w:jc w:val="left"/>
    </w:pPr>
  </w:style>
  <w:style w:type="character" w:customStyle="1" w:styleId="Titolo3Carattere">
    <w:name w:val="Titolo 3 Carattere"/>
    <w:basedOn w:val="Carpredefinitoparagrafo"/>
    <w:link w:val="Titolo3"/>
    <w:uiPriority w:val="99"/>
    <w:semiHidden/>
    <w:rsid w:val="00E76F95"/>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e"/>
    <w:uiPriority w:val="12"/>
    <w:qFormat/>
    <w:rsid w:val="00E76F95"/>
    <w:pPr>
      <w:ind w:firstLine="284"/>
    </w:pPr>
  </w:style>
  <w:style w:type="character" w:customStyle="1" w:styleId="Titolo4Carattere">
    <w:name w:val="Titolo 4 Carattere"/>
    <w:basedOn w:val="Carpredefinitoparagrafo"/>
    <w:link w:val="Titolo4"/>
    <w:uiPriority w:val="99"/>
    <w:semiHidden/>
    <w:rsid w:val="00E76F95"/>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E76F95"/>
    <w:rPr>
      <w:rFonts w:asciiTheme="majorHAnsi" w:eastAsiaTheme="majorEastAsia" w:hAnsiTheme="majorHAnsi" w:cstheme="majorBidi"/>
      <w:b/>
      <w:bCs/>
      <w:color w:val="808080"/>
    </w:rPr>
  </w:style>
  <w:style w:type="character" w:styleId="Enfasidelicata">
    <w:name w:val="Subtle Emphasis"/>
    <w:uiPriority w:val="99"/>
    <w:semiHidden/>
    <w:qFormat/>
    <w:rsid w:val="00E76F95"/>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E76F95"/>
    <w:pPr>
      <w:keepNext/>
      <w:keepLines/>
      <w:spacing w:before="720" w:after="240"/>
      <w:outlineLvl w:val="0"/>
    </w:pPr>
    <w:rPr>
      <w:rFonts w:asciiTheme="majorHAnsi" w:hAnsiTheme="majorHAnsi"/>
      <w:sz w:val="28"/>
    </w:rPr>
  </w:style>
  <w:style w:type="character" w:styleId="Enfasicorsivo">
    <w:name w:val="Emphasis"/>
    <w:uiPriority w:val="99"/>
    <w:semiHidden/>
    <w:qFormat/>
    <w:rsid w:val="00E76F95"/>
    <w:rPr>
      <w:b/>
      <w:bCs/>
      <w:i/>
      <w:iCs/>
      <w:spacing w:val="10"/>
      <w:bdr w:val="none" w:sz="0" w:space="0" w:color="auto"/>
      <w:shd w:val="clear" w:color="auto" w:fill="auto"/>
    </w:rPr>
  </w:style>
  <w:style w:type="paragraph" w:styleId="Pidipagina">
    <w:name w:val="footer"/>
    <w:basedOn w:val="Normale"/>
    <w:link w:val="PidipaginaCarattere"/>
    <w:uiPriority w:val="57"/>
    <w:semiHidden/>
    <w:rsid w:val="00E76F95"/>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E76F95"/>
    <w:rPr>
      <w:sz w:val="24"/>
      <w:lang w:val="en-GB"/>
    </w:rPr>
  </w:style>
  <w:style w:type="character" w:styleId="Rimandonotaapidipagina">
    <w:name w:val="footnote reference"/>
    <w:basedOn w:val="Carpredefinitoparagrafo"/>
    <w:uiPriority w:val="99"/>
    <w:semiHidden/>
    <w:rsid w:val="00E76F95"/>
    <w:rPr>
      <w:vertAlign w:val="superscript"/>
    </w:rPr>
  </w:style>
  <w:style w:type="paragraph" w:styleId="Testonotaapidipagina">
    <w:name w:val="footnote text"/>
    <w:basedOn w:val="Normale"/>
    <w:link w:val="TestonotaapidipaginaCarattere"/>
    <w:uiPriority w:val="99"/>
    <w:semiHidden/>
    <w:rsid w:val="00E76F95"/>
    <w:rPr>
      <w:sz w:val="20"/>
      <w:szCs w:val="20"/>
    </w:rPr>
  </w:style>
  <w:style w:type="character" w:customStyle="1" w:styleId="TestonotaapidipaginaCarattere">
    <w:name w:val="Testo nota a piè di pagina Carattere"/>
    <w:basedOn w:val="Carpredefinitoparagrafo"/>
    <w:link w:val="Testonotaapidipagina"/>
    <w:uiPriority w:val="99"/>
    <w:semiHidden/>
    <w:rsid w:val="00E76F95"/>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E76F95"/>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E76F95"/>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E76F95"/>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E76F95"/>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E76F95"/>
    <w:rPr>
      <w:color w:val="0072BC" w:themeColor="hyperlink"/>
      <w:u w:val="single"/>
    </w:rPr>
  </w:style>
  <w:style w:type="character" w:styleId="Enfasiintensa">
    <w:name w:val="Intense Emphasis"/>
    <w:uiPriority w:val="99"/>
    <w:semiHidden/>
    <w:qFormat/>
    <w:rsid w:val="00E76F95"/>
    <w:rPr>
      <w:b/>
      <w:bCs/>
    </w:rPr>
  </w:style>
  <w:style w:type="paragraph" w:styleId="Citazioneintensa">
    <w:name w:val="Intense Quote"/>
    <w:basedOn w:val="Normale"/>
    <w:next w:val="Normale"/>
    <w:link w:val="CitazioneintensaCarattere"/>
    <w:uiPriority w:val="99"/>
    <w:semiHidden/>
    <w:qFormat/>
    <w:rsid w:val="00E76F95"/>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E76F95"/>
    <w:rPr>
      <w:rFonts w:eastAsiaTheme="minorEastAsia"/>
      <w:b/>
      <w:bCs/>
      <w:i/>
      <w:iCs/>
      <w:lang w:bidi="en-US"/>
    </w:rPr>
  </w:style>
  <w:style w:type="character" w:styleId="Riferimentointenso">
    <w:name w:val="Intense Reference"/>
    <w:uiPriority w:val="99"/>
    <w:semiHidden/>
    <w:qFormat/>
    <w:rsid w:val="00E76F95"/>
    <w:rPr>
      <w:smallCaps/>
      <w:spacing w:val="5"/>
      <w:u w:val="single"/>
    </w:rPr>
  </w:style>
  <w:style w:type="paragraph" w:styleId="Paragrafoelenco">
    <w:name w:val="List Paragraph"/>
    <w:basedOn w:val="Normale"/>
    <w:uiPriority w:val="99"/>
    <w:semiHidden/>
    <w:qFormat/>
    <w:rsid w:val="00E76F95"/>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E76F95"/>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E76F95"/>
    <w:rPr>
      <w:rFonts w:eastAsiaTheme="minorEastAsia"/>
      <w:i/>
      <w:iCs/>
      <w:lang w:bidi="en-US"/>
    </w:rPr>
  </w:style>
  <w:style w:type="character" w:styleId="Riferimentodelicato">
    <w:name w:val="Subtle Reference"/>
    <w:uiPriority w:val="99"/>
    <w:semiHidden/>
    <w:qFormat/>
    <w:rsid w:val="00E76F95"/>
    <w:rPr>
      <w:smallCaps/>
    </w:rPr>
  </w:style>
  <w:style w:type="table" w:styleId="Grigliatabella">
    <w:name w:val="Table Grid"/>
    <w:basedOn w:val="Tabellanormale"/>
    <w:uiPriority w:val="59"/>
    <w:semiHidden/>
    <w:rsid w:val="00E76F95"/>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76F9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E76F9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E76F9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E76F95"/>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E76F95"/>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E76F95"/>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E76F95"/>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E76F95"/>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E76F95"/>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E76F95"/>
    <w:pPr>
      <w:tabs>
        <w:tab w:val="center" w:pos="851"/>
        <w:tab w:val="center" w:pos="6407"/>
      </w:tabs>
      <w:spacing w:before="720"/>
      <w:jc w:val="left"/>
    </w:pPr>
  </w:style>
  <w:style w:type="paragraph" w:customStyle="1" w:styleId="JuParaLast">
    <w:name w:val="Ju_Para_Last"/>
    <w:basedOn w:val="Normale"/>
    <w:next w:val="ECHRPara"/>
    <w:uiPriority w:val="30"/>
    <w:qFormat/>
    <w:rsid w:val="00E76F95"/>
    <w:pPr>
      <w:keepNext/>
      <w:keepLines/>
      <w:spacing w:before="240"/>
      <w:ind w:firstLine="284"/>
    </w:pPr>
  </w:style>
  <w:style w:type="paragraph" w:customStyle="1" w:styleId="JuCase">
    <w:name w:val="Ju_Case"/>
    <w:basedOn w:val="Normale"/>
    <w:next w:val="ECHRPara"/>
    <w:uiPriority w:val="10"/>
    <w:rsid w:val="00E76F95"/>
    <w:pPr>
      <w:ind w:firstLine="284"/>
    </w:pPr>
    <w:rPr>
      <w:b/>
    </w:rPr>
  </w:style>
  <w:style w:type="paragraph" w:customStyle="1" w:styleId="JuList">
    <w:name w:val="Ju_List"/>
    <w:basedOn w:val="Normale"/>
    <w:uiPriority w:val="28"/>
    <w:qFormat/>
    <w:rsid w:val="00E76F95"/>
    <w:pPr>
      <w:ind w:left="340" w:hanging="340"/>
    </w:pPr>
  </w:style>
  <w:style w:type="paragraph" w:customStyle="1" w:styleId="JuTitle">
    <w:name w:val="Ju_Title"/>
    <w:basedOn w:val="Normale"/>
    <w:next w:val="ECHRPara"/>
    <w:uiPriority w:val="3"/>
    <w:semiHidden/>
    <w:qFormat/>
    <w:rsid w:val="00E76F95"/>
    <w:pPr>
      <w:spacing w:before="720" w:after="240"/>
      <w:jc w:val="center"/>
      <w:outlineLvl w:val="0"/>
    </w:pPr>
    <w:rPr>
      <w:rFonts w:asciiTheme="majorHAnsi" w:hAnsiTheme="majorHAnsi"/>
      <w:b/>
      <w:caps/>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E76F95"/>
    <w:pPr>
      <w:ind w:left="346" w:firstLine="0"/>
    </w:pPr>
  </w:style>
  <w:style w:type="paragraph" w:customStyle="1" w:styleId="JuListi">
    <w:name w:val="Ju_List_i"/>
    <w:basedOn w:val="Normale"/>
    <w:next w:val="JuLista"/>
    <w:uiPriority w:val="28"/>
    <w:qFormat/>
    <w:rsid w:val="00E76F95"/>
    <w:pPr>
      <w:ind w:left="794"/>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basedOn w:val="Carpredefinitoparagrafo"/>
    <w:uiPriority w:val="99"/>
    <w:semiHidden/>
    <w:rsid w:val="00E76F95"/>
    <w:rPr>
      <w:vertAlign w:val="superscript"/>
    </w:rPr>
  </w:style>
  <w:style w:type="paragraph" w:styleId="Testonotadichiusura">
    <w:name w:val="endnote text"/>
    <w:basedOn w:val="Normale"/>
    <w:link w:val="TestonotadichiusuraCarattere"/>
    <w:uiPriority w:val="99"/>
    <w:semiHidden/>
    <w:rsid w:val="00E76F95"/>
    <w:rPr>
      <w:sz w:val="20"/>
      <w:szCs w:val="20"/>
    </w:rPr>
  </w:style>
  <w:style w:type="character" w:customStyle="1" w:styleId="TestonotadichiusuraCarattere">
    <w:name w:val="Testo nota di chiusura Carattere"/>
    <w:basedOn w:val="Carpredefinitoparagrafo"/>
    <w:link w:val="Testonotadichiusura"/>
    <w:uiPriority w:val="99"/>
    <w:semiHidden/>
    <w:rsid w:val="00E76F95"/>
    <w:rPr>
      <w:rFonts w:eastAsiaTheme="minorEastAsia"/>
      <w:sz w:val="20"/>
      <w:szCs w:val="20"/>
      <w:lang w:val="en-GB"/>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1">
    <w:name w:val="Opi_H_1"/>
    <w:basedOn w:val="ECHRHeading2"/>
    <w:uiPriority w:val="42"/>
    <w:qFormat/>
    <w:rsid w:val="00E76F95"/>
    <w:pPr>
      <w:ind w:left="635" w:hanging="357"/>
      <w:outlineLvl w:val="2"/>
    </w:p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OpiHa">
    <w:name w:val="Opi_H_a"/>
    <w:basedOn w:val="ECHRHeading3"/>
    <w:uiPriority w:val="43"/>
    <w:qFormat/>
    <w:rsid w:val="00E76F95"/>
    <w:pPr>
      <w:ind w:left="833" w:hanging="357"/>
      <w:outlineLvl w:val="3"/>
    </w:pPr>
    <w:rPr>
      <w:b/>
      <w:i w:val="0"/>
      <w:sz w:val="20"/>
    </w:rPr>
  </w:style>
  <w:style w:type="paragraph" w:styleId="Sottotitolo">
    <w:name w:val="Subtitle"/>
    <w:basedOn w:val="Normale"/>
    <w:next w:val="Normale"/>
    <w:link w:val="SottotitoloCarattere"/>
    <w:uiPriority w:val="99"/>
    <w:semiHidden/>
    <w:qFormat/>
    <w:rsid w:val="00E76F95"/>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E76F95"/>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6F9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6F9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E76F9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E76F95"/>
    <w:pPr>
      <w:tabs>
        <w:tab w:val="clear" w:pos="357"/>
      </w:tabs>
      <w:outlineLvl w:val="1"/>
    </w:pPr>
    <w:rPr>
      <w:b/>
    </w:rPr>
  </w:style>
  <w:style w:type="paragraph" w:customStyle="1" w:styleId="OpiHi">
    <w:name w:val="Opi_H_i"/>
    <w:basedOn w:val="ECHRHeading4"/>
    <w:uiPriority w:val="44"/>
    <w:qFormat/>
    <w:rsid w:val="00E76F95"/>
    <w:pPr>
      <w:ind w:left="1037" w:hanging="357"/>
      <w:outlineLvl w:val="4"/>
    </w:pPr>
    <w:rPr>
      <w:b w:val="0"/>
      <w:i/>
    </w:rPr>
  </w:style>
  <w:style w:type="paragraph" w:customStyle="1" w:styleId="OpiPara">
    <w:name w:val="Opi_Para"/>
    <w:basedOn w:val="ECHRPara"/>
    <w:uiPriority w:val="46"/>
    <w:qFormat/>
    <w:rsid w:val="00E76F95"/>
  </w:style>
  <w:style w:type="paragraph" w:customStyle="1" w:styleId="OpiParaSub">
    <w:name w:val="Opi_Para_Sub"/>
    <w:basedOn w:val="JuParaSub"/>
    <w:uiPriority w:val="47"/>
    <w:qFormat/>
    <w:rsid w:val="00E76F95"/>
  </w:style>
  <w:style w:type="paragraph" w:customStyle="1" w:styleId="OpiQuot">
    <w:name w:val="Opi_Quot"/>
    <w:basedOn w:val="ECHRParaQuote"/>
    <w:uiPriority w:val="48"/>
    <w:qFormat/>
    <w:rsid w:val="00E76F95"/>
  </w:style>
  <w:style w:type="paragraph" w:customStyle="1" w:styleId="OpiQuotSub">
    <w:name w:val="Opi_Quot_Sub"/>
    <w:basedOn w:val="JuQuotSub"/>
    <w:uiPriority w:val="49"/>
    <w:qFormat/>
    <w:rsid w:val="00E76F95"/>
  </w:style>
  <w:style w:type="paragraph" w:customStyle="1" w:styleId="OpiTranslation">
    <w:name w:val="Opi_Translation"/>
    <w:basedOn w:val="Normale"/>
    <w:next w:val="OpiPara"/>
    <w:uiPriority w:val="40"/>
    <w:qFormat/>
    <w:rsid w:val="00E76F95"/>
    <w:pPr>
      <w:jc w:val="center"/>
      <w:outlineLvl w:val="0"/>
    </w:pPr>
    <w:rPr>
      <w:i/>
    </w:rPr>
  </w:style>
  <w:style w:type="paragraph" w:customStyle="1" w:styleId="ECHRSpacer">
    <w:name w:val="ECHR_Spacer"/>
    <w:basedOn w:val="Normale"/>
    <w:uiPriority w:val="45"/>
    <w:rsid w:val="00AA755B"/>
    <w:pPr>
      <w:jc w:val="left"/>
    </w:pPr>
    <w:rPr>
      <w:rFonts w:eastAsiaTheme="minorHAnsi"/>
      <w:sz w:val="4"/>
    </w:rPr>
  </w:style>
  <w:style w:type="paragraph" w:styleId="Revisione">
    <w:name w:val="Revision"/>
    <w:hidden/>
    <w:uiPriority w:val="99"/>
    <w:semiHidden/>
    <w:rsid w:val="00BE3095"/>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0015">
      <w:bodyDiv w:val="1"/>
      <w:marLeft w:val="0"/>
      <w:marRight w:val="0"/>
      <w:marTop w:val="0"/>
      <w:marBottom w:val="0"/>
      <w:divBdr>
        <w:top w:val="none" w:sz="0" w:space="0" w:color="auto"/>
        <w:left w:val="none" w:sz="0" w:space="0" w:color="auto"/>
        <w:bottom w:val="none" w:sz="0" w:space="0" w:color="auto"/>
        <w:right w:val="none" w:sz="0" w:space="0" w:color="auto"/>
      </w:divBdr>
    </w:div>
    <w:div w:id="497771792">
      <w:bodyDiv w:val="1"/>
      <w:marLeft w:val="0"/>
      <w:marRight w:val="0"/>
      <w:marTop w:val="0"/>
      <w:marBottom w:val="0"/>
      <w:divBdr>
        <w:top w:val="none" w:sz="0" w:space="0" w:color="auto"/>
        <w:left w:val="none" w:sz="0" w:space="0" w:color="auto"/>
        <w:bottom w:val="none" w:sz="0" w:space="0" w:color="auto"/>
        <w:right w:val="none" w:sz="0" w:space="0" w:color="auto"/>
      </w:divBdr>
    </w:div>
    <w:div w:id="639964728">
      <w:bodyDiv w:val="1"/>
      <w:marLeft w:val="0"/>
      <w:marRight w:val="0"/>
      <w:marTop w:val="0"/>
      <w:marBottom w:val="0"/>
      <w:divBdr>
        <w:top w:val="none" w:sz="0" w:space="0" w:color="auto"/>
        <w:left w:val="none" w:sz="0" w:space="0" w:color="auto"/>
        <w:bottom w:val="none" w:sz="0" w:space="0" w:color="auto"/>
        <w:right w:val="none" w:sz="0" w:space="0" w:color="auto"/>
      </w:divBdr>
    </w:div>
    <w:div w:id="808061562">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756049946">
      <w:bodyDiv w:val="1"/>
      <w:marLeft w:val="0"/>
      <w:marRight w:val="0"/>
      <w:marTop w:val="0"/>
      <w:marBottom w:val="0"/>
      <w:divBdr>
        <w:top w:val="none" w:sz="0" w:space="0" w:color="auto"/>
        <w:left w:val="none" w:sz="0" w:space="0" w:color="auto"/>
        <w:bottom w:val="none" w:sz="0" w:space="0" w:color="auto"/>
        <w:right w:val="none" w:sz="0" w:space="0" w:color="auto"/>
      </w:divBdr>
    </w:div>
    <w:div w:id="1794522625">
      <w:bodyDiv w:val="1"/>
      <w:marLeft w:val="0"/>
      <w:marRight w:val="0"/>
      <w:marTop w:val="0"/>
      <w:marBottom w:val="0"/>
      <w:divBdr>
        <w:top w:val="none" w:sz="0" w:space="0" w:color="auto"/>
        <w:left w:val="none" w:sz="0" w:space="0" w:color="auto"/>
        <w:bottom w:val="none" w:sz="0" w:space="0" w:color="auto"/>
        <w:right w:val="none" w:sz="0" w:space="0" w:color="auto"/>
      </w:divBdr>
    </w:div>
    <w:div w:id="1926692868">
      <w:bodyDiv w:val="1"/>
      <w:marLeft w:val="0"/>
      <w:marRight w:val="0"/>
      <w:marTop w:val="0"/>
      <w:marBottom w:val="0"/>
      <w:divBdr>
        <w:top w:val="none" w:sz="0" w:space="0" w:color="auto"/>
        <w:left w:val="none" w:sz="0" w:space="0" w:color="auto"/>
        <w:bottom w:val="none" w:sz="0" w:space="0" w:color="auto"/>
        <w:right w:val="none" w:sz="0" w:space="0" w:color="auto"/>
      </w:divBdr>
      <w:divsChild>
        <w:div w:id="30306175">
          <w:marLeft w:val="0"/>
          <w:marRight w:val="0"/>
          <w:marTop w:val="0"/>
          <w:marBottom w:val="0"/>
          <w:divBdr>
            <w:top w:val="none" w:sz="0" w:space="0" w:color="auto"/>
            <w:left w:val="none" w:sz="0" w:space="0" w:color="auto"/>
            <w:bottom w:val="none" w:sz="0" w:space="0" w:color="auto"/>
            <w:right w:val="none" w:sz="0" w:space="0" w:color="auto"/>
          </w:divBdr>
          <w:divsChild>
            <w:div w:id="1275793339">
              <w:marLeft w:val="0"/>
              <w:marRight w:val="0"/>
              <w:marTop w:val="0"/>
              <w:marBottom w:val="0"/>
              <w:divBdr>
                <w:top w:val="none" w:sz="0" w:space="0" w:color="auto"/>
                <w:left w:val="none" w:sz="0" w:space="0" w:color="auto"/>
                <w:bottom w:val="none" w:sz="0" w:space="0" w:color="auto"/>
                <w:right w:val="none" w:sz="0" w:space="0" w:color="auto"/>
              </w:divBdr>
              <w:divsChild>
                <w:div w:id="1636060524">
                  <w:marLeft w:val="0"/>
                  <w:marRight w:val="0"/>
                  <w:marTop w:val="0"/>
                  <w:marBottom w:val="0"/>
                  <w:divBdr>
                    <w:top w:val="none" w:sz="0" w:space="0" w:color="auto"/>
                    <w:left w:val="none" w:sz="0" w:space="0" w:color="auto"/>
                    <w:bottom w:val="none" w:sz="0" w:space="0" w:color="auto"/>
                    <w:right w:val="none" w:sz="0" w:space="0" w:color="auto"/>
                  </w:divBdr>
                  <w:divsChild>
                    <w:div w:id="743844502">
                      <w:marLeft w:val="0"/>
                      <w:marRight w:val="0"/>
                      <w:marTop w:val="0"/>
                      <w:marBottom w:val="0"/>
                      <w:divBdr>
                        <w:top w:val="none" w:sz="0" w:space="0" w:color="auto"/>
                        <w:left w:val="none" w:sz="0" w:space="0" w:color="auto"/>
                        <w:bottom w:val="none" w:sz="0" w:space="0" w:color="auto"/>
                        <w:right w:val="none" w:sz="0" w:space="0" w:color="auto"/>
                      </w:divBdr>
                      <w:divsChild>
                        <w:div w:id="1841002626">
                          <w:marLeft w:val="0"/>
                          <w:marRight w:val="0"/>
                          <w:marTop w:val="0"/>
                          <w:marBottom w:val="0"/>
                          <w:divBdr>
                            <w:top w:val="none" w:sz="0" w:space="0" w:color="auto"/>
                            <w:left w:val="none" w:sz="0" w:space="0" w:color="auto"/>
                            <w:bottom w:val="none" w:sz="0" w:space="0" w:color="auto"/>
                            <w:right w:val="none" w:sz="0" w:space="0" w:color="auto"/>
                          </w:divBdr>
                          <w:divsChild>
                            <w:div w:id="2476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5FB2A-8829-4C67-867B-6493A99417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98777A-99DD-4651-BDF0-FD3392747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559782-2831-4620-9267-5F9D119E54E5}">
  <ds:schemaRefs>
    <ds:schemaRef ds:uri="http://schemas.microsoft.com/sharepoint/v3/contenttype/forms"/>
  </ds:schemaRefs>
</ds:datastoreItem>
</file>

<file path=customXml/itemProps4.xml><?xml version="1.0" encoding="utf-8"?>
<ds:datastoreItem xmlns:ds="http://schemas.openxmlformats.org/officeDocument/2006/customXml" ds:itemID="{900EEEBE-F8E6-416B-AEFC-772FBB016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8660</Words>
  <Characters>49363</Characters>
  <Application>Microsoft Office Word</Application>
  <DocSecurity>0</DocSecurity>
  <Lines>411</Lines>
  <Paragraphs>115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keywords/>
  <dc:description/>
  <cp:lastModifiedBy/>
  <cp:revision>1</cp:revision>
  <dcterms:created xsi:type="dcterms:W3CDTF">2018-07-20T11:14:00Z</dcterms:created>
  <dcterms:modified xsi:type="dcterms:W3CDTF">2018-07-20T11:14:00Z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6360/13</vt:lpwstr>
  </property>
  <property fmtid="{D5CDD505-2E9C-101B-9397-08002B2CF9AE}" pid="4" name="CASEID">
    <vt:lpwstr>856620</vt:lpwstr>
  </property>
  <property fmtid="{D5CDD505-2E9C-101B-9397-08002B2CF9AE}" pid="5" name="ContentTypeId">
    <vt:lpwstr>0x010100558EB02BDB9E204AB350EDD385B68E10</vt:lpwstr>
  </property>
</Properties>
</file>