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77CB3" w:rsidRPr="00E8692E" w:rsidRDefault="002E50EC" w:rsidP="00E8692E">
      <w:pPr>
        <w:jc w:val="center"/>
        <w:rPr>
          <w:lang w:val="fr-FR"/>
        </w:rPr>
      </w:pPr>
      <w:r w:rsidRPr="00E8692E">
        <w:rPr>
          <w:lang w:val="fr-FR"/>
        </w:rPr>
        <w:fldChar w:fldCharType="begin"/>
      </w:r>
      <w:r w:rsidRPr="00E8692E">
        <w:rPr>
          <w:lang w:val="fr-FR"/>
        </w:rPr>
        <w:instrText xml:space="preserve">  </w:instrText>
      </w:r>
      <w:r w:rsidRPr="00E8692E">
        <w:rPr>
          <w:lang w:val="fr-FR"/>
        </w:rPr>
        <w:fldChar w:fldCharType="end"/>
      </w:r>
    </w:p>
    <w:p w:rsidR="001E2EDB" w:rsidRPr="00E8692E" w:rsidRDefault="001E2EDB" w:rsidP="00E8692E">
      <w:pPr>
        <w:jc w:val="center"/>
        <w:rPr>
          <w:lang w:val="fr-FR"/>
        </w:rPr>
      </w:pPr>
    </w:p>
    <w:p w:rsidR="001E2EDB" w:rsidRPr="00E8692E" w:rsidRDefault="001E2EDB" w:rsidP="00E8692E">
      <w:pPr>
        <w:jc w:val="center"/>
        <w:rPr>
          <w:lang w:val="fr-FR"/>
        </w:rPr>
      </w:pPr>
    </w:p>
    <w:p w:rsidR="00E77CB3" w:rsidRPr="00E8692E" w:rsidRDefault="00934225" w:rsidP="00E8692E">
      <w:pPr>
        <w:jc w:val="center"/>
        <w:rPr>
          <w:lang w:val="fr-FR"/>
        </w:rPr>
      </w:pPr>
      <w:r w:rsidRPr="00E8692E">
        <w:rPr>
          <w:lang w:val="fr-FR"/>
        </w:rPr>
        <w:t>PREMIÈRE SECTION</w:t>
      </w:r>
    </w:p>
    <w:p w:rsidR="00E77CB3" w:rsidRPr="00E8692E" w:rsidRDefault="00E77CB3"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E8692E" w:rsidRPr="00E8692E" w:rsidRDefault="00E8692E"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E176DE" w:rsidRPr="00E8692E" w:rsidRDefault="00E77CB3" w:rsidP="00E8692E">
      <w:pPr>
        <w:jc w:val="center"/>
        <w:rPr>
          <w:b/>
          <w:lang w:val="fr-FR"/>
        </w:rPr>
      </w:pPr>
      <w:bookmarkStart w:id="1" w:name="To"/>
      <w:r w:rsidRPr="00E8692E">
        <w:rPr>
          <w:b/>
          <w:lang w:val="fr-FR"/>
        </w:rPr>
        <w:t xml:space="preserve">AFFAIRE </w:t>
      </w:r>
      <w:bookmarkEnd w:id="1"/>
      <w:r w:rsidR="00934225" w:rsidRPr="00E8692E">
        <w:rPr>
          <w:b/>
          <w:lang w:val="fr-FR"/>
        </w:rPr>
        <w:t xml:space="preserve">THERAPIC CENTER </w:t>
      </w:r>
      <w:r w:rsidR="00E176DE" w:rsidRPr="00E8692E">
        <w:rPr>
          <w:b/>
          <w:lang w:val="fr-FR"/>
        </w:rPr>
        <w:t>S.R.L. ET AUTRES c. ITALIE</w:t>
      </w:r>
    </w:p>
    <w:p w:rsidR="00E176DE" w:rsidRPr="00E8692E" w:rsidRDefault="00E176DE" w:rsidP="00E8692E">
      <w:pPr>
        <w:jc w:val="center"/>
        <w:rPr>
          <w:lang w:val="fr-FR"/>
        </w:rPr>
      </w:pPr>
    </w:p>
    <w:p w:rsidR="001E2EDB" w:rsidRPr="00E8692E" w:rsidRDefault="00E176DE" w:rsidP="00E8692E">
      <w:pPr>
        <w:jc w:val="center"/>
        <w:rPr>
          <w:lang w:val="fr-FR"/>
        </w:rPr>
      </w:pPr>
      <w:r w:rsidRPr="00E8692E">
        <w:rPr>
          <w:i/>
          <w:lang w:val="fr-FR"/>
        </w:rPr>
        <w:t>(Requêtes n</w:t>
      </w:r>
      <w:r w:rsidRPr="00E8692E">
        <w:rPr>
          <w:i/>
          <w:vertAlign w:val="superscript"/>
          <w:lang w:val="fr-FR"/>
        </w:rPr>
        <w:t>os</w:t>
      </w:r>
      <w:r w:rsidRPr="00E8692E">
        <w:rPr>
          <w:i/>
          <w:lang w:val="fr-FR"/>
        </w:rPr>
        <w:t xml:space="preserve"> 39186/11 et 9 autres</w:t>
      </w:r>
      <w:r w:rsidR="006D4449" w:rsidRPr="00E8692E">
        <w:rPr>
          <w:i/>
          <w:lang w:val="fr-FR"/>
        </w:rPr>
        <w:t xml:space="preserve"> requêtes</w:t>
      </w:r>
      <w:r w:rsidRPr="00E8692E">
        <w:rPr>
          <w:i/>
          <w:lang w:val="fr-FR"/>
        </w:rPr>
        <w:t xml:space="preserve"> - voir liste en annexe)</w:t>
      </w: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p>
    <w:p w:rsidR="001E2EDB" w:rsidRPr="00E8692E" w:rsidRDefault="001E2EDB" w:rsidP="00E8692E">
      <w:pPr>
        <w:jc w:val="center"/>
        <w:rPr>
          <w:lang w:val="fr-FR"/>
        </w:rPr>
      </w:pPr>
      <w:r w:rsidRPr="00E8692E">
        <w:rPr>
          <w:lang w:val="fr-FR"/>
        </w:rPr>
        <w:t>ARRÊT</w:t>
      </w:r>
    </w:p>
    <w:p w:rsidR="001E2EDB" w:rsidRPr="00E8692E" w:rsidRDefault="001E2EDB" w:rsidP="00E8692E">
      <w:pPr>
        <w:pStyle w:val="ECHRPara"/>
        <w:jc w:val="center"/>
        <w:rPr>
          <w:lang w:val="fr-FR"/>
        </w:rPr>
      </w:pPr>
    </w:p>
    <w:p w:rsidR="001E2EDB" w:rsidRPr="00E8692E" w:rsidRDefault="001E2EDB" w:rsidP="00E8692E">
      <w:pPr>
        <w:pStyle w:val="ECHRPara"/>
        <w:jc w:val="center"/>
        <w:rPr>
          <w:lang w:val="fr-FR"/>
        </w:rPr>
      </w:pPr>
    </w:p>
    <w:p w:rsidR="001E2EDB" w:rsidRPr="00E8692E" w:rsidRDefault="001E2EDB" w:rsidP="00E8692E">
      <w:pPr>
        <w:pStyle w:val="ECHRPara"/>
        <w:jc w:val="center"/>
        <w:rPr>
          <w:lang w:val="fr-FR"/>
        </w:rPr>
      </w:pPr>
      <w:r w:rsidRPr="00E8692E">
        <w:rPr>
          <w:lang w:val="fr-FR"/>
        </w:rPr>
        <w:t>STRASBOURG</w:t>
      </w:r>
    </w:p>
    <w:p w:rsidR="001E2EDB" w:rsidRPr="00E8692E" w:rsidRDefault="001E2EDB" w:rsidP="00E8692E">
      <w:pPr>
        <w:pStyle w:val="ECHRPara"/>
        <w:jc w:val="center"/>
        <w:rPr>
          <w:lang w:val="fr-FR"/>
        </w:rPr>
      </w:pPr>
    </w:p>
    <w:p w:rsidR="001E2EDB" w:rsidRPr="00E8692E" w:rsidRDefault="001E2EDB" w:rsidP="00E8692E">
      <w:pPr>
        <w:pStyle w:val="ECHRPara"/>
        <w:jc w:val="center"/>
        <w:rPr>
          <w:lang w:val="fr-FR"/>
        </w:rPr>
      </w:pPr>
      <w:r w:rsidRPr="00E8692E">
        <w:rPr>
          <w:lang w:val="fr-FR"/>
        </w:rPr>
        <w:t>4 octobre 2018</w:t>
      </w:r>
    </w:p>
    <w:p w:rsidR="001E2EDB" w:rsidRPr="00E8692E" w:rsidRDefault="001E2EDB" w:rsidP="00E8692E">
      <w:pPr>
        <w:pStyle w:val="ECHRPara"/>
        <w:jc w:val="center"/>
        <w:rPr>
          <w:lang w:val="fr-FR"/>
        </w:rPr>
      </w:pPr>
    </w:p>
    <w:p w:rsidR="001E2EDB" w:rsidRPr="00E8692E" w:rsidRDefault="001E2EDB" w:rsidP="00E8692E">
      <w:pPr>
        <w:pStyle w:val="ECHRPara"/>
        <w:jc w:val="center"/>
        <w:rPr>
          <w:lang w:val="fr-FR"/>
        </w:rPr>
      </w:pPr>
    </w:p>
    <w:p w:rsidR="00E42F95" w:rsidRPr="00E8692E" w:rsidRDefault="00E42F95" w:rsidP="00E8692E">
      <w:pPr>
        <w:pStyle w:val="ECHRPara"/>
        <w:jc w:val="center"/>
        <w:rPr>
          <w:lang w:val="fr-FR"/>
        </w:rPr>
      </w:pPr>
    </w:p>
    <w:p w:rsidR="00E42F95" w:rsidRPr="00E8692E" w:rsidRDefault="00E42F95" w:rsidP="00E8692E">
      <w:pPr>
        <w:pStyle w:val="ECHRPara"/>
        <w:jc w:val="center"/>
        <w:rPr>
          <w:lang w:val="fr-FR"/>
        </w:rPr>
      </w:pPr>
    </w:p>
    <w:p w:rsidR="00E42F95" w:rsidRPr="00E8692E" w:rsidRDefault="00E42F95" w:rsidP="00E8692E">
      <w:pPr>
        <w:pStyle w:val="ECHRPara"/>
        <w:jc w:val="center"/>
        <w:rPr>
          <w:lang w:val="fr-FR"/>
        </w:rPr>
      </w:pPr>
    </w:p>
    <w:p w:rsidR="00E42F95" w:rsidRPr="00E8692E" w:rsidRDefault="00E42F95" w:rsidP="00E8692E">
      <w:pPr>
        <w:pStyle w:val="ECHRPara"/>
        <w:jc w:val="center"/>
        <w:rPr>
          <w:lang w:val="fr-FR"/>
        </w:rPr>
      </w:pPr>
    </w:p>
    <w:p w:rsidR="00E42F95" w:rsidRPr="00E8692E" w:rsidRDefault="00E42F95" w:rsidP="00E8692E">
      <w:pPr>
        <w:pStyle w:val="ECHRPara"/>
        <w:jc w:val="center"/>
        <w:rPr>
          <w:lang w:val="fr-FR"/>
        </w:rPr>
      </w:pPr>
    </w:p>
    <w:p w:rsidR="001E2EDB" w:rsidRPr="00E8692E" w:rsidRDefault="001E2EDB" w:rsidP="00E8692E">
      <w:pPr>
        <w:pStyle w:val="ECHRPara"/>
        <w:ind w:firstLine="0"/>
        <w:jc w:val="center"/>
        <w:rPr>
          <w:i/>
          <w:sz w:val="22"/>
          <w:lang w:val="fr-FR"/>
        </w:rPr>
      </w:pPr>
      <w:r w:rsidRPr="00E8692E">
        <w:rPr>
          <w:i/>
          <w:sz w:val="22"/>
          <w:lang w:val="fr-FR"/>
        </w:rPr>
        <w:t>Cet arrêt est définitif. Il peut subir des retouches de forme.</w:t>
      </w:r>
    </w:p>
    <w:p w:rsidR="001E2EDB" w:rsidRPr="00E8692E" w:rsidRDefault="001E2EDB" w:rsidP="00E8692E">
      <w:pPr>
        <w:pStyle w:val="ECHRPara"/>
        <w:ind w:firstLine="0"/>
        <w:rPr>
          <w:i/>
          <w:sz w:val="22"/>
          <w:lang w:val="fr-FR"/>
        </w:rPr>
      </w:pPr>
    </w:p>
    <w:p w:rsidR="001E2EDB" w:rsidRPr="00E8692E" w:rsidRDefault="001E2EDB" w:rsidP="00E8692E">
      <w:pPr>
        <w:pStyle w:val="ECHRPara"/>
        <w:ind w:firstLine="0"/>
        <w:rPr>
          <w:i/>
          <w:sz w:val="22"/>
          <w:lang w:val="fr-FR"/>
        </w:rPr>
        <w:sectPr w:rsidR="001E2EDB" w:rsidRPr="00E8692E" w:rsidSect="001E2EDB">
          <w:headerReference w:type="even" r:id="rId12"/>
          <w:headerReference w:type="default" r:id="rId13"/>
          <w:headerReference w:type="first" r:id="rId14"/>
          <w:footerReference w:type="first" r:id="rId15"/>
          <w:footnotePr>
            <w:numRestart w:val="eachSect"/>
          </w:footnotePr>
          <w:pgSz w:w="11906" w:h="16838" w:code="9"/>
          <w:pgMar w:top="2274" w:right="2274" w:bottom="2274" w:left="2274" w:header="1701" w:footer="720" w:gutter="0"/>
          <w:pgNumType w:start="1"/>
          <w:cols w:space="720"/>
          <w:titlePg/>
          <w:docGrid w:linePitch="326"/>
        </w:sectPr>
      </w:pPr>
    </w:p>
    <w:p w:rsidR="001E2EDB" w:rsidRPr="00E8692E" w:rsidRDefault="001E2EDB" w:rsidP="00E8692E">
      <w:pPr>
        <w:pStyle w:val="JuCase"/>
        <w:rPr>
          <w:lang w:val="fr-FR"/>
        </w:rPr>
      </w:pPr>
      <w:r w:rsidRPr="00E8692E">
        <w:rPr>
          <w:lang w:val="fr-FR"/>
        </w:rPr>
        <w:lastRenderedPageBreak/>
        <w:t>En l</w:t>
      </w:r>
      <w:r w:rsidR="00E8692E" w:rsidRPr="00E8692E">
        <w:rPr>
          <w:lang w:val="fr-FR"/>
        </w:rPr>
        <w:t>’</w:t>
      </w:r>
      <w:r w:rsidRPr="00E8692E">
        <w:rPr>
          <w:lang w:val="fr-FR"/>
        </w:rPr>
        <w:t xml:space="preserve">affaire </w:t>
      </w:r>
      <w:proofErr w:type="spellStart"/>
      <w:r w:rsidRPr="00E8692E">
        <w:rPr>
          <w:lang w:val="fr-FR"/>
        </w:rPr>
        <w:t>Therapic</w:t>
      </w:r>
      <w:proofErr w:type="spellEnd"/>
      <w:r w:rsidRPr="00E8692E">
        <w:rPr>
          <w:lang w:val="fr-FR"/>
        </w:rPr>
        <w:t xml:space="preserve"> Center </w:t>
      </w:r>
      <w:proofErr w:type="spellStart"/>
      <w:r w:rsidRPr="00E8692E">
        <w:rPr>
          <w:lang w:val="fr-FR"/>
        </w:rPr>
        <w:t>S.r.l</w:t>
      </w:r>
      <w:proofErr w:type="spellEnd"/>
      <w:r w:rsidRPr="00E8692E">
        <w:rPr>
          <w:lang w:val="fr-FR"/>
        </w:rPr>
        <w:t>. et autres c. Italie,</w:t>
      </w:r>
    </w:p>
    <w:p w:rsidR="00E77CB3" w:rsidRPr="00E8692E" w:rsidRDefault="00E77CB3" w:rsidP="00E8692E">
      <w:pPr>
        <w:pStyle w:val="ECHRPara"/>
        <w:rPr>
          <w:lang w:val="fr-FR"/>
        </w:rPr>
      </w:pPr>
      <w:r w:rsidRPr="00E8692E">
        <w:rPr>
          <w:lang w:val="fr-FR"/>
        </w:rPr>
        <w:t>La Cour européenne des droits de l</w:t>
      </w:r>
      <w:r w:rsidR="00E8692E" w:rsidRPr="00E8692E">
        <w:rPr>
          <w:lang w:val="fr-FR"/>
        </w:rPr>
        <w:t>’</w:t>
      </w:r>
      <w:r w:rsidRPr="00E8692E">
        <w:rPr>
          <w:lang w:val="fr-FR"/>
        </w:rPr>
        <w:t>homme (</w:t>
      </w:r>
      <w:r w:rsidR="00934225" w:rsidRPr="00E8692E">
        <w:rPr>
          <w:lang w:val="fr-FR"/>
        </w:rPr>
        <w:t>première section</w:t>
      </w:r>
      <w:r w:rsidRPr="00E8692E">
        <w:rPr>
          <w:lang w:val="fr-FR"/>
        </w:rPr>
        <w:t xml:space="preserve">), siégeant en </w:t>
      </w:r>
      <w:r w:rsidR="00934225" w:rsidRPr="00E8692E">
        <w:rPr>
          <w:lang w:val="fr-FR"/>
        </w:rPr>
        <w:t>un comité composé</w:t>
      </w:r>
      <w:r w:rsidRPr="00E8692E">
        <w:rPr>
          <w:lang w:val="fr-FR"/>
        </w:rPr>
        <w:t xml:space="preserve"> de :</w:t>
      </w:r>
    </w:p>
    <w:p w:rsidR="00E77CB3" w:rsidRPr="00E8692E" w:rsidRDefault="001E2EDB" w:rsidP="00E8692E">
      <w:pPr>
        <w:pStyle w:val="ECHRDecisionBody"/>
        <w:rPr>
          <w:lang w:val="fr-FR"/>
        </w:rPr>
      </w:pPr>
      <w:r w:rsidRPr="00E8692E">
        <w:rPr>
          <w:lang w:val="fr-FR"/>
        </w:rPr>
        <w:tab/>
        <w:t xml:space="preserve">Kristina </w:t>
      </w:r>
      <w:proofErr w:type="spellStart"/>
      <w:r w:rsidRPr="00E8692E">
        <w:rPr>
          <w:lang w:val="fr-FR"/>
        </w:rPr>
        <w:t>Pardalos</w:t>
      </w:r>
      <w:proofErr w:type="spellEnd"/>
      <w:r w:rsidRPr="00E8692E">
        <w:rPr>
          <w:lang w:val="fr-FR"/>
        </w:rPr>
        <w:t>,</w:t>
      </w:r>
      <w:r w:rsidRPr="00E8692E">
        <w:rPr>
          <w:i/>
          <w:lang w:val="fr-FR"/>
        </w:rPr>
        <w:t xml:space="preserve"> présidente,</w:t>
      </w:r>
      <w:r w:rsidRPr="00E8692E">
        <w:rPr>
          <w:i/>
          <w:lang w:val="fr-FR"/>
        </w:rPr>
        <w:br/>
      </w:r>
      <w:r w:rsidRPr="00E8692E">
        <w:rPr>
          <w:lang w:val="fr-FR"/>
        </w:rPr>
        <w:tab/>
      </w:r>
      <w:proofErr w:type="spellStart"/>
      <w:r w:rsidRPr="00E8692E">
        <w:rPr>
          <w:lang w:val="fr-FR"/>
        </w:rPr>
        <w:t>Ksenija</w:t>
      </w:r>
      <w:proofErr w:type="spellEnd"/>
      <w:r w:rsidRPr="00E8692E">
        <w:rPr>
          <w:lang w:val="fr-FR"/>
        </w:rPr>
        <w:t xml:space="preserve"> </w:t>
      </w:r>
      <w:proofErr w:type="spellStart"/>
      <w:r w:rsidRPr="00E8692E">
        <w:rPr>
          <w:lang w:val="fr-FR"/>
        </w:rPr>
        <w:t>Turković</w:t>
      </w:r>
      <w:proofErr w:type="spellEnd"/>
      <w:r w:rsidRPr="00E8692E">
        <w:rPr>
          <w:lang w:val="fr-FR"/>
        </w:rPr>
        <w:t>,</w:t>
      </w:r>
      <w:r w:rsidRPr="00E8692E">
        <w:rPr>
          <w:i/>
          <w:lang w:val="fr-FR"/>
        </w:rPr>
        <w:br/>
      </w:r>
      <w:r w:rsidRPr="00E8692E">
        <w:rPr>
          <w:lang w:val="fr-FR"/>
        </w:rPr>
        <w:tab/>
      </w:r>
      <w:proofErr w:type="spellStart"/>
      <w:r w:rsidRPr="00E8692E">
        <w:rPr>
          <w:lang w:val="fr-FR"/>
        </w:rPr>
        <w:t>Pauliine</w:t>
      </w:r>
      <w:proofErr w:type="spellEnd"/>
      <w:r w:rsidRPr="00E8692E">
        <w:rPr>
          <w:lang w:val="fr-FR"/>
        </w:rPr>
        <w:t xml:space="preserve"> </w:t>
      </w:r>
      <w:proofErr w:type="spellStart"/>
      <w:r w:rsidRPr="00E8692E">
        <w:rPr>
          <w:lang w:val="fr-FR"/>
        </w:rPr>
        <w:t>Koskelo</w:t>
      </w:r>
      <w:proofErr w:type="spellEnd"/>
      <w:r w:rsidRPr="00E8692E">
        <w:rPr>
          <w:lang w:val="fr-FR"/>
        </w:rPr>
        <w:t>,</w:t>
      </w:r>
      <w:r w:rsidRPr="00E8692E">
        <w:rPr>
          <w:i/>
          <w:lang w:val="fr-FR"/>
        </w:rPr>
        <w:t xml:space="preserve"> juges,</w:t>
      </w:r>
      <w:r w:rsidR="00E77CB3" w:rsidRPr="00E8692E">
        <w:rPr>
          <w:lang w:val="fr-FR"/>
        </w:rPr>
        <w:br/>
        <w:t xml:space="preserve">et de </w:t>
      </w:r>
      <w:r w:rsidR="00934225" w:rsidRPr="00E8692E">
        <w:rPr>
          <w:lang w:val="fr-FR"/>
        </w:rPr>
        <w:t xml:space="preserve">Renata </w:t>
      </w:r>
      <w:proofErr w:type="spellStart"/>
      <w:r w:rsidR="00934225" w:rsidRPr="00E8692E">
        <w:rPr>
          <w:lang w:val="fr-FR"/>
        </w:rPr>
        <w:t>Degener</w:t>
      </w:r>
      <w:proofErr w:type="spellEnd"/>
      <w:r w:rsidR="00E77CB3" w:rsidRPr="00E8692E">
        <w:rPr>
          <w:lang w:val="fr-FR"/>
        </w:rPr>
        <w:t xml:space="preserve">, </w:t>
      </w:r>
      <w:r w:rsidR="00934225" w:rsidRPr="00E8692E">
        <w:rPr>
          <w:i/>
          <w:lang w:val="fr-FR"/>
        </w:rPr>
        <w:t>greffière adjointe</w:t>
      </w:r>
      <w:r w:rsidR="00934225" w:rsidRPr="00E8692E">
        <w:rPr>
          <w:iCs/>
          <w:lang w:val="fr-FR"/>
        </w:rPr>
        <w:t xml:space="preserve"> </w:t>
      </w:r>
      <w:r w:rsidR="00934225" w:rsidRPr="00E8692E">
        <w:rPr>
          <w:i/>
          <w:iCs/>
          <w:lang w:val="fr-FR"/>
        </w:rPr>
        <w:t>d</w:t>
      </w:r>
      <w:r w:rsidR="00934225" w:rsidRPr="00E8692E">
        <w:rPr>
          <w:i/>
          <w:lang w:val="fr-FR"/>
        </w:rPr>
        <w:t>e section</w:t>
      </w:r>
      <w:r w:rsidR="00E77CB3" w:rsidRPr="00E8692E">
        <w:rPr>
          <w:lang w:val="fr-FR"/>
        </w:rPr>
        <w:t>,</w:t>
      </w:r>
    </w:p>
    <w:p w:rsidR="00E77CB3" w:rsidRPr="00E8692E" w:rsidRDefault="00E77CB3" w:rsidP="00E8692E">
      <w:pPr>
        <w:pStyle w:val="ECHRPara"/>
        <w:rPr>
          <w:lang w:val="fr-FR"/>
        </w:rPr>
      </w:pPr>
      <w:r w:rsidRPr="00E8692E">
        <w:rPr>
          <w:lang w:val="fr-FR"/>
        </w:rPr>
        <w:t xml:space="preserve">Après en avoir délibéré en chambre du conseil le </w:t>
      </w:r>
      <w:r w:rsidR="00CD5599" w:rsidRPr="00E8692E">
        <w:rPr>
          <w:lang w:val="fr-FR"/>
        </w:rPr>
        <w:t>11 septembre 2018</w:t>
      </w:r>
      <w:r w:rsidRPr="00E8692E">
        <w:rPr>
          <w:lang w:val="fr-FR"/>
        </w:rPr>
        <w:t>,</w:t>
      </w:r>
    </w:p>
    <w:p w:rsidR="00E77CB3" w:rsidRPr="00E8692E" w:rsidRDefault="00E77CB3" w:rsidP="00E8692E">
      <w:pPr>
        <w:pStyle w:val="ECHRPara"/>
        <w:rPr>
          <w:lang w:val="fr-FR"/>
        </w:rPr>
      </w:pPr>
      <w:r w:rsidRPr="00E8692E">
        <w:rPr>
          <w:lang w:val="fr-FR"/>
        </w:rPr>
        <w:t>Rend l</w:t>
      </w:r>
      <w:r w:rsidR="00E8692E" w:rsidRPr="00E8692E">
        <w:rPr>
          <w:lang w:val="fr-FR"/>
        </w:rPr>
        <w:t>’</w:t>
      </w:r>
      <w:r w:rsidRPr="00E8692E">
        <w:rPr>
          <w:lang w:val="fr-FR"/>
        </w:rPr>
        <w:t>arrêt que voici, adopté à cette date :</w:t>
      </w:r>
    </w:p>
    <w:p w:rsidR="00E77CB3" w:rsidRPr="00E8692E" w:rsidRDefault="00E77CB3" w:rsidP="00E8692E">
      <w:pPr>
        <w:pStyle w:val="ECHRTitle1"/>
        <w:rPr>
          <w:lang w:val="fr-FR"/>
        </w:rPr>
      </w:pPr>
      <w:r w:rsidRPr="00E8692E">
        <w:rPr>
          <w:lang w:val="fr-FR"/>
        </w:rPr>
        <w:t>PROCÉDURE</w:t>
      </w:r>
    </w:p>
    <w:p w:rsidR="00F0222B" w:rsidRPr="00E8692E" w:rsidRDefault="00EE4ACB"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w:t>
      </w:r>
      <w:r w:rsidRPr="00E8692E">
        <w:rPr>
          <w:lang w:val="fr-FR"/>
        </w:rPr>
        <w:fldChar w:fldCharType="end"/>
      </w:r>
      <w:r w:rsidRPr="00E8692E">
        <w:rPr>
          <w:lang w:val="fr-FR"/>
        </w:rPr>
        <w:t>.  </w:t>
      </w:r>
      <w:r w:rsidR="00F0222B" w:rsidRPr="00E8692E">
        <w:rPr>
          <w:lang w:val="fr-FR"/>
        </w:rPr>
        <w:t>À l</w:t>
      </w:r>
      <w:r w:rsidR="00E8692E" w:rsidRPr="00E8692E">
        <w:rPr>
          <w:lang w:val="fr-FR"/>
        </w:rPr>
        <w:t>’</w:t>
      </w:r>
      <w:r w:rsidR="00F0222B" w:rsidRPr="00E8692E">
        <w:rPr>
          <w:lang w:val="fr-FR"/>
        </w:rPr>
        <w:t>origine de l</w:t>
      </w:r>
      <w:r w:rsidR="00E8692E" w:rsidRPr="00E8692E">
        <w:rPr>
          <w:lang w:val="fr-FR"/>
        </w:rPr>
        <w:t>’</w:t>
      </w:r>
      <w:r w:rsidR="00F0222B" w:rsidRPr="00E8692E">
        <w:rPr>
          <w:lang w:val="fr-FR"/>
        </w:rPr>
        <w:t xml:space="preserve">affaire se trouvent </w:t>
      </w:r>
      <w:r w:rsidR="00AE2706" w:rsidRPr="00E8692E">
        <w:rPr>
          <w:lang w:val="fr-FR"/>
        </w:rPr>
        <w:t>dix</w:t>
      </w:r>
      <w:r w:rsidR="00F0222B" w:rsidRPr="00E8692E">
        <w:rPr>
          <w:lang w:val="fr-FR"/>
        </w:rPr>
        <w:t xml:space="preserve"> req</w:t>
      </w:r>
      <w:r w:rsidR="00AE2706" w:rsidRPr="00E8692E">
        <w:rPr>
          <w:lang w:val="fr-FR"/>
        </w:rPr>
        <w:t>uêtes</w:t>
      </w:r>
      <w:r w:rsidR="004B0923" w:rsidRPr="00E8692E">
        <w:rPr>
          <w:lang w:val="fr-FR"/>
        </w:rPr>
        <w:t>,</w:t>
      </w:r>
      <w:r w:rsidR="00AE2706" w:rsidRPr="00E8692E">
        <w:rPr>
          <w:lang w:val="fr-FR"/>
        </w:rPr>
        <w:t xml:space="preserve"> </w:t>
      </w:r>
      <w:r w:rsidR="004B0923" w:rsidRPr="00E8692E">
        <w:rPr>
          <w:lang w:val="fr-FR"/>
        </w:rPr>
        <w:t xml:space="preserve">dont les numéros figurent </w:t>
      </w:r>
      <w:r w:rsidR="00AE2706" w:rsidRPr="00E8692E">
        <w:rPr>
          <w:lang w:val="fr-FR"/>
        </w:rPr>
        <w:t>dans l</w:t>
      </w:r>
      <w:r w:rsidR="00E8692E" w:rsidRPr="00E8692E">
        <w:rPr>
          <w:lang w:val="fr-FR"/>
        </w:rPr>
        <w:t>’</w:t>
      </w:r>
      <w:r w:rsidR="00AE2706" w:rsidRPr="00E8692E">
        <w:rPr>
          <w:lang w:val="fr-FR"/>
        </w:rPr>
        <w:t>annexe</w:t>
      </w:r>
      <w:r w:rsidR="004B0923" w:rsidRPr="00E8692E">
        <w:rPr>
          <w:lang w:val="fr-FR"/>
        </w:rPr>
        <w:t xml:space="preserve"> ci-jointe,</w:t>
      </w:r>
      <w:r w:rsidR="00F0222B" w:rsidRPr="00E8692E">
        <w:rPr>
          <w:lang w:val="fr-FR"/>
        </w:rPr>
        <w:t xml:space="preserve"> dirigées contre la République italienne et </w:t>
      </w:r>
      <w:r w:rsidR="00826A46" w:rsidRPr="00E8692E">
        <w:rPr>
          <w:lang w:val="fr-FR"/>
        </w:rPr>
        <w:t>dont</w:t>
      </w:r>
      <w:r w:rsidR="00F0222B" w:rsidRPr="00E8692E">
        <w:rPr>
          <w:lang w:val="fr-FR"/>
        </w:rPr>
        <w:t xml:space="preserve"> </w:t>
      </w:r>
      <w:r w:rsidR="00AE2706" w:rsidRPr="00E8692E">
        <w:rPr>
          <w:lang w:val="fr-FR"/>
        </w:rPr>
        <w:t xml:space="preserve">dix </w:t>
      </w:r>
      <w:r w:rsidR="00F0222B" w:rsidRPr="00E8692E">
        <w:rPr>
          <w:lang w:val="fr-FR"/>
        </w:rPr>
        <w:t>sociétés</w:t>
      </w:r>
      <w:r w:rsidR="00826A46" w:rsidRPr="00E8692E">
        <w:rPr>
          <w:lang w:val="fr-FR"/>
        </w:rPr>
        <w:t xml:space="preserve"> ayant leur</w:t>
      </w:r>
      <w:r w:rsidR="00F0222B" w:rsidRPr="00E8692E">
        <w:rPr>
          <w:lang w:val="fr-FR"/>
        </w:rPr>
        <w:t xml:space="preserve"> siège en </w:t>
      </w:r>
      <w:r w:rsidR="00826A46" w:rsidRPr="00E8692E">
        <w:rPr>
          <w:lang w:val="fr-FR"/>
        </w:rPr>
        <w:t>Italie (</w:t>
      </w:r>
      <w:r w:rsidR="00A57AAF" w:rsidRPr="00E8692E">
        <w:rPr>
          <w:lang w:val="fr-FR"/>
        </w:rPr>
        <w:t>« </w:t>
      </w:r>
      <w:r w:rsidR="00826A46" w:rsidRPr="00E8692E">
        <w:rPr>
          <w:lang w:val="fr-FR"/>
        </w:rPr>
        <w:t xml:space="preserve">les </w:t>
      </w:r>
      <w:r w:rsidR="00CF3965" w:rsidRPr="00E8692E">
        <w:rPr>
          <w:lang w:val="fr-FR"/>
        </w:rPr>
        <w:t xml:space="preserve">sociétés </w:t>
      </w:r>
      <w:r w:rsidR="00826A46" w:rsidRPr="00E8692E">
        <w:rPr>
          <w:lang w:val="fr-FR"/>
        </w:rPr>
        <w:t>requérantes ») ont saisi la Cour</w:t>
      </w:r>
      <w:r w:rsidR="00F0222B" w:rsidRPr="00E8692E">
        <w:rPr>
          <w:lang w:val="fr-FR"/>
        </w:rPr>
        <w:t xml:space="preserve"> en vertu de l</w:t>
      </w:r>
      <w:r w:rsidR="00E8692E" w:rsidRPr="00E8692E">
        <w:rPr>
          <w:lang w:val="fr-FR"/>
        </w:rPr>
        <w:t>’</w:t>
      </w:r>
      <w:r w:rsidR="00F0222B" w:rsidRPr="00E8692E">
        <w:rPr>
          <w:lang w:val="fr-FR"/>
        </w:rPr>
        <w:t>article</w:t>
      </w:r>
      <w:r w:rsidR="00826A46" w:rsidRPr="00E8692E">
        <w:rPr>
          <w:lang w:val="fr-FR"/>
        </w:rPr>
        <w:t> </w:t>
      </w:r>
      <w:r w:rsidR="00F0222B" w:rsidRPr="00E8692E">
        <w:rPr>
          <w:lang w:val="fr-FR"/>
        </w:rPr>
        <w:t>34 de la Convention de sauvegarde des droits de l</w:t>
      </w:r>
      <w:r w:rsidR="00E8692E" w:rsidRPr="00E8692E">
        <w:rPr>
          <w:lang w:val="fr-FR"/>
        </w:rPr>
        <w:t>’</w:t>
      </w:r>
      <w:r w:rsidR="00F0222B" w:rsidRPr="00E8692E">
        <w:rPr>
          <w:lang w:val="fr-FR"/>
        </w:rPr>
        <w:t>homme et des libertés fondamentales («</w:t>
      </w:r>
      <w:r w:rsidR="004B0923" w:rsidRPr="00E8692E">
        <w:rPr>
          <w:lang w:val="fr-FR"/>
        </w:rPr>
        <w:t> </w:t>
      </w:r>
      <w:r w:rsidR="00F0222B" w:rsidRPr="00E8692E">
        <w:rPr>
          <w:lang w:val="fr-FR"/>
        </w:rPr>
        <w:t>l</w:t>
      </w:r>
      <w:r w:rsidR="00AE2706" w:rsidRPr="00E8692E">
        <w:rPr>
          <w:lang w:val="fr-FR"/>
        </w:rPr>
        <w:t>a</w:t>
      </w:r>
      <w:r w:rsidR="004B0923" w:rsidRPr="00E8692E">
        <w:rPr>
          <w:lang w:val="fr-FR"/>
        </w:rPr>
        <w:t> </w:t>
      </w:r>
      <w:r w:rsidR="00AE2706" w:rsidRPr="00E8692E">
        <w:rPr>
          <w:lang w:val="fr-FR"/>
        </w:rPr>
        <w:t>Convention »)</w:t>
      </w:r>
      <w:r w:rsidR="00F0222B" w:rsidRPr="00E8692E">
        <w:rPr>
          <w:lang w:val="fr-FR"/>
        </w:rPr>
        <w:t>.</w:t>
      </w: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w:t>
      </w:r>
      <w:r w:rsidRPr="00E8692E">
        <w:rPr>
          <w:lang w:val="fr-FR"/>
        </w:rPr>
        <w:fldChar w:fldCharType="end"/>
      </w:r>
      <w:r w:rsidR="00E77CB3" w:rsidRPr="00E8692E">
        <w:rPr>
          <w:lang w:val="fr-FR"/>
        </w:rPr>
        <w:t>.  </w:t>
      </w:r>
      <w:r w:rsidRPr="00E8692E">
        <w:rPr>
          <w:lang w:val="fr-FR"/>
        </w:rPr>
        <w:t xml:space="preserve">Les </w:t>
      </w:r>
      <w:r w:rsidR="00CF3965" w:rsidRPr="00E8692E">
        <w:rPr>
          <w:lang w:val="fr-FR"/>
        </w:rPr>
        <w:t xml:space="preserve">sociétés </w:t>
      </w:r>
      <w:r w:rsidRPr="00E8692E">
        <w:rPr>
          <w:lang w:val="fr-FR"/>
        </w:rPr>
        <w:t>requérant</w:t>
      </w:r>
      <w:r w:rsidR="00D97EEE" w:rsidRPr="00E8692E">
        <w:rPr>
          <w:lang w:val="fr-FR"/>
        </w:rPr>
        <w:t>e</w:t>
      </w:r>
      <w:r w:rsidRPr="00E8692E">
        <w:rPr>
          <w:lang w:val="fr-FR"/>
        </w:rPr>
        <w:t>s ont été représenté</w:t>
      </w:r>
      <w:r w:rsidR="00D97EEE" w:rsidRPr="00E8692E">
        <w:rPr>
          <w:lang w:val="fr-FR"/>
        </w:rPr>
        <w:t>e</w:t>
      </w:r>
      <w:r w:rsidRPr="00E8692E">
        <w:rPr>
          <w:lang w:val="fr-FR"/>
        </w:rPr>
        <w:t>s par M</w:t>
      </w:r>
      <w:r w:rsidRPr="00E8692E">
        <w:rPr>
          <w:vertAlign w:val="superscript"/>
          <w:lang w:val="fr-FR"/>
        </w:rPr>
        <w:t>e</w:t>
      </w:r>
      <w:r w:rsidRPr="00E8692E">
        <w:rPr>
          <w:lang w:val="fr-FR"/>
        </w:rPr>
        <w:t xml:space="preserve"> A. </w:t>
      </w:r>
      <w:proofErr w:type="spellStart"/>
      <w:r w:rsidRPr="00E8692E">
        <w:rPr>
          <w:lang w:val="fr-FR"/>
        </w:rPr>
        <w:t>Mascia</w:t>
      </w:r>
      <w:proofErr w:type="spellEnd"/>
      <w:r w:rsidRPr="00E8692E">
        <w:rPr>
          <w:lang w:val="fr-FR"/>
        </w:rPr>
        <w:t xml:space="preserve">, avocat à Vérone. </w:t>
      </w:r>
      <w:r w:rsidR="00E77CB3" w:rsidRPr="00E8692E">
        <w:rPr>
          <w:lang w:val="fr-FR"/>
        </w:rPr>
        <w:t xml:space="preserve">Le gouvernement </w:t>
      </w:r>
      <w:r w:rsidRPr="00E8692E">
        <w:rPr>
          <w:lang w:val="fr-FR"/>
        </w:rPr>
        <w:t>italien</w:t>
      </w:r>
      <w:r w:rsidR="00E77CB3" w:rsidRPr="00E8692E">
        <w:rPr>
          <w:lang w:val="fr-FR"/>
        </w:rPr>
        <w:t xml:space="preserve"> (« le Gouvernement ») a été représenté par son agent, </w:t>
      </w:r>
      <w:r w:rsidR="00AE2706" w:rsidRPr="00E8692E">
        <w:rPr>
          <w:lang w:val="fr-FR"/>
        </w:rPr>
        <w:t>M</w:t>
      </w:r>
      <w:r w:rsidR="00AE2706" w:rsidRPr="00E8692E">
        <w:rPr>
          <w:vertAlign w:val="superscript"/>
          <w:lang w:val="fr-FR"/>
        </w:rPr>
        <w:t>me</w:t>
      </w:r>
      <w:r w:rsidR="00AE2706" w:rsidRPr="00E8692E">
        <w:rPr>
          <w:lang w:val="fr-FR"/>
        </w:rPr>
        <w:t xml:space="preserve"> E. </w:t>
      </w:r>
      <w:proofErr w:type="spellStart"/>
      <w:r w:rsidR="00AE2706" w:rsidRPr="00E8692E">
        <w:rPr>
          <w:lang w:val="fr-FR"/>
        </w:rPr>
        <w:t>Spatafora</w:t>
      </w:r>
      <w:proofErr w:type="spellEnd"/>
      <w:r w:rsidR="00AE2706" w:rsidRPr="00E8692E">
        <w:rPr>
          <w:lang w:val="fr-FR"/>
        </w:rPr>
        <w:t xml:space="preserve">, et </w:t>
      </w:r>
      <w:r w:rsidR="007B7935" w:rsidRPr="00E8692E">
        <w:rPr>
          <w:lang w:val="fr-FR"/>
        </w:rPr>
        <w:t xml:space="preserve">son </w:t>
      </w:r>
      <w:proofErr w:type="spellStart"/>
      <w:r w:rsidR="00AE2706" w:rsidRPr="00E8692E">
        <w:rPr>
          <w:lang w:val="fr-FR"/>
        </w:rPr>
        <w:t>coagent</w:t>
      </w:r>
      <w:proofErr w:type="spellEnd"/>
      <w:r w:rsidR="00AE2706" w:rsidRPr="00E8692E">
        <w:rPr>
          <w:lang w:val="fr-FR"/>
        </w:rPr>
        <w:t>, M</w:t>
      </w:r>
      <w:r w:rsidR="00AE2706" w:rsidRPr="00E8692E">
        <w:rPr>
          <w:vertAlign w:val="superscript"/>
          <w:lang w:val="fr-FR"/>
        </w:rPr>
        <w:t>me</w:t>
      </w:r>
      <w:r w:rsidR="00CF3965" w:rsidRPr="00E8692E">
        <w:rPr>
          <w:lang w:val="fr-FR"/>
        </w:rPr>
        <w:t> </w:t>
      </w:r>
      <w:r w:rsidR="00AE2706" w:rsidRPr="00E8692E">
        <w:rPr>
          <w:lang w:val="fr-FR"/>
        </w:rPr>
        <w:t>P.</w:t>
      </w:r>
      <w:r w:rsidR="00CF3965" w:rsidRPr="00E8692E">
        <w:rPr>
          <w:lang w:val="fr-FR"/>
        </w:rPr>
        <w:t> </w:t>
      </w:r>
      <w:proofErr w:type="spellStart"/>
      <w:r w:rsidR="00AE2706" w:rsidRPr="00E8692E">
        <w:rPr>
          <w:lang w:val="fr-FR"/>
        </w:rPr>
        <w:t>Accardo</w:t>
      </w:r>
      <w:proofErr w:type="spellEnd"/>
      <w:r w:rsidR="007C5300" w:rsidRPr="00E8692E">
        <w:rPr>
          <w:lang w:val="fr-FR"/>
        </w:rPr>
        <w:t>.</w:t>
      </w:r>
    </w:p>
    <w:p w:rsidR="00E77CB3" w:rsidRPr="00E8692E" w:rsidRDefault="00934225" w:rsidP="00E8692E">
      <w:pPr>
        <w:pStyle w:val="ECHRPara"/>
        <w:rPr>
          <w:szCs w:val="24"/>
          <w:lang w:val="fr-FR" w:eastAsia="en-GB"/>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w:t>
      </w:r>
      <w:r w:rsidRPr="00E8692E">
        <w:rPr>
          <w:lang w:val="fr-FR"/>
        </w:rPr>
        <w:fldChar w:fldCharType="end"/>
      </w:r>
      <w:r w:rsidR="00E77CB3" w:rsidRPr="00E8692E">
        <w:rPr>
          <w:lang w:val="fr-FR"/>
        </w:rPr>
        <w:t>.  </w:t>
      </w:r>
      <w:r w:rsidR="00685B71" w:rsidRPr="00E8692E">
        <w:rPr>
          <w:lang w:val="fr-FR"/>
        </w:rPr>
        <w:t>Le 14 novembre 2016</w:t>
      </w:r>
      <w:r w:rsidR="00AE2706" w:rsidRPr="00E8692E">
        <w:rPr>
          <w:lang w:val="fr-FR"/>
        </w:rPr>
        <w:t>, les requêtes ont été communiquées au Gouvernement.</w:t>
      </w:r>
    </w:p>
    <w:p w:rsidR="00E77CB3" w:rsidRPr="00E8692E" w:rsidRDefault="00E77CB3" w:rsidP="00E8692E">
      <w:pPr>
        <w:pStyle w:val="ECHRTitle1"/>
        <w:tabs>
          <w:tab w:val="left" w:pos="5387"/>
        </w:tabs>
        <w:rPr>
          <w:lang w:val="fr-FR"/>
        </w:rPr>
      </w:pPr>
      <w:r w:rsidRPr="00E8692E">
        <w:rPr>
          <w:lang w:val="fr-FR"/>
        </w:rPr>
        <w:t>EN FAIT</w:t>
      </w:r>
    </w:p>
    <w:p w:rsidR="00E77CB3" w:rsidRPr="00E8692E" w:rsidRDefault="00E77CB3" w:rsidP="00E8692E">
      <w:pPr>
        <w:pStyle w:val="ECHRHeading1"/>
        <w:rPr>
          <w:lang w:val="fr-FR"/>
        </w:rPr>
      </w:pPr>
      <w:r w:rsidRPr="00E8692E">
        <w:rPr>
          <w:lang w:val="fr-FR"/>
        </w:rPr>
        <w:t>LES CIRCONSTANCES DE L</w:t>
      </w:r>
      <w:r w:rsidR="00E8692E" w:rsidRPr="00E8692E">
        <w:rPr>
          <w:lang w:val="fr-FR"/>
        </w:rPr>
        <w:t>’</w:t>
      </w:r>
      <w:r w:rsidRPr="00E8692E">
        <w:rPr>
          <w:lang w:val="fr-FR"/>
        </w:rPr>
        <w:t>ESPÈCE</w:t>
      </w:r>
    </w:p>
    <w:p w:rsidR="00934225"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4</w:t>
      </w:r>
      <w:r w:rsidRPr="00E8692E">
        <w:rPr>
          <w:lang w:val="fr-FR"/>
        </w:rPr>
        <w:fldChar w:fldCharType="end"/>
      </w:r>
      <w:r w:rsidRPr="00E8692E">
        <w:rPr>
          <w:lang w:val="fr-FR"/>
        </w:rPr>
        <w:t xml:space="preserve">.  La liste des </w:t>
      </w:r>
      <w:r w:rsidR="00CF3965" w:rsidRPr="00E8692E">
        <w:rPr>
          <w:lang w:val="fr-FR"/>
        </w:rPr>
        <w:t>sociétés</w:t>
      </w:r>
      <w:r w:rsidRPr="00E8692E">
        <w:rPr>
          <w:lang w:val="fr-FR"/>
        </w:rPr>
        <w:t xml:space="preserve"> requérantes figure en annexe.</w:t>
      </w:r>
    </w:p>
    <w:p w:rsidR="008407DD"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5</w:t>
      </w:r>
      <w:r w:rsidRPr="00E8692E">
        <w:rPr>
          <w:lang w:val="fr-FR"/>
        </w:rPr>
        <w:fldChar w:fldCharType="end"/>
      </w:r>
      <w:r w:rsidRPr="00E8692E">
        <w:rPr>
          <w:lang w:val="fr-FR"/>
        </w:rPr>
        <w:t xml:space="preserve">.  Les requêtes concernent la non-exécution </w:t>
      </w:r>
      <w:r w:rsidR="001665BA" w:rsidRPr="00E8692E">
        <w:rPr>
          <w:lang w:val="fr-FR"/>
        </w:rPr>
        <w:t xml:space="preserve">par le service local de </w:t>
      </w:r>
      <w:r w:rsidR="00550505" w:rsidRPr="00E8692E">
        <w:rPr>
          <w:lang w:val="fr-FR"/>
        </w:rPr>
        <w:t>gestion par l</w:t>
      </w:r>
      <w:r w:rsidR="00E8692E" w:rsidRPr="00E8692E">
        <w:rPr>
          <w:lang w:val="fr-FR"/>
        </w:rPr>
        <w:t>’</w:t>
      </w:r>
      <w:r w:rsidR="00550505" w:rsidRPr="00E8692E">
        <w:rPr>
          <w:lang w:val="fr-FR"/>
        </w:rPr>
        <w:t xml:space="preserve">État de la </w:t>
      </w:r>
      <w:r w:rsidR="001665BA" w:rsidRPr="00E8692E">
        <w:rPr>
          <w:lang w:val="fr-FR"/>
        </w:rPr>
        <w:t>santé publique (</w:t>
      </w:r>
      <w:proofErr w:type="spellStart"/>
      <w:r w:rsidR="001665BA" w:rsidRPr="00E8692E">
        <w:rPr>
          <w:i/>
          <w:lang w:val="fr-FR"/>
        </w:rPr>
        <w:t>Azienda</w:t>
      </w:r>
      <w:proofErr w:type="spellEnd"/>
      <w:r w:rsidR="001665BA" w:rsidRPr="00E8692E">
        <w:rPr>
          <w:i/>
          <w:lang w:val="fr-FR"/>
        </w:rPr>
        <w:t xml:space="preserve"> </w:t>
      </w:r>
      <w:proofErr w:type="spellStart"/>
      <w:r w:rsidR="001665BA" w:rsidRPr="00E8692E">
        <w:rPr>
          <w:i/>
          <w:lang w:val="fr-FR"/>
        </w:rPr>
        <w:t>Sanitaria</w:t>
      </w:r>
      <w:proofErr w:type="spellEnd"/>
      <w:r w:rsidR="001665BA" w:rsidRPr="00E8692E">
        <w:rPr>
          <w:i/>
          <w:lang w:val="fr-FR"/>
        </w:rPr>
        <w:t xml:space="preserve"> Locale</w:t>
      </w:r>
      <w:r w:rsidR="001665BA" w:rsidRPr="00E8692E">
        <w:rPr>
          <w:lang w:val="fr-FR"/>
        </w:rPr>
        <w:t>, « l</w:t>
      </w:r>
      <w:r w:rsidR="00E8692E" w:rsidRPr="00E8692E">
        <w:rPr>
          <w:lang w:val="fr-FR"/>
        </w:rPr>
        <w:t>’</w:t>
      </w:r>
      <w:r w:rsidR="001665BA" w:rsidRPr="00E8692E">
        <w:rPr>
          <w:lang w:val="fr-FR"/>
        </w:rPr>
        <w:t xml:space="preserve">ASL ») </w:t>
      </w:r>
      <w:r w:rsidRPr="00E8692E">
        <w:rPr>
          <w:lang w:val="fr-FR"/>
        </w:rPr>
        <w:t>d</w:t>
      </w:r>
      <w:r w:rsidR="00E8692E" w:rsidRPr="00E8692E">
        <w:rPr>
          <w:lang w:val="fr-FR"/>
        </w:rPr>
        <w:t>’</w:t>
      </w:r>
      <w:r w:rsidR="00A57AAF" w:rsidRPr="00E8692E">
        <w:rPr>
          <w:lang w:val="fr-FR"/>
        </w:rPr>
        <w:t xml:space="preserve">ordonnances portant </w:t>
      </w:r>
      <w:r w:rsidRPr="00E8692E">
        <w:rPr>
          <w:lang w:val="fr-FR"/>
        </w:rPr>
        <w:t>injonction de payer (</w:t>
      </w:r>
      <w:proofErr w:type="spellStart"/>
      <w:r w:rsidRPr="00E8692E">
        <w:rPr>
          <w:i/>
          <w:lang w:val="fr-FR"/>
        </w:rPr>
        <w:t>decreti</w:t>
      </w:r>
      <w:proofErr w:type="spellEnd"/>
      <w:r w:rsidRPr="00E8692E">
        <w:rPr>
          <w:i/>
          <w:lang w:val="fr-FR"/>
        </w:rPr>
        <w:t xml:space="preserve"> </w:t>
      </w:r>
      <w:proofErr w:type="spellStart"/>
      <w:r w:rsidRPr="00E8692E">
        <w:rPr>
          <w:i/>
          <w:lang w:val="fr-FR"/>
        </w:rPr>
        <w:t>ingiuntivi</w:t>
      </w:r>
      <w:proofErr w:type="spellEnd"/>
      <w:r w:rsidRPr="00E8692E">
        <w:rPr>
          <w:lang w:val="fr-FR"/>
        </w:rPr>
        <w:t xml:space="preserve">) </w:t>
      </w:r>
      <w:r w:rsidR="001665BA" w:rsidRPr="00E8692E">
        <w:rPr>
          <w:lang w:val="fr-FR"/>
        </w:rPr>
        <w:t xml:space="preserve">délivrées en faveur des sociétés requérantes </w:t>
      </w:r>
      <w:r w:rsidRPr="00E8692E">
        <w:rPr>
          <w:lang w:val="fr-FR"/>
        </w:rPr>
        <w:t xml:space="preserve">(voir </w:t>
      </w:r>
      <w:r w:rsidR="00A57AAF" w:rsidRPr="00E8692E">
        <w:rPr>
          <w:lang w:val="fr-FR"/>
        </w:rPr>
        <w:t>détail</w:t>
      </w:r>
      <w:r w:rsidRPr="00E8692E">
        <w:rPr>
          <w:lang w:val="fr-FR"/>
        </w:rPr>
        <w:t xml:space="preserve"> en annexe). </w:t>
      </w:r>
      <w:r w:rsidR="008407DD" w:rsidRPr="00E8692E">
        <w:rPr>
          <w:lang w:val="fr-FR"/>
        </w:rPr>
        <w:t>Les lois de finances en vigueur à l</w:t>
      </w:r>
      <w:r w:rsidR="00E8692E" w:rsidRPr="00E8692E">
        <w:rPr>
          <w:lang w:val="fr-FR"/>
        </w:rPr>
        <w:t>’</w:t>
      </w:r>
      <w:r w:rsidR="008407DD" w:rsidRPr="00E8692E">
        <w:rPr>
          <w:lang w:val="fr-FR"/>
        </w:rPr>
        <w:t>époque des faits (lois n</w:t>
      </w:r>
      <w:r w:rsidR="008407DD" w:rsidRPr="00E8692E">
        <w:rPr>
          <w:vertAlign w:val="superscript"/>
          <w:lang w:val="fr-FR"/>
        </w:rPr>
        <w:t>o</w:t>
      </w:r>
      <w:r w:rsidR="00247A7D" w:rsidRPr="00E8692E">
        <w:rPr>
          <w:vertAlign w:val="superscript"/>
          <w:lang w:val="fr-FR"/>
        </w:rPr>
        <w:t> </w:t>
      </w:r>
      <w:r w:rsidR="008407DD" w:rsidRPr="00E8692E">
        <w:rPr>
          <w:lang w:val="fr-FR"/>
        </w:rPr>
        <w:t xml:space="preserve">191 de 2009, </w:t>
      </w:r>
      <w:r w:rsidR="00247A7D" w:rsidRPr="00E8692E">
        <w:rPr>
          <w:lang w:val="fr-FR"/>
        </w:rPr>
        <w:t>n</w:t>
      </w:r>
      <w:r w:rsidR="00247A7D" w:rsidRPr="00E8692E">
        <w:rPr>
          <w:vertAlign w:val="superscript"/>
          <w:lang w:val="fr-FR"/>
        </w:rPr>
        <w:t>o </w:t>
      </w:r>
      <w:r w:rsidR="008407DD" w:rsidRPr="00E8692E">
        <w:rPr>
          <w:lang w:val="fr-FR"/>
        </w:rPr>
        <w:t xml:space="preserve">220 de 2010, </w:t>
      </w:r>
      <w:r w:rsidR="00247A7D" w:rsidRPr="00E8692E">
        <w:rPr>
          <w:lang w:val="fr-FR"/>
        </w:rPr>
        <w:t>n</w:t>
      </w:r>
      <w:r w:rsidR="00247A7D" w:rsidRPr="00E8692E">
        <w:rPr>
          <w:vertAlign w:val="superscript"/>
          <w:lang w:val="fr-FR"/>
        </w:rPr>
        <w:t>o </w:t>
      </w:r>
      <w:r w:rsidR="008407DD" w:rsidRPr="00E8692E">
        <w:rPr>
          <w:lang w:val="fr-FR"/>
        </w:rPr>
        <w:t xml:space="preserve">111 de 2011 et </w:t>
      </w:r>
      <w:r w:rsidR="00247A7D" w:rsidRPr="00E8692E">
        <w:rPr>
          <w:lang w:val="fr-FR"/>
        </w:rPr>
        <w:t>n</w:t>
      </w:r>
      <w:r w:rsidR="00247A7D" w:rsidRPr="00E8692E">
        <w:rPr>
          <w:vertAlign w:val="superscript"/>
          <w:lang w:val="fr-FR"/>
        </w:rPr>
        <w:t>o </w:t>
      </w:r>
      <w:r w:rsidR="008407DD" w:rsidRPr="00E8692E">
        <w:rPr>
          <w:lang w:val="fr-FR"/>
        </w:rPr>
        <w:t xml:space="preserve">189 de 2012) empêchaient les </w:t>
      </w:r>
      <w:r w:rsidR="008B0E9C" w:rsidRPr="00E8692E">
        <w:rPr>
          <w:lang w:val="fr-FR"/>
        </w:rPr>
        <w:t>intéressées</w:t>
      </w:r>
      <w:r w:rsidR="008407DD" w:rsidRPr="00E8692E">
        <w:rPr>
          <w:lang w:val="fr-FR"/>
        </w:rPr>
        <w:t xml:space="preserve"> d</w:t>
      </w:r>
      <w:r w:rsidR="00E8692E" w:rsidRPr="00E8692E">
        <w:rPr>
          <w:lang w:val="fr-FR"/>
        </w:rPr>
        <w:t>’</w:t>
      </w:r>
      <w:r w:rsidR="008407DD" w:rsidRPr="00E8692E">
        <w:rPr>
          <w:lang w:val="fr-FR"/>
        </w:rPr>
        <w:t>entamer des procédures judiciaires afin d</w:t>
      </w:r>
      <w:r w:rsidR="00E8692E" w:rsidRPr="00E8692E">
        <w:rPr>
          <w:lang w:val="fr-FR"/>
        </w:rPr>
        <w:t>’</w:t>
      </w:r>
      <w:r w:rsidR="008407DD" w:rsidRPr="00E8692E">
        <w:rPr>
          <w:lang w:val="fr-FR"/>
        </w:rPr>
        <w:t>ob</w:t>
      </w:r>
      <w:r w:rsidR="006F056C" w:rsidRPr="00E8692E">
        <w:rPr>
          <w:lang w:val="fr-FR"/>
        </w:rPr>
        <w:t>tenir le paiement des dettes de l</w:t>
      </w:r>
      <w:r w:rsidR="00E8692E" w:rsidRPr="00E8692E">
        <w:rPr>
          <w:lang w:val="fr-FR"/>
        </w:rPr>
        <w:t>’</w:t>
      </w:r>
      <w:r w:rsidR="008407DD" w:rsidRPr="00E8692E">
        <w:rPr>
          <w:lang w:val="fr-FR"/>
        </w:rPr>
        <w:t>ASL.</w:t>
      </w:r>
    </w:p>
    <w:p w:rsidR="006F056C" w:rsidRPr="00E8692E" w:rsidRDefault="006F056C"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6</w:t>
      </w:r>
      <w:r w:rsidRPr="00E8692E">
        <w:rPr>
          <w:lang w:val="fr-FR"/>
        </w:rPr>
        <w:fldChar w:fldCharType="end"/>
      </w:r>
      <w:r w:rsidRPr="00E8692E">
        <w:rPr>
          <w:lang w:val="fr-FR"/>
        </w:rPr>
        <w:t>.  </w:t>
      </w:r>
      <w:r w:rsidR="007610A2" w:rsidRPr="00E8692E">
        <w:rPr>
          <w:lang w:val="fr-FR"/>
        </w:rPr>
        <w:t>En 2007, l</w:t>
      </w:r>
      <w:r w:rsidRPr="00E8692E">
        <w:rPr>
          <w:lang w:val="fr-FR"/>
        </w:rPr>
        <w:t xml:space="preserve">es </w:t>
      </w:r>
      <w:r w:rsidR="00AE7DF2" w:rsidRPr="00E8692E">
        <w:rPr>
          <w:lang w:val="fr-FR"/>
        </w:rPr>
        <w:t>sociétés</w:t>
      </w:r>
      <w:r w:rsidRPr="00E8692E">
        <w:rPr>
          <w:lang w:val="fr-FR"/>
        </w:rPr>
        <w:t xml:space="preserve"> requérantes souscri</w:t>
      </w:r>
      <w:r w:rsidR="004B0923" w:rsidRPr="00E8692E">
        <w:rPr>
          <w:lang w:val="fr-FR"/>
        </w:rPr>
        <w:t>virent</w:t>
      </w:r>
      <w:r w:rsidRPr="00E8692E">
        <w:rPr>
          <w:lang w:val="fr-FR"/>
        </w:rPr>
        <w:t xml:space="preserve"> des contrats d</w:t>
      </w:r>
      <w:r w:rsidR="00E8692E" w:rsidRPr="00E8692E">
        <w:rPr>
          <w:lang w:val="fr-FR"/>
        </w:rPr>
        <w:t>’</w:t>
      </w:r>
      <w:r w:rsidR="00C6539F" w:rsidRPr="00E8692E">
        <w:rPr>
          <w:lang w:val="fr-FR"/>
        </w:rPr>
        <w:t xml:space="preserve">affacturage avec la société </w:t>
      </w:r>
      <w:proofErr w:type="spellStart"/>
      <w:r w:rsidR="00C6539F" w:rsidRPr="00E8692E">
        <w:rPr>
          <w:lang w:val="fr-FR"/>
        </w:rPr>
        <w:t>UniCredit</w:t>
      </w:r>
      <w:proofErr w:type="spellEnd"/>
      <w:r w:rsidR="00C6539F" w:rsidRPr="00E8692E">
        <w:rPr>
          <w:lang w:val="fr-FR"/>
        </w:rPr>
        <w:t xml:space="preserve"> Factoring </w:t>
      </w:r>
      <w:proofErr w:type="spellStart"/>
      <w:r w:rsidR="00C6539F" w:rsidRPr="00E8692E">
        <w:rPr>
          <w:lang w:val="fr-FR"/>
        </w:rPr>
        <w:t>S.p.A</w:t>
      </w:r>
      <w:proofErr w:type="spellEnd"/>
      <w:r w:rsidR="00C6539F" w:rsidRPr="00E8692E">
        <w:rPr>
          <w:lang w:val="fr-FR"/>
        </w:rPr>
        <w:t>.</w:t>
      </w:r>
      <w:r w:rsidRPr="00E8692E">
        <w:rPr>
          <w:lang w:val="fr-FR"/>
        </w:rPr>
        <w:t xml:space="preserve">, </w:t>
      </w:r>
      <w:r w:rsidR="007F0C4A" w:rsidRPr="00E8692E">
        <w:rPr>
          <w:lang w:val="fr-FR"/>
        </w:rPr>
        <w:t>à laquelle</w:t>
      </w:r>
      <w:r w:rsidRPr="00E8692E">
        <w:rPr>
          <w:lang w:val="fr-FR"/>
        </w:rPr>
        <w:t xml:space="preserve"> elles </w:t>
      </w:r>
      <w:r w:rsidR="007F0C4A" w:rsidRPr="00E8692E">
        <w:rPr>
          <w:lang w:val="fr-FR"/>
        </w:rPr>
        <w:t>cédèrent</w:t>
      </w:r>
      <w:r w:rsidRPr="00E8692E">
        <w:rPr>
          <w:lang w:val="fr-FR"/>
        </w:rPr>
        <w:t xml:space="preserve"> certaines créances qui n</w:t>
      </w:r>
      <w:r w:rsidR="00E8692E" w:rsidRPr="00E8692E">
        <w:rPr>
          <w:lang w:val="fr-FR"/>
        </w:rPr>
        <w:t>’</w:t>
      </w:r>
      <w:r w:rsidRPr="00E8692E">
        <w:rPr>
          <w:lang w:val="fr-FR"/>
        </w:rPr>
        <w:t>avai</w:t>
      </w:r>
      <w:r w:rsidR="004A45E8" w:rsidRPr="00E8692E">
        <w:rPr>
          <w:lang w:val="fr-FR"/>
        </w:rPr>
        <w:t>en</w:t>
      </w:r>
      <w:r w:rsidRPr="00E8692E">
        <w:rPr>
          <w:lang w:val="fr-FR"/>
        </w:rPr>
        <w:t xml:space="preserve">t pas encore été </w:t>
      </w:r>
      <w:r w:rsidR="007B2606" w:rsidRPr="00E8692E">
        <w:rPr>
          <w:lang w:val="fr-FR"/>
        </w:rPr>
        <w:t>recouvrées</w:t>
      </w:r>
      <w:r w:rsidRPr="00E8692E">
        <w:rPr>
          <w:lang w:val="fr-FR"/>
        </w:rPr>
        <w:t xml:space="preserve">, dont celles </w:t>
      </w:r>
      <w:r w:rsidR="008370FB" w:rsidRPr="00E8692E">
        <w:rPr>
          <w:lang w:val="fr-FR"/>
        </w:rPr>
        <w:t>détenues sur</w:t>
      </w:r>
      <w:r w:rsidRPr="00E8692E">
        <w:rPr>
          <w:lang w:val="fr-FR"/>
        </w:rPr>
        <w:t xml:space="preserve"> l</w:t>
      </w:r>
      <w:r w:rsidR="00E8692E" w:rsidRPr="00E8692E">
        <w:rPr>
          <w:lang w:val="fr-FR"/>
        </w:rPr>
        <w:t>’</w:t>
      </w:r>
      <w:r w:rsidRPr="00E8692E">
        <w:rPr>
          <w:lang w:val="fr-FR"/>
        </w:rPr>
        <w:t>ASL.</w:t>
      </w:r>
      <w:r w:rsidR="00F02D0E" w:rsidRPr="00E8692E">
        <w:rPr>
          <w:lang w:val="fr-FR"/>
        </w:rPr>
        <w:t xml:space="preserve"> Les contrats subi</w:t>
      </w:r>
      <w:r w:rsidR="007F0C4A" w:rsidRPr="00E8692E">
        <w:rPr>
          <w:lang w:val="fr-FR"/>
        </w:rPr>
        <w:t>rent</w:t>
      </w:r>
      <w:r w:rsidR="00F02D0E" w:rsidRPr="00E8692E">
        <w:rPr>
          <w:lang w:val="fr-FR"/>
        </w:rPr>
        <w:t xml:space="preserve"> des modifications en 2010.</w:t>
      </w:r>
      <w:r w:rsidR="00BD4B82" w:rsidRPr="00E8692E">
        <w:rPr>
          <w:lang w:val="fr-FR"/>
        </w:rPr>
        <w:t xml:space="preserve"> </w:t>
      </w:r>
      <w:r w:rsidR="00BD4B82" w:rsidRPr="00E8692E">
        <w:rPr>
          <w:lang w:val="fr-FR"/>
        </w:rPr>
        <w:lastRenderedPageBreak/>
        <w:t>Selon les informations fournies par le Gouvernement, il s</w:t>
      </w:r>
      <w:r w:rsidR="00E8692E" w:rsidRPr="00E8692E">
        <w:rPr>
          <w:lang w:val="fr-FR"/>
        </w:rPr>
        <w:t>’</w:t>
      </w:r>
      <w:r w:rsidR="00BD4B82" w:rsidRPr="00E8692E">
        <w:rPr>
          <w:lang w:val="fr-FR"/>
        </w:rPr>
        <w:t>agit d</w:t>
      </w:r>
      <w:r w:rsidR="00E8692E" w:rsidRPr="00E8692E">
        <w:rPr>
          <w:lang w:val="fr-FR"/>
        </w:rPr>
        <w:t>’</w:t>
      </w:r>
      <w:r w:rsidR="00BD4B82" w:rsidRPr="00E8692E">
        <w:rPr>
          <w:lang w:val="fr-FR"/>
        </w:rPr>
        <w:t xml:space="preserve">actes authentiques </w:t>
      </w:r>
      <w:r w:rsidR="00DF7B18" w:rsidRPr="00E8692E">
        <w:rPr>
          <w:lang w:val="fr-FR"/>
        </w:rPr>
        <w:t xml:space="preserve">qui ont été </w:t>
      </w:r>
      <w:r w:rsidR="00BD4B82" w:rsidRPr="00E8692E">
        <w:rPr>
          <w:lang w:val="fr-FR"/>
        </w:rPr>
        <w:t xml:space="preserve">enregistrés le 10 mars 2010 auprès </w:t>
      </w:r>
      <w:r w:rsidR="002E56AE" w:rsidRPr="00E8692E">
        <w:rPr>
          <w:lang w:val="fr-FR"/>
        </w:rPr>
        <w:t xml:space="preserve">de </w:t>
      </w:r>
      <w:r w:rsidR="00BD4B82" w:rsidRPr="00E8692E">
        <w:rPr>
          <w:lang w:val="fr-FR"/>
        </w:rPr>
        <w:t>l</w:t>
      </w:r>
      <w:r w:rsidR="00E8692E" w:rsidRPr="00E8692E">
        <w:rPr>
          <w:lang w:val="fr-FR"/>
        </w:rPr>
        <w:t>’</w:t>
      </w:r>
      <w:r w:rsidR="002E56AE" w:rsidRPr="00E8692E">
        <w:rPr>
          <w:lang w:val="fr-FR"/>
        </w:rPr>
        <w:t>a</w:t>
      </w:r>
      <w:r w:rsidR="00BD4B82" w:rsidRPr="00E8692E">
        <w:rPr>
          <w:lang w:val="fr-FR"/>
        </w:rPr>
        <w:t>dministration fiscale (</w:t>
      </w:r>
      <w:proofErr w:type="spellStart"/>
      <w:r w:rsidR="00BD4B82" w:rsidRPr="00E8692E">
        <w:rPr>
          <w:i/>
          <w:lang w:val="fr-FR"/>
        </w:rPr>
        <w:t>Agenzia</w:t>
      </w:r>
      <w:proofErr w:type="spellEnd"/>
      <w:r w:rsidR="00BD4B82" w:rsidRPr="00E8692E">
        <w:rPr>
          <w:i/>
          <w:lang w:val="fr-FR"/>
        </w:rPr>
        <w:t xml:space="preserve"> delle </w:t>
      </w:r>
      <w:proofErr w:type="spellStart"/>
      <w:r w:rsidR="00BD4B82" w:rsidRPr="00E8692E">
        <w:rPr>
          <w:i/>
          <w:lang w:val="fr-FR"/>
        </w:rPr>
        <w:t>entrate</w:t>
      </w:r>
      <w:proofErr w:type="spellEnd"/>
      <w:r w:rsidR="00BD4B82" w:rsidRPr="00E8692E">
        <w:rPr>
          <w:lang w:val="fr-FR"/>
        </w:rPr>
        <w:t>).</w:t>
      </w:r>
    </w:p>
    <w:p w:rsidR="002E1848" w:rsidRPr="00E8692E" w:rsidRDefault="002E1848"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7</w:t>
      </w:r>
      <w:r w:rsidRPr="00E8692E">
        <w:rPr>
          <w:lang w:val="fr-FR"/>
        </w:rPr>
        <w:fldChar w:fldCharType="end"/>
      </w:r>
      <w:r w:rsidRPr="00E8692E">
        <w:rPr>
          <w:lang w:val="fr-FR"/>
        </w:rPr>
        <w:t>.  </w:t>
      </w:r>
      <w:r w:rsidR="00493EB9" w:rsidRPr="00E8692E">
        <w:rPr>
          <w:rFonts w:cstheme="minorHAnsi"/>
          <w:lang w:val="fr-FR"/>
        </w:rPr>
        <w:t>À des dates comprises entre 2009 et 2010</w:t>
      </w:r>
      <w:r w:rsidRPr="00E8692E">
        <w:rPr>
          <w:lang w:val="fr-FR"/>
        </w:rPr>
        <w:t>, le tribunal de Naples rend</w:t>
      </w:r>
      <w:r w:rsidR="003328AA" w:rsidRPr="00E8692E">
        <w:rPr>
          <w:lang w:val="fr-FR"/>
        </w:rPr>
        <w:t>it</w:t>
      </w:r>
      <w:r w:rsidRPr="00E8692E">
        <w:rPr>
          <w:lang w:val="fr-FR"/>
        </w:rPr>
        <w:t xml:space="preserve"> des ordonnances portant injonction de payer</w:t>
      </w:r>
      <w:r w:rsidR="007B2606" w:rsidRPr="00E8692E">
        <w:rPr>
          <w:lang w:val="fr-FR"/>
        </w:rPr>
        <w:t xml:space="preserve"> les sommes dont l</w:t>
      </w:r>
      <w:r w:rsidR="00E8692E" w:rsidRPr="00E8692E">
        <w:rPr>
          <w:lang w:val="fr-FR"/>
        </w:rPr>
        <w:t>’</w:t>
      </w:r>
      <w:r w:rsidR="007B2606" w:rsidRPr="00E8692E">
        <w:rPr>
          <w:lang w:val="fr-FR"/>
        </w:rPr>
        <w:t>ASL étai</w:t>
      </w:r>
      <w:r w:rsidRPr="00E8692E">
        <w:rPr>
          <w:lang w:val="fr-FR"/>
        </w:rPr>
        <w:t xml:space="preserve">t débitrice </w:t>
      </w:r>
      <w:r w:rsidR="002E56AE" w:rsidRPr="00E8692E">
        <w:rPr>
          <w:lang w:val="fr-FR"/>
        </w:rPr>
        <w:t>envers les</w:t>
      </w:r>
      <w:r w:rsidRPr="00E8692E">
        <w:rPr>
          <w:lang w:val="fr-FR"/>
        </w:rPr>
        <w:t xml:space="preserve"> </w:t>
      </w:r>
      <w:r w:rsidR="00AE7DF2" w:rsidRPr="00E8692E">
        <w:rPr>
          <w:lang w:val="fr-FR"/>
        </w:rPr>
        <w:t>sociétés</w:t>
      </w:r>
      <w:r w:rsidRPr="00E8692E">
        <w:rPr>
          <w:lang w:val="fr-FR"/>
        </w:rPr>
        <w:t xml:space="preserve"> requérantes.</w:t>
      </w:r>
    </w:p>
    <w:p w:rsidR="00934225" w:rsidRPr="00E8692E" w:rsidRDefault="008407DD"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8</w:t>
      </w:r>
      <w:r w:rsidRPr="00E8692E">
        <w:rPr>
          <w:lang w:val="fr-FR"/>
        </w:rPr>
        <w:fldChar w:fldCharType="end"/>
      </w:r>
      <w:r w:rsidRPr="00E8692E">
        <w:rPr>
          <w:lang w:val="fr-FR"/>
        </w:rPr>
        <w:t>.  Par son arrêt n</w:t>
      </w:r>
      <w:r w:rsidR="002A41D5" w:rsidRPr="00E8692E">
        <w:rPr>
          <w:vertAlign w:val="superscript"/>
          <w:lang w:val="fr-FR"/>
        </w:rPr>
        <w:t>o</w:t>
      </w:r>
      <w:r w:rsidRPr="00E8692E">
        <w:rPr>
          <w:lang w:val="fr-FR"/>
        </w:rPr>
        <w:t xml:space="preserve"> 186 du </w:t>
      </w:r>
      <w:r w:rsidR="00537214" w:rsidRPr="00E8692E">
        <w:rPr>
          <w:lang w:val="fr-FR"/>
        </w:rPr>
        <w:t>12 juillet</w:t>
      </w:r>
      <w:r w:rsidRPr="00E8692E">
        <w:rPr>
          <w:lang w:val="fr-FR"/>
        </w:rPr>
        <w:t xml:space="preserve"> 2013, la Cour constitutionnelle déclar</w:t>
      </w:r>
      <w:r w:rsidR="003328AA" w:rsidRPr="00E8692E">
        <w:rPr>
          <w:lang w:val="fr-FR"/>
        </w:rPr>
        <w:t>a</w:t>
      </w:r>
      <w:r w:rsidRPr="00E8692E">
        <w:rPr>
          <w:lang w:val="fr-FR"/>
        </w:rPr>
        <w:t xml:space="preserve"> l</w:t>
      </w:r>
      <w:r w:rsidR="00E8692E" w:rsidRPr="00E8692E">
        <w:rPr>
          <w:lang w:val="fr-FR"/>
        </w:rPr>
        <w:t>’</w:t>
      </w:r>
      <w:r w:rsidRPr="00E8692E">
        <w:rPr>
          <w:lang w:val="fr-FR"/>
        </w:rPr>
        <w:t>inconstitutionnalité</w:t>
      </w:r>
      <w:r w:rsidR="00673F8B" w:rsidRPr="00E8692E">
        <w:rPr>
          <w:lang w:val="fr-FR"/>
        </w:rPr>
        <w:t>,</w:t>
      </w:r>
      <w:r w:rsidRPr="00E8692E">
        <w:rPr>
          <w:lang w:val="fr-FR"/>
        </w:rPr>
        <w:t xml:space="preserve"> </w:t>
      </w:r>
      <w:r w:rsidR="00D712B0" w:rsidRPr="00E8692E">
        <w:rPr>
          <w:lang w:val="fr-FR"/>
        </w:rPr>
        <w:t>notamment</w:t>
      </w:r>
      <w:r w:rsidR="00673F8B" w:rsidRPr="00E8692E">
        <w:rPr>
          <w:lang w:val="fr-FR"/>
        </w:rPr>
        <w:t>,</w:t>
      </w:r>
      <w:r w:rsidR="00D712B0" w:rsidRPr="00E8692E">
        <w:rPr>
          <w:lang w:val="fr-FR"/>
        </w:rPr>
        <w:t xml:space="preserve"> de la loi </w:t>
      </w:r>
      <w:r w:rsidR="002E56AE" w:rsidRPr="00E8692E">
        <w:rPr>
          <w:lang w:val="fr-FR"/>
        </w:rPr>
        <w:t xml:space="preserve">de finances </w:t>
      </w:r>
      <w:r w:rsidR="00D712B0" w:rsidRPr="00E8692E">
        <w:rPr>
          <w:lang w:val="fr-FR"/>
        </w:rPr>
        <w:t>n</w:t>
      </w:r>
      <w:r w:rsidR="001648F4" w:rsidRPr="00E8692E">
        <w:rPr>
          <w:vertAlign w:val="superscript"/>
          <w:lang w:val="fr-FR"/>
        </w:rPr>
        <w:t>o</w:t>
      </w:r>
      <w:r w:rsidR="00D712B0" w:rsidRPr="00E8692E">
        <w:rPr>
          <w:lang w:val="fr-FR"/>
        </w:rPr>
        <w:t xml:space="preserve"> 220 de 2010</w:t>
      </w:r>
      <w:r w:rsidRPr="00E8692E">
        <w:rPr>
          <w:lang w:val="fr-FR"/>
        </w:rPr>
        <w:t>.</w:t>
      </w:r>
    </w:p>
    <w:p w:rsidR="001648F4" w:rsidRPr="00E8692E" w:rsidRDefault="00F02D0E"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9</w:t>
      </w:r>
      <w:r w:rsidRPr="00E8692E">
        <w:rPr>
          <w:lang w:val="fr-FR"/>
        </w:rPr>
        <w:fldChar w:fldCharType="end"/>
      </w:r>
      <w:r w:rsidR="00D97EEE" w:rsidRPr="00E8692E">
        <w:rPr>
          <w:lang w:val="fr-FR"/>
        </w:rPr>
        <w:t>.  </w:t>
      </w:r>
      <w:r w:rsidR="003328AA" w:rsidRPr="00E8692E">
        <w:rPr>
          <w:lang w:val="fr-FR"/>
        </w:rPr>
        <w:t>Par la suite, à</w:t>
      </w:r>
      <w:r w:rsidRPr="00E8692E">
        <w:rPr>
          <w:lang w:val="fr-FR"/>
        </w:rPr>
        <w:t xml:space="preserve"> des dates non précisées, l</w:t>
      </w:r>
      <w:r w:rsidR="00E8692E" w:rsidRPr="00E8692E">
        <w:rPr>
          <w:lang w:val="fr-FR"/>
        </w:rPr>
        <w:t>’</w:t>
      </w:r>
      <w:r w:rsidRPr="00E8692E">
        <w:rPr>
          <w:lang w:val="fr-FR"/>
        </w:rPr>
        <w:t xml:space="preserve">ASL </w:t>
      </w:r>
      <w:r w:rsidR="00CD020E" w:rsidRPr="00E8692E">
        <w:rPr>
          <w:lang w:val="fr-FR"/>
        </w:rPr>
        <w:t>s</w:t>
      </w:r>
      <w:r w:rsidR="00E8692E" w:rsidRPr="00E8692E">
        <w:rPr>
          <w:lang w:val="fr-FR"/>
        </w:rPr>
        <w:t>’</w:t>
      </w:r>
      <w:r w:rsidR="00CD020E" w:rsidRPr="00E8692E">
        <w:rPr>
          <w:lang w:val="fr-FR"/>
        </w:rPr>
        <w:t>acquitta de</w:t>
      </w:r>
      <w:r w:rsidRPr="00E8692E">
        <w:rPr>
          <w:lang w:val="fr-FR"/>
        </w:rPr>
        <w:t xml:space="preserve"> l</w:t>
      </w:r>
      <w:r w:rsidR="00E8692E" w:rsidRPr="00E8692E">
        <w:rPr>
          <w:lang w:val="fr-FR"/>
        </w:rPr>
        <w:t>’</w:t>
      </w:r>
      <w:r w:rsidRPr="00E8692E">
        <w:rPr>
          <w:lang w:val="fr-FR"/>
        </w:rPr>
        <w:t>intégralité (requêtes n</w:t>
      </w:r>
      <w:r w:rsidRPr="00E8692E">
        <w:rPr>
          <w:vertAlign w:val="superscript"/>
          <w:lang w:val="fr-FR"/>
        </w:rPr>
        <w:t>os</w:t>
      </w:r>
      <w:r w:rsidRPr="00E8692E">
        <w:rPr>
          <w:lang w:val="fr-FR"/>
        </w:rPr>
        <w:t xml:space="preserve"> 39189/11, 39190/11 et 39194/11) </w:t>
      </w:r>
      <w:r w:rsidR="00D638EA" w:rsidRPr="00E8692E">
        <w:rPr>
          <w:lang w:val="fr-FR"/>
        </w:rPr>
        <w:t>ou</w:t>
      </w:r>
      <w:r w:rsidR="00CD020E" w:rsidRPr="00E8692E">
        <w:rPr>
          <w:lang w:val="fr-FR"/>
        </w:rPr>
        <w:t xml:space="preserve"> d</w:t>
      </w:r>
      <w:r w:rsidR="00E8692E" w:rsidRPr="00E8692E">
        <w:rPr>
          <w:lang w:val="fr-FR"/>
        </w:rPr>
        <w:t>’</w:t>
      </w:r>
      <w:r w:rsidRPr="00E8692E">
        <w:rPr>
          <w:lang w:val="fr-FR"/>
        </w:rPr>
        <w:t>une partie de</w:t>
      </w:r>
      <w:r w:rsidR="003328AA" w:rsidRPr="00E8692E">
        <w:rPr>
          <w:lang w:val="fr-FR"/>
        </w:rPr>
        <w:t xml:space="preserve"> </w:t>
      </w:r>
      <w:r w:rsidR="00D638EA" w:rsidRPr="00E8692E">
        <w:rPr>
          <w:lang w:val="fr-FR"/>
        </w:rPr>
        <w:t>ses dettes</w:t>
      </w:r>
      <w:r w:rsidRPr="00E8692E">
        <w:rPr>
          <w:lang w:val="fr-FR"/>
        </w:rPr>
        <w:t xml:space="preserve"> (requêtes n</w:t>
      </w:r>
      <w:r w:rsidRPr="00E8692E">
        <w:rPr>
          <w:vertAlign w:val="superscript"/>
          <w:lang w:val="fr-FR"/>
        </w:rPr>
        <w:t>os</w:t>
      </w:r>
      <w:r w:rsidRPr="00E8692E">
        <w:rPr>
          <w:lang w:val="fr-FR"/>
        </w:rPr>
        <w:t xml:space="preserve"> </w:t>
      </w:r>
      <w:r w:rsidR="00687866" w:rsidRPr="00E8692E">
        <w:rPr>
          <w:noProof/>
          <w:lang w:val="fr-FR"/>
        </w:rPr>
        <w:t>39186/11</w:t>
      </w:r>
      <w:r w:rsidR="00687866" w:rsidRPr="00E8692E">
        <w:rPr>
          <w:lang w:val="fr-FR"/>
        </w:rPr>
        <w:t>, 39187/11, 39192/11, 39193/11, 39196/11, 39197/11, 39198/11</w:t>
      </w:r>
      <w:r w:rsidRPr="00E8692E">
        <w:rPr>
          <w:lang w:val="fr-FR"/>
        </w:rPr>
        <w:t>)</w:t>
      </w:r>
      <w:r w:rsidR="00CD020E" w:rsidRPr="00E8692E">
        <w:rPr>
          <w:lang w:val="fr-FR"/>
        </w:rPr>
        <w:t xml:space="preserve"> auprès des </w:t>
      </w:r>
      <w:r w:rsidR="00AE7DF2" w:rsidRPr="00E8692E">
        <w:rPr>
          <w:lang w:val="fr-FR"/>
        </w:rPr>
        <w:t>sociétés</w:t>
      </w:r>
      <w:r w:rsidR="00CD020E" w:rsidRPr="00E8692E">
        <w:rPr>
          <w:lang w:val="fr-FR"/>
        </w:rPr>
        <w:t xml:space="preserve"> requérantes</w:t>
      </w:r>
      <w:r w:rsidR="00C163F8" w:rsidRPr="00E8692E">
        <w:rPr>
          <w:lang w:val="fr-FR"/>
        </w:rPr>
        <w:t>.</w:t>
      </w:r>
    </w:p>
    <w:p w:rsidR="00934225" w:rsidRPr="00E8692E" w:rsidRDefault="00E77CB3" w:rsidP="00E8692E">
      <w:pPr>
        <w:pStyle w:val="ECHRTitle1"/>
        <w:rPr>
          <w:lang w:val="fr-FR"/>
        </w:rPr>
      </w:pPr>
      <w:r w:rsidRPr="00E8692E">
        <w:rPr>
          <w:lang w:val="fr-FR"/>
        </w:rPr>
        <w:t>EN DROIT</w:t>
      </w:r>
    </w:p>
    <w:p w:rsidR="00E02CD3" w:rsidRPr="00E8692E" w:rsidRDefault="001648F4" w:rsidP="00E8692E">
      <w:pPr>
        <w:pStyle w:val="ECHRHeading1"/>
        <w:rPr>
          <w:lang w:val="fr-FR"/>
        </w:rPr>
      </w:pPr>
      <w:r w:rsidRPr="00E8692E">
        <w:rPr>
          <w:lang w:val="fr-FR"/>
        </w:rPr>
        <w:t>I.  </w:t>
      </w:r>
      <w:r w:rsidR="00E02CD3" w:rsidRPr="00E8692E">
        <w:rPr>
          <w:lang w:val="fr-FR"/>
        </w:rPr>
        <w:t>SUR LA JONCTION DES REQUÊTES</w:t>
      </w:r>
    </w:p>
    <w:p w:rsidR="00E02CD3" w:rsidRPr="00E8692E" w:rsidRDefault="00E02CD3"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10</w:t>
      </w:r>
      <w:r w:rsidRPr="00E8692E">
        <w:rPr>
          <w:lang w:val="fr-FR"/>
        </w:rPr>
        <w:fldChar w:fldCharType="end"/>
      </w:r>
      <w:r w:rsidRPr="00E8692E">
        <w:rPr>
          <w:lang w:val="fr-FR"/>
        </w:rPr>
        <w:t>.  Compte tenu de la similitude des requêtes quant aux faits et aux questions de fond qu</w:t>
      </w:r>
      <w:r w:rsidR="00E8692E" w:rsidRPr="00E8692E">
        <w:rPr>
          <w:lang w:val="fr-FR"/>
        </w:rPr>
        <w:t>’</w:t>
      </w:r>
      <w:r w:rsidRPr="00E8692E">
        <w:rPr>
          <w:lang w:val="fr-FR"/>
        </w:rPr>
        <w:t xml:space="preserve">elles posent, la Cour décide de joindre </w:t>
      </w:r>
      <w:r w:rsidR="00673F8B" w:rsidRPr="00E8692E">
        <w:rPr>
          <w:lang w:val="fr-FR"/>
        </w:rPr>
        <w:t xml:space="preserve">celles-ci </w:t>
      </w:r>
      <w:r w:rsidRPr="00E8692E">
        <w:rPr>
          <w:lang w:val="fr-FR"/>
        </w:rPr>
        <w:t>et de les examiner conjointement.</w:t>
      </w:r>
    </w:p>
    <w:p w:rsidR="00E77CB3" w:rsidRPr="00E8692E" w:rsidRDefault="00934225" w:rsidP="00E8692E">
      <w:pPr>
        <w:pStyle w:val="ECHRHeading1"/>
        <w:rPr>
          <w:lang w:val="fr-FR"/>
        </w:rPr>
      </w:pPr>
      <w:r w:rsidRPr="00E8692E">
        <w:rPr>
          <w:lang w:val="fr-FR"/>
        </w:rPr>
        <w:t>I</w:t>
      </w:r>
      <w:r w:rsidR="00E02CD3" w:rsidRPr="00E8692E">
        <w:rPr>
          <w:lang w:val="fr-FR"/>
        </w:rPr>
        <w:t>I</w:t>
      </w:r>
      <w:r w:rsidRPr="00E8692E">
        <w:rPr>
          <w:lang w:val="fr-FR"/>
        </w:rPr>
        <w:t>.</w:t>
      </w:r>
      <w:r w:rsidR="00E77CB3" w:rsidRPr="00E8692E">
        <w:rPr>
          <w:lang w:val="fr-FR"/>
        </w:rPr>
        <w:t xml:space="preserve">  SUR LA VIOLATION ALLÉGUÉE </w:t>
      </w:r>
      <w:r w:rsidR="004B7BAF" w:rsidRPr="00E8692E">
        <w:rPr>
          <w:lang w:val="fr-FR"/>
        </w:rPr>
        <w:t>DE</w:t>
      </w:r>
      <w:r w:rsidR="00673F8B" w:rsidRPr="00E8692E">
        <w:rPr>
          <w:lang w:val="fr-FR"/>
        </w:rPr>
        <w:t xml:space="preserve"> L</w:t>
      </w:r>
      <w:r w:rsidR="00E8692E" w:rsidRPr="00E8692E">
        <w:rPr>
          <w:lang w:val="fr-FR"/>
        </w:rPr>
        <w:t>’</w:t>
      </w:r>
      <w:r w:rsidR="004B7BAF" w:rsidRPr="00E8692E">
        <w:rPr>
          <w:lang w:val="fr-FR"/>
        </w:rPr>
        <w:t>ARTICLE 6 § 1</w:t>
      </w:r>
      <w:r w:rsidR="00FF274C" w:rsidRPr="00E8692E">
        <w:rPr>
          <w:lang w:val="fr-FR"/>
        </w:rPr>
        <w:t xml:space="preserve"> </w:t>
      </w:r>
      <w:r w:rsidR="004B7BAF" w:rsidRPr="00E8692E">
        <w:rPr>
          <w:lang w:val="fr-FR"/>
        </w:rPr>
        <w:t xml:space="preserve">DE LA CONVENTION ET </w:t>
      </w:r>
      <w:r w:rsidR="00673F8B" w:rsidRPr="00E8692E">
        <w:rPr>
          <w:lang w:val="fr-FR"/>
        </w:rPr>
        <w:t>DE L</w:t>
      </w:r>
      <w:r w:rsidR="00E8692E" w:rsidRPr="00E8692E">
        <w:rPr>
          <w:lang w:val="fr-FR"/>
        </w:rPr>
        <w:t>’</w:t>
      </w:r>
      <w:r w:rsidR="00673F8B" w:rsidRPr="00E8692E">
        <w:rPr>
          <w:lang w:val="fr-FR"/>
        </w:rPr>
        <w:t xml:space="preserve">ARTICLE </w:t>
      </w:r>
      <w:r w:rsidR="004B7BAF" w:rsidRPr="00E8692E">
        <w:rPr>
          <w:lang w:val="fr-FR"/>
        </w:rPr>
        <w:t>1 DU PROTOCOLE N</w:t>
      </w:r>
      <w:r w:rsidR="002A41D5" w:rsidRPr="00E8692E">
        <w:rPr>
          <w:vertAlign w:val="superscript"/>
          <w:lang w:val="fr-FR"/>
        </w:rPr>
        <w:t>o</w:t>
      </w:r>
      <w:r w:rsidR="004B7BAF" w:rsidRPr="00E8692E">
        <w:rPr>
          <w:lang w:val="fr-FR"/>
        </w:rPr>
        <w:t xml:space="preserve"> 1</w:t>
      </w:r>
      <w:r w:rsidR="00673F8B" w:rsidRPr="00E8692E">
        <w:rPr>
          <w:lang w:val="fr-FR"/>
        </w:rPr>
        <w:t xml:space="preserve"> </w:t>
      </w:r>
      <w:r w:rsidR="00673F8B" w:rsidRPr="00E8692E">
        <w:rPr>
          <w:rFonts w:cstheme="majorHAnsi"/>
          <w:lang w:val="fr-FR"/>
        </w:rPr>
        <w:t>À</w:t>
      </w:r>
      <w:r w:rsidR="00673F8B" w:rsidRPr="00E8692E">
        <w:rPr>
          <w:lang w:val="fr-FR"/>
        </w:rPr>
        <w:t xml:space="preserve"> LA CONVENTION</w:t>
      </w:r>
    </w:p>
    <w:p w:rsidR="00FF274C"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11</w:t>
      </w:r>
      <w:r w:rsidRPr="00E8692E">
        <w:rPr>
          <w:lang w:val="fr-FR"/>
        </w:rPr>
        <w:fldChar w:fldCharType="end"/>
      </w:r>
      <w:r w:rsidR="00E77CB3" w:rsidRPr="00E8692E">
        <w:rPr>
          <w:lang w:val="fr-FR"/>
        </w:rPr>
        <w:t>.  </w:t>
      </w:r>
      <w:r w:rsidR="008C6B6B" w:rsidRPr="00E8692E">
        <w:rPr>
          <w:lang w:val="fr-FR"/>
        </w:rPr>
        <w:t>Le</w:t>
      </w:r>
      <w:r w:rsidR="00172E61" w:rsidRPr="00E8692E">
        <w:rPr>
          <w:lang w:val="fr-FR"/>
        </w:rPr>
        <w:t xml:space="preserve">s </w:t>
      </w:r>
      <w:r w:rsidR="00AE7DF2" w:rsidRPr="00E8692E">
        <w:rPr>
          <w:lang w:val="fr-FR"/>
        </w:rPr>
        <w:t>sociétés</w:t>
      </w:r>
      <w:r w:rsidR="008C6B6B" w:rsidRPr="00E8692E">
        <w:rPr>
          <w:lang w:val="fr-FR"/>
        </w:rPr>
        <w:t xml:space="preserve"> requérant</w:t>
      </w:r>
      <w:r w:rsidR="00172E61" w:rsidRPr="00E8692E">
        <w:rPr>
          <w:lang w:val="fr-FR"/>
        </w:rPr>
        <w:t>es</w:t>
      </w:r>
      <w:r w:rsidR="008C6B6B" w:rsidRPr="00E8692E">
        <w:rPr>
          <w:lang w:val="fr-FR"/>
        </w:rPr>
        <w:t xml:space="preserve"> </w:t>
      </w:r>
      <w:r w:rsidR="00D967DE" w:rsidRPr="00E8692E">
        <w:rPr>
          <w:lang w:val="fr-FR"/>
        </w:rPr>
        <w:t xml:space="preserve">se plaignent du </w:t>
      </w:r>
      <w:r w:rsidR="00E32B64" w:rsidRPr="00E8692E">
        <w:rPr>
          <w:lang w:val="fr-FR"/>
        </w:rPr>
        <w:t xml:space="preserve">délai </w:t>
      </w:r>
      <w:r w:rsidR="008C6B6B" w:rsidRPr="00E8692E">
        <w:rPr>
          <w:lang w:val="fr-FR"/>
        </w:rPr>
        <w:t xml:space="preserve">mis par les autorités nationales </w:t>
      </w:r>
      <w:r w:rsidR="00E32B64" w:rsidRPr="00E8692E">
        <w:rPr>
          <w:lang w:val="fr-FR"/>
        </w:rPr>
        <w:t>pour</w:t>
      </w:r>
      <w:r w:rsidR="008C6B6B" w:rsidRPr="00E8692E">
        <w:rPr>
          <w:lang w:val="fr-FR"/>
        </w:rPr>
        <w:t xml:space="preserve"> se conformer aux ordonnance</w:t>
      </w:r>
      <w:r w:rsidR="00172E61" w:rsidRPr="00E8692E">
        <w:rPr>
          <w:lang w:val="fr-FR"/>
        </w:rPr>
        <w:t>s</w:t>
      </w:r>
      <w:r w:rsidR="008C6B6B" w:rsidRPr="00E8692E">
        <w:rPr>
          <w:lang w:val="fr-FR"/>
        </w:rPr>
        <w:t xml:space="preserve"> portant injonction de payer rendue exécutoire par le tribunal de Naples. </w:t>
      </w:r>
      <w:r w:rsidR="00673F8B" w:rsidRPr="00E8692E">
        <w:rPr>
          <w:lang w:val="fr-FR"/>
        </w:rPr>
        <w:t>Elles</w:t>
      </w:r>
      <w:r w:rsidR="008C6B6B" w:rsidRPr="00E8692E">
        <w:rPr>
          <w:lang w:val="fr-FR"/>
        </w:rPr>
        <w:t xml:space="preserve"> invoquent l</w:t>
      </w:r>
      <w:r w:rsidR="00E8692E" w:rsidRPr="00E8692E">
        <w:rPr>
          <w:lang w:val="fr-FR"/>
        </w:rPr>
        <w:t>’</w:t>
      </w:r>
      <w:r w:rsidR="008C6B6B" w:rsidRPr="00E8692E">
        <w:rPr>
          <w:lang w:val="fr-FR"/>
        </w:rPr>
        <w:t xml:space="preserve">article 6 de la Convention et </w:t>
      </w:r>
      <w:r w:rsidR="00673F8B" w:rsidRPr="00E8692E">
        <w:rPr>
          <w:lang w:val="fr-FR"/>
        </w:rPr>
        <w:t>l</w:t>
      </w:r>
      <w:r w:rsidR="00E8692E" w:rsidRPr="00E8692E">
        <w:rPr>
          <w:lang w:val="fr-FR"/>
        </w:rPr>
        <w:t>’</w:t>
      </w:r>
      <w:r w:rsidR="00673F8B" w:rsidRPr="00E8692E">
        <w:rPr>
          <w:lang w:val="fr-FR"/>
        </w:rPr>
        <w:t xml:space="preserve">article </w:t>
      </w:r>
      <w:r w:rsidR="008C6B6B" w:rsidRPr="00E8692E">
        <w:rPr>
          <w:lang w:val="fr-FR"/>
        </w:rPr>
        <w:t>1 du Protocole n</w:t>
      </w:r>
      <w:r w:rsidR="002A41D5" w:rsidRPr="00E8692E">
        <w:rPr>
          <w:vertAlign w:val="superscript"/>
          <w:lang w:val="fr-FR"/>
        </w:rPr>
        <w:t>o</w:t>
      </w:r>
      <w:r w:rsidR="008C6B6B" w:rsidRPr="00E8692E">
        <w:rPr>
          <w:lang w:val="fr-FR"/>
        </w:rPr>
        <w:t xml:space="preserve"> </w:t>
      </w:r>
      <w:r w:rsidR="00F0222B" w:rsidRPr="00E8692E">
        <w:rPr>
          <w:lang w:val="fr-FR"/>
        </w:rPr>
        <w:t>1</w:t>
      </w:r>
      <w:r w:rsidR="00673F8B" w:rsidRPr="00E8692E">
        <w:rPr>
          <w:lang w:val="fr-FR"/>
        </w:rPr>
        <w:t xml:space="preserve"> à la Convention</w:t>
      </w:r>
      <w:r w:rsidR="00172E61" w:rsidRPr="00E8692E">
        <w:rPr>
          <w:lang w:val="fr-FR"/>
        </w:rPr>
        <w:t>.</w:t>
      </w:r>
    </w:p>
    <w:p w:rsidR="008C6B6B" w:rsidRPr="00E8692E" w:rsidRDefault="00FF274C"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12</w:t>
      </w:r>
      <w:r w:rsidRPr="00E8692E">
        <w:rPr>
          <w:lang w:val="fr-FR"/>
        </w:rPr>
        <w:fldChar w:fldCharType="end"/>
      </w:r>
      <w:r w:rsidRPr="00E8692E">
        <w:rPr>
          <w:lang w:val="fr-FR"/>
        </w:rPr>
        <w:t>.  Maîtresse de la qualification juridique des faits de la cause, la Cour estime que ce grief appelle un examen sous l</w:t>
      </w:r>
      <w:r w:rsidR="00E8692E" w:rsidRPr="00E8692E">
        <w:rPr>
          <w:lang w:val="fr-FR"/>
        </w:rPr>
        <w:t>’</w:t>
      </w:r>
      <w:r w:rsidRPr="00E8692E">
        <w:rPr>
          <w:lang w:val="fr-FR"/>
        </w:rPr>
        <w:t xml:space="preserve">angle </w:t>
      </w:r>
      <w:r w:rsidR="00172E61" w:rsidRPr="00E8692E">
        <w:rPr>
          <w:lang w:val="fr-FR"/>
        </w:rPr>
        <w:t>d</w:t>
      </w:r>
      <w:r w:rsidR="00673F8B" w:rsidRPr="00E8692E">
        <w:rPr>
          <w:lang w:val="fr-FR"/>
        </w:rPr>
        <w:t xml:space="preserve">u seul </w:t>
      </w:r>
      <w:r w:rsidR="00172E61" w:rsidRPr="00E8692E">
        <w:rPr>
          <w:lang w:val="fr-FR"/>
        </w:rPr>
        <w:t>article 6 de la Convention</w:t>
      </w:r>
      <w:r w:rsidR="00673F8B" w:rsidRPr="00E8692E">
        <w:rPr>
          <w:lang w:val="fr-FR"/>
        </w:rPr>
        <w:t>,</w:t>
      </w:r>
      <w:r w:rsidR="00F0222B" w:rsidRPr="00E8692E">
        <w:rPr>
          <w:lang w:val="fr-FR"/>
        </w:rPr>
        <w:t xml:space="preserve"> qui,</w:t>
      </w:r>
      <w:r w:rsidR="008C6B6B" w:rsidRPr="00E8692E">
        <w:rPr>
          <w:lang w:val="fr-FR"/>
        </w:rPr>
        <w:t xml:space="preserve"> </w:t>
      </w:r>
      <w:r w:rsidR="00673F8B" w:rsidRPr="00E8692E">
        <w:rPr>
          <w:lang w:val="fr-FR"/>
        </w:rPr>
        <w:t>en</w:t>
      </w:r>
      <w:r w:rsidR="008C6B6B" w:rsidRPr="00E8692E">
        <w:rPr>
          <w:lang w:val="fr-FR"/>
        </w:rPr>
        <w:t xml:space="preserve"> </w:t>
      </w:r>
      <w:r w:rsidR="00172E61" w:rsidRPr="00E8692E">
        <w:rPr>
          <w:lang w:val="fr-FR"/>
        </w:rPr>
        <w:t>se</w:t>
      </w:r>
      <w:r w:rsidR="00F0222B" w:rsidRPr="00E8692E">
        <w:rPr>
          <w:lang w:val="fr-FR"/>
        </w:rPr>
        <w:t>s</w:t>
      </w:r>
      <w:r w:rsidR="008C6B6B" w:rsidRPr="00E8692E">
        <w:rPr>
          <w:lang w:val="fr-FR"/>
        </w:rPr>
        <w:t xml:space="preserve"> parties pertinentes</w:t>
      </w:r>
      <w:r w:rsidR="00673F8B" w:rsidRPr="00E8692E">
        <w:rPr>
          <w:lang w:val="fr-FR"/>
        </w:rPr>
        <w:t xml:space="preserve"> en l</w:t>
      </w:r>
      <w:r w:rsidR="00E8692E" w:rsidRPr="00E8692E">
        <w:rPr>
          <w:lang w:val="fr-FR"/>
        </w:rPr>
        <w:t>’</w:t>
      </w:r>
      <w:r w:rsidR="00673F8B" w:rsidRPr="00E8692E">
        <w:rPr>
          <w:lang w:val="fr-FR"/>
        </w:rPr>
        <w:t>espèce</w:t>
      </w:r>
      <w:r w:rsidR="00172E61" w:rsidRPr="00E8692E">
        <w:rPr>
          <w:lang w:val="fr-FR"/>
        </w:rPr>
        <w:t>, se li</w:t>
      </w:r>
      <w:r w:rsidR="00F0222B" w:rsidRPr="00E8692E">
        <w:rPr>
          <w:lang w:val="fr-FR"/>
        </w:rPr>
        <w:t xml:space="preserve">t comme suit </w:t>
      </w:r>
      <w:r w:rsidR="008C6B6B" w:rsidRPr="00E8692E">
        <w:rPr>
          <w:lang w:val="fr-FR"/>
        </w:rPr>
        <w:t>:</w:t>
      </w:r>
    </w:p>
    <w:p w:rsidR="008C6B6B" w:rsidRPr="00E8692E" w:rsidRDefault="008C6B6B" w:rsidP="00E8692E">
      <w:pPr>
        <w:pStyle w:val="ECHRTitleCentre3"/>
        <w:rPr>
          <w:lang w:val="fr-FR"/>
        </w:rPr>
      </w:pPr>
      <w:r w:rsidRPr="00E8692E">
        <w:rPr>
          <w:lang w:val="fr-FR"/>
        </w:rPr>
        <w:t>Article 6 § 1 de la Convention</w:t>
      </w:r>
    </w:p>
    <w:p w:rsidR="00F0222B" w:rsidRPr="00E8692E" w:rsidRDefault="008C6B6B" w:rsidP="00E8692E">
      <w:pPr>
        <w:pStyle w:val="ECHRParaQuote"/>
        <w:rPr>
          <w:lang w:val="fr-FR"/>
        </w:rPr>
      </w:pPr>
      <w:r w:rsidRPr="00E8692E">
        <w:rPr>
          <w:lang w:val="fr-FR"/>
        </w:rPr>
        <w:t>« Toute personne a droit à ce que sa cause soit entendue (...) dans un délai raisonnable, par un tribunal (...), qui décidera (...) des contestations sur ses droits et obligations de caractère civil (...) »</w:t>
      </w:r>
      <w:r w:rsidR="00172E61" w:rsidRPr="00E8692E">
        <w:rPr>
          <w:lang w:val="fr-FR"/>
        </w:rPr>
        <w:t>.</w:t>
      </w: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13</w:t>
      </w:r>
      <w:r w:rsidRPr="00E8692E">
        <w:rPr>
          <w:lang w:val="fr-FR"/>
        </w:rPr>
        <w:fldChar w:fldCharType="end"/>
      </w:r>
      <w:r w:rsidR="00E77CB3" w:rsidRPr="00E8692E">
        <w:rPr>
          <w:lang w:val="fr-FR"/>
        </w:rPr>
        <w:t xml:space="preserve">.  Le Gouvernement </w:t>
      </w:r>
      <w:r w:rsidR="00D671DD" w:rsidRPr="00E8692E">
        <w:rPr>
          <w:lang w:val="fr-FR"/>
        </w:rPr>
        <w:t>conteste</w:t>
      </w:r>
      <w:r w:rsidR="008C6B6B" w:rsidRPr="00E8692E">
        <w:rPr>
          <w:lang w:val="fr-FR"/>
        </w:rPr>
        <w:t xml:space="preserve"> cette thèse.</w:t>
      </w:r>
    </w:p>
    <w:p w:rsidR="00E77CB3" w:rsidRPr="00E8692E" w:rsidRDefault="00E77CB3" w:rsidP="00E8692E">
      <w:pPr>
        <w:pStyle w:val="ECHRHeading2"/>
        <w:rPr>
          <w:lang w:val="fr-FR"/>
        </w:rPr>
      </w:pPr>
      <w:r w:rsidRPr="00E8692E">
        <w:rPr>
          <w:lang w:val="fr-FR"/>
        </w:rPr>
        <w:lastRenderedPageBreak/>
        <w:t>A.  Sur la recevabilité</w:t>
      </w:r>
    </w:p>
    <w:p w:rsidR="002A41D5" w:rsidRPr="00E8692E" w:rsidRDefault="00A70AEA"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14</w:t>
      </w:r>
      <w:r w:rsidRPr="00E8692E">
        <w:rPr>
          <w:lang w:val="fr-FR"/>
        </w:rPr>
        <w:fldChar w:fldCharType="end"/>
      </w:r>
      <w:r w:rsidRPr="00E8692E">
        <w:rPr>
          <w:lang w:val="fr-FR"/>
        </w:rPr>
        <w:t>.  </w:t>
      </w:r>
      <w:r w:rsidR="00BC2FDA" w:rsidRPr="00E8692E">
        <w:rPr>
          <w:lang w:val="fr-FR"/>
        </w:rPr>
        <w:t>Le Gouvernement considère</w:t>
      </w:r>
      <w:r w:rsidR="00244711" w:rsidRPr="00E8692E">
        <w:rPr>
          <w:lang w:val="fr-FR"/>
        </w:rPr>
        <w:t xml:space="preserve"> que les </w:t>
      </w:r>
      <w:r w:rsidR="00AE7DF2" w:rsidRPr="00E8692E">
        <w:rPr>
          <w:lang w:val="fr-FR"/>
        </w:rPr>
        <w:t>sociétés</w:t>
      </w:r>
      <w:r w:rsidR="00244711" w:rsidRPr="00E8692E">
        <w:rPr>
          <w:lang w:val="fr-FR"/>
        </w:rPr>
        <w:t xml:space="preserve"> requérantes ne peuvent plus se prétendre « victime</w:t>
      </w:r>
      <w:r w:rsidR="00172E61" w:rsidRPr="00E8692E">
        <w:rPr>
          <w:lang w:val="fr-FR"/>
        </w:rPr>
        <w:t>s</w:t>
      </w:r>
      <w:r w:rsidR="00244711" w:rsidRPr="00E8692E">
        <w:rPr>
          <w:lang w:val="fr-FR"/>
        </w:rPr>
        <w:t xml:space="preserve"> » d</w:t>
      </w:r>
      <w:r w:rsidR="00E8692E" w:rsidRPr="00E8692E">
        <w:rPr>
          <w:lang w:val="fr-FR"/>
        </w:rPr>
        <w:t>’</w:t>
      </w:r>
      <w:r w:rsidR="00125FE8" w:rsidRPr="00E8692E">
        <w:rPr>
          <w:lang w:val="fr-FR"/>
        </w:rPr>
        <w:t>une</w:t>
      </w:r>
      <w:r w:rsidR="00244711" w:rsidRPr="00E8692E">
        <w:rPr>
          <w:lang w:val="fr-FR"/>
        </w:rPr>
        <w:t xml:space="preserve"> violation de la Convention pour les raisons suivantes. T</w:t>
      </w:r>
      <w:r w:rsidR="00BC2FDA" w:rsidRPr="00E8692E">
        <w:rPr>
          <w:lang w:val="fr-FR"/>
        </w:rPr>
        <w:t>out d</w:t>
      </w:r>
      <w:r w:rsidR="00E8692E" w:rsidRPr="00E8692E">
        <w:rPr>
          <w:lang w:val="fr-FR"/>
        </w:rPr>
        <w:t>’</w:t>
      </w:r>
      <w:r w:rsidR="00BC2FDA" w:rsidRPr="00E8692E">
        <w:rPr>
          <w:lang w:val="fr-FR"/>
        </w:rPr>
        <w:t>abord, pour ce qui est des requêtes n</w:t>
      </w:r>
      <w:r w:rsidR="00BC2FDA" w:rsidRPr="00E8692E">
        <w:rPr>
          <w:vertAlign w:val="superscript"/>
          <w:lang w:val="fr-FR"/>
        </w:rPr>
        <w:t>os</w:t>
      </w:r>
      <w:r w:rsidR="00BC2FDA" w:rsidRPr="00E8692E">
        <w:rPr>
          <w:lang w:val="fr-FR"/>
        </w:rPr>
        <w:t xml:space="preserve"> </w:t>
      </w:r>
      <w:r w:rsidR="00033414" w:rsidRPr="00E8692E">
        <w:rPr>
          <w:lang w:val="fr-FR"/>
        </w:rPr>
        <w:t>39189/11, 39190/11 et 39194/11</w:t>
      </w:r>
      <w:r w:rsidR="00172E61" w:rsidRPr="00E8692E">
        <w:rPr>
          <w:lang w:val="fr-FR"/>
        </w:rPr>
        <w:t>,</w:t>
      </w:r>
      <w:r w:rsidR="00033414" w:rsidRPr="00E8692E">
        <w:rPr>
          <w:lang w:val="fr-FR"/>
        </w:rPr>
        <w:t xml:space="preserve"> </w:t>
      </w:r>
      <w:r w:rsidR="00244711" w:rsidRPr="00E8692E">
        <w:rPr>
          <w:lang w:val="fr-FR"/>
        </w:rPr>
        <w:t xml:space="preserve">il </w:t>
      </w:r>
      <w:r w:rsidR="00125FE8" w:rsidRPr="00E8692E">
        <w:rPr>
          <w:lang w:val="fr-FR"/>
        </w:rPr>
        <w:t>indique</w:t>
      </w:r>
      <w:r w:rsidR="00244711" w:rsidRPr="00E8692E">
        <w:rPr>
          <w:lang w:val="fr-FR"/>
        </w:rPr>
        <w:t xml:space="preserve"> que</w:t>
      </w:r>
      <w:r w:rsidR="00125FE8" w:rsidRPr="00E8692E">
        <w:rPr>
          <w:lang w:val="fr-FR"/>
        </w:rPr>
        <w:t xml:space="preserve"> </w:t>
      </w:r>
      <w:r w:rsidR="00244711" w:rsidRPr="00E8692E">
        <w:rPr>
          <w:lang w:val="fr-FR"/>
        </w:rPr>
        <w:t xml:space="preserve">les </w:t>
      </w:r>
      <w:r w:rsidR="00AE7DF2" w:rsidRPr="00E8692E">
        <w:rPr>
          <w:lang w:val="fr-FR"/>
        </w:rPr>
        <w:t>sociétés</w:t>
      </w:r>
      <w:r w:rsidR="00244711" w:rsidRPr="00E8692E">
        <w:rPr>
          <w:lang w:val="fr-FR"/>
        </w:rPr>
        <w:t xml:space="preserve"> requérantes</w:t>
      </w:r>
      <w:r w:rsidR="00A10218" w:rsidRPr="00E8692E">
        <w:rPr>
          <w:lang w:val="fr-FR"/>
        </w:rPr>
        <w:t xml:space="preserve"> ont reçu</w:t>
      </w:r>
      <w:r w:rsidR="00125FE8" w:rsidRPr="00E8692E">
        <w:rPr>
          <w:lang w:val="fr-FR"/>
        </w:rPr>
        <w:t>, bien qu</w:t>
      </w:r>
      <w:r w:rsidR="00E8692E" w:rsidRPr="00E8692E">
        <w:rPr>
          <w:lang w:val="fr-FR"/>
        </w:rPr>
        <w:t>’</w:t>
      </w:r>
      <w:r w:rsidR="00125FE8" w:rsidRPr="00E8692E">
        <w:rPr>
          <w:lang w:val="fr-FR"/>
        </w:rPr>
        <w:t xml:space="preserve">en retard, </w:t>
      </w:r>
      <w:r w:rsidR="00A10218" w:rsidRPr="00E8692E">
        <w:rPr>
          <w:lang w:val="fr-FR"/>
        </w:rPr>
        <w:t xml:space="preserve">les sommes dont elles étaient </w:t>
      </w:r>
      <w:r w:rsidR="00033414" w:rsidRPr="00E8692E">
        <w:rPr>
          <w:lang w:val="fr-FR"/>
        </w:rPr>
        <w:t>créancières</w:t>
      </w:r>
      <w:r w:rsidR="00125FE8" w:rsidRPr="00E8692E">
        <w:rPr>
          <w:lang w:val="fr-FR"/>
        </w:rPr>
        <w:t>,</w:t>
      </w:r>
      <w:r w:rsidR="00033414" w:rsidRPr="00E8692E">
        <w:rPr>
          <w:lang w:val="fr-FR"/>
        </w:rPr>
        <w:t xml:space="preserve"> conformément à l</w:t>
      </w:r>
      <w:r w:rsidR="00E8692E" w:rsidRPr="00E8692E">
        <w:rPr>
          <w:lang w:val="fr-FR"/>
        </w:rPr>
        <w:t>’</w:t>
      </w:r>
      <w:r w:rsidR="00033414" w:rsidRPr="00E8692E">
        <w:rPr>
          <w:lang w:val="fr-FR"/>
        </w:rPr>
        <w:t>arrêt n</w:t>
      </w:r>
      <w:r w:rsidR="002A41D5" w:rsidRPr="00E8692E">
        <w:rPr>
          <w:vertAlign w:val="superscript"/>
          <w:lang w:val="fr-FR"/>
        </w:rPr>
        <w:t>o</w:t>
      </w:r>
      <w:r w:rsidR="00033414" w:rsidRPr="00E8692E">
        <w:rPr>
          <w:lang w:val="fr-FR"/>
        </w:rPr>
        <w:t xml:space="preserve"> 186 de 2013 de la Cour constitutionnelle</w:t>
      </w:r>
      <w:r w:rsidR="00A10218" w:rsidRPr="00E8692E">
        <w:rPr>
          <w:lang w:val="fr-FR"/>
        </w:rPr>
        <w:t>.</w:t>
      </w:r>
      <w:r w:rsidR="00033414" w:rsidRPr="00E8692E">
        <w:rPr>
          <w:lang w:val="fr-FR"/>
        </w:rPr>
        <w:t xml:space="preserve"> </w:t>
      </w:r>
      <w:r w:rsidR="00244711" w:rsidRPr="00E8692E">
        <w:rPr>
          <w:lang w:val="fr-FR"/>
        </w:rPr>
        <w:t>Ensuite, en ce q</w:t>
      </w:r>
      <w:r w:rsidRPr="00E8692E">
        <w:rPr>
          <w:lang w:val="fr-FR"/>
        </w:rPr>
        <w:t xml:space="preserve">ui concerne toutes les requêtes, </w:t>
      </w:r>
      <w:r w:rsidR="00244711" w:rsidRPr="00E8692E">
        <w:rPr>
          <w:lang w:val="fr-FR"/>
        </w:rPr>
        <w:t xml:space="preserve">le Gouvernement </w:t>
      </w:r>
      <w:r w:rsidR="009F677B" w:rsidRPr="00E8692E">
        <w:rPr>
          <w:lang w:val="fr-FR"/>
        </w:rPr>
        <w:t>expose</w:t>
      </w:r>
      <w:r w:rsidR="00244711" w:rsidRPr="00E8692E">
        <w:rPr>
          <w:lang w:val="fr-FR"/>
        </w:rPr>
        <w:t xml:space="preserve"> que les </w:t>
      </w:r>
      <w:r w:rsidR="00AE7DF2" w:rsidRPr="00E8692E">
        <w:rPr>
          <w:lang w:val="fr-FR"/>
        </w:rPr>
        <w:t>sociétés</w:t>
      </w:r>
      <w:r w:rsidR="00244711" w:rsidRPr="00E8692E">
        <w:rPr>
          <w:lang w:val="fr-FR"/>
        </w:rPr>
        <w:t xml:space="preserve"> requérantes ont souscrit </w:t>
      </w:r>
      <w:r w:rsidR="00D56D1E" w:rsidRPr="00E8692E">
        <w:rPr>
          <w:lang w:val="fr-FR"/>
        </w:rPr>
        <w:t>des</w:t>
      </w:r>
      <w:r w:rsidR="00244711" w:rsidRPr="00E8692E">
        <w:rPr>
          <w:lang w:val="fr-FR"/>
        </w:rPr>
        <w:t xml:space="preserve"> contrat</w:t>
      </w:r>
      <w:r w:rsidR="00D56D1E" w:rsidRPr="00E8692E">
        <w:rPr>
          <w:lang w:val="fr-FR"/>
        </w:rPr>
        <w:t>s</w:t>
      </w:r>
      <w:r w:rsidR="00244711" w:rsidRPr="00E8692E">
        <w:rPr>
          <w:lang w:val="fr-FR"/>
        </w:rPr>
        <w:t xml:space="preserve"> </w:t>
      </w:r>
      <w:r w:rsidR="00A05ECC" w:rsidRPr="00E8692E">
        <w:rPr>
          <w:lang w:val="fr-FR"/>
        </w:rPr>
        <w:t>d</w:t>
      </w:r>
      <w:r w:rsidR="00E8692E" w:rsidRPr="00E8692E">
        <w:rPr>
          <w:lang w:val="fr-FR"/>
        </w:rPr>
        <w:t>’</w:t>
      </w:r>
      <w:r w:rsidR="00A05ECC" w:rsidRPr="00E8692E">
        <w:rPr>
          <w:lang w:val="fr-FR"/>
        </w:rPr>
        <w:t xml:space="preserve">affacturage </w:t>
      </w:r>
      <w:r w:rsidR="00125FE8" w:rsidRPr="00E8692E">
        <w:rPr>
          <w:lang w:val="fr-FR"/>
        </w:rPr>
        <w:t xml:space="preserve">avec la société </w:t>
      </w:r>
      <w:proofErr w:type="spellStart"/>
      <w:r w:rsidR="00125FE8" w:rsidRPr="00E8692E">
        <w:rPr>
          <w:lang w:val="fr-FR"/>
        </w:rPr>
        <w:t>UniCredit</w:t>
      </w:r>
      <w:proofErr w:type="spellEnd"/>
      <w:r w:rsidR="00125FE8" w:rsidRPr="00E8692E">
        <w:rPr>
          <w:lang w:val="fr-FR"/>
        </w:rPr>
        <w:t xml:space="preserve"> Factoring </w:t>
      </w:r>
      <w:proofErr w:type="spellStart"/>
      <w:r w:rsidR="00125FE8" w:rsidRPr="00E8692E">
        <w:rPr>
          <w:lang w:val="fr-FR"/>
        </w:rPr>
        <w:t>S.p.A</w:t>
      </w:r>
      <w:proofErr w:type="spellEnd"/>
      <w:r w:rsidR="00125FE8" w:rsidRPr="00E8692E">
        <w:rPr>
          <w:lang w:val="fr-FR"/>
        </w:rPr>
        <w:t>., qu</w:t>
      </w:r>
      <w:r w:rsidR="00E8692E" w:rsidRPr="00E8692E">
        <w:rPr>
          <w:lang w:val="fr-FR"/>
        </w:rPr>
        <w:t>’</w:t>
      </w:r>
      <w:r w:rsidR="00244711" w:rsidRPr="00E8692E">
        <w:rPr>
          <w:lang w:val="fr-FR"/>
        </w:rPr>
        <w:t xml:space="preserve">elles </w:t>
      </w:r>
      <w:r w:rsidR="00125FE8" w:rsidRPr="00E8692E">
        <w:rPr>
          <w:lang w:val="fr-FR"/>
        </w:rPr>
        <w:t xml:space="preserve">ont </w:t>
      </w:r>
      <w:r w:rsidR="00472837" w:rsidRPr="00E8692E">
        <w:rPr>
          <w:lang w:val="fr-FR"/>
        </w:rPr>
        <w:t xml:space="preserve">par ce biais </w:t>
      </w:r>
      <w:r w:rsidR="004A7F45" w:rsidRPr="00E8692E">
        <w:rPr>
          <w:lang w:val="fr-FR"/>
        </w:rPr>
        <w:t xml:space="preserve">notamment </w:t>
      </w:r>
      <w:r w:rsidR="00125FE8" w:rsidRPr="00E8692E">
        <w:rPr>
          <w:lang w:val="fr-FR"/>
        </w:rPr>
        <w:t>cédé</w:t>
      </w:r>
      <w:r w:rsidR="00A05ECC" w:rsidRPr="00E8692E">
        <w:rPr>
          <w:lang w:val="fr-FR"/>
        </w:rPr>
        <w:t xml:space="preserve"> leurs créances </w:t>
      </w:r>
      <w:r w:rsidR="00125FE8" w:rsidRPr="00E8692E">
        <w:rPr>
          <w:lang w:val="fr-FR"/>
        </w:rPr>
        <w:t>à cette société et que cette dernière en est ainsi</w:t>
      </w:r>
      <w:r w:rsidR="00A05ECC" w:rsidRPr="00E8692E">
        <w:rPr>
          <w:lang w:val="fr-FR"/>
        </w:rPr>
        <w:t xml:space="preserve"> deven</w:t>
      </w:r>
      <w:r w:rsidR="00125FE8" w:rsidRPr="00E8692E">
        <w:rPr>
          <w:lang w:val="fr-FR"/>
        </w:rPr>
        <w:t>ue</w:t>
      </w:r>
      <w:r w:rsidR="00A05ECC" w:rsidRPr="00E8692E">
        <w:rPr>
          <w:lang w:val="fr-FR"/>
        </w:rPr>
        <w:t xml:space="preserve"> titulaire. </w:t>
      </w:r>
      <w:r w:rsidR="006F056C" w:rsidRPr="00E8692E">
        <w:rPr>
          <w:lang w:val="fr-FR"/>
        </w:rPr>
        <w:t xml:space="preserve">Selon le Gouvernement, il ressort des contrats </w:t>
      </w:r>
      <w:r w:rsidR="007723AB" w:rsidRPr="00E8692E">
        <w:rPr>
          <w:lang w:val="fr-FR"/>
        </w:rPr>
        <w:t>d</w:t>
      </w:r>
      <w:r w:rsidR="00E8692E" w:rsidRPr="00E8692E">
        <w:rPr>
          <w:lang w:val="fr-FR"/>
        </w:rPr>
        <w:t>’</w:t>
      </w:r>
      <w:r w:rsidR="007723AB" w:rsidRPr="00E8692E">
        <w:rPr>
          <w:lang w:val="fr-FR"/>
        </w:rPr>
        <w:t xml:space="preserve">affacturage, </w:t>
      </w:r>
      <w:r w:rsidR="00D56D1E" w:rsidRPr="00E8692E">
        <w:rPr>
          <w:lang w:val="fr-FR"/>
        </w:rPr>
        <w:t>tels</w:t>
      </w:r>
      <w:r w:rsidR="007723AB" w:rsidRPr="00E8692E">
        <w:rPr>
          <w:lang w:val="fr-FR"/>
        </w:rPr>
        <w:t xml:space="preserve"> que modifié</w:t>
      </w:r>
      <w:r w:rsidR="007173E9" w:rsidRPr="00E8692E">
        <w:rPr>
          <w:lang w:val="fr-FR"/>
        </w:rPr>
        <w:t>s</w:t>
      </w:r>
      <w:r w:rsidR="007723AB" w:rsidRPr="00E8692E">
        <w:rPr>
          <w:lang w:val="fr-FR"/>
        </w:rPr>
        <w:t xml:space="preserve"> en 2010, </w:t>
      </w:r>
      <w:r w:rsidR="00A05ECC" w:rsidRPr="00E8692E">
        <w:rPr>
          <w:lang w:val="fr-FR"/>
        </w:rPr>
        <w:t xml:space="preserve">que </w:t>
      </w:r>
      <w:r w:rsidR="00172E61" w:rsidRPr="00E8692E">
        <w:rPr>
          <w:lang w:val="fr-FR"/>
        </w:rPr>
        <w:t xml:space="preserve">les </w:t>
      </w:r>
      <w:r w:rsidR="00AE7DF2" w:rsidRPr="00E8692E">
        <w:rPr>
          <w:lang w:val="fr-FR"/>
        </w:rPr>
        <w:t>sociétés</w:t>
      </w:r>
      <w:r w:rsidR="00172E61" w:rsidRPr="00E8692E">
        <w:rPr>
          <w:lang w:val="fr-FR"/>
        </w:rPr>
        <w:t xml:space="preserve"> requérantes n</w:t>
      </w:r>
      <w:r w:rsidR="00E8692E" w:rsidRPr="00E8692E">
        <w:rPr>
          <w:lang w:val="fr-FR"/>
        </w:rPr>
        <w:t>’</w:t>
      </w:r>
      <w:r w:rsidR="00172E61" w:rsidRPr="00E8692E">
        <w:rPr>
          <w:lang w:val="fr-FR"/>
        </w:rPr>
        <w:t>étaient pa</w:t>
      </w:r>
      <w:r w:rsidR="00A05ECC" w:rsidRPr="00E8692E">
        <w:rPr>
          <w:lang w:val="fr-FR"/>
        </w:rPr>
        <w:t>s responsables en cas de défaillance du débiteur cédé.</w:t>
      </w:r>
    </w:p>
    <w:p w:rsidR="006F056C" w:rsidRPr="00E8692E" w:rsidRDefault="006F056C"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15</w:t>
      </w:r>
      <w:r w:rsidRPr="00E8692E">
        <w:rPr>
          <w:lang w:val="fr-FR"/>
        </w:rPr>
        <w:fldChar w:fldCharType="end"/>
      </w:r>
      <w:r w:rsidRPr="00E8692E">
        <w:rPr>
          <w:lang w:val="fr-FR"/>
        </w:rPr>
        <w:t xml:space="preserve">.  Les </w:t>
      </w:r>
      <w:r w:rsidR="00AE7DF2" w:rsidRPr="00E8692E">
        <w:rPr>
          <w:lang w:val="fr-FR"/>
        </w:rPr>
        <w:t>sociétés</w:t>
      </w:r>
      <w:r w:rsidRPr="00E8692E">
        <w:rPr>
          <w:lang w:val="fr-FR"/>
        </w:rPr>
        <w:t xml:space="preserve"> requérantes </w:t>
      </w:r>
      <w:r w:rsidR="007723AB" w:rsidRPr="00E8692E">
        <w:rPr>
          <w:lang w:val="fr-FR"/>
        </w:rPr>
        <w:t xml:space="preserve">qui ont obtenu le </w:t>
      </w:r>
      <w:r w:rsidR="00687866" w:rsidRPr="00E8692E">
        <w:rPr>
          <w:lang w:val="fr-FR"/>
        </w:rPr>
        <w:t xml:space="preserve">remboursement </w:t>
      </w:r>
      <w:r w:rsidR="007173E9" w:rsidRPr="00E8692E">
        <w:rPr>
          <w:lang w:val="fr-FR"/>
        </w:rPr>
        <w:t>intégral</w:t>
      </w:r>
      <w:r w:rsidR="00687866" w:rsidRPr="00E8692E">
        <w:rPr>
          <w:lang w:val="fr-FR"/>
        </w:rPr>
        <w:t xml:space="preserve"> des créances </w:t>
      </w:r>
      <w:r w:rsidR="00EE3B86" w:rsidRPr="00E8692E">
        <w:rPr>
          <w:lang w:val="fr-FR"/>
        </w:rPr>
        <w:t>répliquent</w:t>
      </w:r>
      <w:r w:rsidR="009F677B" w:rsidRPr="00E8692E">
        <w:rPr>
          <w:lang w:val="fr-FR"/>
        </w:rPr>
        <w:t xml:space="preserve"> qu</w:t>
      </w:r>
      <w:r w:rsidR="00E8692E" w:rsidRPr="00E8692E">
        <w:rPr>
          <w:lang w:val="fr-FR"/>
        </w:rPr>
        <w:t>’</w:t>
      </w:r>
      <w:r w:rsidR="00E32B64" w:rsidRPr="00E8692E">
        <w:rPr>
          <w:lang w:val="fr-FR"/>
        </w:rPr>
        <w:t xml:space="preserve">elles </w:t>
      </w:r>
      <w:r w:rsidR="00CD020E" w:rsidRPr="00E8692E">
        <w:rPr>
          <w:lang w:val="fr-FR"/>
        </w:rPr>
        <w:t>ne peuvent se voir</w:t>
      </w:r>
      <w:r w:rsidR="00E32B64" w:rsidRPr="00E8692E">
        <w:rPr>
          <w:lang w:val="fr-FR"/>
        </w:rPr>
        <w:t xml:space="preserve"> </w:t>
      </w:r>
      <w:r w:rsidR="007723AB" w:rsidRPr="00E8692E">
        <w:rPr>
          <w:lang w:val="fr-FR"/>
        </w:rPr>
        <w:t>retirer la qualité de victime</w:t>
      </w:r>
      <w:r w:rsidR="00CD020E" w:rsidRPr="00E8692E">
        <w:rPr>
          <w:lang w:val="fr-FR"/>
        </w:rPr>
        <w:t xml:space="preserve"> que si </w:t>
      </w:r>
      <w:r w:rsidR="007723AB" w:rsidRPr="00E8692E">
        <w:rPr>
          <w:lang w:val="fr-FR"/>
        </w:rPr>
        <w:t xml:space="preserve">les autorités </w:t>
      </w:r>
      <w:r w:rsidR="00CD020E" w:rsidRPr="00E8692E">
        <w:rPr>
          <w:lang w:val="fr-FR"/>
        </w:rPr>
        <w:t>ont reconnu</w:t>
      </w:r>
      <w:r w:rsidR="00C00E26" w:rsidRPr="00E8692E">
        <w:rPr>
          <w:lang w:val="fr-FR"/>
        </w:rPr>
        <w:t>,</w:t>
      </w:r>
      <w:r w:rsidR="007723AB" w:rsidRPr="00E8692E">
        <w:rPr>
          <w:lang w:val="fr-FR"/>
        </w:rPr>
        <w:t xml:space="preserve"> au moins en substance, la</w:t>
      </w:r>
      <w:r w:rsidR="007B684F" w:rsidRPr="00E8692E">
        <w:rPr>
          <w:lang w:val="fr-FR"/>
        </w:rPr>
        <w:t xml:space="preserve"> violation, puis </w:t>
      </w:r>
      <w:r w:rsidR="00CD020E" w:rsidRPr="00E8692E">
        <w:rPr>
          <w:lang w:val="fr-FR"/>
        </w:rPr>
        <w:t>l</w:t>
      </w:r>
      <w:r w:rsidR="00E8692E" w:rsidRPr="00E8692E">
        <w:rPr>
          <w:lang w:val="fr-FR"/>
        </w:rPr>
        <w:t>’</w:t>
      </w:r>
      <w:r w:rsidR="00CD020E" w:rsidRPr="00E8692E">
        <w:rPr>
          <w:lang w:val="fr-FR"/>
        </w:rPr>
        <w:t>ont réparée</w:t>
      </w:r>
      <w:r w:rsidR="007723AB" w:rsidRPr="00E8692E">
        <w:rPr>
          <w:lang w:val="fr-FR"/>
        </w:rPr>
        <w:t>, ce qui n</w:t>
      </w:r>
      <w:r w:rsidR="00E8692E" w:rsidRPr="00E8692E">
        <w:rPr>
          <w:lang w:val="fr-FR"/>
        </w:rPr>
        <w:t>’</w:t>
      </w:r>
      <w:r w:rsidR="007723AB" w:rsidRPr="00E8692E">
        <w:rPr>
          <w:lang w:val="fr-FR"/>
        </w:rPr>
        <w:t>a</w:t>
      </w:r>
      <w:r w:rsidR="009F677B" w:rsidRPr="00E8692E">
        <w:rPr>
          <w:lang w:val="fr-FR"/>
        </w:rPr>
        <w:t>urait</w:t>
      </w:r>
      <w:r w:rsidR="007723AB" w:rsidRPr="00E8692E">
        <w:rPr>
          <w:lang w:val="fr-FR"/>
        </w:rPr>
        <w:t xml:space="preserve"> pas été le cas en l</w:t>
      </w:r>
      <w:r w:rsidR="00E8692E" w:rsidRPr="00E8692E">
        <w:rPr>
          <w:lang w:val="fr-FR"/>
        </w:rPr>
        <w:t>’</w:t>
      </w:r>
      <w:r w:rsidR="007723AB" w:rsidRPr="00E8692E">
        <w:rPr>
          <w:lang w:val="fr-FR"/>
        </w:rPr>
        <w:t xml:space="preserve">espèce. Pour ce qui est </w:t>
      </w:r>
      <w:r w:rsidR="00687866" w:rsidRPr="00E8692E">
        <w:rPr>
          <w:lang w:val="fr-FR"/>
        </w:rPr>
        <w:t>de l</w:t>
      </w:r>
      <w:r w:rsidR="00E8692E" w:rsidRPr="00E8692E">
        <w:rPr>
          <w:lang w:val="fr-FR"/>
        </w:rPr>
        <w:t>’</w:t>
      </w:r>
      <w:r w:rsidR="00687866" w:rsidRPr="00E8692E">
        <w:rPr>
          <w:lang w:val="fr-FR"/>
        </w:rPr>
        <w:t xml:space="preserve">exception </w:t>
      </w:r>
      <w:r w:rsidR="00EE3B86" w:rsidRPr="00E8692E">
        <w:rPr>
          <w:lang w:val="fr-FR"/>
        </w:rPr>
        <w:t xml:space="preserve">du Gouvernement </w:t>
      </w:r>
      <w:r w:rsidR="00687866" w:rsidRPr="00E8692E">
        <w:rPr>
          <w:lang w:val="fr-FR"/>
        </w:rPr>
        <w:t xml:space="preserve">liée à la signature </w:t>
      </w:r>
      <w:r w:rsidR="007723AB" w:rsidRPr="00E8692E">
        <w:rPr>
          <w:lang w:val="fr-FR"/>
        </w:rPr>
        <w:t>d</w:t>
      </w:r>
      <w:r w:rsidR="009F677B" w:rsidRPr="00E8692E">
        <w:rPr>
          <w:lang w:val="fr-FR"/>
        </w:rPr>
        <w:t>es</w:t>
      </w:r>
      <w:r w:rsidR="007723AB" w:rsidRPr="00E8692E">
        <w:rPr>
          <w:lang w:val="fr-FR"/>
        </w:rPr>
        <w:t xml:space="preserve"> contrat</w:t>
      </w:r>
      <w:r w:rsidR="009F677B" w:rsidRPr="00E8692E">
        <w:rPr>
          <w:lang w:val="fr-FR"/>
        </w:rPr>
        <w:t>s</w:t>
      </w:r>
      <w:r w:rsidR="007723AB" w:rsidRPr="00E8692E">
        <w:rPr>
          <w:lang w:val="fr-FR"/>
        </w:rPr>
        <w:t xml:space="preserve"> d</w:t>
      </w:r>
      <w:r w:rsidR="00E8692E" w:rsidRPr="00E8692E">
        <w:rPr>
          <w:lang w:val="fr-FR"/>
        </w:rPr>
        <w:t>’</w:t>
      </w:r>
      <w:r w:rsidR="007723AB" w:rsidRPr="00E8692E">
        <w:rPr>
          <w:lang w:val="fr-FR"/>
        </w:rPr>
        <w:t xml:space="preserve">affacturage, les </w:t>
      </w:r>
      <w:r w:rsidR="00AE7DF2" w:rsidRPr="00E8692E">
        <w:rPr>
          <w:lang w:val="fr-FR"/>
        </w:rPr>
        <w:t>sociétés</w:t>
      </w:r>
      <w:r w:rsidR="007723AB" w:rsidRPr="00E8692E">
        <w:rPr>
          <w:lang w:val="fr-FR"/>
        </w:rPr>
        <w:t xml:space="preserve"> requérantes </w:t>
      </w:r>
      <w:r w:rsidR="00EE3B86" w:rsidRPr="00E8692E">
        <w:rPr>
          <w:lang w:val="fr-FR"/>
        </w:rPr>
        <w:t>indiquent</w:t>
      </w:r>
      <w:r w:rsidR="00687866" w:rsidRPr="00E8692E">
        <w:rPr>
          <w:lang w:val="fr-FR"/>
        </w:rPr>
        <w:t xml:space="preserve"> </w:t>
      </w:r>
      <w:r w:rsidR="007723AB" w:rsidRPr="00E8692E">
        <w:rPr>
          <w:lang w:val="fr-FR"/>
        </w:rPr>
        <w:t>qu</w:t>
      </w:r>
      <w:r w:rsidR="00E8692E" w:rsidRPr="00E8692E">
        <w:rPr>
          <w:lang w:val="fr-FR"/>
        </w:rPr>
        <w:t>’</w:t>
      </w:r>
      <w:r w:rsidR="007723AB" w:rsidRPr="00E8692E">
        <w:rPr>
          <w:lang w:val="fr-FR"/>
        </w:rPr>
        <w:t>elles restent responsables en cas de</w:t>
      </w:r>
      <w:r w:rsidR="001648F4" w:rsidRPr="00E8692E">
        <w:rPr>
          <w:lang w:val="fr-FR"/>
        </w:rPr>
        <w:t xml:space="preserve"> </w:t>
      </w:r>
      <w:r w:rsidR="007723AB" w:rsidRPr="00E8692E">
        <w:rPr>
          <w:lang w:val="fr-FR"/>
        </w:rPr>
        <w:t>non</w:t>
      </w:r>
      <w:r w:rsidR="00E32B64" w:rsidRPr="00E8692E">
        <w:rPr>
          <w:lang w:val="fr-FR"/>
        </w:rPr>
        <w:noBreakHyphen/>
      </w:r>
      <w:r w:rsidR="007723AB" w:rsidRPr="00E8692E">
        <w:rPr>
          <w:lang w:val="fr-FR"/>
        </w:rPr>
        <w:t>paiement de la part de l</w:t>
      </w:r>
      <w:r w:rsidR="00E8692E" w:rsidRPr="00E8692E">
        <w:rPr>
          <w:lang w:val="fr-FR"/>
        </w:rPr>
        <w:t>’</w:t>
      </w:r>
      <w:r w:rsidR="007723AB" w:rsidRPr="00E8692E">
        <w:rPr>
          <w:lang w:val="fr-FR"/>
        </w:rPr>
        <w:t xml:space="preserve">ASL et </w:t>
      </w:r>
      <w:r w:rsidR="00EE3B86" w:rsidRPr="00E8692E">
        <w:rPr>
          <w:lang w:val="fr-FR"/>
        </w:rPr>
        <w:t xml:space="preserve">que </w:t>
      </w:r>
      <w:r w:rsidR="007723AB" w:rsidRPr="00E8692E">
        <w:rPr>
          <w:lang w:val="fr-FR"/>
        </w:rPr>
        <w:t>cela est prouvé par le fait</w:t>
      </w:r>
      <w:r w:rsidR="00E32B64" w:rsidRPr="00E8692E">
        <w:rPr>
          <w:lang w:val="fr-FR"/>
        </w:rPr>
        <w:t xml:space="preserve"> </w:t>
      </w:r>
      <w:r w:rsidR="007723AB" w:rsidRPr="00E8692E">
        <w:rPr>
          <w:lang w:val="fr-FR"/>
        </w:rPr>
        <w:t>que l</w:t>
      </w:r>
      <w:r w:rsidR="00E8692E" w:rsidRPr="00E8692E">
        <w:rPr>
          <w:lang w:val="fr-FR"/>
        </w:rPr>
        <w:t>’</w:t>
      </w:r>
      <w:r w:rsidR="007723AB" w:rsidRPr="00E8692E">
        <w:rPr>
          <w:lang w:val="fr-FR"/>
        </w:rPr>
        <w:t xml:space="preserve">ASL continue à </w:t>
      </w:r>
      <w:r w:rsidR="00E32B64" w:rsidRPr="00E8692E">
        <w:rPr>
          <w:lang w:val="fr-FR"/>
        </w:rPr>
        <w:t xml:space="preserve">leur </w:t>
      </w:r>
      <w:r w:rsidR="007723AB" w:rsidRPr="00E8692E">
        <w:rPr>
          <w:lang w:val="fr-FR"/>
        </w:rPr>
        <w:t xml:space="preserve">rembourser </w:t>
      </w:r>
      <w:r w:rsidR="00E32B64" w:rsidRPr="00E8692E">
        <w:rPr>
          <w:lang w:val="fr-FR"/>
        </w:rPr>
        <w:t xml:space="preserve">directement </w:t>
      </w:r>
      <w:r w:rsidR="007723AB" w:rsidRPr="00E8692E">
        <w:rPr>
          <w:lang w:val="fr-FR"/>
        </w:rPr>
        <w:t>les dettes</w:t>
      </w:r>
      <w:r w:rsidR="007B684F" w:rsidRPr="00E8692E">
        <w:rPr>
          <w:lang w:val="fr-FR"/>
        </w:rPr>
        <w:t xml:space="preserve">. </w:t>
      </w:r>
      <w:r w:rsidR="00E32B64" w:rsidRPr="00E8692E">
        <w:rPr>
          <w:lang w:val="fr-FR"/>
        </w:rPr>
        <w:t>Elles ajoutent que, en</w:t>
      </w:r>
      <w:r w:rsidR="007B684F" w:rsidRPr="00E8692E">
        <w:rPr>
          <w:lang w:val="fr-FR"/>
        </w:rPr>
        <w:t xml:space="preserve"> tou</w:t>
      </w:r>
      <w:r w:rsidR="00E32B64" w:rsidRPr="00E8692E">
        <w:rPr>
          <w:lang w:val="fr-FR"/>
        </w:rPr>
        <w:t>t état de cause</w:t>
      </w:r>
      <w:r w:rsidR="007B684F" w:rsidRPr="00E8692E">
        <w:rPr>
          <w:lang w:val="fr-FR"/>
        </w:rPr>
        <w:t>,</w:t>
      </w:r>
      <w:r w:rsidR="007723AB" w:rsidRPr="00E8692E">
        <w:rPr>
          <w:lang w:val="fr-FR"/>
        </w:rPr>
        <w:t xml:space="preserve"> aucune exception de ce </w:t>
      </w:r>
      <w:r w:rsidR="00687866" w:rsidRPr="00E8692E">
        <w:rPr>
          <w:lang w:val="fr-FR"/>
        </w:rPr>
        <w:t>genre n</w:t>
      </w:r>
      <w:r w:rsidR="00E8692E" w:rsidRPr="00E8692E">
        <w:rPr>
          <w:lang w:val="fr-FR"/>
        </w:rPr>
        <w:t>’</w:t>
      </w:r>
      <w:r w:rsidR="00687866" w:rsidRPr="00E8692E">
        <w:rPr>
          <w:lang w:val="fr-FR"/>
        </w:rPr>
        <w:t>a</w:t>
      </w:r>
      <w:r w:rsidR="007723AB" w:rsidRPr="00E8692E">
        <w:rPr>
          <w:lang w:val="fr-FR"/>
        </w:rPr>
        <w:t xml:space="preserve"> été </w:t>
      </w:r>
      <w:r w:rsidR="00687866" w:rsidRPr="00E8692E">
        <w:rPr>
          <w:lang w:val="fr-FR"/>
        </w:rPr>
        <w:t>soulevée</w:t>
      </w:r>
      <w:r w:rsidR="007723AB" w:rsidRPr="00E8692E">
        <w:rPr>
          <w:lang w:val="fr-FR"/>
        </w:rPr>
        <w:t xml:space="preserve"> devant les juridictions nationales.</w:t>
      </w:r>
    </w:p>
    <w:p w:rsidR="00033414" w:rsidRPr="00E8692E" w:rsidRDefault="00A10218"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16</w:t>
      </w:r>
      <w:r w:rsidRPr="00E8692E">
        <w:rPr>
          <w:lang w:val="fr-FR"/>
        </w:rPr>
        <w:fldChar w:fldCharType="end"/>
      </w:r>
      <w:r w:rsidRPr="00E8692E">
        <w:rPr>
          <w:lang w:val="fr-FR"/>
        </w:rPr>
        <w:t>.  </w:t>
      </w:r>
      <w:r w:rsidR="00033414" w:rsidRPr="00E8692E">
        <w:rPr>
          <w:lang w:val="fr-FR"/>
        </w:rPr>
        <w:t>Pour ce qui est de la première exception, l</w:t>
      </w:r>
      <w:r w:rsidRPr="00E8692E">
        <w:rPr>
          <w:lang w:val="fr-FR"/>
        </w:rPr>
        <w:t>a Cour rappelle que le paiement des créances</w:t>
      </w:r>
      <w:r w:rsidR="00F65A7F" w:rsidRPr="00E8692E">
        <w:rPr>
          <w:lang w:val="fr-FR"/>
        </w:rPr>
        <w:t>, majorées</w:t>
      </w:r>
      <w:r w:rsidR="004A1A76" w:rsidRPr="00E8692E">
        <w:rPr>
          <w:lang w:val="fr-FR"/>
        </w:rPr>
        <w:t xml:space="preserve"> après application </w:t>
      </w:r>
      <w:r w:rsidRPr="00E8692E">
        <w:rPr>
          <w:lang w:val="fr-FR"/>
        </w:rPr>
        <w:t>des intérêts légaux et réévaluation monétaire, peut passer comme étant de nature à compenser les dommages patrimoniaux causés par les retards dans l</w:t>
      </w:r>
      <w:r w:rsidR="00E8692E" w:rsidRPr="00E8692E">
        <w:rPr>
          <w:lang w:val="fr-FR"/>
        </w:rPr>
        <w:t>’</w:t>
      </w:r>
      <w:r w:rsidRPr="00E8692E">
        <w:rPr>
          <w:lang w:val="fr-FR"/>
        </w:rPr>
        <w:t>exécution de décision</w:t>
      </w:r>
      <w:r w:rsidR="00A53F33" w:rsidRPr="00E8692E">
        <w:rPr>
          <w:lang w:val="fr-FR"/>
        </w:rPr>
        <w:t>s</w:t>
      </w:r>
      <w:r w:rsidRPr="00E8692E">
        <w:rPr>
          <w:lang w:val="fr-FR"/>
        </w:rPr>
        <w:t xml:space="preserve"> internes définitives, mais </w:t>
      </w:r>
      <w:r w:rsidR="00A53F33" w:rsidRPr="00E8692E">
        <w:rPr>
          <w:lang w:val="fr-FR"/>
        </w:rPr>
        <w:t>qu</w:t>
      </w:r>
      <w:r w:rsidR="00E8692E" w:rsidRPr="00E8692E">
        <w:rPr>
          <w:lang w:val="fr-FR"/>
        </w:rPr>
        <w:t>’</w:t>
      </w:r>
      <w:r w:rsidRPr="00E8692E">
        <w:rPr>
          <w:lang w:val="fr-FR"/>
        </w:rPr>
        <w:t>il n</w:t>
      </w:r>
      <w:r w:rsidR="00E8692E" w:rsidRPr="00E8692E">
        <w:rPr>
          <w:lang w:val="fr-FR"/>
        </w:rPr>
        <w:t>’</w:t>
      </w:r>
      <w:r w:rsidRPr="00E8692E">
        <w:rPr>
          <w:lang w:val="fr-FR"/>
        </w:rPr>
        <w:t xml:space="preserve">est de toute évidence pas </w:t>
      </w:r>
      <w:r w:rsidR="00A53F33" w:rsidRPr="00E8692E">
        <w:rPr>
          <w:lang w:val="fr-FR"/>
        </w:rPr>
        <w:t>à même de</w:t>
      </w:r>
      <w:r w:rsidRPr="00E8692E">
        <w:rPr>
          <w:lang w:val="fr-FR"/>
        </w:rPr>
        <w:t xml:space="preserve"> réparer la détresse et la frustration </w:t>
      </w:r>
      <w:r w:rsidR="00750B3D" w:rsidRPr="00E8692E">
        <w:rPr>
          <w:lang w:val="fr-FR"/>
        </w:rPr>
        <w:t>subies par le</w:t>
      </w:r>
      <w:r w:rsidRPr="00E8692E">
        <w:rPr>
          <w:lang w:val="fr-FR"/>
        </w:rPr>
        <w:t xml:space="preserve"> requérant en raison de tels retards (</w:t>
      </w:r>
      <w:r w:rsidRPr="00E8692E">
        <w:rPr>
          <w:i/>
          <w:lang w:val="fr-FR"/>
        </w:rPr>
        <w:t>Gagliardi c. Italie</w:t>
      </w:r>
      <w:r w:rsidRPr="00E8692E">
        <w:rPr>
          <w:lang w:val="fr-FR"/>
        </w:rPr>
        <w:t xml:space="preserve"> (déc.) [comité], n</w:t>
      </w:r>
      <w:r w:rsidR="002A41D5" w:rsidRPr="00E8692E">
        <w:rPr>
          <w:vertAlign w:val="superscript"/>
          <w:lang w:val="fr-FR"/>
        </w:rPr>
        <w:t>o</w:t>
      </w:r>
      <w:r w:rsidRPr="00E8692E">
        <w:rPr>
          <w:lang w:val="fr-FR"/>
        </w:rPr>
        <w:t xml:space="preserve"> </w:t>
      </w:r>
      <w:r w:rsidRPr="00E8692E">
        <w:rPr>
          <w:rStyle w:val="textcolumn"/>
          <w:lang w:val="fr-FR"/>
        </w:rPr>
        <w:t>29385/03</w:t>
      </w:r>
      <w:r w:rsidRPr="00E8692E">
        <w:rPr>
          <w:lang w:val="fr-FR"/>
        </w:rPr>
        <w:t>, 16</w:t>
      </w:r>
      <w:r w:rsidR="00A53F33" w:rsidRPr="00E8692E">
        <w:rPr>
          <w:lang w:val="fr-FR"/>
        </w:rPr>
        <w:t> </w:t>
      </w:r>
      <w:r w:rsidRPr="00E8692E">
        <w:rPr>
          <w:lang w:val="fr-FR"/>
        </w:rPr>
        <w:t>juillet 2013).</w:t>
      </w:r>
      <w:r w:rsidR="00033414" w:rsidRPr="00E8692E">
        <w:rPr>
          <w:lang w:val="fr-FR"/>
        </w:rPr>
        <w:t xml:space="preserve"> </w:t>
      </w:r>
      <w:r w:rsidR="00A53F33" w:rsidRPr="00E8692E">
        <w:rPr>
          <w:lang w:val="fr-FR"/>
        </w:rPr>
        <w:t>Étant donné</w:t>
      </w:r>
      <w:r w:rsidR="00F65A7F" w:rsidRPr="00E8692E">
        <w:rPr>
          <w:lang w:val="fr-FR"/>
        </w:rPr>
        <w:t xml:space="preserve"> qu</w:t>
      </w:r>
      <w:r w:rsidR="00E8692E" w:rsidRPr="00E8692E">
        <w:rPr>
          <w:lang w:val="fr-FR"/>
        </w:rPr>
        <w:t>’</w:t>
      </w:r>
      <w:r w:rsidR="00F65A7F" w:rsidRPr="00E8692E">
        <w:rPr>
          <w:lang w:val="fr-FR"/>
        </w:rPr>
        <w:t>en</w:t>
      </w:r>
      <w:r w:rsidR="002A41D5" w:rsidRPr="00E8692E">
        <w:rPr>
          <w:lang w:val="fr-FR"/>
        </w:rPr>
        <w:t xml:space="preserve"> l</w:t>
      </w:r>
      <w:r w:rsidR="00E8692E" w:rsidRPr="00E8692E">
        <w:rPr>
          <w:lang w:val="fr-FR"/>
        </w:rPr>
        <w:t>’</w:t>
      </w:r>
      <w:r w:rsidR="002A41D5" w:rsidRPr="00E8692E">
        <w:rPr>
          <w:lang w:val="fr-FR"/>
        </w:rPr>
        <w:t xml:space="preserve">espèce les </w:t>
      </w:r>
      <w:r w:rsidR="00AE7DF2" w:rsidRPr="00E8692E">
        <w:rPr>
          <w:lang w:val="fr-FR"/>
        </w:rPr>
        <w:t>sociétés</w:t>
      </w:r>
      <w:r w:rsidR="002A41D5" w:rsidRPr="00E8692E">
        <w:rPr>
          <w:lang w:val="fr-FR"/>
        </w:rPr>
        <w:t xml:space="preserve"> requérantes n</w:t>
      </w:r>
      <w:r w:rsidR="00E8692E" w:rsidRPr="00E8692E">
        <w:rPr>
          <w:lang w:val="fr-FR"/>
        </w:rPr>
        <w:t>’</w:t>
      </w:r>
      <w:r w:rsidR="002A41D5" w:rsidRPr="00E8692E">
        <w:rPr>
          <w:lang w:val="fr-FR"/>
        </w:rPr>
        <w:t xml:space="preserve">ont pas obtenu la réparation du dommage moral, la Cour </w:t>
      </w:r>
      <w:r w:rsidR="00033414" w:rsidRPr="00E8692E">
        <w:rPr>
          <w:lang w:val="fr-FR"/>
        </w:rPr>
        <w:t>estime qu</w:t>
      </w:r>
      <w:r w:rsidR="00E8692E" w:rsidRPr="00E8692E">
        <w:rPr>
          <w:lang w:val="fr-FR"/>
        </w:rPr>
        <w:t>’</w:t>
      </w:r>
      <w:r w:rsidR="00033414" w:rsidRPr="00E8692E">
        <w:rPr>
          <w:lang w:val="fr-FR"/>
        </w:rPr>
        <w:t>il y a lieu de rejeter l</w:t>
      </w:r>
      <w:r w:rsidR="00E8692E" w:rsidRPr="00E8692E">
        <w:rPr>
          <w:lang w:val="fr-FR"/>
        </w:rPr>
        <w:t>’</w:t>
      </w:r>
      <w:r w:rsidR="00033414" w:rsidRPr="00E8692E">
        <w:rPr>
          <w:lang w:val="fr-FR"/>
        </w:rPr>
        <w:t>exception du Gouvernement.</w:t>
      </w:r>
    </w:p>
    <w:p w:rsidR="00A03D44" w:rsidRPr="00E8692E" w:rsidRDefault="00FF274C"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17</w:t>
      </w:r>
      <w:r w:rsidRPr="00E8692E">
        <w:rPr>
          <w:lang w:val="fr-FR"/>
        </w:rPr>
        <w:fldChar w:fldCharType="end"/>
      </w:r>
      <w:r w:rsidRPr="00E8692E">
        <w:rPr>
          <w:lang w:val="fr-FR"/>
        </w:rPr>
        <w:t xml:space="preserve">.  En ce qui concerne la deuxième exception, </w:t>
      </w:r>
      <w:r w:rsidR="00F65A7F" w:rsidRPr="00E8692E">
        <w:rPr>
          <w:lang w:val="fr-FR"/>
        </w:rPr>
        <w:t xml:space="preserve">la Cour note </w:t>
      </w:r>
      <w:r w:rsidR="0031734B" w:rsidRPr="00E8692E">
        <w:rPr>
          <w:lang w:val="fr-FR"/>
        </w:rPr>
        <w:t>tout d</w:t>
      </w:r>
      <w:r w:rsidR="00E8692E" w:rsidRPr="00E8692E">
        <w:rPr>
          <w:lang w:val="fr-FR"/>
        </w:rPr>
        <w:t>’</w:t>
      </w:r>
      <w:r w:rsidR="0031734B" w:rsidRPr="00E8692E">
        <w:rPr>
          <w:lang w:val="fr-FR"/>
        </w:rPr>
        <w:t xml:space="preserve">abord </w:t>
      </w:r>
      <w:r w:rsidR="00F65A7F" w:rsidRPr="00E8692E">
        <w:rPr>
          <w:lang w:val="fr-FR"/>
        </w:rPr>
        <w:t>que</w:t>
      </w:r>
      <w:r w:rsidR="0031734B" w:rsidRPr="00E8692E">
        <w:rPr>
          <w:lang w:val="fr-FR"/>
        </w:rPr>
        <w:t>,</w:t>
      </w:r>
      <w:r w:rsidR="00F65A7F" w:rsidRPr="00E8692E">
        <w:rPr>
          <w:lang w:val="fr-FR"/>
        </w:rPr>
        <w:t xml:space="preserve"> </w:t>
      </w:r>
      <w:r w:rsidR="006757A3" w:rsidRPr="00E8692E">
        <w:rPr>
          <w:lang w:val="fr-FR"/>
        </w:rPr>
        <w:t>comme indiqué par</w:t>
      </w:r>
      <w:r w:rsidR="00EA5D21" w:rsidRPr="00E8692E">
        <w:rPr>
          <w:lang w:val="fr-FR"/>
        </w:rPr>
        <w:t xml:space="preserve"> </w:t>
      </w:r>
      <w:r w:rsidR="00F004FF" w:rsidRPr="00E8692E">
        <w:rPr>
          <w:lang w:val="fr-FR"/>
        </w:rPr>
        <w:t>le Gouvernement</w:t>
      </w:r>
      <w:r w:rsidR="006757A3" w:rsidRPr="00E8692E">
        <w:rPr>
          <w:lang w:val="fr-FR"/>
        </w:rPr>
        <w:t xml:space="preserve"> lui-même</w:t>
      </w:r>
      <w:r w:rsidR="0031734B" w:rsidRPr="00E8692E">
        <w:rPr>
          <w:lang w:val="fr-FR"/>
        </w:rPr>
        <w:t xml:space="preserve">, </w:t>
      </w:r>
      <w:r w:rsidR="00A807F4" w:rsidRPr="00E8692E">
        <w:rPr>
          <w:lang w:val="fr-FR"/>
        </w:rPr>
        <w:t>les contrats d</w:t>
      </w:r>
      <w:r w:rsidR="00E8692E" w:rsidRPr="00E8692E">
        <w:rPr>
          <w:lang w:val="fr-FR"/>
        </w:rPr>
        <w:t>’</w:t>
      </w:r>
      <w:r w:rsidR="00A807F4" w:rsidRPr="00E8692E">
        <w:rPr>
          <w:lang w:val="fr-FR"/>
        </w:rPr>
        <w:t>affacturage</w:t>
      </w:r>
      <w:r w:rsidR="008B16BE" w:rsidRPr="00E8692E">
        <w:rPr>
          <w:lang w:val="fr-FR"/>
        </w:rPr>
        <w:t xml:space="preserve"> </w:t>
      </w:r>
      <w:r w:rsidR="0031734B" w:rsidRPr="00E8692E">
        <w:rPr>
          <w:lang w:val="fr-FR"/>
        </w:rPr>
        <w:t xml:space="preserve">sont </w:t>
      </w:r>
      <w:r w:rsidR="008B16BE" w:rsidRPr="00E8692E">
        <w:rPr>
          <w:lang w:val="fr-FR"/>
        </w:rPr>
        <w:t>d</w:t>
      </w:r>
      <w:r w:rsidR="0031734B" w:rsidRPr="00E8692E">
        <w:rPr>
          <w:lang w:val="fr-FR"/>
        </w:rPr>
        <w:t xml:space="preserve">es </w:t>
      </w:r>
      <w:r w:rsidR="00BD4B82" w:rsidRPr="00E8692E">
        <w:rPr>
          <w:lang w:val="fr-FR"/>
        </w:rPr>
        <w:t xml:space="preserve">actes authentiques </w:t>
      </w:r>
      <w:r w:rsidR="00FF7610" w:rsidRPr="00E8692E">
        <w:rPr>
          <w:lang w:val="fr-FR"/>
        </w:rPr>
        <w:t xml:space="preserve">qui ont été </w:t>
      </w:r>
      <w:r w:rsidR="00BD4B82" w:rsidRPr="00E8692E">
        <w:rPr>
          <w:lang w:val="fr-FR"/>
        </w:rPr>
        <w:t>enregistrés auprès de l</w:t>
      </w:r>
      <w:r w:rsidR="00E8692E" w:rsidRPr="00E8692E">
        <w:rPr>
          <w:lang w:val="fr-FR"/>
        </w:rPr>
        <w:t>’</w:t>
      </w:r>
      <w:r w:rsidR="00EA5D21" w:rsidRPr="00E8692E">
        <w:rPr>
          <w:lang w:val="fr-FR"/>
        </w:rPr>
        <w:t>a</w:t>
      </w:r>
      <w:r w:rsidR="00BD4B82" w:rsidRPr="00E8692E">
        <w:rPr>
          <w:lang w:val="fr-FR"/>
        </w:rPr>
        <w:t xml:space="preserve">dministration fiscale </w:t>
      </w:r>
      <w:r w:rsidR="00B1783D" w:rsidRPr="00E8692E">
        <w:rPr>
          <w:lang w:val="fr-FR"/>
        </w:rPr>
        <w:t>(paragraphe 6 ci-dessus)</w:t>
      </w:r>
      <w:r w:rsidR="0031734B" w:rsidRPr="00E8692E">
        <w:rPr>
          <w:lang w:val="fr-FR"/>
        </w:rPr>
        <w:t>,</w:t>
      </w:r>
      <w:r w:rsidR="00B1783D" w:rsidRPr="00E8692E">
        <w:rPr>
          <w:lang w:val="fr-FR"/>
        </w:rPr>
        <w:t xml:space="preserve"> dans la plupart des cas</w:t>
      </w:r>
      <w:r w:rsidR="00EA5D21" w:rsidRPr="00E8692E">
        <w:rPr>
          <w:lang w:val="fr-FR"/>
        </w:rPr>
        <w:t xml:space="preserve"> </w:t>
      </w:r>
      <w:r w:rsidR="00B1783D" w:rsidRPr="00E8692E">
        <w:rPr>
          <w:lang w:val="fr-FR"/>
        </w:rPr>
        <w:t xml:space="preserve">avant la date </w:t>
      </w:r>
      <w:r w:rsidR="0070130C" w:rsidRPr="00E8692E">
        <w:rPr>
          <w:lang w:val="fr-FR"/>
        </w:rPr>
        <w:t>de la notification à l</w:t>
      </w:r>
      <w:r w:rsidR="00E8692E" w:rsidRPr="00E8692E">
        <w:rPr>
          <w:lang w:val="fr-FR"/>
        </w:rPr>
        <w:t>’</w:t>
      </w:r>
      <w:r w:rsidR="0070130C" w:rsidRPr="00E8692E">
        <w:rPr>
          <w:lang w:val="fr-FR"/>
        </w:rPr>
        <w:t>ASL de l</w:t>
      </w:r>
      <w:r w:rsidR="00E8692E" w:rsidRPr="00E8692E">
        <w:rPr>
          <w:lang w:val="fr-FR"/>
        </w:rPr>
        <w:t>’</w:t>
      </w:r>
      <w:r w:rsidR="0070130C" w:rsidRPr="00E8692E">
        <w:rPr>
          <w:lang w:val="fr-FR"/>
        </w:rPr>
        <w:t xml:space="preserve">ordonnance portant </w:t>
      </w:r>
      <w:r w:rsidR="00B1783D" w:rsidRPr="00E8692E">
        <w:rPr>
          <w:lang w:val="fr-FR"/>
        </w:rPr>
        <w:t>injonction de</w:t>
      </w:r>
      <w:r w:rsidR="001648F4" w:rsidRPr="00E8692E">
        <w:rPr>
          <w:lang w:val="fr-FR"/>
        </w:rPr>
        <w:t xml:space="preserve"> </w:t>
      </w:r>
      <w:r w:rsidR="00B1783D" w:rsidRPr="00E8692E">
        <w:rPr>
          <w:lang w:val="fr-FR"/>
        </w:rPr>
        <w:t>payer (voir</w:t>
      </w:r>
      <w:r w:rsidR="00E714FB" w:rsidRPr="00E8692E">
        <w:rPr>
          <w:lang w:val="fr-FR"/>
        </w:rPr>
        <w:t>,</w:t>
      </w:r>
      <w:r w:rsidR="0070130C" w:rsidRPr="00E8692E">
        <w:rPr>
          <w:lang w:val="fr-FR"/>
        </w:rPr>
        <w:t xml:space="preserve"> dans l</w:t>
      </w:r>
      <w:r w:rsidR="00E8692E" w:rsidRPr="00E8692E">
        <w:rPr>
          <w:lang w:val="fr-FR"/>
        </w:rPr>
        <w:t>’</w:t>
      </w:r>
      <w:r w:rsidR="00EA5D21" w:rsidRPr="00E8692E">
        <w:rPr>
          <w:lang w:val="fr-FR"/>
        </w:rPr>
        <w:t>a</w:t>
      </w:r>
      <w:r w:rsidR="0070130C" w:rsidRPr="00E8692E">
        <w:rPr>
          <w:lang w:val="fr-FR"/>
        </w:rPr>
        <w:t>nnexe</w:t>
      </w:r>
      <w:r w:rsidR="00B1783D" w:rsidRPr="00E8692E">
        <w:rPr>
          <w:lang w:val="fr-FR"/>
        </w:rPr>
        <w:t>, à titre d</w:t>
      </w:r>
      <w:r w:rsidR="00E8692E" w:rsidRPr="00E8692E">
        <w:rPr>
          <w:lang w:val="fr-FR"/>
        </w:rPr>
        <w:t>’</w:t>
      </w:r>
      <w:r w:rsidR="00B1783D" w:rsidRPr="00E8692E">
        <w:rPr>
          <w:lang w:val="fr-FR"/>
        </w:rPr>
        <w:t xml:space="preserve">exemple, les dates concernant les ordonnances </w:t>
      </w:r>
      <w:r w:rsidR="00EA5D21" w:rsidRPr="00E8692E">
        <w:rPr>
          <w:lang w:val="fr-FR"/>
        </w:rPr>
        <w:t>non</w:t>
      </w:r>
      <w:r w:rsidR="00B1783D" w:rsidRPr="00E8692E">
        <w:rPr>
          <w:lang w:val="fr-FR"/>
        </w:rPr>
        <w:t xml:space="preserve"> encore exécutées)</w:t>
      </w:r>
      <w:r w:rsidR="00BD4B82" w:rsidRPr="00E8692E">
        <w:rPr>
          <w:lang w:val="fr-FR"/>
        </w:rPr>
        <w:t>.</w:t>
      </w:r>
      <w:r w:rsidR="0031734B" w:rsidRPr="00E8692E">
        <w:rPr>
          <w:lang w:val="fr-FR"/>
        </w:rPr>
        <w:t xml:space="preserve"> Ensuite, </w:t>
      </w:r>
      <w:r w:rsidR="00424A36" w:rsidRPr="00E8692E">
        <w:rPr>
          <w:lang w:val="fr-FR"/>
        </w:rPr>
        <w:t xml:space="preserve">elle constate </w:t>
      </w:r>
      <w:r w:rsidR="00F004FF" w:rsidRPr="00E8692E">
        <w:rPr>
          <w:lang w:val="fr-FR"/>
        </w:rPr>
        <w:t>qu</w:t>
      </w:r>
      <w:r w:rsidR="00E8692E" w:rsidRPr="00E8692E">
        <w:rPr>
          <w:lang w:val="fr-FR"/>
        </w:rPr>
        <w:t>’</w:t>
      </w:r>
      <w:r w:rsidR="002E1848" w:rsidRPr="00E8692E">
        <w:rPr>
          <w:lang w:val="fr-FR"/>
        </w:rPr>
        <w:t xml:space="preserve">il ne ressort pas des documents fournis par les parties que </w:t>
      </w:r>
      <w:r w:rsidR="0067040B" w:rsidRPr="00E8692E">
        <w:rPr>
          <w:lang w:val="fr-FR"/>
        </w:rPr>
        <w:t>l</w:t>
      </w:r>
      <w:r w:rsidR="00E8692E" w:rsidRPr="00E8692E">
        <w:rPr>
          <w:lang w:val="fr-FR"/>
        </w:rPr>
        <w:t>’</w:t>
      </w:r>
      <w:r w:rsidR="0067040B" w:rsidRPr="00E8692E">
        <w:rPr>
          <w:lang w:val="fr-FR"/>
        </w:rPr>
        <w:t>ASL a</w:t>
      </w:r>
      <w:r w:rsidR="00207CC3" w:rsidRPr="00E8692E">
        <w:rPr>
          <w:lang w:val="fr-FR"/>
        </w:rPr>
        <w:t>it</w:t>
      </w:r>
      <w:r w:rsidR="0067040B" w:rsidRPr="00E8692E">
        <w:rPr>
          <w:lang w:val="fr-FR"/>
        </w:rPr>
        <w:t xml:space="preserve"> contesté les </w:t>
      </w:r>
      <w:r w:rsidR="0067040B" w:rsidRPr="00E8692E">
        <w:rPr>
          <w:lang w:val="fr-FR"/>
        </w:rPr>
        <w:lastRenderedPageBreak/>
        <w:t>ordonnances d</w:t>
      </w:r>
      <w:r w:rsidR="00E8692E" w:rsidRPr="00E8692E">
        <w:rPr>
          <w:lang w:val="fr-FR"/>
        </w:rPr>
        <w:t>’</w:t>
      </w:r>
      <w:r w:rsidR="0067040B" w:rsidRPr="00E8692E">
        <w:rPr>
          <w:lang w:val="fr-FR"/>
        </w:rPr>
        <w:t>injonction de payer</w:t>
      </w:r>
      <w:r w:rsidR="00A807F4" w:rsidRPr="00E8692E">
        <w:rPr>
          <w:lang w:val="fr-FR"/>
        </w:rPr>
        <w:t xml:space="preserve">. </w:t>
      </w:r>
      <w:r w:rsidR="00A03D44" w:rsidRPr="00E8692E">
        <w:rPr>
          <w:lang w:val="fr-FR"/>
        </w:rPr>
        <w:t xml:space="preserve">Enfin, </w:t>
      </w:r>
      <w:r w:rsidR="00424A36" w:rsidRPr="00E8692E">
        <w:rPr>
          <w:lang w:val="fr-FR"/>
        </w:rPr>
        <w:t>elle</w:t>
      </w:r>
      <w:r w:rsidR="00A03D44" w:rsidRPr="00E8692E">
        <w:rPr>
          <w:lang w:val="fr-FR"/>
        </w:rPr>
        <w:t xml:space="preserve"> note que l</w:t>
      </w:r>
      <w:r w:rsidR="00E8692E" w:rsidRPr="00E8692E">
        <w:rPr>
          <w:lang w:val="fr-FR"/>
        </w:rPr>
        <w:t>’</w:t>
      </w:r>
      <w:r w:rsidR="00A03D44" w:rsidRPr="00E8692E">
        <w:rPr>
          <w:lang w:val="fr-FR"/>
        </w:rPr>
        <w:t xml:space="preserve">ASL continue à rembourser ses dettes aux </w:t>
      </w:r>
      <w:r w:rsidR="00AE7DF2" w:rsidRPr="00E8692E">
        <w:rPr>
          <w:lang w:val="fr-FR"/>
        </w:rPr>
        <w:t>sociétés</w:t>
      </w:r>
      <w:r w:rsidR="00A03D44" w:rsidRPr="00E8692E">
        <w:rPr>
          <w:lang w:val="fr-FR"/>
        </w:rPr>
        <w:t xml:space="preserve"> requérantes.</w:t>
      </w:r>
    </w:p>
    <w:p w:rsidR="001648F4" w:rsidRPr="00E8692E" w:rsidRDefault="00A03D44"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18</w:t>
      </w:r>
      <w:r w:rsidRPr="00E8692E">
        <w:rPr>
          <w:lang w:val="fr-FR"/>
        </w:rPr>
        <w:fldChar w:fldCharType="end"/>
      </w:r>
      <w:r w:rsidRPr="00E8692E">
        <w:rPr>
          <w:lang w:val="fr-FR"/>
        </w:rPr>
        <w:t>.  À cet égard, l</w:t>
      </w:r>
      <w:r w:rsidR="005445BB" w:rsidRPr="00E8692E">
        <w:rPr>
          <w:lang w:val="fr-FR"/>
        </w:rPr>
        <w:t>a Cour souligne qu</w:t>
      </w:r>
      <w:r w:rsidR="00E8692E" w:rsidRPr="00E8692E">
        <w:rPr>
          <w:lang w:val="fr-FR"/>
        </w:rPr>
        <w:t>’</w:t>
      </w:r>
      <w:r w:rsidR="005445BB" w:rsidRPr="00E8692E">
        <w:rPr>
          <w:lang w:val="fr-FR"/>
        </w:rPr>
        <w:t>elle est appelée à jouer un rôle subsidiaire par rapport aux systèmes nationaux de protection des droits de l</w:t>
      </w:r>
      <w:r w:rsidR="00E8692E" w:rsidRPr="00E8692E">
        <w:rPr>
          <w:lang w:val="fr-FR"/>
        </w:rPr>
        <w:t>’</w:t>
      </w:r>
      <w:r w:rsidR="005445BB" w:rsidRPr="00E8692E">
        <w:rPr>
          <w:lang w:val="fr-FR"/>
        </w:rPr>
        <w:t>homme. Il est donc souhaitable que les tribunaux nationaux aient initialement la possibilité de trancher les questions de compatibilité du droit interne avec la Convention. Si une requête est néanmoins introduite par la suite devant la Cour, celle-ci doit pouvoir tirer profit des avis de ces tribunaux, lesquels sont en contact direct et permanent avec les forces vives de leurs pays. Il importe donc que les moyens développés par le Gouvernement devant les juridictions internes se situent dans la ligne de ceux qu</w:t>
      </w:r>
      <w:r w:rsidR="00E8692E" w:rsidRPr="00E8692E">
        <w:rPr>
          <w:lang w:val="fr-FR"/>
        </w:rPr>
        <w:t>’</w:t>
      </w:r>
      <w:r w:rsidR="005445BB" w:rsidRPr="00E8692E">
        <w:rPr>
          <w:lang w:val="fr-FR"/>
        </w:rPr>
        <w:t xml:space="preserve">il articule devant la Cour </w:t>
      </w:r>
      <w:r w:rsidRPr="00E8692E">
        <w:rPr>
          <w:lang w:val="fr-FR"/>
        </w:rPr>
        <w:t>(</w:t>
      </w:r>
      <w:r w:rsidR="00A166C0" w:rsidRPr="00E8692E">
        <w:rPr>
          <w:i/>
          <w:lang w:val="fr-FR"/>
        </w:rPr>
        <w:t xml:space="preserve">A. et autres c. Royaume-Uni </w:t>
      </w:r>
      <w:r w:rsidR="00A166C0" w:rsidRPr="00E8692E">
        <w:rPr>
          <w:lang w:val="fr-FR"/>
        </w:rPr>
        <w:t>[GC], n</w:t>
      </w:r>
      <w:r w:rsidR="00A166C0" w:rsidRPr="00E8692E">
        <w:rPr>
          <w:vertAlign w:val="superscript"/>
          <w:lang w:val="fr-FR"/>
        </w:rPr>
        <w:t>o</w:t>
      </w:r>
      <w:r w:rsidR="00E714FB" w:rsidRPr="00E8692E">
        <w:rPr>
          <w:lang w:val="fr-FR"/>
        </w:rPr>
        <w:t> </w:t>
      </w:r>
      <w:r w:rsidR="00A166C0" w:rsidRPr="00E8692E">
        <w:rPr>
          <w:lang w:val="fr-FR"/>
        </w:rPr>
        <w:t>3455/05, § 154, CEDH 2009</w:t>
      </w:r>
      <w:r w:rsidRPr="00E8692E">
        <w:rPr>
          <w:lang w:val="fr-FR"/>
        </w:rPr>
        <w:t>)</w:t>
      </w:r>
      <w:r w:rsidR="005445BB" w:rsidRPr="00E8692E">
        <w:rPr>
          <w:lang w:val="fr-FR"/>
        </w:rPr>
        <w:t>.</w:t>
      </w:r>
    </w:p>
    <w:p w:rsidR="001648F4" w:rsidRPr="00E8692E" w:rsidRDefault="00A03D44"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19</w:t>
      </w:r>
      <w:r w:rsidRPr="00E8692E">
        <w:rPr>
          <w:lang w:val="fr-FR"/>
        </w:rPr>
        <w:fldChar w:fldCharType="end"/>
      </w:r>
      <w:r w:rsidRPr="00E8692E">
        <w:rPr>
          <w:lang w:val="fr-FR"/>
        </w:rPr>
        <w:t>.  </w:t>
      </w:r>
      <w:r w:rsidR="00D11440" w:rsidRPr="00E8692E">
        <w:rPr>
          <w:lang w:val="fr-FR"/>
        </w:rPr>
        <w:t>À</w:t>
      </w:r>
      <w:r w:rsidR="0051005A" w:rsidRPr="00E8692E">
        <w:rPr>
          <w:lang w:val="fr-FR"/>
        </w:rPr>
        <w:t xml:space="preserve"> supposer même que </w:t>
      </w:r>
      <w:r w:rsidRPr="00E8692E">
        <w:rPr>
          <w:lang w:val="fr-FR"/>
        </w:rPr>
        <w:t xml:space="preserve">le Gouvernement </w:t>
      </w:r>
      <w:r w:rsidR="0051005A" w:rsidRPr="00E8692E">
        <w:rPr>
          <w:lang w:val="fr-FR"/>
        </w:rPr>
        <w:t>ne ser</w:t>
      </w:r>
      <w:r w:rsidR="00604CDC" w:rsidRPr="00E8692E">
        <w:rPr>
          <w:lang w:val="fr-FR"/>
        </w:rPr>
        <w:t>ait</w:t>
      </w:r>
      <w:r w:rsidR="0051005A" w:rsidRPr="00E8692E">
        <w:rPr>
          <w:lang w:val="fr-FR"/>
        </w:rPr>
        <w:t xml:space="preserve"> pas </w:t>
      </w:r>
      <w:r w:rsidRPr="00E8692E">
        <w:rPr>
          <w:lang w:val="fr-FR"/>
        </w:rPr>
        <w:t>forclos à soulever une exception fond</w:t>
      </w:r>
      <w:r w:rsidR="00DF120B" w:rsidRPr="00E8692E">
        <w:rPr>
          <w:lang w:val="fr-FR"/>
        </w:rPr>
        <w:t>ée</w:t>
      </w:r>
      <w:r w:rsidRPr="00E8692E">
        <w:rPr>
          <w:lang w:val="fr-FR"/>
        </w:rPr>
        <w:t xml:space="preserve"> sur une </w:t>
      </w:r>
      <w:r w:rsidR="00222C11" w:rsidRPr="00E8692E">
        <w:rPr>
          <w:lang w:val="fr-FR"/>
        </w:rPr>
        <w:t>interprétation d</w:t>
      </w:r>
      <w:r w:rsidR="00961AF2" w:rsidRPr="00E8692E">
        <w:rPr>
          <w:lang w:val="fr-FR"/>
        </w:rPr>
        <w:t>e</w:t>
      </w:r>
      <w:r w:rsidR="00222C11" w:rsidRPr="00E8692E">
        <w:rPr>
          <w:lang w:val="fr-FR"/>
        </w:rPr>
        <w:t xml:space="preserve"> contrat</w:t>
      </w:r>
      <w:r w:rsidR="00961AF2" w:rsidRPr="00E8692E">
        <w:rPr>
          <w:lang w:val="fr-FR"/>
        </w:rPr>
        <w:t>s</w:t>
      </w:r>
      <w:r w:rsidR="00873CBE" w:rsidRPr="00E8692E">
        <w:rPr>
          <w:lang w:val="fr-FR"/>
        </w:rPr>
        <w:t xml:space="preserve"> </w:t>
      </w:r>
      <w:r w:rsidRPr="00E8692E">
        <w:rPr>
          <w:lang w:val="fr-FR"/>
        </w:rPr>
        <w:t>n</w:t>
      </w:r>
      <w:r w:rsidR="00E8692E" w:rsidRPr="00E8692E">
        <w:rPr>
          <w:lang w:val="fr-FR"/>
        </w:rPr>
        <w:t>’</w:t>
      </w:r>
      <w:r w:rsidRPr="00E8692E">
        <w:rPr>
          <w:lang w:val="fr-FR"/>
        </w:rPr>
        <w:t>ayant</w:t>
      </w:r>
      <w:r w:rsidR="00873CBE" w:rsidRPr="00E8692E">
        <w:rPr>
          <w:lang w:val="fr-FR"/>
        </w:rPr>
        <w:t xml:space="preserve"> pas fait l</w:t>
      </w:r>
      <w:r w:rsidR="00E8692E" w:rsidRPr="00E8692E">
        <w:rPr>
          <w:lang w:val="fr-FR"/>
        </w:rPr>
        <w:t>’</w:t>
      </w:r>
      <w:r w:rsidR="00873CBE" w:rsidRPr="00E8692E">
        <w:rPr>
          <w:lang w:val="fr-FR"/>
        </w:rPr>
        <w:t>objet d</w:t>
      </w:r>
      <w:r w:rsidR="00E8692E" w:rsidRPr="00E8692E">
        <w:rPr>
          <w:lang w:val="fr-FR"/>
        </w:rPr>
        <w:t>’</w:t>
      </w:r>
      <w:r w:rsidR="00961AF2" w:rsidRPr="00E8692E">
        <w:rPr>
          <w:lang w:val="fr-FR"/>
        </w:rPr>
        <w:t>une</w:t>
      </w:r>
      <w:r w:rsidR="00873CBE" w:rsidRPr="00E8692E">
        <w:rPr>
          <w:lang w:val="fr-FR"/>
        </w:rPr>
        <w:t xml:space="preserve"> contestation</w:t>
      </w:r>
      <w:r w:rsidRPr="00E8692E">
        <w:rPr>
          <w:lang w:val="fr-FR"/>
        </w:rPr>
        <w:t xml:space="preserve"> </w:t>
      </w:r>
      <w:r w:rsidR="00222C11" w:rsidRPr="00E8692E">
        <w:rPr>
          <w:lang w:val="fr-FR"/>
        </w:rPr>
        <w:t>devant les juridictions nationales</w:t>
      </w:r>
      <w:r w:rsidR="0051005A" w:rsidRPr="00E8692E">
        <w:rPr>
          <w:lang w:val="fr-FR"/>
        </w:rPr>
        <w:t>, la Cour</w:t>
      </w:r>
      <w:r w:rsidR="007173E9" w:rsidRPr="00E8692E">
        <w:rPr>
          <w:lang w:val="fr-FR"/>
        </w:rPr>
        <w:t xml:space="preserve"> note que ladite question </w:t>
      </w:r>
      <w:r w:rsidRPr="00E8692E">
        <w:rPr>
          <w:lang w:val="fr-FR"/>
        </w:rPr>
        <w:t>n</w:t>
      </w:r>
      <w:r w:rsidR="00E8692E" w:rsidRPr="00E8692E">
        <w:rPr>
          <w:lang w:val="fr-FR"/>
        </w:rPr>
        <w:t>’</w:t>
      </w:r>
      <w:r w:rsidRPr="00E8692E">
        <w:rPr>
          <w:lang w:val="fr-FR"/>
        </w:rPr>
        <w:t xml:space="preserve">a pas été examinée, </w:t>
      </w:r>
      <w:r w:rsidR="00EB3ED7" w:rsidRPr="00E8692E">
        <w:rPr>
          <w:lang w:val="fr-FR"/>
        </w:rPr>
        <w:t>même pas</w:t>
      </w:r>
      <w:r w:rsidRPr="00E8692E">
        <w:rPr>
          <w:lang w:val="fr-FR"/>
        </w:rPr>
        <w:t xml:space="preserve"> en substance, par ces dernières</w:t>
      </w:r>
      <w:r w:rsidR="00A166C0" w:rsidRPr="00E8692E">
        <w:rPr>
          <w:lang w:val="fr-FR"/>
        </w:rPr>
        <w:t xml:space="preserve"> (</w:t>
      </w:r>
      <w:r w:rsidR="00961AF2" w:rsidRPr="00E8692E">
        <w:rPr>
          <w:lang w:val="fr-FR"/>
        </w:rPr>
        <w:t xml:space="preserve">voir, </w:t>
      </w:r>
      <w:r w:rsidR="00A166C0" w:rsidRPr="00E8692E">
        <w:rPr>
          <w:i/>
          <w:lang w:val="fr-FR"/>
        </w:rPr>
        <w:t>a contrario</w:t>
      </w:r>
      <w:r w:rsidR="00A166C0" w:rsidRPr="00E8692E">
        <w:rPr>
          <w:lang w:val="fr-FR"/>
        </w:rPr>
        <w:t xml:space="preserve">, </w:t>
      </w:r>
      <w:r w:rsidR="00A166C0" w:rsidRPr="00E8692E">
        <w:rPr>
          <w:i/>
          <w:lang w:val="fr-FR"/>
        </w:rPr>
        <w:t>A. et autres</w:t>
      </w:r>
      <w:r w:rsidR="00A166C0" w:rsidRPr="00E8692E">
        <w:rPr>
          <w:lang w:val="fr-FR"/>
        </w:rPr>
        <w:t>, précité, § 155)</w:t>
      </w:r>
      <w:r w:rsidR="00222C11" w:rsidRPr="00E8692E">
        <w:rPr>
          <w:lang w:val="fr-FR"/>
        </w:rPr>
        <w:t>.</w:t>
      </w:r>
    </w:p>
    <w:p w:rsidR="00FF274C" w:rsidRPr="00E8692E" w:rsidRDefault="00A03D44"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20</w:t>
      </w:r>
      <w:r w:rsidRPr="00E8692E">
        <w:rPr>
          <w:lang w:val="fr-FR"/>
        </w:rPr>
        <w:fldChar w:fldCharType="end"/>
      </w:r>
      <w:r w:rsidRPr="00E8692E">
        <w:rPr>
          <w:lang w:val="fr-FR"/>
        </w:rPr>
        <w:t>.  </w:t>
      </w:r>
      <w:r w:rsidR="006E1B85" w:rsidRPr="00E8692E">
        <w:rPr>
          <w:lang w:val="fr-FR"/>
        </w:rPr>
        <w:t>En conclusion, l</w:t>
      </w:r>
      <w:r w:rsidR="00A807F4" w:rsidRPr="00E8692E">
        <w:rPr>
          <w:lang w:val="fr-FR"/>
        </w:rPr>
        <w:t>a Cour ne dispose pas d</w:t>
      </w:r>
      <w:r w:rsidR="00E8692E" w:rsidRPr="00E8692E">
        <w:rPr>
          <w:lang w:val="fr-FR"/>
        </w:rPr>
        <w:t>’</w:t>
      </w:r>
      <w:r w:rsidR="00A807F4" w:rsidRPr="00E8692E">
        <w:rPr>
          <w:lang w:val="fr-FR"/>
        </w:rPr>
        <w:t xml:space="preserve">éléments pour </w:t>
      </w:r>
      <w:r w:rsidR="007B2606" w:rsidRPr="00E8692E">
        <w:rPr>
          <w:lang w:val="fr-FR"/>
        </w:rPr>
        <w:t>établir</w:t>
      </w:r>
      <w:r w:rsidR="00A807F4" w:rsidRPr="00E8692E">
        <w:rPr>
          <w:lang w:val="fr-FR"/>
        </w:rPr>
        <w:t xml:space="preserve"> que les décisions rendues par le tribunal de Naples ne sont plus exécutoires </w:t>
      </w:r>
      <w:r w:rsidR="00F23B25" w:rsidRPr="00E8692E">
        <w:rPr>
          <w:lang w:val="fr-FR"/>
        </w:rPr>
        <w:t>à l</w:t>
      </w:r>
      <w:r w:rsidR="00E8692E" w:rsidRPr="00E8692E">
        <w:rPr>
          <w:lang w:val="fr-FR"/>
        </w:rPr>
        <w:t>’</w:t>
      </w:r>
      <w:r w:rsidR="00F23B25" w:rsidRPr="00E8692E">
        <w:rPr>
          <w:lang w:val="fr-FR"/>
        </w:rPr>
        <w:t>égard d</w:t>
      </w:r>
      <w:r w:rsidR="00961AF2" w:rsidRPr="00E8692E">
        <w:rPr>
          <w:lang w:val="fr-FR"/>
        </w:rPr>
        <w:t>es</w:t>
      </w:r>
      <w:r w:rsidR="007723AB" w:rsidRPr="00E8692E">
        <w:rPr>
          <w:lang w:val="fr-FR"/>
        </w:rPr>
        <w:t xml:space="preserve"> </w:t>
      </w:r>
      <w:r w:rsidR="00AE7DF2" w:rsidRPr="00E8692E">
        <w:rPr>
          <w:lang w:val="fr-FR"/>
        </w:rPr>
        <w:t>sociétés</w:t>
      </w:r>
      <w:r w:rsidR="007723AB" w:rsidRPr="00E8692E">
        <w:rPr>
          <w:lang w:val="fr-FR"/>
        </w:rPr>
        <w:t xml:space="preserve"> requérantes</w:t>
      </w:r>
      <w:r w:rsidR="00222C11" w:rsidRPr="00E8692E">
        <w:rPr>
          <w:lang w:val="fr-FR"/>
        </w:rPr>
        <w:t xml:space="preserve">. </w:t>
      </w:r>
      <w:r w:rsidR="006E1B85" w:rsidRPr="00E8692E">
        <w:rPr>
          <w:rFonts w:cstheme="minorHAnsi"/>
          <w:lang w:val="fr-FR"/>
        </w:rPr>
        <w:t>À</w:t>
      </w:r>
      <w:r w:rsidR="00222C11" w:rsidRPr="00E8692E">
        <w:rPr>
          <w:lang w:val="fr-FR"/>
        </w:rPr>
        <w:t xml:space="preserve"> la lumière des circonstances de l</w:t>
      </w:r>
      <w:r w:rsidR="00E8692E" w:rsidRPr="00E8692E">
        <w:rPr>
          <w:lang w:val="fr-FR"/>
        </w:rPr>
        <w:t>’</w:t>
      </w:r>
      <w:r w:rsidR="00222C11" w:rsidRPr="00E8692E">
        <w:rPr>
          <w:lang w:val="fr-FR"/>
        </w:rPr>
        <w:t>espèce</w:t>
      </w:r>
      <w:r w:rsidR="007173E9" w:rsidRPr="00E8692E">
        <w:rPr>
          <w:lang w:val="fr-FR"/>
        </w:rPr>
        <w:t>,</w:t>
      </w:r>
      <w:r w:rsidR="00222C11" w:rsidRPr="00E8692E">
        <w:rPr>
          <w:lang w:val="fr-FR"/>
        </w:rPr>
        <w:t xml:space="preserve"> </w:t>
      </w:r>
      <w:r w:rsidR="002463CA" w:rsidRPr="00E8692E">
        <w:rPr>
          <w:lang w:val="fr-FR"/>
        </w:rPr>
        <w:t xml:space="preserve">elle </w:t>
      </w:r>
      <w:r w:rsidR="00222C11" w:rsidRPr="00E8692E">
        <w:rPr>
          <w:lang w:val="fr-FR"/>
        </w:rPr>
        <w:t xml:space="preserve">estime </w:t>
      </w:r>
      <w:r w:rsidR="00A807F4" w:rsidRPr="00E8692E">
        <w:rPr>
          <w:lang w:val="fr-FR"/>
        </w:rPr>
        <w:t xml:space="preserve">que </w:t>
      </w:r>
      <w:r w:rsidR="006D114D" w:rsidRPr="00E8692E">
        <w:rPr>
          <w:lang w:val="fr-FR"/>
        </w:rPr>
        <w:t>celles-ci</w:t>
      </w:r>
      <w:r w:rsidR="00A807F4" w:rsidRPr="00E8692E">
        <w:rPr>
          <w:lang w:val="fr-FR"/>
        </w:rPr>
        <w:t xml:space="preserve"> </w:t>
      </w:r>
      <w:r w:rsidR="00E77BFB" w:rsidRPr="00E8692E">
        <w:rPr>
          <w:lang w:val="fr-FR"/>
        </w:rPr>
        <w:t xml:space="preserve">peuvent toujours se prétendre </w:t>
      </w:r>
      <w:r w:rsidR="00A807F4" w:rsidRPr="00E8692E">
        <w:rPr>
          <w:lang w:val="fr-FR"/>
        </w:rPr>
        <w:t>victime</w:t>
      </w:r>
      <w:r w:rsidR="00E77BFB" w:rsidRPr="00E8692E">
        <w:rPr>
          <w:lang w:val="fr-FR"/>
        </w:rPr>
        <w:t>s de l</w:t>
      </w:r>
      <w:r w:rsidR="00961AF2" w:rsidRPr="00E8692E">
        <w:rPr>
          <w:lang w:val="fr-FR"/>
        </w:rPr>
        <w:t>a</w:t>
      </w:r>
      <w:r w:rsidR="00E77BFB" w:rsidRPr="00E8692E">
        <w:rPr>
          <w:lang w:val="fr-FR"/>
        </w:rPr>
        <w:t xml:space="preserve"> violation </w:t>
      </w:r>
      <w:r w:rsidR="00961AF2" w:rsidRPr="00E8692E">
        <w:rPr>
          <w:lang w:val="fr-FR"/>
        </w:rPr>
        <w:t xml:space="preserve">alléguée </w:t>
      </w:r>
      <w:r w:rsidR="00E77BFB" w:rsidRPr="00E8692E">
        <w:rPr>
          <w:lang w:val="fr-FR"/>
        </w:rPr>
        <w:t>de l</w:t>
      </w:r>
      <w:r w:rsidR="00E8692E" w:rsidRPr="00E8692E">
        <w:rPr>
          <w:lang w:val="fr-FR"/>
        </w:rPr>
        <w:t>’</w:t>
      </w:r>
      <w:r w:rsidR="00E77BFB" w:rsidRPr="00E8692E">
        <w:rPr>
          <w:lang w:val="fr-FR"/>
        </w:rPr>
        <w:t>article 6 § 1 de la Convention</w:t>
      </w:r>
      <w:r w:rsidR="00A807F4" w:rsidRPr="00E8692E">
        <w:rPr>
          <w:lang w:val="fr-FR"/>
        </w:rPr>
        <w:t xml:space="preserve"> e</w:t>
      </w:r>
      <w:r w:rsidR="006467A0" w:rsidRPr="00E8692E">
        <w:rPr>
          <w:lang w:val="fr-FR"/>
        </w:rPr>
        <w:t>n raison de l</w:t>
      </w:r>
      <w:r w:rsidR="00E8692E" w:rsidRPr="00E8692E">
        <w:rPr>
          <w:lang w:val="fr-FR"/>
        </w:rPr>
        <w:t>’</w:t>
      </w:r>
      <w:r w:rsidR="006467A0" w:rsidRPr="00E8692E">
        <w:rPr>
          <w:lang w:val="fr-FR"/>
        </w:rPr>
        <w:t>inexécution de dé</w:t>
      </w:r>
      <w:r w:rsidR="00A807F4" w:rsidRPr="00E8692E">
        <w:rPr>
          <w:lang w:val="fr-FR"/>
        </w:rPr>
        <w:t>cisions internes définitives.</w:t>
      </w:r>
    </w:p>
    <w:p w:rsidR="00553E3F" w:rsidRPr="00E8692E" w:rsidRDefault="008C6B6B"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21</w:t>
      </w:r>
      <w:r w:rsidRPr="00E8692E">
        <w:rPr>
          <w:lang w:val="fr-FR"/>
        </w:rPr>
        <w:fldChar w:fldCharType="end"/>
      </w:r>
      <w:r w:rsidRPr="00E8692E">
        <w:rPr>
          <w:lang w:val="fr-FR"/>
        </w:rPr>
        <w:t>.  </w:t>
      </w:r>
      <w:r w:rsidR="00553E3F" w:rsidRPr="00E8692E">
        <w:rPr>
          <w:lang w:val="fr-FR"/>
        </w:rPr>
        <w:t xml:space="preserve"> Constatant que ce grief n</w:t>
      </w:r>
      <w:r w:rsidR="00E8692E" w:rsidRPr="00E8692E">
        <w:rPr>
          <w:lang w:val="fr-FR"/>
        </w:rPr>
        <w:t>’</w:t>
      </w:r>
      <w:r w:rsidR="00553E3F" w:rsidRPr="00E8692E">
        <w:rPr>
          <w:lang w:val="fr-FR"/>
        </w:rPr>
        <w:t>est pas manifestement mal fondé au sens de l</w:t>
      </w:r>
      <w:r w:rsidR="00E8692E" w:rsidRPr="00E8692E">
        <w:rPr>
          <w:lang w:val="fr-FR"/>
        </w:rPr>
        <w:t>’</w:t>
      </w:r>
      <w:r w:rsidR="00553E3F" w:rsidRPr="00E8692E">
        <w:rPr>
          <w:lang w:val="fr-FR"/>
        </w:rPr>
        <w:t>article 35 § 3 a) de la Convention et qu</w:t>
      </w:r>
      <w:r w:rsidR="00E8692E" w:rsidRPr="00E8692E">
        <w:rPr>
          <w:lang w:val="fr-FR"/>
        </w:rPr>
        <w:t>’</w:t>
      </w:r>
      <w:r w:rsidR="00553E3F" w:rsidRPr="00E8692E">
        <w:rPr>
          <w:lang w:val="fr-FR"/>
        </w:rPr>
        <w:t>il ne se heurte par ailleurs à aucun autre motif d</w:t>
      </w:r>
      <w:r w:rsidR="00E8692E" w:rsidRPr="00E8692E">
        <w:rPr>
          <w:lang w:val="fr-FR"/>
        </w:rPr>
        <w:t>’</w:t>
      </w:r>
      <w:r w:rsidR="00553E3F" w:rsidRPr="00E8692E">
        <w:rPr>
          <w:lang w:val="fr-FR"/>
        </w:rPr>
        <w:t>irrecevabilité, la Cour le déclare recevable.</w:t>
      </w:r>
    </w:p>
    <w:p w:rsidR="00E77CB3" w:rsidRPr="00E8692E" w:rsidRDefault="00E77CB3" w:rsidP="00E8692E">
      <w:pPr>
        <w:pStyle w:val="ECHRHeading2"/>
        <w:rPr>
          <w:lang w:val="fr-FR"/>
        </w:rPr>
      </w:pPr>
      <w:r w:rsidRPr="00E8692E">
        <w:rPr>
          <w:lang w:val="fr-FR"/>
        </w:rPr>
        <w:t>B.  Sur le fond</w:t>
      </w:r>
    </w:p>
    <w:p w:rsidR="004C3131"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22</w:t>
      </w:r>
      <w:r w:rsidRPr="00E8692E">
        <w:rPr>
          <w:lang w:val="fr-FR"/>
        </w:rPr>
        <w:fldChar w:fldCharType="end"/>
      </w:r>
      <w:r w:rsidR="00E77CB3" w:rsidRPr="00E8692E">
        <w:rPr>
          <w:lang w:val="fr-FR"/>
        </w:rPr>
        <w:t>.  </w:t>
      </w:r>
      <w:r w:rsidRPr="00E8692E">
        <w:rPr>
          <w:lang w:val="fr-FR"/>
        </w:rPr>
        <w:t xml:space="preserve">Les </w:t>
      </w:r>
      <w:r w:rsidR="0057562A" w:rsidRPr="00E8692E">
        <w:rPr>
          <w:lang w:val="fr-FR"/>
        </w:rPr>
        <w:t>sociétés</w:t>
      </w:r>
      <w:r w:rsidR="00FD5143" w:rsidRPr="00E8692E">
        <w:rPr>
          <w:lang w:val="fr-FR"/>
        </w:rPr>
        <w:t xml:space="preserve"> </w:t>
      </w:r>
      <w:r w:rsidRPr="00E8692E">
        <w:rPr>
          <w:lang w:val="fr-FR"/>
        </w:rPr>
        <w:t>requérant</w:t>
      </w:r>
      <w:r w:rsidR="00FD5143" w:rsidRPr="00E8692E">
        <w:rPr>
          <w:lang w:val="fr-FR"/>
        </w:rPr>
        <w:t>e</w:t>
      </w:r>
      <w:r w:rsidRPr="00E8692E">
        <w:rPr>
          <w:lang w:val="fr-FR"/>
        </w:rPr>
        <w:t>s</w:t>
      </w:r>
      <w:r w:rsidR="00E77CB3" w:rsidRPr="00E8692E">
        <w:rPr>
          <w:lang w:val="fr-FR"/>
        </w:rPr>
        <w:t xml:space="preserve"> </w:t>
      </w:r>
      <w:r w:rsidR="00D967DE" w:rsidRPr="00E8692E">
        <w:rPr>
          <w:lang w:val="fr-FR"/>
        </w:rPr>
        <w:t>se plaignent du</w:t>
      </w:r>
      <w:r w:rsidR="00FD5143" w:rsidRPr="00E8692E">
        <w:rPr>
          <w:lang w:val="fr-FR"/>
        </w:rPr>
        <w:t xml:space="preserve"> </w:t>
      </w:r>
      <w:r w:rsidR="00D967DE" w:rsidRPr="00E8692E">
        <w:rPr>
          <w:lang w:val="fr-FR"/>
        </w:rPr>
        <w:t xml:space="preserve">délai mis par </w:t>
      </w:r>
      <w:r w:rsidR="008B6871" w:rsidRPr="00E8692E">
        <w:rPr>
          <w:lang w:val="fr-FR"/>
        </w:rPr>
        <w:t>l</w:t>
      </w:r>
      <w:r w:rsidR="00E8692E" w:rsidRPr="00E8692E">
        <w:rPr>
          <w:lang w:val="fr-FR"/>
        </w:rPr>
        <w:t>’</w:t>
      </w:r>
      <w:r w:rsidR="008B6871" w:rsidRPr="00E8692E">
        <w:rPr>
          <w:lang w:val="fr-FR"/>
        </w:rPr>
        <w:t xml:space="preserve">ASL </w:t>
      </w:r>
      <w:r w:rsidR="00D967DE" w:rsidRPr="00E8692E">
        <w:rPr>
          <w:lang w:val="fr-FR"/>
        </w:rPr>
        <w:t>pour se conformer aux</w:t>
      </w:r>
      <w:r w:rsidR="00327FD6" w:rsidRPr="00E8692E">
        <w:rPr>
          <w:lang w:val="fr-FR"/>
        </w:rPr>
        <w:t xml:space="preserve"> ordonnances portant injonction de payer rendue exécutoire par le tribunal de Naples.</w:t>
      </w: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23</w:t>
      </w:r>
      <w:r w:rsidRPr="00E8692E">
        <w:rPr>
          <w:lang w:val="fr-FR"/>
        </w:rPr>
        <w:fldChar w:fldCharType="end"/>
      </w:r>
      <w:r w:rsidR="00E77CB3" w:rsidRPr="00E8692E">
        <w:rPr>
          <w:lang w:val="fr-FR"/>
        </w:rPr>
        <w:t>.  </w:t>
      </w:r>
      <w:r w:rsidR="00621993" w:rsidRPr="00E8692E">
        <w:rPr>
          <w:lang w:val="fr-FR"/>
        </w:rPr>
        <w:t>Le Gouvernement n</w:t>
      </w:r>
      <w:r w:rsidR="00E8692E" w:rsidRPr="00E8692E">
        <w:rPr>
          <w:lang w:val="fr-FR"/>
        </w:rPr>
        <w:t>’</w:t>
      </w:r>
      <w:r w:rsidR="00621993" w:rsidRPr="00E8692E">
        <w:rPr>
          <w:lang w:val="fr-FR"/>
        </w:rPr>
        <w:t>a pas présenté d</w:t>
      </w:r>
      <w:r w:rsidR="00E8692E" w:rsidRPr="00E8692E">
        <w:rPr>
          <w:lang w:val="fr-FR"/>
        </w:rPr>
        <w:t>’</w:t>
      </w:r>
      <w:r w:rsidR="00621993" w:rsidRPr="00E8692E">
        <w:rPr>
          <w:lang w:val="fr-FR"/>
        </w:rPr>
        <w:t>observations sur le fond.</w:t>
      </w:r>
    </w:p>
    <w:p w:rsidR="007B2606"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24</w:t>
      </w:r>
      <w:r w:rsidRPr="00E8692E">
        <w:rPr>
          <w:lang w:val="fr-FR"/>
        </w:rPr>
        <w:fldChar w:fldCharType="end"/>
      </w:r>
      <w:r w:rsidR="00E77CB3" w:rsidRPr="00E8692E">
        <w:rPr>
          <w:lang w:val="fr-FR"/>
        </w:rPr>
        <w:t>.  </w:t>
      </w:r>
      <w:r w:rsidR="00BD0AC6" w:rsidRPr="00E8692E">
        <w:rPr>
          <w:lang w:val="fr-FR"/>
        </w:rPr>
        <w:t>L</w:t>
      </w:r>
      <w:r w:rsidR="007B2606" w:rsidRPr="00E8692E">
        <w:rPr>
          <w:lang w:val="fr-FR"/>
        </w:rPr>
        <w:t xml:space="preserve">a Cour </w:t>
      </w:r>
      <w:r w:rsidR="008B6871" w:rsidRPr="00E8692E">
        <w:rPr>
          <w:lang w:val="fr-FR"/>
        </w:rPr>
        <w:t>rappelle avoir</w:t>
      </w:r>
      <w:r w:rsidR="007B2606" w:rsidRPr="00E8692E">
        <w:rPr>
          <w:lang w:val="fr-FR"/>
        </w:rPr>
        <w:t xml:space="preserve"> établi le principe selon lequel le droit à un tribunal serait illusoire si l</w:t>
      </w:r>
      <w:r w:rsidR="00E8692E" w:rsidRPr="00E8692E">
        <w:rPr>
          <w:lang w:val="fr-FR"/>
        </w:rPr>
        <w:t>’</w:t>
      </w:r>
      <w:r w:rsidR="007B2606" w:rsidRPr="00E8692E">
        <w:rPr>
          <w:lang w:val="fr-FR"/>
        </w:rPr>
        <w:t>ordre juridique interne d</w:t>
      </w:r>
      <w:r w:rsidR="00E8692E" w:rsidRPr="00E8692E">
        <w:rPr>
          <w:lang w:val="fr-FR"/>
        </w:rPr>
        <w:t>’</w:t>
      </w:r>
      <w:r w:rsidR="007B2606" w:rsidRPr="00E8692E">
        <w:rPr>
          <w:lang w:val="fr-FR"/>
        </w:rPr>
        <w:t>un État contractant permettait qu</w:t>
      </w:r>
      <w:r w:rsidR="00E8692E" w:rsidRPr="00E8692E">
        <w:rPr>
          <w:lang w:val="fr-FR"/>
        </w:rPr>
        <w:t>’</w:t>
      </w:r>
      <w:r w:rsidR="007B2606" w:rsidRPr="00E8692E">
        <w:rPr>
          <w:lang w:val="fr-FR"/>
        </w:rPr>
        <w:t>une décision judiciaire définitive et obligatoire restât inopér</w:t>
      </w:r>
      <w:r w:rsidR="00DF1659" w:rsidRPr="00E8692E">
        <w:rPr>
          <w:lang w:val="fr-FR"/>
        </w:rPr>
        <w:t>ante au détriment d</w:t>
      </w:r>
      <w:r w:rsidR="00E8692E" w:rsidRPr="00E8692E">
        <w:rPr>
          <w:lang w:val="fr-FR"/>
        </w:rPr>
        <w:t>’</w:t>
      </w:r>
      <w:r w:rsidR="00DF1659" w:rsidRPr="00E8692E">
        <w:rPr>
          <w:lang w:val="fr-FR"/>
        </w:rPr>
        <w:t xml:space="preserve">une partie </w:t>
      </w:r>
      <w:r w:rsidR="007B2606" w:rsidRPr="00E8692E">
        <w:rPr>
          <w:lang w:val="fr-FR"/>
        </w:rPr>
        <w:t xml:space="preserve">(voir aussi </w:t>
      </w:r>
      <w:proofErr w:type="spellStart"/>
      <w:r w:rsidR="007B2606" w:rsidRPr="00E8692E">
        <w:rPr>
          <w:i/>
          <w:lang w:val="fr-FR"/>
        </w:rPr>
        <w:t>Bourdov</w:t>
      </w:r>
      <w:proofErr w:type="spellEnd"/>
      <w:r w:rsidR="007B2606" w:rsidRPr="00E8692E">
        <w:rPr>
          <w:i/>
          <w:lang w:val="fr-FR"/>
        </w:rPr>
        <w:t xml:space="preserve"> c. Russie</w:t>
      </w:r>
      <w:r w:rsidR="007B2606" w:rsidRPr="00E8692E">
        <w:rPr>
          <w:lang w:val="fr-FR"/>
        </w:rPr>
        <w:t xml:space="preserve"> (n</w:t>
      </w:r>
      <w:r w:rsidR="001648F4" w:rsidRPr="00E8692E">
        <w:rPr>
          <w:vertAlign w:val="superscript"/>
          <w:lang w:val="fr-FR"/>
        </w:rPr>
        <w:t>o</w:t>
      </w:r>
      <w:r w:rsidR="007B2606" w:rsidRPr="00E8692E">
        <w:rPr>
          <w:lang w:val="fr-FR"/>
        </w:rPr>
        <w:t xml:space="preserve"> 2), n</w:t>
      </w:r>
      <w:r w:rsidR="001648F4" w:rsidRPr="00E8692E">
        <w:rPr>
          <w:vertAlign w:val="superscript"/>
          <w:lang w:val="fr-FR"/>
        </w:rPr>
        <w:t>o</w:t>
      </w:r>
      <w:r w:rsidR="00D80137" w:rsidRPr="00E8692E">
        <w:rPr>
          <w:vertAlign w:val="superscript"/>
          <w:lang w:val="fr-FR"/>
        </w:rPr>
        <w:t> </w:t>
      </w:r>
      <w:r w:rsidR="007B2606" w:rsidRPr="00E8692E">
        <w:rPr>
          <w:lang w:val="fr-FR"/>
        </w:rPr>
        <w:t>33509/04, § 65, CEDH 2009).</w:t>
      </w:r>
      <w:r w:rsidR="00BD0AC6" w:rsidRPr="00E8692E">
        <w:rPr>
          <w:lang w:val="fr-FR"/>
        </w:rPr>
        <w:t xml:space="preserve"> </w:t>
      </w:r>
      <w:r w:rsidR="007B2606" w:rsidRPr="00E8692E">
        <w:rPr>
          <w:lang w:val="fr-FR"/>
        </w:rPr>
        <w:t>Quelle que soit la complexité de ses procédures d</w:t>
      </w:r>
      <w:r w:rsidR="00E8692E" w:rsidRPr="00E8692E">
        <w:rPr>
          <w:lang w:val="fr-FR"/>
        </w:rPr>
        <w:t>’</w:t>
      </w:r>
      <w:r w:rsidR="007B2606" w:rsidRPr="00E8692E">
        <w:rPr>
          <w:lang w:val="fr-FR"/>
        </w:rPr>
        <w:t>exécution ou de son système administratif, l</w:t>
      </w:r>
      <w:r w:rsidR="00E8692E" w:rsidRPr="00E8692E">
        <w:rPr>
          <w:lang w:val="fr-FR"/>
        </w:rPr>
        <w:t>’</w:t>
      </w:r>
      <w:r w:rsidR="00BD0AC6" w:rsidRPr="00E8692E">
        <w:rPr>
          <w:lang w:val="fr-FR"/>
        </w:rPr>
        <w:t>État</w:t>
      </w:r>
      <w:r w:rsidR="007B2606" w:rsidRPr="00E8692E">
        <w:rPr>
          <w:lang w:val="fr-FR"/>
        </w:rPr>
        <w:t xml:space="preserve"> demeure tenu par la Convention de garantir à toute personne le droit à ce que les jugements obligatoires et exécutoires rendus en sa faveur soient exécutés dans un délai raisonnable.</w:t>
      </w:r>
    </w:p>
    <w:p w:rsidR="007B2606" w:rsidRPr="00E8692E" w:rsidRDefault="00BD0AC6" w:rsidP="00E8692E">
      <w:pPr>
        <w:pStyle w:val="ECHRPara"/>
        <w:rPr>
          <w:lang w:val="fr-FR"/>
        </w:rPr>
      </w:pPr>
      <w:r w:rsidRPr="00E8692E">
        <w:rPr>
          <w:lang w:val="fr-FR"/>
        </w:rPr>
        <w:lastRenderedPageBreak/>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25</w:t>
      </w:r>
      <w:r w:rsidRPr="00E8692E">
        <w:rPr>
          <w:lang w:val="fr-FR"/>
        </w:rPr>
        <w:fldChar w:fldCharType="end"/>
      </w:r>
      <w:r w:rsidRPr="00E8692E">
        <w:rPr>
          <w:lang w:val="fr-FR"/>
        </w:rPr>
        <w:t>.  </w:t>
      </w:r>
      <w:r w:rsidR="0020373C" w:rsidRPr="00E8692E">
        <w:rPr>
          <w:lang w:val="fr-FR"/>
        </w:rPr>
        <w:t>Ainsi, l</w:t>
      </w:r>
      <w:r w:rsidR="00E46C83" w:rsidRPr="00E8692E">
        <w:rPr>
          <w:lang w:val="fr-FR"/>
        </w:rPr>
        <w:t>orsqu</w:t>
      </w:r>
      <w:r w:rsidR="00E8692E" w:rsidRPr="00E8692E">
        <w:rPr>
          <w:lang w:val="fr-FR"/>
        </w:rPr>
        <w:t>’</w:t>
      </w:r>
      <w:r w:rsidR="00E46C83" w:rsidRPr="00E8692E">
        <w:rPr>
          <w:lang w:val="fr-FR"/>
        </w:rPr>
        <w:t>il est déraisonnablement long, le</w:t>
      </w:r>
      <w:r w:rsidR="007B2606" w:rsidRPr="00E8692E">
        <w:rPr>
          <w:lang w:val="fr-FR"/>
        </w:rPr>
        <w:t xml:space="preserve"> délai d</w:t>
      </w:r>
      <w:r w:rsidR="00E8692E" w:rsidRPr="00E8692E">
        <w:rPr>
          <w:lang w:val="fr-FR"/>
        </w:rPr>
        <w:t>’</w:t>
      </w:r>
      <w:r w:rsidR="007B2606" w:rsidRPr="00E8692E">
        <w:rPr>
          <w:lang w:val="fr-FR"/>
        </w:rPr>
        <w:t>exécution d</w:t>
      </w:r>
      <w:r w:rsidR="00E8692E" w:rsidRPr="00E8692E">
        <w:rPr>
          <w:lang w:val="fr-FR"/>
        </w:rPr>
        <w:t>’</w:t>
      </w:r>
      <w:r w:rsidR="007B2606" w:rsidRPr="00E8692E">
        <w:rPr>
          <w:lang w:val="fr-FR"/>
        </w:rPr>
        <w:t xml:space="preserve">un jugement </w:t>
      </w:r>
      <w:r w:rsidR="0020373C" w:rsidRPr="00E8692E">
        <w:rPr>
          <w:lang w:val="fr-FR"/>
        </w:rPr>
        <w:t>obligatoire</w:t>
      </w:r>
      <w:r w:rsidR="008879F6" w:rsidRPr="00E8692E">
        <w:rPr>
          <w:lang w:val="fr-FR"/>
        </w:rPr>
        <w:t xml:space="preserve"> </w:t>
      </w:r>
      <w:r w:rsidR="007B2606" w:rsidRPr="00E8692E">
        <w:rPr>
          <w:lang w:val="fr-FR"/>
        </w:rPr>
        <w:t>peut emporter violation de la Convention. Le caractère raisonnable d</w:t>
      </w:r>
      <w:r w:rsidR="00E8692E" w:rsidRPr="00E8692E">
        <w:rPr>
          <w:lang w:val="fr-FR"/>
        </w:rPr>
        <w:t>’</w:t>
      </w:r>
      <w:r w:rsidR="007B2606" w:rsidRPr="00E8692E">
        <w:rPr>
          <w:lang w:val="fr-FR"/>
        </w:rPr>
        <w:t>un tel délai doit s</w:t>
      </w:r>
      <w:r w:rsidR="00E8692E" w:rsidRPr="00E8692E">
        <w:rPr>
          <w:lang w:val="fr-FR"/>
        </w:rPr>
        <w:t>’</w:t>
      </w:r>
      <w:r w:rsidR="007B2606" w:rsidRPr="00E8692E">
        <w:rPr>
          <w:lang w:val="fr-FR"/>
        </w:rPr>
        <w:t>apprécier en tenant compte en particulier de la complexité de la procédure d</w:t>
      </w:r>
      <w:r w:rsidR="00E8692E" w:rsidRPr="00E8692E">
        <w:rPr>
          <w:lang w:val="fr-FR"/>
        </w:rPr>
        <w:t>’</w:t>
      </w:r>
      <w:r w:rsidR="007B2606" w:rsidRPr="00E8692E">
        <w:rPr>
          <w:lang w:val="fr-FR"/>
        </w:rPr>
        <w:t>exécution, du comportement du requérant et des autorités compétentes</w:t>
      </w:r>
      <w:r w:rsidR="00EA05CE" w:rsidRPr="00E8692E">
        <w:rPr>
          <w:lang w:val="fr-FR"/>
        </w:rPr>
        <w:t>, ainsi que</w:t>
      </w:r>
      <w:r w:rsidR="007B2606" w:rsidRPr="00E8692E">
        <w:rPr>
          <w:lang w:val="fr-FR"/>
        </w:rPr>
        <w:t xml:space="preserve"> du montant et de la nature de la somme accordée par le juge (</w:t>
      </w:r>
      <w:proofErr w:type="spellStart"/>
      <w:r w:rsidR="007B2606" w:rsidRPr="00E8692E">
        <w:rPr>
          <w:i/>
          <w:lang w:val="fr-FR"/>
        </w:rPr>
        <w:t>Raïlian</w:t>
      </w:r>
      <w:proofErr w:type="spellEnd"/>
      <w:r w:rsidR="007B2606" w:rsidRPr="00E8692E">
        <w:rPr>
          <w:i/>
          <w:lang w:val="fr-FR"/>
        </w:rPr>
        <w:t xml:space="preserve"> c. Russie</w:t>
      </w:r>
      <w:r w:rsidR="00B72A1B" w:rsidRPr="00E8692E">
        <w:rPr>
          <w:lang w:val="fr-FR"/>
        </w:rPr>
        <w:t>, n</w:t>
      </w:r>
      <w:r w:rsidR="001648F4" w:rsidRPr="00E8692E">
        <w:rPr>
          <w:vertAlign w:val="superscript"/>
          <w:lang w:val="fr-FR"/>
        </w:rPr>
        <w:t>o</w:t>
      </w:r>
      <w:r w:rsidR="007B2606" w:rsidRPr="00E8692E">
        <w:rPr>
          <w:lang w:val="fr-FR"/>
        </w:rPr>
        <w:t xml:space="preserve"> 22000/03, § 31, 15 février 2007</w:t>
      </w:r>
      <w:r w:rsidR="00420BA7" w:rsidRPr="00E8692E">
        <w:rPr>
          <w:lang w:val="fr-FR"/>
        </w:rPr>
        <w:t xml:space="preserve">, </w:t>
      </w:r>
      <w:r w:rsidR="00A15464" w:rsidRPr="00E8692E">
        <w:rPr>
          <w:lang w:val="fr-FR"/>
        </w:rPr>
        <w:t xml:space="preserve">et </w:t>
      </w:r>
      <w:proofErr w:type="spellStart"/>
      <w:r w:rsidR="00420BA7" w:rsidRPr="00E8692E">
        <w:rPr>
          <w:i/>
          <w:lang w:val="fr-FR"/>
        </w:rPr>
        <w:t>Bourdov</w:t>
      </w:r>
      <w:proofErr w:type="spellEnd"/>
      <w:r w:rsidR="00E23A91" w:rsidRPr="00E8692E">
        <w:rPr>
          <w:i/>
          <w:lang w:val="fr-FR"/>
        </w:rPr>
        <w:t xml:space="preserve"> (</w:t>
      </w:r>
      <w:r w:rsidR="00EA05CE" w:rsidRPr="00E8692E">
        <w:rPr>
          <w:i/>
          <w:lang w:val="fr-FR"/>
        </w:rPr>
        <w:t>n</w:t>
      </w:r>
      <w:r w:rsidR="00EA05CE" w:rsidRPr="00E8692E">
        <w:rPr>
          <w:i/>
          <w:vertAlign w:val="superscript"/>
          <w:lang w:val="fr-FR"/>
        </w:rPr>
        <w:t>o</w:t>
      </w:r>
      <w:r w:rsidR="00E23A91" w:rsidRPr="00E8692E">
        <w:rPr>
          <w:i/>
          <w:lang w:val="fr-FR"/>
        </w:rPr>
        <w:t xml:space="preserve"> 2)</w:t>
      </w:r>
      <w:r w:rsidR="00420BA7" w:rsidRPr="00E8692E">
        <w:rPr>
          <w:lang w:val="fr-FR"/>
        </w:rPr>
        <w:t>, précité, § 66</w:t>
      </w:r>
      <w:r w:rsidR="007B2606" w:rsidRPr="00E8692E">
        <w:rPr>
          <w:lang w:val="fr-FR"/>
        </w:rPr>
        <w:t>).</w:t>
      </w:r>
    </w:p>
    <w:p w:rsidR="007B2606" w:rsidRPr="00E8692E" w:rsidRDefault="00BD0AC6"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26</w:t>
      </w:r>
      <w:r w:rsidRPr="00E8692E">
        <w:rPr>
          <w:lang w:val="fr-FR"/>
        </w:rPr>
        <w:fldChar w:fldCharType="end"/>
      </w:r>
      <w:r w:rsidRPr="00E8692E">
        <w:rPr>
          <w:lang w:val="fr-FR"/>
        </w:rPr>
        <w:t>.  </w:t>
      </w:r>
      <w:r w:rsidR="007B2606" w:rsidRPr="00E8692E">
        <w:rPr>
          <w:lang w:val="fr-FR"/>
        </w:rPr>
        <w:t>La Cour a déjà jugé que, lorsque l</w:t>
      </w:r>
      <w:r w:rsidR="00E8692E" w:rsidRPr="00E8692E">
        <w:rPr>
          <w:lang w:val="fr-FR"/>
        </w:rPr>
        <w:t>’</w:t>
      </w:r>
      <w:r w:rsidR="007B2606" w:rsidRPr="00E8692E">
        <w:rPr>
          <w:lang w:val="fr-FR"/>
        </w:rPr>
        <w:t>exécution ne posait aucun problème particulier, s</w:t>
      </w:r>
      <w:r w:rsidR="00E8692E" w:rsidRPr="00E8692E">
        <w:rPr>
          <w:lang w:val="fr-FR"/>
        </w:rPr>
        <w:t>’</w:t>
      </w:r>
      <w:r w:rsidR="007B2606" w:rsidRPr="00E8692E">
        <w:rPr>
          <w:lang w:val="fr-FR"/>
        </w:rPr>
        <w:t>agissant du versement d</w:t>
      </w:r>
      <w:r w:rsidR="00E8692E" w:rsidRPr="00E8692E">
        <w:rPr>
          <w:lang w:val="fr-FR"/>
        </w:rPr>
        <w:t>’</w:t>
      </w:r>
      <w:r w:rsidR="007B2606" w:rsidRPr="00E8692E">
        <w:rPr>
          <w:lang w:val="fr-FR"/>
        </w:rPr>
        <w:t>une somme d</w:t>
      </w:r>
      <w:r w:rsidR="00E8692E" w:rsidRPr="00E8692E">
        <w:rPr>
          <w:lang w:val="fr-FR"/>
        </w:rPr>
        <w:t>’</w:t>
      </w:r>
      <w:r w:rsidR="007B2606" w:rsidRPr="00E8692E">
        <w:rPr>
          <w:lang w:val="fr-FR"/>
        </w:rPr>
        <w:t>argent, un délai d</w:t>
      </w:r>
      <w:r w:rsidR="00E8692E" w:rsidRPr="00E8692E">
        <w:rPr>
          <w:lang w:val="fr-FR"/>
        </w:rPr>
        <w:t>’</w:t>
      </w:r>
      <w:r w:rsidR="007B2606" w:rsidRPr="00E8692E">
        <w:rPr>
          <w:lang w:val="fr-FR"/>
        </w:rPr>
        <w:t xml:space="preserve">un an et </w:t>
      </w:r>
      <w:r w:rsidR="00DF1659" w:rsidRPr="00E8692E">
        <w:rPr>
          <w:lang w:val="fr-FR"/>
        </w:rPr>
        <w:t>deux</w:t>
      </w:r>
      <w:r w:rsidR="007B2606" w:rsidRPr="00E8692E">
        <w:rPr>
          <w:lang w:val="fr-FR"/>
        </w:rPr>
        <w:t xml:space="preserve"> mois méconnaissait </w:t>
      </w:r>
      <w:r w:rsidR="007B2606" w:rsidRPr="00E8692E">
        <w:rPr>
          <w:i/>
          <w:lang w:val="fr-FR"/>
        </w:rPr>
        <w:t>a priori</w:t>
      </w:r>
      <w:r w:rsidR="007B2606" w:rsidRPr="00E8692E">
        <w:rPr>
          <w:lang w:val="fr-FR"/>
        </w:rPr>
        <w:t xml:space="preserve"> le droit du requérant à un tribunal </w:t>
      </w:r>
      <w:r w:rsidR="00DF1659" w:rsidRPr="00E8692E">
        <w:rPr>
          <w:lang w:val="fr-FR"/>
        </w:rPr>
        <w:t>(</w:t>
      </w:r>
      <w:proofErr w:type="spellStart"/>
      <w:r w:rsidR="00DF1659" w:rsidRPr="00E8692E">
        <w:rPr>
          <w:i/>
          <w:lang w:val="fr-FR"/>
        </w:rPr>
        <w:t>Shmalko</w:t>
      </w:r>
      <w:proofErr w:type="spellEnd"/>
      <w:r w:rsidR="00DF1659" w:rsidRPr="00E8692E">
        <w:rPr>
          <w:i/>
          <w:lang w:val="fr-FR"/>
        </w:rPr>
        <w:t xml:space="preserve"> c. Ukraine</w:t>
      </w:r>
      <w:r w:rsidR="00DF1659" w:rsidRPr="00E8692E">
        <w:rPr>
          <w:lang w:val="fr-FR"/>
        </w:rPr>
        <w:t>, n</w:t>
      </w:r>
      <w:r w:rsidR="001648F4" w:rsidRPr="00E8692E">
        <w:rPr>
          <w:vertAlign w:val="superscript"/>
          <w:lang w:val="fr-FR"/>
        </w:rPr>
        <w:t>o</w:t>
      </w:r>
      <w:r w:rsidR="00DF1659" w:rsidRPr="00E8692E">
        <w:rPr>
          <w:lang w:val="fr-FR"/>
        </w:rPr>
        <w:t xml:space="preserve"> 60750/00, 20 juillet 2004, § 46) </w:t>
      </w:r>
      <w:r w:rsidR="007B2606" w:rsidRPr="00E8692E">
        <w:rPr>
          <w:lang w:val="fr-FR"/>
        </w:rPr>
        <w:t>et que, en revanche, la non-exécution d</w:t>
      </w:r>
      <w:r w:rsidR="00E8692E" w:rsidRPr="00E8692E">
        <w:rPr>
          <w:lang w:val="fr-FR"/>
        </w:rPr>
        <w:t>’</w:t>
      </w:r>
      <w:r w:rsidR="007B2606" w:rsidRPr="00E8692E">
        <w:rPr>
          <w:lang w:val="fr-FR"/>
        </w:rPr>
        <w:t>un jugement pendant six mois n</w:t>
      </w:r>
      <w:r w:rsidR="00E8692E" w:rsidRPr="00E8692E">
        <w:rPr>
          <w:lang w:val="fr-FR"/>
        </w:rPr>
        <w:t>’</w:t>
      </w:r>
      <w:r w:rsidR="007B2606" w:rsidRPr="00E8692E">
        <w:rPr>
          <w:lang w:val="fr-FR"/>
        </w:rPr>
        <w:t>était pas déraisonnable en soi (</w:t>
      </w:r>
      <w:proofErr w:type="spellStart"/>
      <w:r w:rsidR="007B2606" w:rsidRPr="00E8692E">
        <w:rPr>
          <w:i/>
          <w:lang w:val="fr-FR"/>
        </w:rPr>
        <w:t>Bourdov</w:t>
      </w:r>
      <w:proofErr w:type="spellEnd"/>
      <w:r w:rsidR="007B2606" w:rsidRPr="00E8692E">
        <w:rPr>
          <w:i/>
          <w:lang w:val="fr-FR"/>
        </w:rPr>
        <w:t xml:space="preserve"> (n</w:t>
      </w:r>
      <w:r w:rsidR="001648F4" w:rsidRPr="00E8692E">
        <w:rPr>
          <w:i/>
          <w:vertAlign w:val="superscript"/>
          <w:lang w:val="fr-FR"/>
        </w:rPr>
        <w:t>o</w:t>
      </w:r>
      <w:r w:rsidR="007B2606" w:rsidRPr="00E8692E">
        <w:rPr>
          <w:i/>
          <w:lang w:val="fr-FR"/>
        </w:rPr>
        <w:t xml:space="preserve"> 2)</w:t>
      </w:r>
      <w:r w:rsidR="007B2606" w:rsidRPr="00E8692E">
        <w:rPr>
          <w:lang w:val="fr-FR"/>
        </w:rPr>
        <w:t>, précité, § 85).</w:t>
      </w:r>
    </w:p>
    <w:p w:rsidR="001648F4" w:rsidRPr="00E8692E" w:rsidRDefault="00BD0AC6"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27</w:t>
      </w:r>
      <w:r w:rsidRPr="00E8692E">
        <w:rPr>
          <w:lang w:val="fr-FR"/>
        </w:rPr>
        <w:fldChar w:fldCharType="end"/>
      </w:r>
      <w:r w:rsidRPr="00E8692E">
        <w:rPr>
          <w:lang w:val="fr-FR"/>
        </w:rPr>
        <w:t>.  </w:t>
      </w:r>
      <w:r w:rsidR="00DF1659" w:rsidRPr="00E8692E">
        <w:rPr>
          <w:lang w:val="fr-FR"/>
        </w:rPr>
        <w:t>En l</w:t>
      </w:r>
      <w:r w:rsidR="00E8692E" w:rsidRPr="00E8692E">
        <w:rPr>
          <w:lang w:val="fr-FR"/>
        </w:rPr>
        <w:t>’</w:t>
      </w:r>
      <w:r w:rsidR="00DF1659" w:rsidRPr="00E8692E">
        <w:rPr>
          <w:lang w:val="fr-FR"/>
        </w:rPr>
        <w:t>espèce,</w:t>
      </w:r>
      <w:r w:rsidR="00B72A1B" w:rsidRPr="00E8692E">
        <w:rPr>
          <w:lang w:val="fr-FR"/>
        </w:rPr>
        <w:t xml:space="preserve"> l</w:t>
      </w:r>
      <w:r w:rsidR="004A45E8" w:rsidRPr="00E8692E">
        <w:rPr>
          <w:lang w:val="fr-FR"/>
        </w:rPr>
        <w:t>a Cour note que</w:t>
      </w:r>
      <w:r w:rsidR="00DF1659" w:rsidRPr="00E8692E">
        <w:rPr>
          <w:lang w:val="fr-FR"/>
        </w:rPr>
        <w:t xml:space="preserve"> </w:t>
      </w:r>
      <w:r w:rsidRPr="00E8692E">
        <w:rPr>
          <w:lang w:val="fr-FR"/>
        </w:rPr>
        <w:t>le</w:t>
      </w:r>
      <w:r w:rsidR="00996304" w:rsidRPr="00E8692E">
        <w:rPr>
          <w:lang w:val="fr-FR"/>
        </w:rPr>
        <w:t>s</w:t>
      </w:r>
      <w:r w:rsidRPr="00E8692E">
        <w:rPr>
          <w:lang w:val="fr-FR"/>
        </w:rPr>
        <w:t xml:space="preserve"> retard</w:t>
      </w:r>
      <w:r w:rsidR="00996304" w:rsidRPr="00E8692E">
        <w:rPr>
          <w:lang w:val="fr-FR"/>
        </w:rPr>
        <w:t>s</w:t>
      </w:r>
      <w:r w:rsidRPr="00E8692E">
        <w:rPr>
          <w:lang w:val="fr-FR"/>
        </w:rPr>
        <w:t xml:space="preserve"> avec le</w:t>
      </w:r>
      <w:r w:rsidR="00996304" w:rsidRPr="00E8692E">
        <w:rPr>
          <w:lang w:val="fr-FR"/>
        </w:rPr>
        <w:t>s</w:t>
      </w:r>
      <w:r w:rsidRPr="00E8692E">
        <w:rPr>
          <w:lang w:val="fr-FR"/>
        </w:rPr>
        <w:t>quel</w:t>
      </w:r>
      <w:r w:rsidR="00996304" w:rsidRPr="00E8692E">
        <w:rPr>
          <w:lang w:val="fr-FR"/>
        </w:rPr>
        <w:t>s</w:t>
      </w:r>
      <w:r w:rsidR="00DF1659" w:rsidRPr="00E8692E">
        <w:rPr>
          <w:lang w:val="fr-FR"/>
        </w:rPr>
        <w:t xml:space="preserve"> l</w:t>
      </w:r>
      <w:r w:rsidR="00E8692E" w:rsidRPr="00E8692E">
        <w:rPr>
          <w:lang w:val="fr-FR"/>
        </w:rPr>
        <w:t>’</w:t>
      </w:r>
      <w:r w:rsidR="00DF1659" w:rsidRPr="00E8692E">
        <w:rPr>
          <w:lang w:val="fr-FR"/>
        </w:rPr>
        <w:t xml:space="preserve">ASL, </w:t>
      </w:r>
      <w:r w:rsidR="00A15464" w:rsidRPr="00E8692E">
        <w:rPr>
          <w:lang w:val="fr-FR"/>
        </w:rPr>
        <w:t xml:space="preserve">le </w:t>
      </w:r>
      <w:r w:rsidR="00DF1659" w:rsidRPr="00E8692E">
        <w:rPr>
          <w:lang w:val="fr-FR"/>
        </w:rPr>
        <w:t>service local de gestion par l</w:t>
      </w:r>
      <w:r w:rsidR="00E8692E" w:rsidRPr="00E8692E">
        <w:rPr>
          <w:lang w:val="fr-FR"/>
        </w:rPr>
        <w:t>’</w:t>
      </w:r>
      <w:r w:rsidR="00DF1659" w:rsidRPr="00E8692E">
        <w:rPr>
          <w:lang w:val="fr-FR"/>
        </w:rPr>
        <w:t xml:space="preserve">État de la santé publique, </w:t>
      </w:r>
      <w:r w:rsidRPr="00E8692E">
        <w:rPr>
          <w:lang w:val="fr-FR"/>
        </w:rPr>
        <w:t xml:space="preserve">a remboursé les </w:t>
      </w:r>
      <w:r w:rsidR="0057562A" w:rsidRPr="00E8692E">
        <w:rPr>
          <w:lang w:val="fr-FR"/>
        </w:rPr>
        <w:t>sociétés</w:t>
      </w:r>
      <w:r w:rsidRPr="00E8692E">
        <w:rPr>
          <w:lang w:val="fr-FR"/>
        </w:rPr>
        <w:t xml:space="preserve"> requérantes </w:t>
      </w:r>
      <w:r w:rsidR="00996304" w:rsidRPr="00E8692E">
        <w:rPr>
          <w:lang w:val="fr-FR"/>
        </w:rPr>
        <w:t>des requêtes n</w:t>
      </w:r>
      <w:r w:rsidR="00996304" w:rsidRPr="00E8692E">
        <w:rPr>
          <w:vertAlign w:val="superscript"/>
          <w:lang w:val="fr-FR"/>
        </w:rPr>
        <w:t>os</w:t>
      </w:r>
      <w:r w:rsidR="00996304" w:rsidRPr="00E8692E">
        <w:rPr>
          <w:lang w:val="fr-FR"/>
        </w:rPr>
        <w:t xml:space="preserve"> 39189/11, 39190/11 et 39194/11 </w:t>
      </w:r>
      <w:r w:rsidRPr="00E8692E">
        <w:rPr>
          <w:lang w:val="fr-FR"/>
        </w:rPr>
        <w:t>dépasse</w:t>
      </w:r>
      <w:r w:rsidR="00996304" w:rsidRPr="00E8692E">
        <w:rPr>
          <w:lang w:val="fr-FR"/>
        </w:rPr>
        <w:t>nt</w:t>
      </w:r>
      <w:r w:rsidRPr="00E8692E">
        <w:rPr>
          <w:lang w:val="fr-FR"/>
        </w:rPr>
        <w:t xml:space="preserve"> largement un an et deux mois. </w:t>
      </w:r>
      <w:r w:rsidR="00A15464" w:rsidRPr="00E8692E">
        <w:rPr>
          <w:lang w:val="fr-FR"/>
        </w:rPr>
        <w:t>Elle note aussi que, p</w:t>
      </w:r>
      <w:r w:rsidRPr="00E8692E">
        <w:rPr>
          <w:lang w:val="fr-FR"/>
        </w:rPr>
        <w:t>our ce qui est des autres requêtes</w:t>
      </w:r>
      <w:r w:rsidR="004A45E8" w:rsidRPr="00E8692E">
        <w:rPr>
          <w:lang w:val="fr-FR"/>
        </w:rPr>
        <w:t>, l</w:t>
      </w:r>
      <w:r w:rsidR="00E8692E" w:rsidRPr="00E8692E">
        <w:rPr>
          <w:lang w:val="fr-FR"/>
        </w:rPr>
        <w:t>’</w:t>
      </w:r>
      <w:r w:rsidR="004A45E8" w:rsidRPr="00E8692E">
        <w:rPr>
          <w:lang w:val="fr-FR"/>
        </w:rPr>
        <w:t>ASL ne s</w:t>
      </w:r>
      <w:r w:rsidR="00E8692E" w:rsidRPr="00E8692E">
        <w:rPr>
          <w:lang w:val="fr-FR"/>
        </w:rPr>
        <w:t>’</w:t>
      </w:r>
      <w:r w:rsidR="004A45E8" w:rsidRPr="00E8692E">
        <w:rPr>
          <w:lang w:val="fr-FR"/>
        </w:rPr>
        <w:t xml:space="preserve">est pas encore acquitté intégralement de ses dettes plus de sept ans après </w:t>
      </w:r>
      <w:r w:rsidR="00027390" w:rsidRPr="00E8692E">
        <w:rPr>
          <w:lang w:val="fr-FR"/>
        </w:rPr>
        <w:t>le dépôt au greffe</w:t>
      </w:r>
      <w:r w:rsidR="004A45E8" w:rsidRPr="00E8692E">
        <w:rPr>
          <w:lang w:val="fr-FR"/>
        </w:rPr>
        <w:t xml:space="preserve"> des ordonnances d</w:t>
      </w:r>
      <w:r w:rsidR="00E8692E" w:rsidRPr="00E8692E">
        <w:rPr>
          <w:lang w:val="fr-FR"/>
        </w:rPr>
        <w:t>’</w:t>
      </w:r>
      <w:r w:rsidR="004A45E8" w:rsidRPr="00E8692E">
        <w:rPr>
          <w:lang w:val="fr-FR"/>
        </w:rPr>
        <w:t>injonction de payer du tribunal de Naples.</w:t>
      </w:r>
    </w:p>
    <w:p w:rsidR="00A10218" w:rsidRPr="00E8692E" w:rsidRDefault="004B7BAF"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28</w:t>
      </w:r>
      <w:r w:rsidRPr="00E8692E">
        <w:rPr>
          <w:lang w:val="fr-FR"/>
        </w:rPr>
        <w:fldChar w:fldCharType="end"/>
      </w:r>
      <w:r w:rsidRPr="00E8692E">
        <w:rPr>
          <w:lang w:val="fr-FR"/>
        </w:rPr>
        <w:t>.  </w:t>
      </w:r>
      <w:r w:rsidR="00A10218" w:rsidRPr="00E8692E">
        <w:rPr>
          <w:lang w:val="fr-FR"/>
        </w:rPr>
        <w:t xml:space="preserve">La Cour </w:t>
      </w:r>
      <w:r w:rsidR="004A45E8" w:rsidRPr="00E8692E">
        <w:rPr>
          <w:lang w:val="fr-FR"/>
        </w:rPr>
        <w:t>re</w:t>
      </w:r>
      <w:r w:rsidR="00A15464" w:rsidRPr="00E8692E">
        <w:rPr>
          <w:lang w:val="fr-FR"/>
        </w:rPr>
        <w:t>lève</w:t>
      </w:r>
      <w:r w:rsidR="00DF1659" w:rsidRPr="00E8692E">
        <w:rPr>
          <w:lang w:val="fr-FR"/>
        </w:rPr>
        <w:t xml:space="preserve"> que le Gouvernement n</w:t>
      </w:r>
      <w:r w:rsidR="00E8692E" w:rsidRPr="00E8692E">
        <w:rPr>
          <w:lang w:val="fr-FR"/>
        </w:rPr>
        <w:t>’</w:t>
      </w:r>
      <w:r w:rsidR="00DF1659" w:rsidRPr="00E8692E">
        <w:rPr>
          <w:lang w:val="fr-FR"/>
        </w:rPr>
        <w:t xml:space="preserve">a </w:t>
      </w:r>
      <w:r w:rsidR="00BD0AC6" w:rsidRPr="00E8692E">
        <w:rPr>
          <w:lang w:val="fr-FR"/>
        </w:rPr>
        <w:t xml:space="preserve">avancé aucun argument justifiant </w:t>
      </w:r>
      <w:r w:rsidR="00A10218" w:rsidRPr="00E8692E">
        <w:rPr>
          <w:lang w:val="fr-FR"/>
        </w:rPr>
        <w:t xml:space="preserve">la passivité de </w:t>
      </w:r>
      <w:r w:rsidRPr="00E8692E">
        <w:rPr>
          <w:lang w:val="fr-FR"/>
        </w:rPr>
        <w:t>l</w:t>
      </w:r>
      <w:r w:rsidR="00E8692E" w:rsidRPr="00E8692E">
        <w:rPr>
          <w:lang w:val="fr-FR"/>
        </w:rPr>
        <w:t>’</w:t>
      </w:r>
      <w:r w:rsidRPr="00E8692E">
        <w:rPr>
          <w:lang w:val="fr-FR"/>
        </w:rPr>
        <w:t xml:space="preserve">ASL. </w:t>
      </w:r>
      <w:r w:rsidRPr="00E8692E">
        <w:rPr>
          <w:rFonts w:cstheme="minorHAnsi"/>
          <w:lang w:val="fr-FR"/>
        </w:rPr>
        <w:t>Par conséquent</w:t>
      </w:r>
      <w:r w:rsidR="00A10218" w:rsidRPr="00E8692E">
        <w:rPr>
          <w:lang w:val="fr-FR"/>
        </w:rPr>
        <w:t>, il n</w:t>
      </w:r>
      <w:r w:rsidR="00E8692E" w:rsidRPr="00E8692E">
        <w:rPr>
          <w:lang w:val="fr-FR"/>
        </w:rPr>
        <w:t>’</w:t>
      </w:r>
      <w:r w:rsidR="00A10218" w:rsidRPr="00E8692E">
        <w:rPr>
          <w:lang w:val="fr-FR"/>
        </w:rPr>
        <w:t>y a pas lieu de rechercher si un juste équilibre a été maintenu entre les exigences de l</w:t>
      </w:r>
      <w:r w:rsidR="00E8692E" w:rsidRPr="00E8692E">
        <w:rPr>
          <w:lang w:val="fr-FR"/>
        </w:rPr>
        <w:t>’</w:t>
      </w:r>
      <w:r w:rsidR="00A10218" w:rsidRPr="00E8692E">
        <w:rPr>
          <w:lang w:val="fr-FR"/>
        </w:rPr>
        <w:t>intérêt général de la communauté et les impératifs de la sauvegarde des droits individuels (</w:t>
      </w:r>
      <w:proofErr w:type="spellStart"/>
      <w:r w:rsidR="00A10218" w:rsidRPr="00E8692E">
        <w:rPr>
          <w:i/>
          <w:lang w:val="fr-FR"/>
        </w:rPr>
        <w:t>Iatridis</w:t>
      </w:r>
      <w:proofErr w:type="spellEnd"/>
      <w:r w:rsidR="00A10218" w:rsidRPr="00E8692E">
        <w:rPr>
          <w:i/>
          <w:lang w:val="fr-FR"/>
        </w:rPr>
        <w:t xml:space="preserve"> c. Grèce</w:t>
      </w:r>
      <w:r w:rsidRPr="00E8692E">
        <w:rPr>
          <w:lang w:val="fr-FR"/>
        </w:rPr>
        <w:t xml:space="preserve"> [GC], n</w:t>
      </w:r>
      <w:r w:rsidR="002A41D5" w:rsidRPr="00E8692E">
        <w:rPr>
          <w:vertAlign w:val="superscript"/>
          <w:lang w:val="fr-FR"/>
        </w:rPr>
        <w:t>o</w:t>
      </w:r>
      <w:r w:rsidR="00A10218" w:rsidRPr="00E8692E">
        <w:rPr>
          <w:lang w:val="fr-FR"/>
        </w:rPr>
        <w:t xml:space="preserve"> 31107/96, § 62, CEDH</w:t>
      </w:r>
      <w:r w:rsidR="00A15464" w:rsidRPr="00E8692E">
        <w:rPr>
          <w:lang w:val="fr-FR"/>
        </w:rPr>
        <w:t> </w:t>
      </w:r>
      <w:r w:rsidR="00A10218" w:rsidRPr="00E8692E">
        <w:rPr>
          <w:lang w:val="fr-FR"/>
        </w:rPr>
        <w:t>1999</w:t>
      </w:r>
      <w:r w:rsidR="00A15464" w:rsidRPr="00E8692E">
        <w:rPr>
          <w:lang w:val="fr-FR"/>
        </w:rPr>
        <w:noBreakHyphen/>
      </w:r>
      <w:r w:rsidR="00A10218" w:rsidRPr="00E8692E">
        <w:rPr>
          <w:lang w:val="fr-FR"/>
        </w:rPr>
        <w:t>II</w:t>
      </w:r>
      <w:r w:rsidR="00A15464" w:rsidRPr="00E8692E">
        <w:rPr>
          <w:lang w:val="fr-FR"/>
        </w:rPr>
        <w:t>, et</w:t>
      </w:r>
      <w:r w:rsidR="00A10218" w:rsidRPr="00E8692E">
        <w:rPr>
          <w:lang w:val="fr-FR"/>
        </w:rPr>
        <w:t xml:space="preserve"> </w:t>
      </w:r>
      <w:r w:rsidRPr="00E8692E">
        <w:rPr>
          <w:i/>
          <w:lang w:val="fr-FR"/>
        </w:rPr>
        <w:t>Gagliardi</w:t>
      </w:r>
      <w:r w:rsidRPr="00E8692E">
        <w:rPr>
          <w:lang w:val="fr-FR"/>
        </w:rPr>
        <w:t xml:space="preserve">, </w:t>
      </w:r>
      <w:r w:rsidR="00A15464" w:rsidRPr="00E8692E">
        <w:rPr>
          <w:lang w:val="fr-FR"/>
        </w:rPr>
        <w:t xml:space="preserve">décision </w:t>
      </w:r>
      <w:r w:rsidRPr="00E8692E">
        <w:rPr>
          <w:lang w:val="fr-FR"/>
        </w:rPr>
        <w:t>précité</w:t>
      </w:r>
      <w:r w:rsidR="00A15464" w:rsidRPr="00E8692E">
        <w:rPr>
          <w:lang w:val="fr-FR"/>
        </w:rPr>
        <w:t>e</w:t>
      </w:r>
      <w:r w:rsidRPr="00E8692E">
        <w:rPr>
          <w:lang w:val="fr-FR"/>
        </w:rPr>
        <w:t>, § 6</w:t>
      </w:r>
      <w:r w:rsidR="00A10218" w:rsidRPr="00E8692E">
        <w:rPr>
          <w:lang w:val="fr-FR"/>
        </w:rPr>
        <w:t>5).</w:t>
      </w:r>
    </w:p>
    <w:p w:rsidR="00E77CB3" w:rsidRPr="00E8692E" w:rsidRDefault="00BD0AC6"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29</w:t>
      </w:r>
      <w:r w:rsidRPr="00E8692E">
        <w:rPr>
          <w:lang w:val="fr-FR"/>
        </w:rPr>
        <w:fldChar w:fldCharType="end"/>
      </w:r>
      <w:r w:rsidRPr="00E8692E">
        <w:rPr>
          <w:lang w:val="fr-FR"/>
        </w:rPr>
        <w:t>.  </w:t>
      </w:r>
      <w:r w:rsidR="001D30FA" w:rsidRPr="00E8692E">
        <w:rPr>
          <w:lang w:val="fr-FR"/>
        </w:rPr>
        <w:t>Dès lors</w:t>
      </w:r>
      <w:r w:rsidR="00A10218" w:rsidRPr="00E8692E">
        <w:rPr>
          <w:lang w:val="fr-FR"/>
        </w:rPr>
        <w:t>, la Cour estime qu</w:t>
      </w:r>
      <w:r w:rsidR="00E8692E" w:rsidRPr="00E8692E">
        <w:rPr>
          <w:lang w:val="fr-FR"/>
        </w:rPr>
        <w:t>’</w:t>
      </w:r>
      <w:r w:rsidR="00A10218" w:rsidRPr="00E8692E">
        <w:rPr>
          <w:lang w:val="fr-FR"/>
        </w:rPr>
        <w:t>il y a eu violation de l</w:t>
      </w:r>
      <w:r w:rsidR="00E8692E" w:rsidRPr="00E8692E">
        <w:rPr>
          <w:lang w:val="fr-FR"/>
        </w:rPr>
        <w:t>’</w:t>
      </w:r>
      <w:r w:rsidR="00A10218" w:rsidRPr="00E8692E">
        <w:rPr>
          <w:lang w:val="fr-FR"/>
        </w:rPr>
        <w:t>article 6 § 1 de la Convention.</w:t>
      </w:r>
    </w:p>
    <w:p w:rsidR="00E77CB3" w:rsidRPr="00E8692E" w:rsidRDefault="00E02CD3" w:rsidP="00E8692E">
      <w:pPr>
        <w:pStyle w:val="ECHRHeading1"/>
        <w:rPr>
          <w:lang w:val="fr-FR"/>
        </w:rPr>
      </w:pPr>
      <w:r w:rsidRPr="00E8692E">
        <w:rPr>
          <w:lang w:val="fr-FR"/>
        </w:rPr>
        <w:t>III</w:t>
      </w:r>
      <w:r w:rsidR="00E77CB3" w:rsidRPr="00E8692E">
        <w:rPr>
          <w:lang w:val="fr-FR"/>
        </w:rPr>
        <w:t>.  SUR L</w:t>
      </w:r>
      <w:r w:rsidR="00E8692E" w:rsidRPr="00E8692E">
        <w:rPr>
          <w:lang w:val="fr-FR"/>
        </w:rPr>
        <w:t>’</w:t>
      </w:r>
      <w:r w:rsidR="00E77CB3" w:rsidRPr="00E8692E">
        <w:rPr>
          <w:lang w:val="fr-FR"/>
        </w:rPr>
        <w:t>APPLICATION DE L</w:t>
      </w:r>
      <w:r w:rsidR="00E8692E" w:rsidRPr="00E8692E">
        <w:rPr>
          <w:lang w:val="fr-FR"/>
        </w:rPr>
        <w:t>’</w:t>
      </w:r>
      <w:r w:rsidR="00E77CB3" w:rsidRPr="00E8692E">
        <w:rPr>
          <w:lang w:val="fr-FR"/>
        </w:rPr>
        <w:t>ARTICLE 41 DE LA CONVENTION</w:t>
      </w: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30</w:t>
      </w:r>
      <w:r w:rsidRPr="00E8692E">
        <w:rPr>
          <w:lang w:val="fr-FR"/>
        </w:rPr>
        <w:fldChar w:fldCharType="end"/>
      </w:r>
      <w:r w:rsidR="00E77CB3" w:rsidRPr="00E8692E">
        <w:rPr>
          <w:lang w:val="fr-FR"/>
        </w:rPr>
        <w:t>.  Aux termes de l</w:t>
      </w:r>
      <w:r w:rsidR="00E8692E" w:rsidRPr="00E8692E">
        <w:rPr>
          <w:lang w:val="fr-FR"/>
        </w:rPr>
        <w:t>’</w:t>
      </w:r>
      <w:r w:rsidR="00E77CB3" w:rsidRPr="00E8692E">
        <w:rPr>
          <w:lang w:val="fr-FR"/>
        </w:rPr>
        <w:t>article 41 de la Convention,</w:t>
      </w:r>
    </w:p>
    <w:p w:rsidR="00E77CB3" w:rsidRPr="00E8692E" w:rsidRDefault="00E77CB3" w:rsidP="00E8692E">
      <w:pPr>
        <w:pStyle w:val="ECHRParaQuote"/>
        <w:keepNext/>
        <w:keepLines/>
        <w:rPr>
          <w:lang w:val="fr-FR"/>
        </w:rPr>
      </w:pPr>
      <w:r w:rsidRPr="00E8692E">
        <w:rPr>
          <w:lang w:val="fr-FR"/>
        </w:rPr>
        <w:t>« Si la Cour déclare qu</w:t>
      </w:r>
      <w:r w:rsidR="00E8692E" w:rsidRPr="00E8692E">
        <w:rPr>
          <w:lang w:val="fr-FR"/>
        </w:rPr>
        <w:t>’</w:t>
      </w:r>
      <w:r w:rsidRPr="00E8692E">
        <w:rPr>
          <w:lang w:val="fr-FR"/>
        </w:rPr>
        <w:t>il y a eu violation de la Convention ou de ses Protocoles, et si le droit interne de la Haute Partie contractante ne permet d</w:t>
      </w:r>
      <w:r w:rsidR="00E8692E" w:rsidRPr="00E8692E">
        <w:rPr>
          <w:lang w:val="fr-FR"/>
        </w:rPr>
        <w:t>’</w:t>
      </w:r>
      <w:r w:rsidRPr="00E8692E">
        <w:rPr>
          <w:lang w:val="fr-FR"/>
        </w:rPr>
        <w:t>effacer qu</w:t>
      </w:r>
      <w:r w:rsidR="00E8692E" w:rsidRPr="00E8692E">
        <w:rPr>
          <w:lang w:val="fr-FR"/>
        </w:rPr>
        <w:t>’</w:t>
      </w:r>
      <w:r w:rsidRPr="00E8692E">
        <w:rPr>
          <w:lang w:val="fr-FR"/>
        </w:rPr>
        <w:t>imparfaitement les conséquences de cette violation, la Cour accorde à la partie lésée, s</w:t>
      </w:r>
      <w:r w:rsidR="00E8692E" w:rsidRPr="00E8692E">
        <w:rPr>
          <w:lang w:val="fr-FR"/>
        </w:rPr>
        <w:t>’</w:t>
      </w:r>
      <w:r w:rsidRPr="00E8692E">
        <w:rPr>
          <w:lang w:val="fr-FR"/>
        </w:rPr>
        <w:t>il y a lieu, une satisfaction équitable. »</w:t>
      </w:r>
    </w:p>
    <w:p w:rsidR="00E77CB3" w:rsidRPr="00E8692E" w:rsidRDefault="00E77CB3" w:rsidP="00E8692E">
      <w:pPr>
        <w:pStyle w:val="ECHRHeading2"/>
        <w:rPr>
          <w:lang w:val="fr-FR"/>
        </w:rPr>
      </w:pPr>
      <w:r w:rsidRPr="00E8692E">
        <w:rPr>
          <w:lang w:val="fr-FR"/>
        </w:rPr>
        <w:t>A.  Dommage</w:t>
      </w:r>
    </w:p>
    <w:p w:rsidR="0091293E"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31</w:t>
      </w:r>
      <w:r w:rsidRPr="00E8692E">
        <w:rPr>
          <w:lang w:val="fr-FR"/>
        </w:rPr>
        <w:fldChar w:fldCharType="end"/>
      </w:r>
      <w:r w:rsidR="00E77CB3" w:rsidRPr="00E8692E">
        <w:rPr>
          <w:lang w:val="fr-FR"/>
        </w:rPr>
        <w:t>.  </w:t>
      </w:r>
      <w:r w:rsidRPr="00E8692E">
        <w:rPr>
          <w:lang w:val="fr-FR"/>
        </w:rPr>
        <w:t xml:space="preserve">Les </w:t>
      </w:r>
      <w:r w:rsidR="0057562A" w:rsidRPr="00E8692E">
        <w:rPr>
          <w:lang w:val="fr-FR"/>
        </w:rPr>
        <w:t xml:space="preserve">sociétés </w:t>
      </w:r>
      <w:r w:rsidRPr="00E8692E">
        <w:rPr>
          <w:lang w:val="fr-FR"/>
        </w:rPr>
        <w:t>requérant</w:t>
      </w:r>
      <w:r w:rsidR="004C3131" w:rsidRPr="00E8692E">
        <w:rPr>
          <w:lang w:val="fr-FR"/>
        </w:rPr>
        <w:t>e</w:t>
      </w:r>
      <w:r w:rsidRPr="00E8692E">
        <w:rPr>
          <w:lang w:val="fr-FR"/>
        </w:rPr>
        <w:t>s</w:t>
      </w:r>
      <w:r w:rsidR="00163CB4" w:rsidRPr="00E8692E">
        <w:rPr>
          <w:lang w:val="fr-FR"/>
        </w:rPr>
        <w:t xml:space="preserve"> réclame</w:t>
      </w:r>
      <w:r w:rsidRPr="00E8692E">
        <w:rPr>
          <w:lang w:val="fr-FR"/>
        </w:rPr>
        <w:t>nt</w:t>
      </w:r>
      <w:r w:rsidR="0091293E" w:rsidRPr="00E8692E">
        <w:rPr>
          <w:lang w:val="fr-FR"/>
        </w:rPr>
        <w:t xml:space="preserve"> 10 800 </w:t>
      </w:r>
      <w:r w:rsidR="00865A99" w:rsidRPr="00E8692E">
        <w:rPr>
          <w:lang w:val="fr-FR"/>
        </w:rPr>
        <w:t>euros (</w:t>
      </w:r>
      <w:r w:rsidR="0091293E" w:rsidRPr="00E8692E">
        <w:rPr>
          <w:lang w:val="fr-FR"/>
        </w:rPr>
        <w:t>EUR</w:t>
      </w:r>
      <w:r w:rsidR="00865A99" w:rsidRPr="00E8692E">
        <w:rPr>
          <w:lang w:val="fr-FR"/>
        </w:rPr>
        <w:t>)</w:t>
      </w:r>
      <w:r w:rsidR="0091293E" w:rsidRPr="00E8692E">
        <w:rPr>
          <w:lang w:val="fr-FR"/>
        </w:rPr>
        <w:t xml:space="preserve"> </w:t>
      </w:r>
      <w:r w:rsidR="00D97EEE" w:rsidRPr="00E8692E">
        <w:rPr>
          <w:lang w:val="fr-FR"/>
        </w:rPr>
        <w:t xml:space="preserve">chacune </w:t>
      </w:r>
      <w:r w:rsidR="0091293E" w:rsidRPr="00E8692E">
        <w:rPr>
          <w:lang w:val="fr-FR"/>
        </w:rPr>
        <w:t>au titre d</w:t>
      </w:r>
      <w:r w:rsidR="00410272" w:rsidRPr="00E8692E">
        <w:rPr>
          <w:lang w:val="fr-FR"/>
        </w:rPr>
        <w:t>u</w:t>
      </w:r>
      <w:r w:rsidR="0091293E" w:rsidRPr="00E8692E">
        <w:rPr>
          <w:lang w:val="fr-FR"/>
        </w:rPr>
        <w:t xml:space="preserve"> dommage moral</w:t>
      </w:r>
      <w:r w:rsidR="00012984" w:rsidRPr="00E8692E">
        <w:rPr>
          <w:lang w:val="fr-FR"/>
        </w:rPr>
        <w:t>, ainsi que</w:t>
      </w:r>
      <w:r w:rsidR="00163CB4" w:rsidRPr="00E8692E">
        <w:rPr>
          <w:lang w:val="fr-FR"/>
        </w:rPr>
        <w:t xml:space="preserve"> </w:t>
      </w:r>
      <w:r w:rsidR="004C3131" w:rsidRPr="00E8692E">
        <w:rPr>
          <w:lang w:val="fr-FR"/>
        </w:rPr>
        <w:t>le</w:t>
      </w:r>
      <w:r w:rsidR="0091293E" w:rsidRPr="00E8692E">
        <w:rPr>
          <w:lang w:val="fr-FR"/>
        </w:rPr>
        <w:t>s sommes suivantes</w:t>
      </w:r>
      <w:r w:rsidR="00410272" w:rsidRPr="00E8692E">
        <w:rPr>
          <w:lang w:val="fr-FR"/>
        </w:rPr>
        <w:t xml:space="preserve"> </w:t>
      </w:r>
      <w:r w:rsidR="00D97EEE" w:rsidRPr="00E8692E">
        <w:rPr>
          <w:lang w:val="fr-FR"/>
        </w:rPr>
        <w:t>au titre d</w:t>
      </w:r>
      <w:r w:rsidR="00410272" w:rsidRPr="00E8692E">
        <w:rPr>
          <w:lang w:val="fr-FR"/>
        </w:rPr>
        <w:t>u</w:t>
      </w:r>
      <w:r w:rsidR="00D97EEE" w:rsidRPr="00E8692E">
        <w:rPr>
          <w:lang w:val="fr-FR"/>
        </w:rPr>
        <w:t xml:space="preserve"> dommage matériel</w:t>
      </w:r>
      <w:r w:rsidR="00012984" w:rsidRPr="00E8692E">
        <w:rPr>
          <w:lang w:val="fr-FR"/>
        </w:rPr>
        <w:t> </w:t>
      </w:r>
      <w:r w:rsidR="0091293E" w:rsidRPr="00E8692E">
        <w:rPr>
          <w:lang w:val="fr-FR"/>
        </w:rPr>
        <w:t>:</w:t>
      </w:r>
    </w:p>
    <w:p w:rsidR="0091293E" w:rsidRPr="00E8692E" w:rsidRDefault="0091293E" w:rsidP="00E8692E">
      <w:pPr>
        <w:pStyle w:val="ECHRPara"/>
        <w:rPr>
          <w:lang w:val="fr-FR"/>
        </w:rPr>
      </w:pPr>
    </w:p>
    <w:tbl>
      <w:tblPr>
        <w:tblW w:w="3162"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1147"/>
        <w:gridCol w:w="2015"/>
      </w:tblGrid>
      <w:tr w:rsidR="00E02CD3" w:rsidRPr="00E8692E" w:rsidTr="00E02CD3">
        <w:trPr>
          <w:trHeight w:val="1252"/>
          <w:tblHeader/>
          <w:jc w:val="center"/>
        </w:trPr>
        <w:tc>
          <w:tcPr>
            <w:tcW w:w="1147" w:type="dxa"/>
            <w:shd w:val="clear" w:color="auto" w:fill="E0E0E0"/>
            <w:vAlign w:val="center"/>
          </w:tcPr>
          <w:p w:rsidR="00E02CD3" w:rsidRPr="00E8692E" w:rsidRDefault="00E02CD3" w:rsidP="00E8692E">
            <w:pPr>
              <w:pStyle w:val="ECHRPara"/>
              <w:ind w:firstLine="0"/>
              <w:jc w:val="center"/>
              <w:rPr>
                <w:b/>
                <w:sz w:val="20"/>
                <w:szCs w:val="20"/>
                <w:lang w:val="fr-FR"/>
              </w:rPr>
            </w:pPr>
            <w:r w:rsidRPr="00E8692E">
              <w:rPr>
                <w:b/>
                <w:sz w:val="20"/>
                <w:szCs w:val="20"/>
                <w:lang w:val="fr-FR"/>
              </w:rPr>
              <w:lastRenderedPageBreak/>
              <w:t>N</w:t>
            </w:r>
            <w:r w:rsidRPr="00E8692E">
              <w:rPr>
                <w:rFonts w:ascii="Times New (W1)" w:hAnsi="Times New (W1)"/>
                <w:b/>
                <w:sz w:val="20"/>
                <w:szCs w:val="20"/>
                <w:vertAlign w:val="superscript"/>
                <w:lang w:val="fr-FR"/>
              </w:rPr>
              <w:t>o</w:t>
            </w:r>
            <w:r w:rsidRPr="00E8692E">
              <w:rPr>
                <w:b/>
                <w:sz w:val="20"/>
                <w:szCs w:val="20"/>
                <w:lang w:val="fr-FR"/>
              </w:rPr>
              <w:t xml:space="preserve"> de requête</w:t>
            </w:r>
          </w:p>
        </w:tc>
        <w:tc>
          <w:tcPr>
            <w:tcW w:w="2015" w:type="dxa"/>
            <w:shd w:val="clear" w:color="auto" w:fill="E0E0E0"/>
            <w:vAlign w:val="center"/>
          </w:tcPr>
          <w:p w:rsidR="00E02CD3" w:rsidRPr="00E8692E" w:rsidRDefault="00E048D8" w:rsidP="00E8692E">
            <w:pPr>
              <w:jc w:val="center"/>
              <w:rPr>
                <w:b/>
                <w:noProof/>
                <w:sz w:val="20"/>
                <w:szCs w:val="20"/>
                <w:lang w:val="fr-FR"/>
              </w:rPr>
            </w:pPr>
            <w:r w:rsidRPr="00E8692E">
              <w:rPr>
                <w:b/>
                <w:noProof/>
                <w:sz w:val="20"/>
                <w:szCs w:val="20"/>
                <w:lang w:val="fr-FR"/>
              </w:rPr>
              <w:t>Somme demandée pour dommage</w:t>
            </w:r>
            <w:r w:rsidR="00E02CD3" w:rsidRPr="00E8692E">
              <w:rPr>
                <w:b/>
                <w:noProof/>
                <w:sz w:val="20"/>
                <w:szCs w:val="20"/>
                <w:lang w:val="fr-FR"/>
              </w:rPr>
              <w:t xml:space="preserve"> matériel (en EUR)</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39186/11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38 051,91</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39187/11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95 116,62</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39192/11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34 508,65</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39193/11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17 563,27</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39196/11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15 022,87</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39197/11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98 599,28</w:t>
            </w:r>
          </w:p>
        </w:tc>
      </w:tr>
      <w:tr w:rsidR="00E02CD3" w:rsidRPr="00E8692E" w:rsidTr="00E02CD3">
        <w:trPr>
          <w:trHeight w:val="711"/>
          <w:jc w:val="center"/>
        </w:trPr>
        <w:tc>
          <w:tcPr>
            <w:tcW w:w="1147" w:type="dxa"/>
            <w:shd w:val="clear" w:color="auto" w:fill="auto"/>
            <w:vAlign w:val="center"/>
          </w:tcPr>
          <w:p w:rsidR="00E02CD3" w:rsidRPr="00E8692E" w:rsidRDefault="00E02CD3" w:rsidP="00E8692E">
            <w:pPr>
              <w:suppressAutoHyphens/>
              <w:jc w:val="center"/>
              <w:rPr>
                <w:sz w:val="20"/>
                <w:szCs w:val="20"/>
                <w:lang w:val="fr-FR"/>
              </w:rPr>
            </w:pPr>
            <w:r w:rsidRPr="00E8692E">
              <w:rPr>
                <w:sz w:val="20"/>
                <w:szCs w:val="20"/>
                <w:lang w:val="fr-FR"/>
              </w:rPr>
              <w:t>39198/11</w:t>
            </w:r>
          </w:p>
        </w:tc>
        <w:tc>
          <w:tcPr>
            <w:tcW w:w="2015" w:type="dxa"/>
            <w:vAlign w:val="center"/>
          </w:tcPr>
          <w:p w:rsidR="00E02CD3" w:rsidRPr="00E8692E" w:rsidRDefault="00E02CD3" w:rsidP="00E8692E">
            <w:pPr>
              <w:pStyle w:val="ECHRParaSpaced"/>
              <w:jc w:val="right"/>
              <w:rPr>
                <w:sz w:val="20"/>
                <w:szCs w:val="20"/>
                <w:lang w:val="fr-FR"/>
              </w:rPr>
            </w:pPr>
            <w:r w:rsidRPr="00E8692E">
              <w:rPr>
                <w:rFonts w:eastAsiaTheme="minorEastAsia"/>
                <w:noProof/>
                <w:sz w:val="20"/>
                <w:szCs w:val="20"/>
                <w:lang w:val="fr-FR"/>
              </w:rPr>
              <w:t>977,66</w:t>
            </w:r>
          </w:p>
        </w:tc>
      </w:tr>
    </w:tbl>
    <w:p w:rsidR="0091293E" w:rsidRPr="00E8692E" w:rsidRDefault="0091293E" w:rsidP="00E8692E">
      <w:pPr>
        <w:pStyle w:val="ECHRPara"/>
        <w:rPr>
          <w:lang w:val="fr-FR"/>
        </w:rPr>
      </w:pP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32</w:t>
      </w:r>
      <w:r w:rsidRPr="00E8692E">
        <w:rPr>
          <w:lang w:val="fr-FR"/>
        </w:rPr>
        <w:fldChar w:fldCharType="end"/>
      </w:r>
      <w:r w:rsidR="00E77CB3" w:rsidRPr="00E8692E">
        <w:rPr>
          <w:lang w:val="fr-FR"/>
        </w:rPr>
        <w:t xml:space="preserve">.  Le Gouvernement </w:t>
      </w:r>
      <w:r w:rsidR="00B82A90" w:rsidRPr="00E8692E">
        <w:rPr>
          <w:lang w:val="fr-FR"/>
        </w:rPr>
        <w:t>estime</w:t>
      </w:r>
      <w:r w:rsidR="004C3131" w:rsidRPr="00E8692E">
        <w:rPr>
          <w:lang w:val="fr-FR"/>
        </w:rPr>
        <w:t xml:space="preserve"> que les sommes demandées sont excessives.</w:t>
      </w:r>
    </w:p>
    <w:p w:rsidR="001648F4"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33</w:t>
      </w:r>
      <w:r w:rsidRPr="00E8692E">
        <w:rPr>
          <w:lang w:val="fr-FR"/>
        </w:rPr>
        <w:fldChar w:fldCharType="end"/>
      </w:r>
      <w:r w:rsidR="00E77CB3" w:rsidRPr="00E8692E">
        <w:rPr>
          <w:lang w:val="fr-FR"/>
        </w:rPr>
        <w:t>.  La Cour considère qu</w:t>
      </w:r>
      <w:r w:rsidR="00E8692E" w:rsidRPr="00E8692E">
        <w:rPr>
          <w:lang w:val="fr-FR"/>
        </w:rPr>
        <w:t>’</w:t>
      </w:r>
      <w:r w:rsidR="00E77CB3" w:rsidRPr="00E8692E">
        <w:rPr>
          <w:lang w:val="fr-FR"/>
        </w:rPr>
        <w:t>il y a lieu d</w:t>
      </w:r>
      <w:r w:rsidR="00E8692E" w:rsidRPr="00E8692E">
        <w:rPr>
          <w:lang w:val="fr-FR"/>
        </w:rPr>
        <w:t>’</w:t>
      </w:r>
      <w:r w:rsidR="00E77CB3" w:rsidRPr="00E8692E">
        <w:rPr>
          <w:lang w:val="fr-FR"/>
        </w:rPr>
        <w:t xml:space="preserve">octroyer </w:t>
      </w:r>
      <w:r w:rsidRPr="00E8692E">
        <w:rPr>
          <w:lang w:val="fr-FR"/>
        </w:rPr>
        <w:t xml:space="preserve">aux </w:t>
      </w:r>
      <w:r w:rsidR="0057562A" w:rsidRPr="00E8692E">
        <w:rPr>
          <w:lang w:val="fr-FR"/>
        </w:rPr>
        <w:t xml:space="preserve">sociétés </w:t>
      </w:r>
      <w:r w:rsidRPr="00E8692E">
        <w:rPr>
          <w:lang w:val="fr-FR"/>
        </w:rPr>
        <w:t>requérant</w:t>
      </w:r>
      <w:r w:rsidR="00D97EEE" w:rsidRPr="00E8692E">
        <w:rPr>
          <w:lang w:val="fr-FR"/>
        </w:rPr>
        <w:t>e</w:t>
      </w:r>
      <w:r w:rsidRPr="00E8692E">
        <w:rPr>
          <w:lang w:val="fr-FR"/>
        </w:rPr>
        <w:t>s</w:t>
      </w:r>
      <w:r w:rsidR="00E77CB3" w:rsidRPr="00E8692E">
        <w:rPr>
          <w:lang w:val="fr-FR"/>
        </w:rPr>
        <w:t xml:space="preserve"> </w:t>
      </w:r>
      <w:r w:rsidR="000805C1" w:rsidRPr="00E8692E">
        <w:rPr>
          <w:lang w:val="fr-FR"/>
        </w:rPr>
        <w:t xml:space="preserve">les sommes </w:t>
      </w:r>
      <w:r w:rsidR="00B82A90" w:rsidRPr="00E8692E">
        <w:rPr>
          <w:lang w:val="fr-FR"/>
        </w:rPr>
        <w:t>non</w:t>
      </w:r>
      <w:r w:rsidR="0091293E" w:rsidRPr="00E8692E">
        <w:rPr>
          <w:lang w:val="fr-FR"/>
        </w:rPr>
        <w:t xml:space="preserve"> encore </w:t>
      </w:r>
      <w:r w:rsidR="00B82A90" w:rsidRPr="00E8692E">
        <w:rPr>
          <w:lang w:val="fr-FR"/>
        </w:rPr>
        <w:t>versées,</w:t>
      </w:r>
      <w:r w:rsidR="004F2A06" w:rsidRPr="00E8692E">
        <w:rPr>
          <w:lang w:val="fr-FR"/>
        </w:rPr>
        <w:t xml:space="preserve"> indiquées dans l</w:t>
      </w:r>
      <w:r w:rsidR="00E8692E" w:rsidRPr="00E8692E">
        <w:rPr>
          <w:lang w:val="fr-FR"/>
        </w:rPr>
        <w:t>’</w:t>
      </w:r>
      <w:r w:rsidR="00B82A90" w:rsidRPr="00E8692E">
        <w:rPr>
          <w:lang w:val="fr-FR"/>
        </w:rPr>
        <w:t>a</w:t>
      </w:r>
      <w:r w:rsidR="004F2A06" w:rsidRPr="00E8692E">
        <w:rPr>
          <w:lang w:val="fr-FR"/>
        </w:rPr>
        <w:t>nnexe</w:t>
      </w:r>
      <w:r w:rsidR="00B82A90" w:rsidRPr="00E8692E">
        <w:rPr>
          <w:lang w:val="fr-FR"/>
        </w:rPr>
        <w:t>, au titre du dommage matériel</w:t>
      </w:r>
      <w:r w:rsidR="000805C1" w:rsidRPr="00E8692E">
        <w:rPr>
          <w:lang w:val="fr-FR"/>
        </w:rPr>
        <w:t>.</w:t>
      </w:r>
    </w:p>
    <w:p w:rsidR="002E750D" w:rsidRPr="00E8692E" w:rsidRDefault="00F61CC3" w:rsidP="00E8692E">
      <w:pPr>
        <w:pStyle w:val="ECHRPara"/>
        <w:rPr>
          <w:rStyle w:val="column"/>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34</w:t>
      </w:r>
      <w:r w:rsidRPr="00E8692E">
        <w:rPr>
          <w:lang w:val="fr-FR"/>
        </w:rPr>
        <w:fldChar w:fldCharType="end"/>
      </w:r>
      <w:r w:rsidRPr="00E8692E">
        <w:rPr>
          <w:lang w:val="fr-FR"/>
        </w:rPr>
        <w:t>.  La Cour précise néanmoins que c</w:t>
      </w:r>
      <w:r w:rsidR="004F2A06" w:rsidRPr="00E8692E">
        <w:rPr>
          <w:lang w:val="fr-FR"/>
        </w:rPr>
        <w:t>es sommes ne sont dues qu</w:t>
      </w:r>
      <w:r w:rsidR="00E8692E" w:rsidRPr="00E8692E">
        <w:rPr>
          <w:lang w:val="fr-FR"/>
        </w:rPr>
        <w:t>’</w:t>
      </w:r>
      <w:r w:rsidR="004F2A06" w:rsidRPr="00E8692E">
        <w:rPr>
          <w:lang w:val="fr-FR"/>
        </w:rPr>
        <w:t>en fonction de l</w:t>
      </w:r>
      <w:r w:rsidR="00E8692E" w:rsidRPr="00E8692E">
        <w:rPr>
          <w:lang w:val="fr-FR"/>
        </w:rPr>
        <w:t>’</w:t>
      </w:r>
      <w:r w:rsidR="004F2A06" w:rsidRPr="00E8692E">
        <w:rPr>
          <w:lang w:val="fr-FR"/>
        </w:rPr>
        <w:t xml:space="preserve">état de versement des </w:t>
      </w:r>
      <w:r w:rsidR="002E750D" w:rsidRPr="00E8692E">
        <w:rPr>
          <w:lang w:val="fr-FR"/>
        </w:rPr>
        <w:t>montants</w:t>
      </w:r>
      <w:r w:rsidR="00D97EEE" w:rsidRPr="00E8692E">
        <w:rPr>
          <w:lang w:val="fr-FR"/>
        </w:rPr>
        <w:t xml:space="preserve"> reconnu</w:t>
      </w:r>
      <w:r w:rsidR="004F2A06" w:rsidRPr="00E8692E">
        <w:rPr>
          <w:lang w:val="fr-FR"/>
        </w:rPr>
        <w:t>s au plan interne. Ainsi, dans l</w:t>
      </w:r>
      <w:r w:rsidR="00E8692E" w:rsidRPr="00E8692E">
        <w:rPr>
          <w:lang w:val="fr-FR"/>
        </w:rPr>
        <w:t>’</w:t>
      </w:r>
      <w:r w:rsidR="004F2A06" w:rsidRPr="00E8692E">
        <w:rPr>
          <w:lang w:val="fr-FR"/>
        </w:rPr>
        <w:t>hypothèse où ces sommes seraient effectivement payées par les autorités italiennes aux</w:t>
      </w:r>
      <w:r w:rsidR="0057562A" w:rsidRPr="00E8692E">
        <w:rPr>
          <w:lang w:val="fr-FR"/>
        </w:rPr>
        <w:t xml:space="preserve"> sociétés</w:t>
      </w:r>
      <w:r w:rsidR="004F2A06" w:rsidRPr="00E8692E">
        <w:rPr>
          <w:lang w:val="fr-FR"/>
        </w:rPr>
        <w:t xml:space="preserve"> requérant</w:t>
      </w:r>
      <w:r w:rsidR="002E750D" w:rsidRPr="00E8692E">
        <w:rPr>
          <w:lang w:val="fr-FR"/>
        </w:rPr>
        <w:t>e</w:t>
      </w:r>
      <w:r w:rsidR="004F2A06" w:rsidRPr="00E8692E">
        <w:rPr>
          <w:lang w:val="fr-FR"/>
        </w:rPr>
        <w:t xml:space="preserve">s, elles viendraient en déduction des </w:t>
      </w:r>
      <w:r w:rsidR="00AF59B8" w:rsidRPr="00E8692E">
        <w:rPr>
          <w:lang w:val="fr-FR"/>
        </w:rPr>
        <w:t>montants</w:t>
      </w:r>
      <w:r w:rsidR="004F2A06" w:rsidRPr="00E8692E">
        <w:rPr>
          <w:lang w:val="fr-FR"/>
        </w:rPr>
        <w:t xml:space="preserve"> que le Gouvernement devra verser </w:t>
      </w:r>
      <w:r w:rsidR="00B95DB2" w:rsidRPr="00E8692E">
        <w:rPr>
          <w:lang w:val="fr-FR"/>
        </w:rPr>
        <w:t>à</w:t>
      </w:r>
      <w:r w:rsidR="00AF59B8" w:rsidRPr="00E8692E">
        <w:rPr>
          <w:lang w:val="fr-FR"/>
        </w:rPr>
        <w:t xml:space="preserve"> titre de satisfaction équitable </w:t>
      </w:r>
      <w:r w:rsidR="004F2A06" w:rsidRPr="00E8692E">
        <w:rPr>
          <w:lang w:val="fr-FR"/>
        </w:rPr>
        <w:t>en vertu du présent arrêt (</w:t>
      </w:r>
      <w:proofErr w:type="spellStart"/>
      <w:r w:rsidR="004F2A06" w:rsidRPr="00E8692E">
        <w:rPr>
          <w:i/>
          <w:lang w:val="fr-FR"/>
        </w:rPr>
        <w:t>Kavaklıoğlu</w:t>
      </w:r>
      <w:proofErr w:type="spellEnd"/>
      <w:r w:rsidR="004F2A06" w:rsidRPr="00E8692E">
        <w:rPr>
          <w:i/>
          <w:lang w:val="fr-FR"/>
        </w:rPr>
        <w:t xml:space="preserve"> et autres c.</w:t>
      </w:r>
      <w:r w:rsidR="00AF59B8" w:rsidRPr="00E8692E">
        <w:rPr>
          <w:i/>
          <w:lang w:val="fr-FR"/>
        </w:rPr>
        <w:t> </w:t>
      </w:r>
      <w:r w:rsidR="004F2A06" w:rsidRPr="00E8692E">
        <w:rPr>
          <w:i/>
          <w:lang w:val="fr-FR"/>
        </w:rPr>
        <w:t>Turquie</w:t>
      </w:r>
      <w:r w:rsidR="004F2A06" w:rsidRPr="00E8692E">
        <w:rPr>
          <w:lang w:val="fr-FR"/>
        </w:rPr>
        <w:t>, n</w:t>
      </w:r>
      <w:r w:rsidR="001648F4" w:rsidRPr="00E8692E">
        <w:rPr>
          <w:vertAlign w:val="superscript"/>
          <w:lang w:val="fr-FR"/>
        </w:rPr>
        <w:t>o</w:t>
      </w:r>
      <w:r w:rsidR="004F2A06" w:rsidRPr="00E8692E">
        <w:rPr>
          <w:lang w:val="fr-FR"/>
        </w:rPr>
        <w:t xml:space="preserve"> </w:t>
      </w:r>
      <w:hyperlink r:id="rId16" w:anchor="{&quot;appno&quot;:[&quot;15397/02&quot;]}" w:tgtFrame="_blank" w:history="1">
        <w:r w:rsidR="004F2A06" w:rsidRPr="00E8692E">
          <w:rPr>
            <w:lang w:val="fr-FR"/>
          </w:rPr>
          <w:t>15397/02</w:t>
        </w:r>
      </w:hyperlink>
      <w:r w:rsidR="004F2A06" w:rsidRPr="00E8692E">
        <w:rPr>
          <w:lang w:val="fr-FR"/>
        </w:rPr>
        <w:t>, §</w:t>
      </w:r>
      <w:r w:rsidR="005E55A2" w:rsidRPr="00E8692E">
        <w:rPr>
          <w:lang w:val="fr-FR"/>
        </w:rPr>
        <w:t> </w:t>
      </w:r>
      <w:r w:rsidR="004F2A06" w:rsidRPr="00E8692E">
        <w:rPr>
          <w:lang w:val="fr-FR"/>
        </w:rPr>
        <w:t>302, 6 octobre 2015</w:t>
      </w:r>
      <w:r w:rsidRPr="00E8692E">
        <w:rPr>
          <w:lang w:val="fr-FR"/>
        </w:rPr>
        <w:t xml:space="preserve">, </w:t>
      </w:r>
      <w:r w:rsidR="00AF59B8" w:rsidRPr="00E8692E">
        <w:rPr>
          <w:lang w:val="fr-FR"/>
        </w:rPr>
        <w:t xml:space="preserve">et </w:t>
      </w:r>
      <w:proofErr w:type="spellStart"/>
      <w:r w:rsidRPr="00E8692E">
        <w:rPr>
          <w:i/>
          <w:lang w:val="fr-FR"/>
        </w:rPr>
        <w:t>Azzolina</w:t>
      </w:r>
      <w:proofErr w:type="spellEnd"/>
      <w:r w:rsidRPr="00E8692E">
        <w:rPr>
          <w:i/>
          <w:lang w:val="fr-FR"/>
        </w:rPr>
        <w:t xml:space="preserve"> et autres c.</w:t>
      </w:r>
      <w:r w:rsidR="00AF59B8" w:rsidRPr="00E8692E">
        <w:rPr>
          <w:i/>
          <w:lang w:val="fr-FR"/>
        </w:rPr>
        <w:t> </w:t>
      </w:r>
      <w:r w:rsidRPr="00E8692E">
        <w:rPr>
          <w:i/>
          <w:lang w:val="fr-FR"/>
        </w:rPr>
        <w:t>Italie</w:t>
      </w:r>
      <w:r w:rsidRPr="00E8692E">
        <w:rPr>
          <w:lang w:val="fr-FR"/>
        </w:rPr>
        <w:t>, n</w:t>
      </w:r>
      <w:r w:rsidRPr="00E8692E">
        <w:rPr>
          <w:vertAlign w:val="superscript"/>
          <w:lang w:val="fr-FR"/>
        </w:rPr>
        <w:t>os</w:t>
      </w:r>
      <w:r w:rsidRPr="00E8692E">
        <w:rPr>
          <w:lang w:val="fr-FR"/>
        </w:rPr>
        <w:t xml:space="preserve"> 28923/</w:t>
      </w:r>
      <w:r w:rsidR="000A1905" w:rsidRPr="00E8692E">
        <w:rPr>
          <w:rStyle w:val="column"/>
          <w:lang w:val="fr-FR"/>
        </w:rPr>
        <w:t>09 et 67599/10).</w:t>
      </w:r>
      <w:r w:rsidR="00AB3198" w:rsidRPr="00E8692E">
        <w:rPr>
          <w:rStyle w:val="column"/>
          <w:lang w:val="fr-FR"/>
        </w:rPr>
        <w:t xml:space="preserve"> </w:t>
      </w:r>
      <w:r w:rsidR="00487E5D" w:rsidRPr="00E8692E">
        <w:rPr>
          <w:rStyle w:val="column"/>
          <w:lang w:val="fr-FR"/>
        </w:rPr>
        <w:t>La même déduction devrait avoir lieu au cas où les sommes en question auraient déjà été versées aux sociétés requérantes sur la base du contrat d</w:t>
      </w:r>
      <w:r w:rsidR="00E8692E" w:rsidRPr="00E8692E">
        <w:rPr>
          <w:rStyle w:val="column"/>
          <w:lang w:val="fr-FR"/>
        </w:rPr>
        <w:t>’</w:t>
      </w:r>
      <w:r w:rsidR="00487E5D" w:rsidRPr="00E8692E">
        <w:rPr>
          <w:rStyle w:val="column"/>
          <w:lang w:val="fr-FR"/>
        </w:rPr>
        <w:t xml:space="preserve">affacturage évoqué par le Gouvernement. </w:t>
      </w:r>
      <w:r w:rsidR="00AB3198" w:rsidRPr="00E8692E">
        <w:rPr>
          <w:rStyle w:val="column"/>
          <w:lang w:val="fr-FR"/>
        </w:rPr>
        <w:t>Enfin, la Cour fait observer que le constat de violation auquel elle est parvenue ci-dessus ne préjuge en rien la question de</w:t>
      </w:r>
      <w:r w:rsidR="001E2EDB" w:rsidRPr="00E8692E">
        <w:rPr>
          <w:rStyle w:val="column"/>
          <w:lang w:val="fr-FR"/>
        </w:rPr>
        <w:t xml:space="preserve"> </w:t>
      </w:r>
      <w:r w:rsidR="00AB3198" w:rsidRPr="00E8692E">
        <w:rPr>
          <w:rStyle w:val="column"/>
          <w:lang w:val="fr-FR"/>
        </w:rPr>
        <w:t>savoir si les sociétés requérantes ont agi conformément aux obligations découlant des contrats d</w:t>
      </w:r>
      <w:r w:rsidR="00E8692E" w:rsidRPr="00E8692E">
        <w:rPr>
          <w:rStyle w:val="column"/>
          <w:lang w:val="fr-FR"/>
        </w:rPr>
        <w:t>’</w:t>
      </w:r>
      <w:r w:rsidR="00AB3198" w:rsidRPr="00E8692E">
        <w:rPr>
          <w:rStyle w:val="column"/>
          <w:lang w:val="fr-FR"/>
        </w:rPr>
        <w:t xml:space="preserve">affacturage signés avec </w:t>
      </w:r>
      <w:proofErr w:type="spellStart"/>
      <w:r w:rsidR="00AB3198" w:rsidRPr="00E8692E">
        <w:rPr>
          <w:rStyle w:val="column"/>
          <w:lang w:val="fr-FR"/>
        </w:rPr>
        <w:t>Unicredit</w:t>
      </w:r>
      <w:proofErr w:type="spellEnd"/>
      <w:r w:rsidR="00AB3198" w:rsidRPr="00E8692E">
        <w:rPr>
          <w:rStyle w:val="column"/>
          <w:lang w:val="fr-FR"/>
        </w:rPr>
        <w:t xml:space="preserve"> </w:t>
      </w:r>
      <w:proofErr w:type="spellStart"/>
      <w:r w:rsidR="00AB3198" w:rsidRPr="00E8692E">
        <w:rPr>
          <w:rStyle w:val="column"/>
          <w:lang w:val="fr-FR"/>
        </w:rPr>
        <w:t>S.r.l</w:t>
      </w:r>
      <w:proofErr w:type="spellEnd"/>
      <w:r w:rsidR="00AB3198" w:rsidRPr="00E8692E">
        <w:rPr>
          <w:rStyle w:val="column"/>
          <w:lang w:val="fr-FR"/>
        </w:rPr>
        <w:t xml:space="preserve">. ; une telle question est en </w:t>
      </w:r>
      <w:r w:rsidR="00AB3198" w:rsidRPr="00E8692E">
        <w:rPr>
          <w:rStyle w:val="column"/>
          <w:lang w:val="fr-FR"/>
        </w:rPr>
        <w:lastRenderedPageBreak/>
        <w:t>effet du ressort des juridictions internes, au cas où elles seraient appelées à se prononcer en la matière.</w:t>
      </w:r>
    </w:p>
    <w:p w:rsidR="00E77CB3" w:rsidRPr="00E8692E" w:rsidRDefault="00302F9B"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35</w:t>
      </w:r>
      <w:r w:rsidRPr="00E8692E">
        <w:rPr>
          <w:lang w:val="fr-FR"/>
        </w:rPr>
        <w:fldChar w:fldCharType="end"/>
      </w:r>
      <w:r w:rsidRPr="00E8692E">
        <w:rPr>
          <w:lang w:val="fr-FR"/>
        </w:rPr>
        <w:t>.  </w:t>
      </w:r>
      <w:r w:rsidR="00F61CC3" w:rsidRPr="00E8692E">
        <w:rPr>
          <w:lang w:val="fr-FR"/>
        </w:rPr>
        <w:t>En ce qui concerne le</w:t>
      </w:r>
      <w:r w:rsidR="000805C1" w:rsidRPr="00E8692E">
        <w:rPr>
          <w:lang w:val="fr-FR"/>
        </w:rPr>
        <w:t xml:space="preserve"> dommage moral</w:t>
      </w:r>
      <w:r w:rsidR="00F61CC3" w:rsidRPr="00E8692E">
        <w:rPr>
          <w:lang w:val="fr-FR"/>
        </w:rPr>
        <w:t>,</w:t>
      </w:r>
      <w:r w:rsidR="000805C1" w:rsidRPr="00E8692E">
        <w:rPr>
          <w:lang w:val="fr-FR"/>
        </w:rPr>
        <w:t xml:space="preserve"> la Cour note que, pour ce qui est des requêtes n</w:t>
      </w:r>
      <w:r w:rsidR="000805C1" w:rsidRPr="00E8692E">
        <w:rPr>
          <w:vertAlign w:val="superscript"/>
          <w:lang w:val="fr-FR"/>
        </w:rPr>
        <w:t>os</w:t>
      </w:r>
      <w:r w:rsidR="0091293E" w:rsidRPr="00E8692E">
        <w:rPr>
          <w:lang w:val="fr-FR"/>
        </w:rPr>
        <w:t xml:space="preserve"> 39189/11, 39190/11 et 39194/11</w:t>
      </w:r>
      <w:r w:rsidR="000805C1" w:rsidRPr="00E8692E">
        <w:rPr>
          <w:lang w:val="fr-FR"/>
        </w:rPr>
        <w:t>, les</w:t>
      </w:r>
      <w:r w:rsidR="0057562A" w:rsidRPr="00E8692E">
        <w:rPr>
          <w:lang w:val="fr-FR"/>
        </w:rPr>
        <w:t xml:space="preserve"> sociétés</w:t>
      </w:r>
      <w:r w:rsidR="000805C1" w:rsidRPr="00E8692E">
        <w:rPr>
          <w:lang w:val="fr-FR"/>
        </w:rPr>
        <w:t xml:space="preserve"> requérantes n</w:t>
      </w:r>
      <w:r w:rsidR="00E8692E" w:rsidRPr="00E8692E">
        <w:rPr>
          <w:lang w:val="fr-FR"/>
        </w:rPr>
        <w:t>’</w:t>
      </w:r>
      <w:r w:rsidR="000805C1" w:rsidRPr="00E8692E">
        <w:rPr>
          <w:lang w:val="fr-FR"/>
        </w:rPr>
        <w:t>ont pas indiqué l</w:t>
      </w:r>
      <w:r w:rsidR="003A4A1F" w:rsidRPr="00E8692E">
        <w:rPr>
          <w:lang w:val="fr-FR"/>
        </w:rPr>
        <w:t>es</w:t>
      </w:r>
      <w:r w:rsidR="000805C1" w:rsidRPr="00E8692E">
        <w:rPr>
          <w:lang w:val="fr-FR"/>
        </w:rPr>
        <w:t xml:space="preserve"> date</w:t>
      </w:r>
      <w:r w:rsidR="003A4A1F" w:rsidRPr="00E8692E">
        <w:rPr>
          <w:lang w:val="fr-FR"/>
        </w:rPr>
        <w:t>s</w:t>
      </w:r>
      <w:r w:rsidR="000805C1" w:rsidRPr="00E8692E">
        <w:rPr>
          <w:lang w:val="fr-FR"/>
        </w:rPr>
        <w:t xml:space="preserve"> </w:t>
      </w:r>
      <w:r w:rsidR="003A4A1F" w:rsidRPr="00E8692E">
        <w:rPr>
          <w:lang w:val="fr-FR"/>
        </w:rPr>
        <w:t>auxquelles</w:t>
      </w:r>
      <w:r w:rsidR="000805C1" w:rsidRPr="00E8692E">
        <w:rPr>
          <w:lang w:val="fr-FR"/>
        </w:rPr>
        <w:t xml:space="preserve"> l</w:t>
      </w:r>
      <w:r w:rsidR="00E8692E" w:rsidRPr="00E8692E">
        <w:rPr>
          <w:lang w:val="fr-FR"/>
        </w:rPr>
        <w:t>’</w:t>
      </w:r>
      <w:r w:rsidR="000805C1" w:rsidRPr="00E8692E">
        <w:rPr>
          <w:lang w:val="fr-FR"/>
        </w:rPr>
        <w:t>ASL a remboursé l</w:t>
      </w:r>
      <w:r w:rsidR="00E8692E" w:rsidRPr="00E8692E">
        <w:rPr>
          <w:lang w:val="fr-FR"/>
        </w:rPr>
        <w:t>’</w:t>
      </w:r>
      <w:r w:rsidR="000805C1" w:rsidRPr="00E8692E">
        <w:rPr>
          <w:lang w:val="fr-FR"/>
        </w:rPr>
        <w:t xml:space="preserve">intégralité de </w:t>
      </w:r>
      <w:r w:rsidR="002770DD" w:rsidRPr="00E8692E">
        <w:rPr>
          <w:lang w:val="fr-FR"/>
        </w:rPr>
        <w:t>ses</w:t>
      </w:r>
      <w:r w:rsidR="000805C1" w:rsidRPr="00E8692E">
        <w:rPr>
          <w:lang w:val="fr-FR"/>
        </w:rPr>
        <w:t xml:space="preserve"> dette</w:t>
      </w:r>
      <w:r w:rsidR="002770DD" w:rsidRPr="00E8692E">
        <w:rPr>
          <w:lang w:val="fr-FR"/>
        </w:rPr>
        <w:t>s</w:t>
      </w:r>
      <w:r w:rsidR="000805C1" w:rsidRPr="00E8692E">
        <w:rPr>
          <w:lang w:val="fr-FR"/>
        </w:rPr>
        <w:t>.</w:t>
      </w:r>
      <w:r w:rsidRPr="00E8692E">
        <w:rPr>
          <w:lang w:val="fr-FR"/>
        </w:rPr>
        <w:t xml:space="preserve"> </w:t>
      </w:r>
      <w:r w:rsidR="00B95DB2" w:rsidRPr="00E8692E">
        <w:rPr>
          <w:lang w:val="fr-FR"/>
        </w:rPr>
        <w:t>Il</w:t>
      </w:r>
      <w:r w:rsidRPr="00E8692E">
        <w:rPr>
          <w:lang w:val="fr-FR"/>
        </w:rPr>
        <w:t xml:space="preserve"> ressort </w:t>
      </w:r>
      <w:r w:rsidR="00B95DB2" w:rsidRPr="00E8692E">
        <w:rPr>
          <w:lang w:val="fr-FR"/>
        </w:rPr>
        <w:t xml:space="preserve">néanmoins </w:t>
      </w:r>
      <w:r w:rsidRPr="00E8692E">
        <w:rPr>
          <w:lang w:val="fr-FR"/>
        </w:rPr>
        <w:t xml:space="preserve">des observations des parties que </w:t>
      </w:r>
      <w:r w:rsidR="002770DD" w:rsidRPr="00E8692E">
        <w:rPr>
          <w:lang w:val="fr-FR"/>
        </w:rPr>
        <w:t>ces</w:t>
      </w:r>
      <w:r w:rsidR="0091293E" w:rsidRPr="00E8692E">
        <w:rPr>
          <w:lang w:val="fr-FR"/>
        </w:rPr>
        <w:t xml:space="preserve"> dettes ont été intégralement remboursées</w:t>
      </w:r>
      <w:r w:rsidRPr="00E8692E">
        <w:rPr>
          <w:lang w:val="fr-FR"/>
        </w:rPr>
        <w:t xml:space="preserve"> </w:t>
      </w:r>
      <w:r w:rsidR="00B72A1B" w:rsidRPr="00E8692E">
        <w:rPr>
          <w:lang w:val="fr-FR"/>
        </w:rPr>
        <w:t>postérieurement à</w:t>
      </w:r>
      <w:r w:rsidRPr="00E8692E">
        <w:rPr>
          <w:lang w:val="fr-FR"/>
        </w:rPr>
        <w:t xml:space="preserve"> l</w:t>
      </w:r>
      <w:r w:rsidR="00E8692E" w:rsidRPr="00E8692E">
        <w:rPr>
          <w:lang w:val="fr-FR"/>
        </w:rPr>
        <w:t>’</w:t>
      </w:r>
      <w:r w:rsidRPr="00E8692E">
        <w:rPr>
          <w:lang w:val="fr-FR"/>
        </w:rPr>
        <w:t xml:space="preserve">arrêt de la Cour constitutionnelle de 2013. Par conséquent, </w:t>
      </w:r>
      <w:r w:rsidR="0091293E" w:rsidRPr="00E8692E">
        <w:rPr>
          <w:lang w:val="fr-FR"/>
        </w:rPr>
        <w:t>la Cour estime qu</w:t>
      </w:r>
      <w:r w:rsidR="00E8692E" w:rsidRPr="00E8692E">
        <w:rPr>
          <w:lang w:val="fr-FR"/>
        </w:rPr>
        <w:t>’</w:t>
      </w:r>
      <w:r w:rsidR="0091293E" w:rsidRPr="00E8692E">
        <w:rPr>
          <w:lang w:val="fr-FR"/>
        </w:rPr>
        <w:t>il y a lieu d</w:t>
      </w:r>
      <w:r w:rsidR="00E8692E" w:rsidRPr="00E8692E">
        <w:rPr>
          <w:lang w:val="fr-FR"/>
        </w:rPr>
        <w:t>’</w:t>
      </w:r>
      <w:r w:rsidR="0091293E" w:rsidRPr="00E8692E">
        <w:rPr>
          <w:lang w:val="fr-FR"/>
        </w:rPr>
        <w:t xml:space="preserve">indemniser les </w:t>
      </w:r>
      <w:r w:rsidR="007C6125" w:rsidRPr="00E8692E">
        <w:rPr>
          <w:lang w:val="fr-FR"/>
        </w:rPr>
        <w:t xml:space="preserve">sociétés </w:t>
      </w:r>
      <w:r w:rsidR="0091293E" w:rsidRPr="00E8692E">
        <w:rPr>
          <w:lang w:val="fr-FR"/>
        </w:rPr>
        <w:t xml:space="preserve">requérantes </w:t>
      </w:r>
      <w:r w:rsidR="000A62D5" w:rsidRPr="00E8692E">
        <w:rPr>
          <w:lang w:val="fr-FR"/>
        </w:rPr>
        <w:t xml:space="preserve">concernées </w:t>
      </w:r>
      <w:r w:rsidR="0091293E" w:rsidRPr="00E8692E">
        <w:rPr>
          <w:lang w:val="fr-FR"/>
        </w:rPr>
        <w:t>du préjudice moral qu</w:t>
      </w:r>
      <w:r w:rsidR="00E8692E" w:rsidRPr="00E8692E">
        <w:rPr>
          <w:lang w:val="fr-FR"/>
        </w:rPr>
        <w:t>’</w:t>
      </w:r>
      <w:r w:rsidR="0091293E" w:rsidRPr="00E8692E">
        <w:rPr>
          <w:lang w:val="fr-FR"/>
        </w:rPr>
        <w:t xml:space="preserve">elles ont subi à hauteur de </w:t>
      </w:r>
      <w:r w:rsidR="008B16BE" w:rsidRPr="00E8692E">
        <w:rPr>
          <w:lang w:val="fr-FR"/>
        </w:rPr>
        <w:t>6</w:t>
      </w:r>
      <w:r w:rsidR="003A4A1F" w:rsidRPr="00E8692E">
        <w:rPr>
          <w:lang w:val="fr-FR"/>
        </w:rPr>
        <w:t> </w:t>
      </w:r>
      <w:r w:rsidR="008B16BE" w:rsidRPr="00E8692E">
        <w:rPr>
          <w:lang w:val="fr-FR"/>
        </w:rPr>
        <w:t>750</w:t>
      </w:r>
      <w:r w:rsidR="0091293E" w:rsidRPr="00E8692E">
        <w:rPr>
          <w:lang w:val="fr-FR"/>
        </w:rPr>
        <w:t xml:space="preserve"> EUR chacune.</w:t>
      </w:r>
      <w:r w:rsidRPr="00E8692E">
        <w:rPr>
          <w:lang w:val="fr-FR"/>
        </w:rPr>
        <w:t xml:space="preserve"> </w:t>
      </w:r>
      <w:r w:rsidR="000805C1" w:rsidRPr="00E8692E">
        <w:rPr>
          <w:lang w:val="fr-FR"/>
        </w:rPr>
        <w:t>Pour ce qui est des autres</w:t>
      </w:r>
      <w:r w:rsidR="007C6125" w:rsidRPr="00E8692E">
        <w:rPr>
          <w:lang w:val="fr-FR"/>
        </w:rPr>
        <w:t xml:space="preserve"> sociétés</w:t>
      </w:r>
      <w:r w:rsidR="000805C1" w:rsidRPr="00E8692E">
        <w:rPr>
          <w:lang w:val="fr-FR"/>
        </w:rPr>
        <w:t xml:space="preserve"> requérantes, la Cour décide d</w:t>
      </w:r>
      <w:r w:rsidR="00E8692E" w:rsidRPr="00E8692E">
        <w:rPr>
          <w:lang w:val="fr-FR"/>
        </w:rPr>
        <w:t>’</w:t>
      </w:r>
      <w:r w:rsidR="000805C1" w:rsidRPr="00E8692E">
        <w:rPr>
          <w:lang w:val="fr-FR"/>
        </w:rPr>
        <w:t xml:space="preserve">accorder les sommes </w:t>
      </w:r>
      <w:r w:rsidR="00B56B98" w:rsidRPr="00E8692E">
        <w:rPr>
          <w:lang w:val="fr-FR"/>
        </w:rPr>
        <w:t xml:space="preserve">dans la limite de ce qui a été </w:t>
      </w:r>
      <w:r w:rsidR="000805C1" w:rsidRPr="00E8692E">
        <w:rPr>
          <w:lang w:val="fr-FR"/>
        </w:rPr>
        <w:t>demandé par elles</w:t>
      </w:r>
      <w:r w:rsidR="00D97EEE" w:rsidRPr="00E8692E">
        <w:rPr>
          <w:lang w:val="fr-FR"/>
        </w:rPr>
        <w:t>, à savoir 10 800 EUR chacune</w:t>
      </w:r>
      <w:r w:rsidR="000805C1" w:rsidRPr="00E8692E">
        <w:rPr>
          <w:lang w:val="fr-FR"/>
        </w:rPr>
        <w:t>.</w:t>
      </w:r>
    </w:p>
    <w:p w:rsidR="00E77CB3" w:rsidRPr="00E8692E" w:rsidRDefault="00E77CB3" w:rsidP="00E8692E">
      <w:pPr>
        <w:pStyle w:val="ECHRHeading2"/>
        <w:rPr>
          <w:lang w:val="fr-FR"/>
        </w:rPr>
      </w:pPr>
      <w:r w:rsidRPr="00E8692E">
        <w:rPr>
          <w:lang w:val="fr-FR"/>
        </w:rPr>
        <w:t>B.  Frais et dépens</w:t>
      </w:r>
    </w:p>
    <w:p w:rsidR="00466205"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36</w:t>
      </w:r>
      <w:r w:rsidRPr="00E8692E">
        <w:rPr>
          <w:lang w:val="fr-FR"/>
        </w:rPr>
        <w:fldChar w:fldCharType="end"/>
      </w:r>
      <w:r w:rsidR="00E77CB3" w:rsidRPr="00E8692E">
        <w:rPr>
          <w:lang w:val="fr-FR"/>
        </w:rPr>
        <w:t>.  </w:t>
      </w:r>
      <w:r w:rsidR="00466205" w:rsidRPr="00E8692E">
        <w:rPr>
          <w:lang w:val="fr-FR"/>
        </w:rPr>
        <w:t>L</w:t>
      </w:r>
      <w:r w:rsidR="00D97EEE" w:rsidRPr="00E8692E">
        <w:rPr>
          <w:lang w:val="fr-FR"/>
        </w:rPr>
        <w:t>es</w:t>
      </w:r>
      <w:r w:rsidR="00466205" w:rsidRPr="00E8692E">
        <w:rPr>
          <w:lang w:val="fr-FR"/>
        </w:rPr>
        <w:t xml:space="preserve"> </w:t>
      </w:r>
      <w:r w:rsidR="007C6125" w:rsidRPr="00E8692E">
        <w:rPr>
          <w:lang w:val="fr-FR"/>
        </w:rPr>
        <w:t xml:space="preserve">sociétés </w:t>
      </w:r>
      <w:r w:rsidR="00466205" w:rsidRPr="00E8692E">
        <w:rPr>
          <w:lang w:val="fr-FR"/>
        </w:rPr>
        <w:t>requérante</w:t>
      </w:r>
      <w:r w:rsidR="00D97EEE" w:rsidRPr="00E8692E">
        <w:rPr>
          <w:lang w:val="fr-FR"/>
        </w:rPr>
        <w:t>s</w:t>
      </w:r>
      <w:r w:rsidR="00466205" w:rsidRPr="00E8692E">
        <w:rPr>
          <w:lang w:val="fr-FR"/>
        </w:rPr>
        <w:t xml:space="preserve"> demande</w:t>
      </w:r>
      <w:r w:rsidR="00D97EEE" w:rsidRPr="00E8692E">
        <w:rPr>
          <w:lang w:val="fr-FR"/>
        </w:rPr>
        <w:t>nt</w:t>
      </w:r>
      <w:r w:rsidR="00466205" w:rsidRPr="00E8692E">
        <w:rPr>
          <w:lang w:val="fr-FR"/>
        </w:rPr>
        <w:t xml:space="preserve"> également </w:t>
      </w:r>
      <w:r w:rsidR="007B1D26" w:rsidRPr="00E8692E">
        <w:rPr>
          <w:lang w:val="fr-FR"/>
        </w:rPr>
        <w:t xml:space="preserve">34 000 </w:t>
      </w:r>
      <w:r w:rsidR="00466205" w:rsidRPr="00E8692E">
        <w:rPr>
          <w:lang w:val="fr-FR"/>
        </w:rPr>
        <w:t>EUR pour les frais et dépens engagés devant la Cour.</w:t>
      </w:r>
    </w:p>
    <w:p w:rsidR="001648F4" w:rsidRPr="00E8692E" w:rsidRDefault="004B162B"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37</w:t>
      </w:r>
      <w:r w:rsidRPr="00E8692E">
        <w:rPr>
          <w:lang w:val="fr-FR"/>
        </w:rPr>
        <w:fldChar w:fldCharType="end"/>
      </w:r>
      <w:r w:rsidRPr="00E8692E">
        <w:rPr>
          <w:lang w:val="fr-FR"/>
        </w:rPr>
        <w:t>.  </w:t>
      </w:r>
      <w:r w:rsidR="00D97EEE" w:rsidRPr="00E8692E">
        <w:rPr>
          <w:lang w:val="fr-FR"/>
        </w:rPr>
        <w:t>Le Gouvernement conteste c</w:t>
      </w:r>
      <w:r w:rsidR="00466205" w:rsidRPr="00E8692E">
        <w:rPr>
          <w:lang w:val="fr-FR"/>
        </w:rPr>
        <w:t>es prétentions.</w:t>
      </w:r>
    </w:p>
    <w:p w:rsidR="00E77CB3" w:rsidRPr="00E8692E" w:rsidRDefault="004B162B"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38</w:t>
      </w:r>
      <w:r w:rsidRPr="00E8692E">
        <w:rPr>
          <w:lang w:val="fr-FR"/>
        </w:rPr>
        <w:fldChar w:fldCharType="end"/>
      </w:r>
      <w:r w:rsidRPr="00E8692E">
        <w:rPr>
          <w:lang w:val="fr-FR"/>
        </w:rPr>
        <w:t>.  </w:t>
      </w:r>
      <w:r w:rsidR="00466205" w:rsidRPr="00E8692E">
        <w:rPr>
          <w:lang w:val="fr-FR"/>
        </w:rPr>
        <w:t>Selon la jurisprudence de la Cour, un requérant ne peut obtenir le remboursement de ses frais et dépens que dans la mesure où se trouvent établis leur réalité, leur nécessité et le caractère raisonnable de leur taux. En l</w:t>
      </w:r>
      <w:r w:rsidR="00E8692E" w:rsidRPr="00E8692E">
        <w:rPr>
          <w:lang w:val="fr-FR"/>
        </w:rPr>
        <w:t>’</w:t>
      </w:r>
      <w:r w:rsidR="00466205" w:rsidRPr="00E8692E">
        <w:rPr>
          <w:lang w:val="fr-FR"/>
        </w:rPr>
        <w:t>espèce, compte tenu des documents dont elle dispose et de sa jurisprudence, la Cour estime raisonnable d</w:t>
      </w:r>
      <w:r w:rsidR="00E8692E" w:rsidRPr="00E8692E">
        <w:rPr>
          <w:lang w:val="fr-FR"/>
        </w:rPr>
        <w:t>’</w:t>
      </w:r>
      <w:r w:rsidR="00466205" w:rsidRPr="00E8692E">
        <w:rPr>
          <w:lang w:val="fr-FR"/>
        </w:rPr>
        <w:t xml:space="preserve">accorder </w:t>
      </w:r>
      <w:r w:rsidR="00D72BD3" w:rsidRPr="00E8692E">
        <w:rPr>
          <w:lang w:val="fr-FR"/>
        </w:rPr>
        <w:t xml:space="preserve">conjointement aux sociétés requérantes </w:t>
      </w:r>
      <w:r w:rsidR="00466205" w:rsidRPr="00E8692E">
        <w:rPr>
          <w:lang w:val="fr-FR"/>
        </w:rPr>
        <w:t xml:space="preserve">pour la procédure devant </w:t>
      </w:r>
      <w:r w:rsidR="003D412B" w:rsidRPr="00E8692E">
        <w:rPr>
          <w:lang w:val="fr-FR"/>
        </w:rPr>
        <w:t>elle</w:t>
      </w:r>
      <w:r w:rsidR="00466205" w:rsidRPr="00E8692E">
        <w:rPr>
          <w:lang w:val="fr-FR"/>
        </w:rPr>
        <w:t xml:space="preserve"> la somme de </w:t>
      </w:r>
      <w:r w:rsidR="00D72BD3" w:rsidRPr="00E8692E">
        <w:rPr>
          <w:lang w:val="fr-FR"/>
        </w:rPr>
        <w:t>2 500</w:t>
      </w:r>
      <w:r w:rsidR="00466205" w:rsidRPr="00E8692E">
        <w:rPr>
          <w:lang w:val="fr-FR"/>
        </w:rPr>
        <w:t xml:space="preserve"> EUR.</w:t>
      </w:r>
    </w:p>
    <w:p w:rsidR="00E77CB3" w:rsidRPr="00E8692E" w:rsidRDefault="00E77CB3" w:rsidP="00E8692E">
      <w:pPr>
        <w:pStyle w:val="ECHRHeading2"/>
        <w:rPr>
          <w:lang w:val="fr-FR"/>
        </w:rPr>
      </w:pPr>
      <w:r w:rsidRPr="00E8692E">
        <w:rPr>
          <w:lang w:val="fr-FR"/>
        </w:rPr>
        <w:t>C.  Intérêts moratoires</w:t>
      </w:r>
    </w:p>
    <w:p w:rsidR="00E77CB3" w:rsidRPr="00E8692E" w:rsidRDefault="00934225" w:rsidP="00E8692E">
      <w:pPr>
        <w:pStyle w:val="ECHRPara"/>
        <w:rPr>
          <w:lang w:val="fr-FR"/>
        </w:rPr>
      </w:pPr>
      <w:r w:rsidRPr="00E8692E">
        <w:rPr>
          <w:lang w:val="fr-FR"/>
        </w:rPr>
        <w:fldChar w:fldCharType="begin"/>
      </w:r>
      <w:r w:rsidRPr="00E8692E">
        <w:rPr>
          <w:lang w:val="fr-FR"/>
        </w:rPr>
        <w:instrText xml:space="preserve"> SEQ level0 \*arabic </w:instrText>
      </w:r>
      <w:r w:rsidRPr="00E8692E">
        <w:rPr>
          <w:lang w:val="fr-FR"/>
        </w:rPr>
        <w:fldChar w:fldCharType="separate"/>
      </w:r>
      <w:r w:rsidR="00E8692E" w:rsidRPr="00E8692E">
        <w:rPr>
          <w:noProof/>
          <w:lang w:val="fr-FR"/>
        </w:rPr>
        <w:t>39</w:t>
      </w:r>
      <w:r w:rsidRPr="00E8692E">
        <w:rPr>
          <w:lang w:val="fr-FR"/>
        </w:rPr>
        <w:fldChar w:fldCharType="end"/>
      </w:r>
      <w:r w:rsidR="00E77CB3" w:rsidRPr="00E8692E">
        <w:rPr>
          <w:lang w:val="fr-FR"/>
        </w:rPr>
        <w:t>.  La Cour juge approprié de calquer le taux des intérêts moratoires sur le taux d</w:t>
      </w:r>
      <w:r w:rsidR="00E8692E" w:rsidRPr="00E8692E">
        <w:rPr>
          <w:lang w:val="fr-FR"/>
        </w:rPr>
        <w:t>’</w:t>
      </w:r>
      <w:r w:rsidR="00E77CB3" w:rsidRPr="00E8692E">
        <w:rPr>
          <w:lang w:val="fr-FR"/>
        </w:rPr>
        <w:t>intérêt de la facilité de prêt marginal de la Banque centrale européenne majoré de trois points de pourcentage.</w:t>
      </w:r>
    </w:p>
    <w:p w:rsidR="00E77CB3" w:rsidRPr="00E8692E" w:rsidRDefault="00E77CB3" w:rsidP="00E8692E">
      <w:pPr>
        <w:pStyle w:val="ECHRTitle1"/>
        <w:rPr>
          <w:lang w:val="fr-FR"/>
        </w:rPr>
      </w:pPr>
      <w:r w:rsidRPr="00E8692E">
        <w:rPr>
          <w:lang w:val="fr-FR"/>
        </w:rPr>
        <w:t>PAR CES MOTIFS, LA COUR</w:t>
      </w:r>
      <w:r w:rsidR="00934225" w:rsidRPr="00E8692E">
        <w:rPr>
          <w:lang w:val="fr-FR"/>
        </w:rPr>
        <w:t>, À L</w:t>
      </w:r>
      <w:r w:rsidR="00E8692E" w:rsidRPr="00E8692E">
        <w:rPr>
          <w:lang w:val="fr-FR"/>
        </w:rPr>
        <w:t>’</w:t>
      </w:r>
      <w:r w:rsidR="00934225" w:rsidRPr="00E8692E">
        <w:rPr>
          <w:lang w:val="fr-FR"/>
        </w:rPr>
        <w:t>UNANIMITÉ,</w:t>
      </w:r>
    </w:p>
    <w:p w:rsidR="00E02CD3" w:rsidRPr="00E8692E" w:rsidRDefault="00E9202D" w:rsidP="00E8692E">
      <w:pPr>
        <w:pStyle w:val="JuList"/>
        <w:rPr>
          <w:lang w:val="fr-FR"/>
        </w:rPr>
      </w:pPr>
      <w:r w:rsidRPr="00E8692E">
        <w:rPr>
          <w:lang w:val="fr-FR"/>
        </w:rPr>
        <w:t>1. </w:t>
      </w:r>
      <w:r w:rsidR="001648F4" w:rsidRPr="00E8692E">
        <w:rPr>
          <w:lang w:val="fr-FR"/>
        </w:rPr>
        <w:t> </w:t>
      </w:r>
      <w:r w:rsidR="00E02CD3" w:rsidRPr="00E8692E">
        <w:rPr>
          <w:i/>
          <w:lang w:val="fr-FR"/>
        </w:rPr>
        <w:t>Décide</w:t>
      </w:r>
      <w:r w:rsidR="00E02CD3" w:rsidRPr="00E8692E">
        <w:rPr>
          <w:lang w:val="fr-FR"/>
        </w:rPr>
        <w:t xml:space="preserve"> de joindre les requêtes ;</w:t>
      </w:r>
    </w:p>
    <w:p w:rsidR="00E02CD3" w:rsidRPr="00E8692E" w:rsidRDefault="00E02CD3" w:rsidP="00E8692E">
      <w:pPr>
        <w:pStyle w:val="JuList"/>
        <w:rPr>
          <w:lang w:val="fr-FR"/>
        </w:rPr>
      </w:pPr>
    </w:p>
    <w:p w:rsidR="00FB2B45" w:rsidRPr="00E8692E" w:rsidRDefault="00E02CD3" w:rsidP="00E8692E">
      <w:pPr>
        <w:pStyle w:val="JuList"/>
        <w:rPr>
          <w:lang w:val="fr-FR"/>
        </w:rPr>
      </w:pPr>
      <w:r w:rsidRPr="00E8692E">
        <w:rPr>
          <w:lang w:val="fr-FR"/>
        </w:rPr>
        <w:t>2.</w:t>
      </w:r>
      <w:r w:rsidR="001648F4" w:rsidRPr="00E8692E">
        <w:rPr>
          <w:i/>
          <w:lang w:val="fr-FR"/>
        </w:rPr>
        <w:t>  </w:t>
      </w:r>
      <w:r w:rsidR="00FB2B45" w:rsidRPr="00E8692E">
        <w:rPr>
          <w:i/>
          <w:lang w:val="fr-FR"/>
        </w:rPr>
        <w:t>Déclare</w:t>
      </w:r>
      <w:r w:rsidR="00FB2B45" w:rsidRPr="00E8692E">
        <w:rPr>
          <w:lang w:val="fr-FR"/>
        </w:rPr>
        <w:t xml:space="preserve"> </w:t>
      </w:r>
      <w:r w:rsidR="00934225" w:rsidRPr="00E8692E">
        <w:rPr>
          <w:lang w:val="fr-FR"/>
        </w:rPr>
        <w:t>les requêtes recevables</w:t>
      </w:r>
      <w:r w:rsidR="00D97EEE" w:rsidRPr="00E8692E">
        <w:rPr>
          <w:lang w:val="fr-FR"/>
        </w:rPr>
        <w:t> ;</w:t>
      </w:r>
    </w:p>
    <w:p w:rsidR="00E77CB3" w:rsidRPr="00E8692E" w:rsidRDefault="00E77CB3" w:rsidP="00E8692E">
      <w:pPr>
        <w:pStyle w:val="JuList"/>
        <w:rPr>
          <w:lang w:val="fr-FR"/>
        </w:rPr>
      </w:pPr>
    </w:p>
    <w:p w:rsidR="00E77CB3" w:rsidRPr="00E8692E" w:rsidRDefault="00E02CD3" w:rsidP="00E8692E">
      <w:pPr>
        <w:pStyle w:val="JuList"/>
        <w:rPr>
          <w:lang w:val="fr-FR"/>
        </w:rPr>
      </w:pPr>
      <w:r w:rsidRPr="00E8692E">
        <w:rPr>
          <w:lang w:val="fr-FR"/>
        </w:rPr>
        <w:t>3</w:t>
      </w:r>
      <w:r w:rsidR="00E77CB3" w:rsidRPr="00E8692E">
        <w:rPr>
          <w:lang w:val="fr-FR"/>
        </w:rPr>
        <w:t>.  </w:t>
      </w:r>
      <w:r w:rsidR="00E77CB3" w:rsidRPr="00E8692E">
        <w:rPr>
          <w:i/>
          <w:lang w:val="fr-FR"/>
        </w:rPr>
        <w:t>Dit</w:t>
      </w:r>
      <w:r w:rsidR="00E77CB3" w:rsidRPr="00E8692E">
        <w:rPr>
          <w:lang w:val="fr-FR"/>
        </w:rPr>
        <w:t xml:space="preserve"> qu</w:t>
      </w:r>
      <w:r w:rsidR="00E8692E" w:rsidRPr="00E8692E">
        <w:rPr>
          <w:lang w:val="fr-FR"/>
        </w:rPr>
        <w:t>’</w:t>
      </w:r>
      <w:r w:rsidR="00E77CB3" w:rsidRPr="00E8692E">
        <w:rPr>
          <w:lang w:val="fr-FR"/>
        </w:rPr>
        <w:t>il y a eu violation de l</w:t>
      </w:r>
      <w:r w:rsidR="00E8692E" w:rsidRPr="00E8692E">
        <w:rPr>
          <w:lang w:val="fr-FR"/>
        </w:rPr>
        <w:t>’</w:t>
      </w:r>
      <w:r w:rsidR="00E77CB3" w:rsidRPr="00E8692E">
        <w:rPr>
          <w:lang w:val="fr-FR"/>
        </w:rPr>
        <w:t xml:space="preserve">article </w:t>
      </w:r>
      <w:r w:rsidR="00D876D5" w:rsidRPr="00E8692E">
        <w:rPr>
          <w:lang w:val="fr-FR"/>
        </w:rPr>
        <w:t>6 § 1</w:t>
      </w:r>
      <w:r w:rsidR="00E77CB3" w:rsidRPr="00E8692E">
        <w:rPr>
          <w:lang w:val="fr-FR"/>
        </w:rPr>
        <w:t xml:space="preserve"> de la Convention ;</w:t>
      </w:r>
    </w:p>
    <w:p w:rsidR="00E77CB3" w:rsidRPr="00E8692E" w:rsidRDefault="00E77CB3" w:rsidP="00E8692E">
      <w:pPr>
        <w:pStyle w:val="JuList"/>
        <w:ind w:left="0" w:firstLine="0"/>
        <w:rPr>
          <w:lang w:val="fr-FR"/>
        </w:rPr>
      </w:pPr>
    </w:p>
    <w:p w:rsidR="0061375C" w:rsidRPr="00E8692E" w:rsidRDefault="00E02CD3" w:rsidP="00E8692E">
      <w:pPr>
        <w:pStyle w:val="JuList"/>
        <w:rPr>
          <w:lang w:val="fr-FR"/>
        </w:rPr>
      </w:pPr>
      <w:r w:rsidRPr="00E8692E">
        <w:rPr>
          <w:lang w:val="fr-FR"/>
        </w:rPr>
        <w:t>4</w:t>
      </w:r>
      <w:r w:rsidR="00E77CB3" w:rsidRPr="00E8692E">
        <w:rPr>
          <w:lang w:val="fr-FR"/>
        </w:rPr>
        <w:t>.  </w:t>
      </w:r>
      <w:r w:rsidR="00E77CB3" w:rsidRPr="00E8692E">
        <w:rPr>
          <w:i/>
          <w:lang w:val="fr-FR"/>
        </w:rPr>
        <w:t>Dit</w:t>
      </w:r>
      <w:r w:rsidR="0061375C" w:rsidRPr="00E8692E">
        <w:rPr>
          <w:i/>
          <w:lang w:val="fr-FR"/>
        </w:rPr>
        <w:t xml:space="preserve"> </w:t>
      </w:r>
      <w:r w:rsidR="00E77CB3" w:rsidRPr="00E8692E">
        <w:rPr>
          <w:lang w:val="fr-FR"/>
        </w:rPr>
        <w:t>que l</w:t>
      </w:r>
      <w:r w:rsidR="00E8692E" w:rsidRPr="00E8692E">
        <w:rPr>
          <w:lang w:val="fr-FR"/>
        </w:rPr>
        <w:t>’</w:t>
      </w:r>
      <w:r w:rsidR="00E77CB3" w:rsidRPr="00E8692E">
        <w:rPr>
          <w:lang w:val="fr-FR"/>
        </w:rPr>
        <w:t>État défendeur doit verser</w:t>
      </w:r>
      <w:r w:rsidR="0061375C" w:rsidRPr="00E8692E">
        <w:rPr>
          <w:lang w:val="fr-FR"/>
        </w:rPr>
        <w:t xml:space="preserve"> dans les trois mois :</w:t>
      </w:r>
    </w:p>
    <w:p w:rsidR="00E77CB3" w:rsidRPr="00E8692E" w:rsidRDefault="00AC5620" w:rsidP="00E8692E">
      <w:pPr>
        <w:pStyle w:val="JuLista"/>
        <w:rPr>
          <w:lang w:val="fr-FR"/>
        </w:rPr>
      </w:pPr>
      <w:r w:rsidRPr="00E8692E">
        <w:rPr>
          <w:lang w:val="fr-FR"/>
        </w:rPr>
        <w:t>a)  </w:t>
      </w:r>
      <w:r w:rsidR="00E77CB3" w:rsidRPr="00E8692E">
        <w:rPr>
          <w:lang w:val="fr-FR"/>
        </w:rPr>
        <w:t>les sommes suivantes</w:t>
      </w:r>
      <w:r w:rsidR="0061375C" w:rsidRPr="00E8692E">
        <w:rPr>
          <w:lang w:val="fr-FR"/>
        </w:rPr>
        <w:t>, plus tout montant pouvant être dû à titre d</w:t>
      </w:r>
      <w:r w:rsidR="00E8692E" w:rsidRPr="00E8692E">
        <w:rPr>
          <w:lang w:val="fr-FR"/>
        </w:rPr>
        <w:t>’</w:t>
      </w:r>
      <w:r w:rsidR="0061375C" w:rsidRPr="00E8692E">
        <w:rPr>
          <w:lang w:val="fr-FR"/>
        </w:rPr>
        <w:t>impôt, pour dommage matériel :</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lastRenderedPageBreak/>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39186/11</w:t>
      </w:r>
      <w:r w:rsidRPr="00E8692E">
        <w:rPr>
          <w:lang w:val="fr-FR"/>
        </w:rPr>
        <w:t xml:space="preserve"> : </w:t>
      </w:r>
      <w:r w:rsidRPr="00E8692E">
        <w:rPr>
          <w:noProof/>
          <w:lang w:val="fr-FR"/>
        </w:rPr>
        <w:t>38</w:t>
      </w:r>
      <w:r w:rsidR="003D412B" w:rsidRPr="00E8692E">
        <w:rPr>
          <w:noProof/>
          <w:lang w:val="fr-FR"/>
        </w:rPr>
        <w:t> </w:t>
      </w:r>
      <w:r w:rsidRPr="00E8692E">
        <w:rPr>
          <w:noProof/>
          <w:lang w:val="fr-FR"/>
        </w:rPr>
        <w:t>05</w:t>
      </w:r>
      <w:r w:rsidR="00D97EEE" w:rsidRPr="00E8692E">
        <w:rPr>
          <w:noProof/>
          <w:lang w:val="fr-FR"/>
        </w:rPr>
        <w:t>2</w:t>
      </w:r>
      <w:r w:rsidR="007C6125" w:rsidRPr="00E8692E">
        <w:rPr>
          <w:noProof/>
          <w:lang w:val="fr-FR"/>
        </w:rPr>
        <w:t> </w:t>
      </w:r>
      <w:r w:rsidRPr="00E8692E">
        <w:rPr>
          <w:lang w:val="fr-FR"/>
        </w:rPr>
        <w:t>EUR (</w:t>
      </w:r>
      <w:r w:rsidR="00B311E9" w:rsidRPr="00E8692E">
        <w:rPr>
          <w:lang w:val="fr-FR"/>
        </w:rPr>
        <w:t xml:space="preserve">trente-huit mille cinquante-deux </w:t>
      </w:r>
      <w:r w:rsidRPr="00E8692E">
        <w:rPr>
          <w:lang w:val="fr-FR"/>
        </w:rPr>
        <w:t>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39187/11</w:t>
      </w:r>
      <w:r w:rsidRPr="00E8692E">
        <w:rPr>
          <w:lang w:val="fr-FR"/>
        </w:rPr>
        <w:t xml:space="preserve"> : </w:t>
      </w:r>
      <w:r w:rsidRPr="00E8692E">
        <w:rPr>
          <w:noProof/>
          <w:lang w:val="fr-FR"/>
        </w:rPr>
        <w:t>95</w:t>
      </w:r>
      <w:r w:rsidR="007C6125" w:rsidRPr="00E8692E">
        <w:rPr>
          <w:noProof/>
          <w:lang w:val="fr-FR"/>
        </w:rPr>
        <w:t> </w:t>
      </w:r>
      <w:r w:rsidRPr="00E8692E">
        <w:rPr>
          <w:noProof/>
          <w:lang w:val="fr-FR"/>
        </w:rPr>
        <w:t>11</w:t>
      </w:r>
      <w:r w:rsidR="00D97EEE" w:rsidRPr="00E8692E">
        <w:rPr>
          <w:noProof/>
          <w:lang w:val="fr-FR"/>
        </w:rPr>
        <w:t>7</w:t>
      </w:r>
      <w:r w:rsidR="007C6125" w:rsidRPr="00E8692E">
        <w:rPr>
          <w:noProof/>
          <w:lang w:val="fr-FR"/>
        </w:rPr>
        <w:t> </w:t>
      </w:r>
      <w:r w:rsidRPr="00E8692E">
        <w:rPr>
          <w:lang w:val="fr-FR"/>
        </w:rPr>
        <w:t>EUR (</w:t>
      </w:r>
      <w:r w:rsidR="00B311E9" w:rsidRPr="00E8692E">
        <w:rPr>
          <w:lang w:val="fr-FR"/>
        </w:rPr>
        <w:t>quatre-vingt-quinze mille cent dix-sept</w:t>
      </w:r>
      <w:r w:rsidRPr="00E8692E">
        <w:rPr>
          <w:lang w:val="fr-FR"/>
        </w:rPr>
        <w:t xml:space="preserve"> 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39192/11</w:t>
      </w:r>
      <w:r w:rsidRPr="00E8692E">
        <w:rPr>
          <w:lang w:val="fr-FR"/>
        </w:rPr>
        <w:t xml:space="preserve"> : </w:t>
      </w:r>
      <w:r w:rsidRPr="00E8692E">
        <w:rPr>
          <w:noProof/>
          <w:lang w:val="fr-FR"/>
        </w:rPr>
        <w:t>34</w:t>
      </w:r>
      <w:r w:rsidR="007C6125" w:rsidRPr="00E8692E">
        <w:rPr>
          <w:noProof/>
          <w:lang w:val="fr-FR"/>
        </w:rPr>
        <w:t> </w:t>
      </w:r>
      <w:r w:rsidRPr="00E8692E">
        <w:rPr>
          <w:noProof/>
          <w:lang w:val="fr-FR"/>
        </w:rPr>
        <w:t>50</w:t>
      </w:r>
      <w:r w:rsidR="00D97EEE" w:rsidRPr="00E8692E">
        <w:rPr>
          <w:noProof/>
          <w:lang w:val="fr-FR"/>
        </w:rPr>
        <w:t>9</w:t>
      </w:r>
      <w:r w:rsidR="007C6125" w:rsidRPr="00E8692E">
        <w:rPr>
          <w:noProof/>
          <w:lang w:val="fr-FR"/>
        </w:rPr>
        <w:t> </w:t>
      </w:r>
      <w:r w:rsidRPr="00E8692E">
        <w:rPr>
          <w:lang w:val="fr-FR"/>
        </w:rPr>
        <w:t>EUR (</w:t>
      </w:r>
      <w:r w:rsidR="008B2E5E" w:rsidRPr="00E8692E">
        <w:rPr>
          <w:lang w:val="fr-FR"/>
        </w:rPr>
        <w:t>trente-quatre mille cinq cent neuf</w:t>
      </w:r>
      <w:r w:rsidRPr="00E8692E">
        <w:rPr>
          <w:lang w:val="fr-FR"/>
        </w:rPr>
        <w:t xml:space="preserve"> 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39193/11</w:t>
      </w:r>
      <w:r w:rsidRPr="00E8692E">
        <w:rPr>
          <w:lang w:val="fr-FR"/>
        </w:rPr>
        <w:t xml:space="preserve"> : </w:t>
      </w:r>
      <w:r w:rsidRPr="00E8692E">
        <w:rPr>
          <w:noProof/>
          <w:lang w:val="fr-FR"/>
        </w:rPr>
        <w:t>17</w:t>
      </w:r>
      <w:r w:rsidR="007C6125" w:rsidRPr="00E8692E">
        <w:rPr>
          <w:noProof/>
          <w:lang w:val="fr-FR"/>
        </w:rPr>
        <w:t> </w:t>
      </w:r>
      <w:r w:rsidRPr="00E8692E">
        <w:rPr>
          <w:noProof/>
          <w:lang w:val="fr-FR"/>
        </w:rPr>
        <w:t>56</w:t>
      </w:r>
      <w:r w:rsidR="00D97EEE" w:rsidRPr="00E8692E">
        <w:rPr>
          <w:noProof/>
          <w:lang w:val="fr-FR"/>
        </w:rPr>
        <w:t>3</w:t>
      </w:r>
      <w:r w:rsidR="007C6125" w:rsidRPr="00E8692E">
        <w:rPr>
          <w:noProof/>
          <w:lang w:val="fr-FR"/>
        </w:rPr>
        <w:t> </w:t>
      </w:r>
      <w:r w:rsidRPr="00E8692E">
        <w:rPr>
          <w:lang w:val="fr-FR"/>
        </w:rPr>
        <w:t>EUR (</w:t>
      </w:r>
      <w:r w:rsidR="008B2E5E" w:rsidRPr="00E8692E">
        <w:rPr>
          <w:lang w:val="fr-FR"/>
        </w:rPr>
        <w:t xml:space="preserve">dix-sept mille cinq cent soixante-trois </w:t>
      </w:r>
      <w:r w:rsidRPr="00E8692E">
        <w:rPr>
          <w:lang w:val="fr-FR"/>
        </w:rPr>
        <w:t>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39196/11</w:t>
      </w:r>
      <w:r w:rsidRPr="00E8692E">
        <w:rPr>
          <w:lang w:val="fr-FR"/>
        </w:rPr>
        <w:t xml:space="preserve"> : </w:t>
      </w:r>
      <w:r w:rsidRPr="00E8692E">
        <w:rPr>
          <w:noProof/>
          <w:lang w:val="fr-FR"/>
        </w:rPr>
        <w:t>15</w:t>
      </w:r>
      <w:r w:rsidR="007C6125" w:rsidRPr="00E8692E">
        <w:rPr>
          <w:noProof/>
          <w:lang w:val="fr-FR"/>
        </w:rPr>
        <w:t> </w:t>
      </w:r>
      <w:r w:rsidRPr="00E8692E">
        <w:rPr>
          <w:noProof/>
          <w:lang w:val="fr-FR"/>
        </w:rPr>
        <w:t>02</w:t>
      </w:r>
      <w:r w:rsidR="00D97EEE" w:rsidRPr="00E8692E">
        <w:rPr>
          <w:noProof/>
          <w:lang w:val="fr-FR"/>
        </w:rPr>
        <w:t>3</w:t>
      </w:r>
      <w:r w:rsidR="007C6125" w:rsidRPr="00E8692E">
        <w:rPr>
          <w:noProof/>
          <w:lang w:val="fr-FR"/>
        </w:rPr>
        <w:t> </w:t>
      </w:r>
      <w:r w:rsidRPr="00E8692E">
        <w:rPr>
          <w:lang w:val="fr-FR"/>
        </w:rPr>
        <w:t>EUR (</w:t>
      </w:r>
      <w:r w:rsidR="008B2E5E" w:rsidRPr="00E8692E">
        <w:rPr>
          <w:lang w:val="fr-FR"/>
        </w:rPr>
        <w:t xml:space="preserve">quinze mille vingt-trois </w:t>
      </w:r>
      <w:r w:rsidRPr="00E8692E">
        <w:rPr>
          <w:lang w:val="fr-FR"/>
        </w:rPr>
        <w:t>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7C6125"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39197/11</w:t>
      </w:r>
      <w:r w:rsidRPr="00E8692E">
        <w:rPr>
          <w:lang w:val="fr-FR"/>
        </w:rPr>
        <w:t xml:space="preserve"> : </w:t>
      </w:r>
      <w:r w:rsidR="00D97EEE" w:rsidRPr="00E8692E">
        <w:rPr>
          <w:noProof/>
          <w:lang w:val="fr-FR"/>
        </w:rPr>
        <w:t>98</w:t>
      </w:r>
      <w:r w:rsidR="007C6125" w:rsidRPr="00E8692E">
        <w:rPr>
          <w:noProof/>
          <w:lang w:val="fr-FR"/>
        </w:rPr>
        <w:t> </w:t>
      </w:r>
      <w:r w:rsidR="00D97EEE" w:rsidRPr="00E8692E">
        <w:rPr>
          <w:noProof/>
          <w:lang w:val="fr-FR"/>
        </w:rPr>
        <w:t>599</w:t>
      </w:r>
      <w:r w:rsidR="007C6125" w:rsidRPr="00E8692E">
        <w:rPr>
          <w:lang w:val="fr-FR"/>
        </w:rPr>
        <w:t> </w:t>
      </w:r>
      <w:r w:rsidRPr="00E8692E">
        <w:rPr>
          <w:lang w:val="fr-FR"/>
        </w:rPr>
        <w:t>EUR (</w:t>
      </w:r>
      <w:r w:rsidR="008B2E5E" w:rsidRPr="00E8692E">
        <w:rPr>
          <w:lang w:val="fr-FR"/>
        </w:rPr>
        <w:t>quatre-vingt-dix-huit mille cinq cent quatre-vingt-dix-neuf</w:t>
      </w:r>
      <w:r w:rsidRPr="00E8692E">
        <w:rPr>
          <w:lang w:val="fr-FR"/>
        </w:rPr>
        <w:t xml:space="preserve"> euros),</w:t>
      </w:r>
    </w:p>
    <w:p w:rsidR="00665D0A" w:rsidRPr="00E8692E" w:rsidRDefault="00665D0A" w:rsidP="00E8692E">
      <w:pPr>
        <w:pStyle w:val="Paragrafoelenco"/>
        <w:numPr>
          <w:ilvl w:val="0"/>
          <w:numId w:val="19"/>
        </w:numPr>
        <w:spacing w:after="200" w:line="276" w:lineRule="auto"/>
        <w:jc w:val="left"/>
        <w:rPr>
          <w:lang w:val="fr-FR"/>
        </w:rPr>
      </w:pPr>
      <w:r w:rsidRPr="00E8692E">
        <w:rPr>
          <w:lang w:val="fr-FR"/>
        </w:rPr>
        <w:t xml:space="preserve">à la </w:t>
      </w:r>
      <w:r w:rsidR="0041527A" w:rsidRPr="00E8692E">
        <w:rPr>
          <w:lang w:val="fr-FR"/>
        </w:rPr>
        <w:t xml:space="preserve">société </w:t>
      </w:r>
      <w:r w:rsidRPr="00E8692E">
        <w:rPr>
          <w:lang w:val="fr-FR"/>
        </w:rPr>
        <w:t>requérante de la requête n</w:t>
      </w:r>
      <w:r w:rsidR="001648F4" w:rsidRPr="00E8692E">
        <w:rPr>
          <w:vertAlign w:val="superscript"/>
          <w:lang w:val="fr-FR"/>
        </w:rPr>
        <w:t>o</w:t>
      </w:r>
      <w:r w:rsidRPr="00E8692E">
        <w:rPr>
          <w:lang w:val="fr-FR"/>
        </w:rPr>
        <w:t xml:space="preserve"> </w:t>
      </w:r>
      <w:r w:rsidRPr="00E8692E">
        <w:rPr>
          <w:noProof/>
          <w:lang w:val="fr-FR"/>
        </w:rPr>
        <w:t>39198/11</w:t>
      </w:r>
      <w:r w:rsidRPr="00E8692E">
        <w:rPr>
          <w:lang w:val="fr-FR"/>
        </w:rPr>
        <w:t xml:space="preserve"> : </w:t>
      </w:r>
      <w:r w:rsidRPr="00E8692E">
        <w:rPr>
          <w:noProof/>
          <w:lang w:val="fr-FR"/>
        </w:rPr>
        <w:t>97</w:t>
      </w:r>
      <w:r w:rsidR="00D100A9" w:rsidRPr="00E8692E">
        <w:rPr>
          <w:noProof/>
          <w:lang w:val="fr-FR"/>
        </w:rPr>
        <w:t>8 </w:t>
      </w:r>
      <w:r w:rsidRPr="00E8692E">
        <w:rPr>
          <w:lang w:val="fr-FR"/>
        </w:rPr>
        <w:t>EUR</w:t>
      </w:r>
      <w:r w:rsidR="0041527A" w:rsidRPr="00E8692E">
        <w:rPr>
          <w:lang w:val="fr-FR"/>
        </w:rPr>
        <w:t> </w:t>
      </w:r>
      <w:r w:rsidRPr="00E8692E">
        <w:rPr>
          <w:lang w:val="fr-FR"/>
        </w:rPr>
        <w:t>(</w:t>
      </w:r>
      <w:r w:rsidR="008B2E5E" w:rsidRPr="00E8692E">
        <w:rPr>
          <w:lang w:val="fr-FR"/>
        </w:rPr>
        <w:t>neuf cent soixante-dix-huit</w:t>
      </w:r>
      <w:r w:rsidR="007B1D26" w:rsidRPr="00E8692E">
        <w:rPr>
          <w:lang w:val="fr-FR"/>
        </w:rPr>
        <w:t xml:space="preserve"> euros) ;</w:t>
      </w:r>
    </w:p>
    <w:p w:rsidR="00665D0A" w:rsidRPr="00E8692E" w:rsidRDefault="00E77CB3" w:rsidP="00E8692E">
      <w:pPr>
        <w:pStyle w:val="JuLista"/>
        <w:rPr>
          <w:lang w:val="fr-FR"/>
        </w:rPr>
      </w:pPr>
      <w:r w:rsidRPr="00E8692E">
        <w:rPr>
          <w:lang w:val="fr-FR"/>
        </w:rPr>
        <w:t>b)  </w:t>
      </w:r>
      <w:r w:rsidR="0061375C" w:rsidRPr="00E8692E">
        <w:rPr>
          <w:lang w:val="fr-FR"/>
        </w:rPr>
        <w:t>les sommes suivantes, plus tout montant pouvant être dû à titre d</w:t>
      </w:r>
      <w:r w:rsidR="00E8692E" w:rsidRPr="00E8692E">
        <w:rPr>
          <w:lang w:val="fr-FR"/>
        </w:rPr>
        <w:t>’</w:t>
      </w:r>
      <w:r w:rsidR="0061375C" w:rsidRPr="00E8692E">
        <w:rPr>
          <w:lang w:val="fr-FR"/>
        </w:rPr>
        <w:t>impôt, pour dommage moral :</w:t>
      </w:r>
    </w:p>
    <w:p w:rsidR="00665D0A" w:rsidRPr="00E8692E" w:rsidRDefault="00196C2A" w:rsidP="00E8692E">
      <w:pPr>
        <w:pStyle w:val="Paragrafoelenco"/>
        <w:numPr>
          <w:ilvl w:val="0"/>
          <w:numId w:val="22"/>
        </w:numPr>
        <w:rPr>
          <w:lang w:val="fr-FR"/>
        </w:rPr>
      </w:pPr>
      <w:r w:rsidRPr="00E8692E">
        <w:rPr>
          <w:lang w:val="fr-FR"/>
        </w:rPr>
        <w:t>à chacune des</w:t>
      </w:r>
      <w:r w:rsidR="007B1D26" w:rsidRPr="00E8692E">
        <w:rPr>
          <w:lang w:val="fr-FR"/>
        </w:rPr>
        <w:t xml:space="preserve"> </w:t>
      </w:r>
      <w:r w:rsidR="0041527A" w:rsidRPr="00E8692E">
        <w:rPr>
          <w:lang w:val="fr-FR"/>
        </w:rPr>
        <w:t xml:space="preserve">sociétés </w:t>
      </w:r>
      <w:r w:rsidR="007B1D26" w:rsidRPr="00E8692E">
        <w:rPr>
          <w:lang w:val="fr-FR"/>
        </w:rPr>
        <w:t>requérantes des requêtes n</w:t>
      </w:r>
      <w:r w:rsidR="007B1D26" w:rsidRPr="00E8692E">
        <w:rPr>
          <w:vertAlign w:val="superscript"/>
          <w:lang w:val="fr-FR"/>
        </w:rPr>
        <w:t xml:space="preserve">os </w:t>
      </w:r>
      <w:r w:rsidR="007B1D26" w:rsidRPr="00E8692E">
        <w:rPr>
          <w:noProof/>
          <w:lang w:val="fr-FR"/>
        </w:rPr>
        <w:t>39186/11</w:t>
      </w:r>
      <w:r w:rsidR="007B1D26" w:rsidRPr="00E8692E">
        <w:rPr>
          <w:lang w:val="fr-FR"/>
        </w:rPr>
        <w:t>, 39187/11, 39192/11, 39193/11, 39196/11, 39197/11, 39198/11</w:t>
      </w:r>
      <w:r w:rsidR="00F00A7B" w:rsidRPr="00E8692E">
        <w:rPr>
          <w:lang w:val="fr-FR"/>
        </w:rPr>
        <w:t> </w:t>
      </w:r>
      <w:r w:rsidR="00665D0A" w:rsidRPr="00E8692E">
        <w:rPr>
          <w:lang w:val="fr-FR"/>
        </w:rPr>
        <w:t xml:space="preserve">: </w:t>
      </w:r>
      <w:r w:rsidR="00665D0A" w:rsidRPr="00E8692E">
        <w:rPr>
          <w:noProof/>
          <w:lang w:val="fr-FR"/>
        </w:rPr>
        <w:t>10</w:t>
      </w:r>
      <w:r w:rsidRPr="00E8692E">
        <w:rPr>
          <w:noProof/>
          <w:lang w:val="fr-FR"/>
        </w:rPr>
        <w:t> </w:t>
      </w:r>
      <w:r w:rsidR="00665D0A" w:rsidRPr="00E8692E">
        <w:rPr>
          <w:noProof/>
          <w:lang w:val="fr-FR"/>
        </w:rPr>
        <w:t>800</w:t>
      </w:r>
      <w:r w:rsidRPr="00E8692E">
        <w:rPr>
          <w:noProof/>
          <w:lang w:val="fr-FR"/>
        </w:rPr>
        <w:t> </w:t>
      </w:r>
      <w:r w:rsidR="00665D0A" w:rsidRPr="00E8692E">
        <w:rPr>
          <w:lang w:val="fr-FR"/>
        </w:rPr>
        <w:t>EUR (dix mille huit cent</w:t>
      </w:r>
      <w:r w:rsidR="007B1D26" w:rsidRPr="00E8692E">
        <w:rPr>
          <w:lang w:val="fr-FR"/>
        </w:rPr>
        <w:t>s</w:t>
      </w:r>
      <w:r w:rsidR="00665D0A" w:rsidRPr="00E8692E">
        <w:rPr>
          <w:lang w:val="fr-FR"/>
        </w:rPr>
        <w:t xml:space="preserve"> euros),</w:t>
      </w:r>
    </w:p>
    <w:p w:rsidR="00665D0A" w:rsidRPr="00E8692E" w:rsidRDefault="00196C2A" w:rsidP="00E8692E">
      <w:pPr>
        <w:pStyle w:val="Paragrafoelenco"/>
        <w:numPr>
          <w:ilvl w:val="0"/>
          <w:numId w:val="22"/>
        </w:numPr>
        <w:rPr>
          <w:lang w:val="fr-FR"/>
        </w:rPr>
      </w:pPr>
      <w:r w:rsidRPr="00E8692E">
        <w:rPr>
          <w:lang w:val="fr-FR"/>
        </w:rPr>
        <w:t xml:space="preserve">à chacune des </w:t>
      </w:r>
      <w:r w:rsidR="0041527A" w:rsidRPr="00E8692E">
        <w:rPr>
          <w:lang w:val="fr-FR"/>
        </w:rPr>
        <w:t xml:space="preserve">sociétés </w:t>
      </w:r>
      <w:r w:rsidR="007B1D26" w:rsidRPr="00E8692E">
        <w:rPr>
          <w:lang w:val="fr-FR"/>
        </w:rPr>
        <w:t>requérantes des requêtes n</w:t>
      </w:r>
      <w:r w:rsidR="007B1D26" w:rsidRPr="00E8692E">
        <w:rPr>
          <w:vertAlign w:val="superscript"/>
          <w:lang w:val="fr-FR"/>
        </w:rPr>
        <w:t>os</w:t>
      </w:r>
      <w:r w:rsidR="007B1D26" w:rsidRPr="00E8692E">
        <w:rPr>
          <w:lang w:val="fr-FR"/>
        </w:rPr>
        <w:t xml:space="preserve"> 39189/11, 39190/11, 39194/11 : </w:t>
      </w:r>
      <w:r w:rsidR="008B16BE" w:rsidRPr="00E8692E">
        <w:rPr>
          <w:lang w:val="fr-FR"/>
        </w:rPr>
        <w:t>6</w:t>
      </w:r>
      <w:r w:rsidRPr="00E8692E">
        <w:rPr>
          <w:lang w:val="fr-FR"/>
        </w:rPr>
        <w:t> </w:t>
      </w:r>
      <w:r w:rsidR="008B16BE" w:rsidRPr="00E8692E">
        <w:rPr>
          <w:lang w:val="fr-FR"/>
        </w:rPr>
        <w:t xml:space="preserve">750 </w:t>
      </w:r>
      <w:r w:rsidR="007B1D26" w:rsidRPr="00E8692E">
        <w:rPr>
          <w:lang w:val="fr-FR"/>
        </w:rPr>
        <w:t>EUR (</w:t>
      </w:r>
      <w:r w:rsidR="008B16BE" w:rsidRPr="00E8692E">
        <w:rPr>
          <w:lang w:val="fr-FR"/>
        </w:rPr>
        <w:t>six mille sept cent cinquante</w:t>
      </w:r>
      <w:r w:rsidR="007B1D26" w:rsidRPr="00E8692E">
        <w:rPr>
          <w:lang w:val="fr-FR"/>
        </w:rPr>
        <w:t xml:space="preserve"> euros);</w:t>
      </w:r>
    </w:p>
    <w:p w:rsidR="00665D0A" w:rsidRPr="00E8692E" w:rsidRDefault="00665D0A" w:rsidP="00E8692E">
      <w:pPr>
        <w:pStyle w:val="JuLista"/>
        <w:rPr>
          <w:lang w:val="fr-FR"/>
        </w:rPr>
      </w:pPr>
    </w:p>
    <w:p w:rsidR="0061375C" w:rsidRPr="00E8692E" w:rsidRDefault="0061375C" w:rsidP="00E8692E">
      <w:pPr>
        <w:pStyle w:val="JuLista"/>
        <w:rPr>
          <w:lang w:val="fr-FR"/>
        </w:rPr>
      </w:pPr>
      <w:r w:rsidRPr="00E8692E">
        <w:rPr>
          <w:lang w:val="fr-FR"/>
        </w:rPr>
        <w:t>c)</w:t>
      </w:r>
      <w:r w:rsidR="00196C2A" w:rsidRPr="00E8692E">
        <w:rPr>
          <w:lang w:val="fr-FR"/>
        </w:rPr>
        <w:t>  </w:t>
      </w:r>
      <w:r w:rsidR="00D72BD3" w:rsidRPr="00E8692E">
        <w:rPr>
          <w:lang w:val="fr-FR"/>
        </w:rPr>
        <w:t xml:space="preserve">2 500 </w:t>
      </w:r>
      <w:r w:rsidRPr="00E8692E">
        <w:rPr>
          <w:lang w:val="fr-FR"/>
        </w:rPr>
        <w:t>EUR (</w:t>
      </w:r>
      <w:r w:rsidR="00D72BD3" w:rsidRPr="00E8692E">
        <w:rPr>
          <w:lang w:val="fr-FR"/>
        </w:rPr>
        <w:t>deux mille cinq cent</w:t>
      </w:r>
      <w:r w:rsidR="00D100A9" w:rsidRPr="00E8692E">
        <w:rPr>
          <w:lang w:val="fr-FR"/>
        </w:rPr>
        <w:t>s</w:t>
      </w:r>
      <w:r w:rsidR="00D72BD3" w:rsidRPr="00E8692E">
        <w:rPr>
          <w:lang w:val="fr-FR"/>
        </w:rPr>
        <w:t xml:space="preserve"> </w:t>
      </w:r>
      <w:r w:rsidRPr="00E8692E">
        <w:rPr>
          <w:lang w:val="fr-FR"/>
        </w:rPr>
        <w:t>euros)</w:t>
      </w:r>
      <w:r w:rsidR="006B6ACF" w:rsidRPr="00E8692E">
        <w:rPr>
          <w:lang w:val="fr-FR"/>
        </w:rPr>
        <w:t xml:space="preserve"> </w:t>
      </w:r>
      <w:r w:rsidR="00D72BD3" w:rsidRPr="00E8692E">
        <w:rPr>
          <w:lang w:val="fr-FR"/>
        </w:rPr>
        <w:t>conjointement aux</w:t>
      </w:r>
      <w:r w:rsidR="006B6ACF" w:rsidRPr="00E8692E">
        <w:rPr>
          <w:lang w:val="fr-FR"/>
        </w:rPr>
        <w:t xml:space="preserve"> </w:t>
      </w:r>
      <w:r w:rsidR="009A7490" w:rsidRPr="00E8692E">
        <w:rPr>
          <w:lang w:val="fr-FR"/>
        </w:rPr>
        <w:t xml:space="preserve">sociétés </w:t>
      </w:r>
      <w:r w:rsidR="006B6ACF" w:rsidRPr="00E8692E">
        <w:rPr>
          <w:lang w:val="fr-FR"/>
        </w:rPr>
        <w:t>requérantes</w:t>
      </w:r>
      <w:r w:rsidRPr="00E8692E">
        <w:rPr>
          <w:lang w:val="fr-FR"/>
        </w:rPr>
        <w:t>, plus tout montant pouvant être dû à titre d</w:t>
      </w:r>
      <w:r w:rsidR="00E8692E" w:rsidRPr="00E8692E">
        <w:rPr>
          <w:lang w:val="fr-FR"/>
        </w:rPr>
        <w:t>’</w:t>
      </w:r>
      <w:r w:rsidRPr="00E8692E">
        <w:rPr>
          <w:lang w:val="fr-FR"/>
        </w:rPr>
        <w:t>impôt</w:t>
      </w:r>
      <w:r w:rsidR="00196C2A" w:rsidRPr="00E8692E">
        <w:rPr>
          <w:lang w:val="fr-FR"/>
        </w:rPr>
        <w:t xml:space="preserve"> par </w:t>
      </w:r>
      <w:r w:rsidR="006B6ACF" w:rsidRPr="00E8692E">
        <w:rPr>
          <w:lang w:val="fr-FR"/>
        </w:rPr>
        <w:t>elles</w:t>
      </w:r>
      <w:r w:rsidRPr="00E8692E">
        <w:rPr>
          <w:lang w:val="fr-FR"/>
        </w:rPr>
        <w:t>, pour frais et dépens ;</w:t>
      </w:r>
    </w:p>
    <w:p w:rsidR="0061375C" w:rsidRPr="00E8692E" w:rsidRDefault="0061375C" w:rsidP="00E8692E">
      <w:pPr>
        <w:pStyle w:val="JuLista"/>
        <w:ind w:left="0"/>
        <w:rPr>
          <w:lang w:val="fr-FR"/>
        </w:rPr>
      </w:pPr>
    </w:p>
    <w:p w:rsidR="003175BA" w:rsidRPr="00E8692E" w:rsidRDefault="0061375C" w:rsidP="00E8692E">
      <w:pPr>
        <w:pStyle w:val="JuLista"/>
        <w:rPr>
          <w:lang w:val="fr-FR"/>
        </w:rPr>
      </w:pPr>
      <w:r w:rsidRPr="00E8692E">
        <w:rPr>
          <w:lang w:val="fr-FR"/>
        </w:rPr>
        <w:t>d)</w:t>
      </w:r>
      <w:r w:rsidR="00D22485" w:rsidRPr="00E8692E">
        <w:rPr>
          <w:lang w:val="fr-FR"/>
        </w:rPr>
        <w:t>  </w:t>
      </w:r>
      <w:r w:rsidR="00E77CB3" w:rsidRPr="00E8692E">
        <w:rPr>
          <w:lang w:val="fr-FR"/>
        </w:rPr>
        <w:t>qu</w:t>
      </w:r>
      <w:r w:rsidR="00E8692E" w:rsidRPr="00E8692E">
        <w:rPr>
          <w:lang w:val="fr-FR"/>
        </w:rPr>
        <w:t>’</w:t>
      </w:r>
      <w:r w:rsidR="00E77CB3" w:rsidRPr="00E8692E">
        <w:rPr>
          <w:lang w:val="fr-FR"/>
        </w:rPr>
        <w:t>à compter de l</w:t>
      </w:r>
      <w:r w:rsidR="00E8692E" w:rsidRPr="00E8692E">
        <w:rPr>
          <w:lang w:val="fr-FR"/>
        </w:rPr>
        <w:t>’</w:t>
      </w:r>
      <w:r w:rsidR="00E77CB3" w:rsidRPr="00E8692E">
        <w:rPr>
          <w:lang w:val="fr-FR"/>
        </w:rPr>
        <w:t>expiration dudit délai et jusqu</w:t>
      </w:r>
      <w:r w:rsidR="00E8692E" w:rsidRPr="00E8692E">
        <w:rPr>
          <w:lang w:val="fr-FR"/>
        </w:rPr>
        <w:t>’</w:t>
      </w:r>
      <w:r w:rsidR="00E77CB3" w:rsidRPr="00E8692E">
        <w:rPr>
          <w:lang w:val="fr-FR"/>
        </w:rPr>
        <w:t>au versement, ces montants seront à majorer d</w:t>
      </w:r>
      <w:r w:rsidR="00E8692E" w:rsidRPr="00E8692E">
        <w:rPr>
          <w:lang w:val="fr-FR"/>
        </w:rPr>
        <w:t>’</w:t>
      </w:r>
      <w:r w:rsidR="00E77CB3" w:rsidRPr="00E8692E">
        <w:rPr>
          <w:lang w:val="fr-FR"/>
        </w:rPr>
        <w:t>un intérêt simple à un taux égal à celui de la facilité de prêt marginal de la Banque centrale européenne applicable pendant cette période, augmenté de trois points de pourcentage ;</w:t>
      </w:r>
    </w:p>
    <w:p w:rsidR="00E77CB3" w:rsidRPr="00E8692E" w:rsidRDefault="00E77CB3" w:rsidP="00E8692E">
      <w:pPr>
        <w:pStyle w:val="JuLista"/>
        <w:rPr>
          <w:lang w:val="fr-FR"/>
        </w:rPr>
      </w:pPr>
    </w:p>
    <w:p w:rsidR="00E77CB3" w:rsidRPr="00E8692E" w:rsidRDefault="00E02CD3" w:rsidP="00E8692E">
      <w:pPr>
        <w:pStyle w:val="JuList"/>
        <w:rPr>
          <w:lang w:val="fr-FR"/>
        </w:rPr>
      </w:pPr>
      <w:r w:rsidRPr="00E8692E">
        <w:rPr>
          <w:lang w:val="fr-FR"/>
        </w:rPr>
        <w:t>5</w:t>
      </w:r>
      <w:r w:rsidR="00E77CB3" w:rsidRPr="00E8692E">
        <w:rPr>
          <w:lang w:val="fr-FR"/>
        </w:rPr>
        <w:t>.  </w:t>
      </w:r>
      <w:r w:rsidR="00E77CB3" w:rsidRPr="00E8692E">
        <w:rPr>
          <w:i/>
          <w:lang w:val="fr-FR"/>
        </w:rPr>
        <w:t>Rejette</w:t>
      </w:r>
      <w:r w:rsidR="00E77CB3" w:rsidRPr="00E8692E">
        <w:rPr>
          <w:lang w:val="fr-FR"/>
        </w:rPr>
        <w:t xml:space="preserve"> la demande de satisfaction équitable pour le surplus.</w:t>
      </w:r>
    </w:p>
    <w:p w:rsidR="00E77CB3" w:rsidRPr="00E8692E" w:rsidRDefault="00E77CB3" w:rsidP="00E8692E">
      <w:pPr>
        <w:pStyle w:val="JuParaLast"/>
        <w:keepNext w:val="0"/>
        <w:keepLines w:val="0"/>
        <w:rPr>
          <w:lang w:val="fr-FR"/>
        </w:rPr>
      </w:pPr>
      <w:r w:rsidRPr="00E8692E">
        <w:rPr>
          <w:lang w:val="fr-FR"/>
        </w:rPr>
        <w:t>Fait en français, puis communiqué par écrit le </w:t>
      </w:r>
      <w:r w:rsidR="002E50EC" w:rsidRPr="00E8692E">
        <w:rPr>
          <w:lang w:val="fr-FR"/>
        </w:rPr>
        <w:t xml:space="preserve">4 </w:t>
      </w:r>
      <w:r w:rsidR="00CD5599" w:rsidRPr="00E8692E">
        <w:rPr>
          <w:lang w:val="fr-FR"/>
        </w:rPr>
        <w:t>octobre 2018</w:t>
      </w:r>
      <w:r w:rsidRPr="00E8692E">
        <w:rPr>
          <w:lang w:val="fr-FR"/>
        </w:rPr>
        <w:t>, en application de l</w:t>
      </w:r>
      <w:r w:rsidR="00E8692E" w:rsidRPr="00E8692E">
        <w:rPr>
          <w:lang w:val="fr-FR"/>
        </w:rPr>
        <w:t>’</w:t>
      </w:r>
      <w:r w:rsidRPr="00E8692E">
        <w:rPr>
          <w:lang w:val="fr-FR"/>
        </w:rPr>
        <w:t>article 77 §§ 2 et 3 du règlement</w:t>
      </w:r>
      <w:r w:rsidR="00AC0824" w:rsidRPr="00E8692E">
        <w:rPr>
          <w:lang w:val="fr-FR"/>
        </w:rPr>
        <w:t xml:space="preserve"> de la Cour</w:t>
      </w:r>
      <w:r w:rsidRPr="00E8692E">
        <w:rPr>
          <w:lang w:val="fr-FR"/>
        </w:rPr>
        <w:t>.</w:t>
      </w:r>
    </w:p>
    <w:p w:rsidR="00D0346C" w:rsidRPr="00E8692E" w:rsidRDefault="002E50EC" w:rsidP="00E8692E">
      <w:pPr>
        <w:pStyle w:val="JuSigned"/>
        <w:tabs>
          <w:tab w:val="clear" w:pos="851"/>
          <w:tab w:val="center" w:pos="709"/>
        </w:tabs>
        <w:spacing w:before="480"/>
        <w:rPr>
          <w:szCs w:val="24"/>
          <w:lang w:val="fr-FR"/>
        </w:rPr>
      </w:pPr>
      <w:r w:rsidRPr="00E8692E">
        <w:rPr>
          <w:lang w:val="fr-FR"/>
        </w:rPr>
        <w:t xml:space="preserve"> </w:t>
      </w:r>
      <w:r w:rsidR="00934225" w:rsidRPr="00E8692E">
        <w:rPr>
          <w:lang w:val="fr-FR"/>
        </w:rPr>
        <w:t xml:space="preserve">Renata </w:t>
      </w:r>
      <w:proofErr w:type="spellStart"/>
      <w:r w:rsidR="00934225" w:rsidRPr="00E8692E">
        <w:rPr>
          <w:lang w:val="fr-FR"/>
        </w:rPr>
        <w:t>Degener</w:t>
      </w:r>
      <w:proofErr w:type="spellEnd"/>
      <w:r w:rsidR="00E77CB3" w:rsidRPr="00E8692E">
        <w:rPr>
          <w:lang w:val="fr-FR"/>
        </w:rPr>
        <w:tab/>
      </w:r>
      <w:r w:rsidR="00CD5599" w:rsidRPr="00E8692E">
        <w:rPr>
          <w:szCs w:val="24"/>
          <w:lang w:val="fr-FR"/>
        </w:rPr>
        <w:t xml:space="preserve">Kristina </w:t>
      </w:r>
      <w:proofErr w:type="spellStart"/>
      <w:r w:rsidR="00CD5599" w:rsidRPr="00E8692E">
        <w:rPr>
          <w:szCs w:val="24"/>
          <w:lang w:val="fr-FR"/>
        </w:rPr>
        <w:t>Pardalos</w:t>
      </w:r>
      <w:proofErr w:type="spellEnd"/>
      <w:r w:rsidR="00934225" w:rsidRPr="00E8692E">
        <w:rPr>
          <w:szCs w:val="24"/>
          <w:lang w:val="fr-FR"/>
        </w:rPr>
        <w:t xml:space="preserve"> </w:t>
      </w:r>
      <w:r w:rsidR="00E77CB3" w:rsidRPr="00E8692E">
        <w:rPr>
          <w:lang w:val="fr-FR"/>
        </w:rPr>
        <w:br/>
      </w:r>
      <w:r w:rsidR="00E77CB3" w:rsidRPr="00E8692E">
        <w:rPr>
          <w:lang w:val="fr-FR"/>
        </w:rPr>
        <w:tab/>
      </w:r>
      <w:r w:rsidR="00934225" w:rsidRPr="00E8692E">
        <w:rPr>
          <w:lang w:val="fr-FR"/>
        </w:rPr>
        <w:t>Greffière adjointe</w:t>
      </w:r>
      <w:r w:rsidR="00E77CB3" w:rsidRPr="00E8692E">
        <w:rPr>
          <w:lang w:val="fr-FR"/>
        </w:rPr>
        <w:tab/>
      </w:r>
      <w:r w:rsidR="00934225" w:rsidRPr="00E8692E">
        <w:rPr>
          <w:szCs w:val="24"/>
          <w:lang w:val="fr-FR"/>
        </w:rPr>
        <w:t>Président</w:t>
      </w:r>
      <w:r w:rsidR="00B91A70" w:rsidRPr="00E8692E">
        <w:rPr>
          <w:szCs w:val="24"/>
          <w:lang w:val="fr-FR"/>
        </w:rPr>
        <w:t>e</w:t>
      </w:r>
    </w:p>
    <w:p w:rsidR="00E8692E" w:rsidRPr="00E8692E" w:rsidRDefault="00E8692E" w:rsidP="00E8692E">
      <w:pPr>
        <w:jc w:val="center"/>
        <w:rPr>
          <w:b/>
          <w:lang w:val="fr-FR"/>
        </w:rPr>
        <w:sectPr w:rsidR="00E8692E" w:rsidRPr="00E8692E" w:rsidSect="001E2EDB">
          <w:headerReference w:type="first" r:id="rId17"/>
          <w:footerReference w:type="first" r:id="rId18"/>
          <w:footnotePr>
            <w:numRestart w:val="eachSect"/>
          </w:footnotePr>
          <w:pgSz w:w="11906" w:h="16838" w:code="9"/>
          <w:pgMar w:top="2274" w:right="2274" w:bottom="2274" w:left="2274" w:header="1701" w:footer="720" w:gutter="0"/>
          <w:pgNumType w:start="1"/>
          <w:cols w:space="720"/>
          <w:titlePg/>
          <w:docGrid w:linePitch="326"/>
        </w:sectPr>
      </w:pPr>
    </w:p>
    <w:p w:rsidR="004D15F3" w:rsidRPr="00E8692E" w:rsidRDefault="00934225" w:rsidP="00E8692E">
      <w:pPr>
        <w:jc w:val="center"/>
        <w:rPr>
          <w:b/>
          <w:lang w:val="fr-FR"/>
        </w:rPr>
      </w:pPr>
      <w:r w:rsidRPr="00E8692E">
        <w:rPr>
          <w:b/>
          <w:lang w:val="fr-FR"/>
        </w:rPr>
        <w:lastRenderedPageBreak/>
        <w:t>ANNEXE</w:t>
      </w:r>
    </w:p>
    <w:p w:rsidR="00D0346C" w:rsidRPr="00E8692E" w:rsidRDefault="00D0346C" w:rsidP="00E8692E">
      <w:pPr>
        <w:jc w:val="center"/>
        <w:rPr>
          <w:lang w:val="fr-FR"/>
        </w:rPr>
      </w:pPr>
    </w:p>
    <w:tbl>
      <w:tblPr>
        <w:tblW w:w="1075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850"/>
        <w:gridCol w:w="1418"/>
        <w:gridCol w:w="1483"/>
        <w:gridCol w:w="1984"/>
        <w:gridCol w:w="1701"/>
        <w:gridCol w:w="1559"/>
        <w:gridCol w:w="1761"/>
      </w:tblGrid>
      <w:tr w:rsidR="008B16BE" w:rsidRPr="00E8692E" w:rsidTr="009C0A5A">
        <w:trPr>
          <w:trHeight w:val="1252"/>
          <w:tblHeader/>
          <w:jc w:val="center"/>
        </w:trPr>
        <w:tc>
          <w:tcPr>
            <w:tcW w:w="850" w:type="dxa"/>
            <w:shd w:val="clear" w:color="auto" w:fill="E0E0E0"/>
            <w:vAlign w:val="center"/>
          </w:tcPr>
          <w:p w:rsidR="00D0346C" w:rsidRPr="00E8692E" w:rsidRDefault="00D0346C" w:rsidP="00E8692E">
            <w:pPr>
              <w:pStyle w:val="ECHRPara"/>
              <w:ind w:firstLine="0"/>
              <w:jc w:val="center"/>
              <w:rPr>
                <w:b/>
                <w:sz w:val="20"/>
                <w:szCs w:val="20"/>
                <w:lang w:val="fr-FR"/>
              </w:rPr>
            </w:pPr>
          </w:p>
          <w:p w:rsidR="008B16BE" w:rsidRPr="00E8692E" w:rsidRDefault="008B16BE" w:rsidP="00E8692E">
            <w:pPr>
              <w:pStyle w:val="ECHRPara"/>
              <w:ind w:firstLine="0"/>
              <w:jc w:val="center"/>
              <w:rPr>
                <w:b/>
                <w:sz w:val="20"/>
                <w:szCs w:val="20"/>
                <w:lang w:val="fr-FR"/>
              </w:rPr>
            </w:pPr>
            <w:r w:rsidRPr="00E8692E">
              <w:rPr>
                <w:b/>
                <w:sz w:val="20"/>
                <w:szCs w:val="20"/>
                <w:lang w:val="fr-FR"/>
              </w:rPr>
              <w:t>N</w:t>
            </w:r>
            <w:r w:rsidRPr="00E8692E">
              <w:rPr>
                <w:b/>
                <w:sz w:val="20"/>
                <w:szCs w:val="20"/>
                <w:vertAlign w:val="superscript"/>
                <w:lang w:val="fr-FR"/>
              </w:rPr>
              <w:t>o</w:t>
            </w:r>
          </w:p>
        </w:tc>
        <w:tc>
          <w:tcPr>
            <w:tcW w:w="1418" w:type="dxa"/>
            <w:shd w:val="clear" w:color="auto" w:fill="E0E0E0"/>
            <w:vAlign w:val="center"/>
          </w:tcPr>
          <w:p w:rsidR="008B16BE" w:rsidRPr="00E8692E" w:rsidRDefault="008B16BE" w:rsidP="00E8692E">
            <w:pPr>
              <w:pStyle w:val="ECHRPara"/>
              <w:ind w:firstLine="0"/>
              <w:jc w:val="center"/>
              <w:rPr>
                <w:b/>
                <w:sz w:val="20"/>
                <w:szCs w:val="20"/>
                <w:lang w:val="fr-FR"/>
              </w:rPr>
            </w:pPr>
            <w:r w:rsidRPr="00E8692E">
              <w:rPr>
                <w:b/>
                <w:sz w:val="20"/>
                <w:szCs w:val="20"/>
                <w:lang w:val="fr-FR"/>
              </w:rPr>
              <w:t>N</w:t>
            </w:r>
            <w:r w:rsidRPr="00E8692E">
              <w:rPr>
                <w:rFonts w:ascii="Times New (W1)" w:hAnsi="Times New (W1)"/>
                <w:b/>
                <w:sz w:val="20"/>
                <w:szCs w:val="20"/>
                <w:vertAlign w:val="superscript"/>
                <w:lang w:val="fr-FR"/>
              </w:rPr>
              <w:t>o</w:t>
            </w:r>
            <w:r w:rsidRPr="00E8692E">
              <w:rPr>
                <w:b/>
                <w:sz w:val="20"/>
                <w:szCs w:val="20"/>
                <w:lang w:val="fr-FR"/>
              </w:rPr>
              <w:t xml:space="preserve"> de requête</w:t>
            </w:r>
          </w:p>
        </w:tc>
        <w:tc>
          <w:tcPr>
            <w:tcW w:w="1483" w:type="dxa"/>
            <w:shd w:val="clear" w:color="auto" w:fill="E0E0E0"/>
            <w:vAlign w:val="center"/>
          </w:tcPr>
          <w:p w:rsidR="008B16BE" w:rsidRPr="00E8692E" w:rsidRDefault="008B16BE" w:rsidP="00E8692E">
            <w:pPr>
              <w:pStyle w:val="ECHRPara"/>
              <w:rPr>
                <w:b/>
                <w:sz w:val="20"/>
                <w:szCs w:val="20"/>
                <w:lang w:val="fr-FR"/>
              </w:rPr>
            </w:pPr>
            <w:r w:rsidRPr="00E8692E">
              <w:rPr>
                <w:b/>
                <w:sz w:val="20"/>
                <w:szCs w:val="20"/>
                <w:lang w:val="fr-FR"/>
              </w:rPr>
              <w:t>Date d</w:t>
            </w:r>
            <w:r w:rsidR="00E8692E" w:rsidRPr="00E8692E">
              <w:rPr>
                <w:b/>
                <w:sz w:val="20"/>
                <w:szCs w:val="20"/>
                <w:lang w:val="fr-FR"/>
              </w:rPr>
              <w:t>’</w:t>
            </w:r>
            <w:r w:rsidRPr="00E8692E">
              <w:rPr>
                <w:b/>
                <w:sz w:val="20"/>
                <w:szCs w:val="20"/>
                <w:lang w:val="fr-FR"/>
              </w:rPr>
              <w:t>introduction</w:t>
            </w:r>
          </w:p>
        </w:tc>
        <w:tc>
          <w:tcPr>
            <w:tcW w:w="1984" w:type="dxa"/>
            <w:shd w:val="clear" w:color="auto" w:fill="E0E0E0"/>
            <w:vAlign w:val="center"/>
          </w:tcPr>
          <w:p w:rsidR="008B16BE" w:rsidRPr="00E8692E" w:rsidRDefault="008B16BE" w:rsidP="00E8692E">
            <w:pPr>
              <w:pStyle w:val="ECHRPara"/>
              <w:jc w:val="center"/>
              <w:rPr>
                <w:b/>
                <w:sz w:val="20"/>
                <w:szCs w:val="20"/>
                <w:lang w:val="fr-FR"/>
              </w:rPr>
            </w:pPr>
            <w:r w:rsidRPr="00E8692E">
              <w:rPr>
                <w:b/>
                <w:sz w:val="20"/>
                <w:szCs w:val="20"/>
                <w:lang w:val="fr-FR"/>
              </w:rPr>
              <w:t>Nom du requérant</w:t>
            </w:r>
          </w:p>
          <w:p w:rsidR="008B16BE" w:rsidRPr="00E8692E" w:rsidRDefault="008B16BE" w:rsidP="00E8692E">
            <w:pPr>
              <w:pStyle w:val="ECHRPara"/>
              <w:jc w:val="center"/>
              <w:rPr>
                <w:b/>
                <w:sz w:val="20"/>
                <w:szCs w:val="20"/>
                <w:lang w:val="fr-FR"/>
              </w:rPr>
            </w:pPr>
            <w:r w:rsidRPr="00E8692E">
              <w:rPr>
                <w:b/>
                <w:sz w:val="20"/>
                <w:szCs w:val="20"/>
                <w:lang w:val="fr-FR"/>
              </w:rPr>
              <w:t>Lieu du domicile</w:t>
            </w:r>
          </w:p>
        </w:tc>
        <w:tc>
          <w:tcPr>
            <w:tcW w:w="1701" w:type="dxa"/>
            <w:shd w:val="clear" w:color="auto" w:fill="E0E0E0"/>
            <w:vAlign w:val="center"/>
          </w:tcPr>
          <w:p w:rsidR="008B16BE" w:rsidRPr="00E8692E" w:rsidRDefault="008B16BE" w:rsidP="00E8692E">
            <w:pPr>
              <w:pStyle w:val="ECHRPara"/>
              <w:ind w:firstLine="0"/>
              <w:jc w:val="center"/>
              <w:rPr>
                <w:b/>
                <w:sz w:val="20"/>
                <w:szCs w:val="20"/>
                <w:lang w:val="fr-FR"/>
              </w:rPr>
            </w:pPr>
            <w:r w:rsidRPr="00E8692E">
              <w:rPr>
                <w:b/>
                <w:sz w:val="20"/>
                <w:szCs w:val="20"/>
                <w:lang w:val="fr-FR"/>
              </w:rPr>
              <w:t>N</w:t>
            </w:r>
            <w:r w:rsidR="001648F4" w:rsidRPr="00E8692E">
              <w:rPr>
                <w:b/>
                <w:sz w:val="20"/>
                <w:szCs w:val="20"/>
                <w:vertAlign w:val="superscript"/>
                <w:lang w:val="fr-FR"/>
              </w:rPr>
              <w:t>o</w:t>
            </w:r>
            <w:r w:rsidRPr="00E8692E">
              <w:rPr>
                <w:b/>
                <w:sz w:val="20"/>
                <w:szCs w:val="20"/>
                <w:lang w:val="fr-FR"/>
              </w:rPr>
              <w:t xml:space="preserve"> ordonnances portant injonction de payer pas encore exécutées intégralement</w:t>
            </w:r>
          </w:p>
        </w:tc>
        <w:tc>
          <w:tcPr>
            <w:tcW w:w="1559" w:type="dxa"/>
            <w:shd w:val="clear" w:color="auto" w:fill="E0E0E0"/>
            <w:vAlign w:val="center"/>
          </w:tcPr>
          <w:p w:rsidR="008B16BE" w:rsidRPr="00E8692E" w:rsidRDefault="008B16BE" w:rsidP="00E8692E">
            <w:pPr>
              <w:jc w:val="center"/>
              <w:rPr>
                <w:b/>
                <w:sz w:val="20"/>
                <w:szCs w:val="20"/>
                <w:lang w:val="fr-FR"/>
              </w:rPr>
            </w:pPr>
            <w:r w:rsidRPr="00E8692E">
              <w:rPr>
                <w:b/>
                <w:sz w:val="20"/>
                <w:szCs w:val="20"/>
                <w:lang w:val="fr-FR"/>
              </w:rPr>
              <w:t xml:space="preserve">Date </w:t>
            </w:r>
            <w:r w:rsidR="0070130C" w:rsidRPr="00E8692E">
              <w:rPr>
                <w:b/>
                <w:sz w:val="20"/>
                <w:szCs w:val="20"/>
                <w:lang w:val="fr-FR"/>
              </w:rPr>
              <w:t>d</w:t>
            </w:r>
            <w:r w:rsidR="00906B23" w:rsidRPr="00E8692E">
              <w:rPr>
                <w:b/>
                <w:sz w:val="20"/>
                <w:szCs w:val="20"/>
                <w:lang w:val="fr-FR"/>
              </w:rPr>
              <w:t xml:space="preserve">u dépôt au greffe de </w:t>
            </w:r>
            <w:r w:rsidR="0070130C" w:rsidRPr="00E8692E">
              <w:rPr>
                <w:b/>
                <w:sz w:val="20"/>
                <w:szCs w:val="20"/>
                <w:lang w:val="fr-FR"/>
              </w:rPr>
              <w:t>l</w:t>
            </w:r>
            <w:r w:rsidR="00E8692E" w:rsidRPr="00E8692E">
              <w:rPr>
                <w:b/>
                <w:sz w:val="20"/>
                <w:szCs w:val="20"/>
                <w:lang w:val="fr-FR"/>
              </w:rPr>
              <w:t>’</w:t>
            </w:r>
            <w:r w:rsidR="0070130C" w:rsidRPr="00E8692E">
              <w:rPr>
                <w:b/>
                <w:sz w:val="20"/>
                <w:szCs w:val="20"/>
                <w:lang w:val="fr-FR"/>
              </w:rPr>
              <w:t>ordonnance</w:t>
            </w:r>
          </w:p>
        </w:tc>
        <w:tc>
          <w:tcPr>
            <w:tcW w:w="1761" w:type="dxa"/>
            <w:shd w:val="clear" w:color="auto" w:fill="E0E0E0"/>
            <w:vAlign w:val="center"/>
          </w:tcPr>
          <w:p w:rsidR="00D0346C" w:rsidRPr="00E8692E" w:rsidRDefault="008B16BE" w:rsidP="00E8692E">
            <w:pPr>
              <w:jc w:val="center"/>
              <w:rPr>
                <w:b/>
                <w:sz w:val="20"/>
                <w:szCs w:val="20"/>
                <w:lang w:val="fr-FR"/>
              </w:rPr>
            </w:pPr>
            <w:r w:rsidRPr="00E8692E">
              <w:rPr>
                <w:b/>
                <w:sz w:val="20"/>
                <w:szCs w:val="20"/>
                <w:lang w:val="fr-FR"/>
              </w:rPr>
              <w:t>Somme qui n</w:t>
            </w:r>
            <w:r w:rsidR="00E8692E" w:rsidRPr="00E8692E">
              <w:rPr>
                <w:b/>
                <w:sz w:val="20"/>
                <w:szCs w:val="20"/>
                <w:lang w:val="fr-FR"/>
              </w:rPr>
              <w:t>’</w:t>
            </w:r>
            <w:r w:rsidRPr="00E8692E">
              <w:rPr>
                <w:b/>
                <w:sz w:val="20"/>
                <w:szCs w:val="20"/>
                <w:lang w:val="fr-FR"/>
              </w:rPr>
              <w:t>a pas encore été payée</w:t>
            </w:r>
          </w:p>
          <w:p w:rsidR="008B16BE" w:rsidRPr="00E8692E" w:rsidRDefault="008B16BE" w:rsidP="00E8692E">
            <w:pPr>
              <w:jc w:val="center"/>
              <w:rPr>
                <w:noProof/>
                <w:sz w:val="20"/>
                <w:szCs w:val="20"/>
                <w:lang w:val="fr-FR"/>
              </w:rPr>
            </w:pPr>
            <w:r w:rsidRPr="00E8692E">
              <w:rPr>
                <w:b/>
                <w:sz w:val="20"/>
                <w:szCs w:val="20"/>
                <w:lang w:val="fr-FR"/>
              </w:rPr>
              <w:t xml:space="preserve"> (en EUR)</w:t>
            </w:r>
          </w:p>
        </w:tc>
      </w:tr>
      <w:tr w:rsidR="00D11440" w:rsidRPr="00E8692E" w:rsidTr="009C0A5A">
        <w:trPr>
          <w:trHeight w:val="353"/>
          <w:jc w:val="center"/>
        </w:trPr>
        <w:tc>
          <w:tcPr>
            <w:tcW w:w="850" w:type="dxa"/>
            <w:vMerge w:val="restart"/>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val="restart"/>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39186/11</w:t>
            </w:r>
          </w:p>
        </w:tc>
        <w:tc>
          <w:tcPr>
            <w:tcW w:w="1483" w:type="dxa"/>
            <w:vMerge w:val="restart"/>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8B16BE" w:rsidRPr="00E8692E" w:rsidRDefault="008B16BE" w:rsidP="00E8692E">
            <w:pPr>
              <w:suppressAutoHyphens/>
              <w:jc w:val="center"/>
              <w:rPr>
                <w:b/>
                <w:sz w:val="20"/>
                <w:szCs w:val="20"/>
              </w:rPr>
            </w:pPr>
            <w:r w:rsidRPr="00E8692E">
              <w:rPr>
                <w:b/>
                <w:sz w:val="20"/>
                <w:szCs w:val="20"/>
              </w:rPr>
              <w:t>THERAPIC CENTER S.R.L.</w:t>
            </w:r>
          </w:p>
          <w:p w:rsidR="008B16BE" w:rsidRPr="00E8692E" w:rsidRDefault="008B16BE" w:rsidP="00E8692E">
            <w:pPr>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B1783D" w:rsidP="00E8692E">
            <w:pPr>
              <w:pStyle w:val="ECHRParaSpaced"/>
              <w:jc w:val="right"/>
              <w:rPr>
                <w:sz w:val="20"/>
                <w:szCs w:val="20"/>
                <w:lang w:val="fr-FR"/>
              </w:rPr>
            </w:pPr>
            <w:r w:rsidRPr="00E8692E">
              <w:rPr>
                <w:rFonts w:eastAsiaTheme="minorEastAsia"/>
                <w:noProof/>
                <w:sz w:val="20"/>
                <w:szCs w:val="20"/>
                <w:lang w:val="fr-FR"/>
              </w:rPr>
              <w:t>19889</w:t>
            </w:r>
            <w:r w:rsidR="0070130C" w:rsidRPr="00E8692E">
              <w:rPr>
                <w:rFonts w:eastAsiaTheme="minorEastAsia"/>
                <w:noProof/>
                <w:sz w:val="20"/>
                <w:szCs w:val="20"/>
                <w:lang w:val="fr-FR"/>
              </w:rPr>
              <w:t>/</w:t>
            </w:r>
            <w:r w:rsidRPr="00E8692E">
              <w:rPr>
                <w:rFonts w:eastAsiaTheme="minorEastAsia"/>
                <w:noProof/>
                <w:sz w:val="20"/>
                <w:szCs w:val="20"/>
                <w:lang w:val="fr-FR"/>
              </w:rPr>
              <w:t>10</w:t>
            </w:r>
            <w:r w:rsidR="008B16BE" w:rsidRPr="00E8692E">
              <w:rPr>
                <w:rFonts w:eastAsiaTheme="minorEastAsia"/>
                <w:noProof/>
                <w:sz w:val="20"/>
                <w:szCs w:val="20"/>
                <w:lang w:val="fr-FR"/>
              </w:rPr>
              <w:t xml:space="preserve"> </w:t>
            </w:r>
          </w:p>
        </w:tc>
        <w:tc>
          <w:tcPr>
            <w:tcW w:w="1559" w:type="dxa"/>
          </w:tcPr>
          <w:p w:rsidR="008B16BE" w:rsidRPr="00E8692E" w:rsidRDefault="00906B23" w:rsidP="00E8692E">
            <w:pPr>
              <w:pStyle w:val="ECHRParaSpaced"/>
              <w:jc w:val="right"/>
              <w:rPr>
                <w:rFonts w:eastAsiaTheme="minorEastAsia"/>
                <w:noProof/>
                <w:sz w:val="20"/>
                <w:szCs w:val="20"/>
                <w:lang w:val="fr-FR"/>
              </w:rPr>
            </w:pPr>
            <w:r w:rsidRPr="00E8692E">
              <w:rPr>
                <w:rFonts w:eastAsiaTheme="minorEastAsia"/>
                <w:noProof/>
                <w:sz w:val="20"/>
                <w:szCs w:val="20"/>
                <w:lang w:val="fr-FR"/>
              </w:rPr>
              <w:t>30</w:t>
            </w:r>
            <w:r w:rsidR="0070130C" w:rsidRPr="00E8692E">
              <w:rPr>
                <w:rFonts w:eastAsiaTheme="minorEastAsia"/>
                <w:noProof/>
                <w:sz w:val="20"/>
                <w:szCs w:val="20"/>
                <w:lang w:val="fr-FR"/>
              </w:rPr>
              <w:t>/0</w:t>
            </w:r>
            <w:r w:rsidRPr="00E8692E">
              <w:rPr>
                <w:rFonts w:eastAsiaTheme="minorEastAsia"/>
                <w:noProof/>
                <w:sz w:val="20"/>
                <w:szCs w:val="20"/>
                <w:lang w:val="fr-FR"/>
              </w:rPr>
              <w:t>7</w:t>
            </w:r>
            <w:r w:rsidR="0070130C" w:rsidRPr="00E8692E">
              <w:rPr>
                <w:rFonts w:eastAsiaTheme="minorEastAsia"/>
                <w:noProof/>
                <w:sz w:val="20"/>
                <w:szCs w:val="20"/>
                <w:lang w:val="fr-FR"/>
              </w:rPr>
              <w:t>/2010</w:t>
            </w:r>
          </w:p>
        </w:tc>
        <w:tc>
          <w:tcPr>
            <w:tcW w:w="1761" w:type="dxa"/>
            <w:vMerge w:val="restart"/>
            <w:vAlign w:val="center"/>
          </w:tcPr>
          <w:p w:rsidR="008B16BE" w:rsidRPr="00E8692E" w:rsidRDefault="008B16BE" w:rsidP="00E8692E">
            <w:pPr>
              <w:pStyle w:val="ECHRParaSpaced"/>
              <w:jc w:val="right"/>
              <w:rPr>
                <w:sz w:val="20"/>
                <w:szCs w:val="20"/>
                <w:lang w:val="fr-FR"/>
              </w:rPr>
            </w:pPr>
            <w:r w:rsidRPr="00E8692E">
              <w:rPr>
                <w:rFonts w:eastAsiaTheme="minorEastAsia"/>
                <w:noProof/>
                <w:sz w:val="20"/>
                <w:szCs w:val="20"/>
                <w:lang w:val="fr-FR"/>
              </w:rPr>
              <w:t>38 051,91</w:t>
            </w:r>
          </w:p>
        </w:tc>
      </w:tr>
      <w:tr w:rsidR="00D11440" w:rsidRPr="00E8692E" w:rsidTr="009C0A5A">
        <w:trPr>
          <w:trHeight w:val="352"/>
          <w:jc w:val="center"/>
        </w:trPr>
        <w:tc>
          <w:tcPr>
            <w:tcW w:w="850" w:type="dxa"/>
            <w:vMerge/>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8B16BE" w:rsidRPr="00E8692E" w:rsidRDefault="008B16BE" w:rsidP="00E8692E">
            <w:pPr>
              <w:suppressAutoHyphens/>
              <w:jc w:val="center"/>
              <w:rPr>
                <w:sz w:val="20"/>
                <w:szCs w:val="20"/>
                <w:lang w:val="fr-FR"/>
              </w:rPr>
            </w:pPr>
          </w:p>
        </w:tc>
        <w:tc>
          <w:tcPr>
            <w:tcW w:w="1483" w:type="dxa"/>
            <w:vMerge/>
            <w:shd w:val="clear" w:color="auto" w:fill="auto"/>
            <w:vAlign w:val="center"/>
          </w:tcPr>
          <w:p w:rsidR="008B16BE" w:rsidRPr="00E8692E" w:rsidRDefault="008B16BE" w:rsidP="00E8692E">
            <w:pPr>
              <w:suppressAutoHyphens/>
              <w:jc w:val="center"/>
              <w:rPr>
                <w:sz w:val="20"/>
                <w:szCs w:val="20"/>
                <w:lang w:val="fr-FR"/>
              </w:rPr>
            </w:pPr>
          </w:p>
        </w:tc>
        <w:tc>
          <w:tcPr>
            <w:tcW w:w="1984" w:type="dxa"/>
            <w:vMerge/>
            <w:shd w:val="clear" w:color="auto" w:fill="auto"/>
            <w:vAlign w:val="center"/>
          </w:tcPr>
          <w:p w:rsidR="008B16BE" w:rsidRPr="00E8692E" w:rsidRDefault="008B16BE" w:rsidP="00E8692E">
            <w:pPr>
              <w:suppressAutoHyphens/>
              <w:jc w:val="center"/>
              <w:rPr>
                <w:b/>
                <w:sz w:val="20"/>
                <w:szCs w:val="20"/>
              </w:rPr>
            </w:pPr>
          </w:p>
        </w:tc>
        <w:tc>
          <w:tcPr>
            <w:tcW w:w="1701" w:type="dxa"/>
            <w:vAlign w:val="center"/>
          </w:tcPr>
          <w:p w:rsidR="008B16BE"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19890</w:t>
            </w:r>
            <w:r w:rsidR="0070130C" w:rsidRPr="00E8692E">
              <w:rPr>
                <w:rFonts w:eastAsiaTheme="minorEastAsia"/>
                <w:noProof/>
                <w:sz w:val="20"/>
                <w:szCs w:val="20"/>
                <w:lang w:val="fr-FR"/>
              </w:rPr>
              <w:t>/</w:t>
            </w:r>
            <w:r w:rsidRPr="00E8692E">
              <w:rPr>
                <w:rFonts w:eastAsiaTheme="minorEastAsia"/>
                <w:noProof/>
                <w:sz w:val="20"/>
                <w:szCs w:val="20"/>
                <w:lang w:val="fr-FR"/>
              </w:rPr>
              <w:t>10</w:t>
            </w:r>
          </w:p>
        </w:tc>
        <w:tc>
          <w:tcPr>
            <w:tcW w:w="1559" w:type="dxa"/>
          </w:tcPr>
          <w:p w:rsidR="008B16BE" w:rsidRPr="00E8692E" w:rsidRDefault="00906B23" w:rsidP="00E8692E">
            <w:pPr>
              <w:pStyle w:val="ECHRParaSpaced"/>
              <w:jc w:val="right"/>
              <w:rPr>
                <w:rFonts w:eastAsiaTheme="minorEastAsia"/>
                <w:noProof/>
                <w:sz w:val="20"/>
                <w:szCs w:val="20"/>
                <w:lang w:val="fr-FR"/>
              </w:rPr>
            </w:pPr>
            <w:r w:rsidRPr="00E8692E">
              <w:rPr>
                <w:rFonts w:eastAsiaTheme="minorEastAsia"/>
                <w:noProof/>
                <w:sz w:val="20"/>
                <w:szCs w:val="20"/>
                <w:lang w:val="fr-FR"/>
              </w:rPr>
              <w:t>08</w:t>
            </w:r>
            <w:r w:rsidR="0070130C" w:rsidRPr="00E8692E">
              <w:rPr>
                <w:rFonts w:eastAsiaTheme="minorEastAsia"/>
                <w:noProof/>
                <w:sz w:val="20"/>
                <w:szCs w:val="20"/>
                <w:lang w:val="fr-FR"/>
              </w:rPr>
              <w:t>/</w:t>
            </w:r>
            <w:r w:rsidRPr="00E8692E">
              <w:rPr>
                <w:rFonts w:eastAsiaTheme="minorEastAsia"/>
                <w:noProof/>
                <w:sz w:val="20"/>
                <w:szCs w:val="20"/>
                <w:lang w:val="fr-FR"/>
              </w:rPr>
              <w:t>07</w:t>
            </w:r>
            <w:r w:rsidR="0070130C" w:rsidRPr="00E8692E">
              <w:rPr>
                <w:rFonts w:eastAsiaTheme="minorEastAsia"/>
                <w:noProof/>
                <w:sz w:val="20"/>
                <w:szCs w:val="20"/>
                <w:lang w:val="fr-FR"/>
              </w:rPr>
              <w:t>/2010</w:t>
            </w:r>
          </w:p>
        </w:tc>
        <w:tc>
          <w:tcPr>
            <w:tcW w:w="1761" w:type="dxa"/>
            <w:vMerge/>
            <w:vAlign w:val="center"/>
          </w:tcPr>
          <w:p w:rsidR="008B16BE" w:rsidRPr="00E8692E" w:rsidRDefault="008B16BE" w:rsidP="00E8692E">
            <w:pPr>
              <w:pStyle w:val="ECHRParaSpaced"/>
              <w:jc w:val="right"/>
              <w:rPr>
                <w:rFonts w:eastAsiaTheme="minorEastAsia"/>
                <w:noProof/>
                <w:sz w:val="20"/>
                <w:szCs w:val="20"/>
                <w:lang w:val="fr-FR"/>
              </w:rPr>
            </w:pPr>
          </w:p>
        </w:tc>
      </w:tr>
      <w:tr w:rsidR="00D11440" w:rsidRPr="00E8692E" w:rsidTr="009C0A5A">
        <w:trPr>
          <w:trHeight w:val="291"/>
          <w:jc w:val="center"/>
        </w:trPr>
        <w:tc>
          <w:tcPr>
            <w:tcW w:w="850" w:type="dxa"/>
            <w:vMerge w:val="restart"/>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val="restart"/>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39187/11</w:t>
            </w:r>
          </w:p>
        </w:tc>
        <w:tc>
          <w:tcPr>
            <w:tcW w:w="1483" w:type="dxa"/>
            <w:vMerge w:val="restart"/>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8B16BE" w:rsidRPr="00E8692E" w:rsidRDefault="008B16BE" w:rsidP="00E8692E">
            <w:pPr>
              <w:suppressAutoHyphens/>
              <w:jc w:val="center"/>
              <w:rPr>
                <w:b/>
                <w:sz w:val="20"/>
                <w:szCs w:val="20"/>
                <w:lang w:val="es-ES"/>
              </w:rPr>
            </w:pPr>
            <w:r w:rsidRPr="00E8692E">
              <w:rPr>
                <w:b/>
                <w:sz w:val="20"/>
                <w:szCs w:val="20"/>
                <w:lang w:val="es-ES"/>
              </w:rPr>
              <w:t>DINASTAR S.R.L.</w:t>
            </w:r>
          </w:p>
          <w:p w:rsidR="008B16BE" w:rsidRPr="00E8692E" w:rsidRDefault="008B16BE" w:rsidP="00E8692E">
            <w:pPr>
              <w:suppressAutoHyphens/>
              <w:jc w:val="center"/>
              <w:rPr>
                <w:sz w:val="20"/>
                <w:szCs w:val="20"/>
                <w:lang w:val="es-ES"/>
              </w:rPr>
            </w:pPr>
            <w:r w:rsidRPr="00E8692E">
              <w:rPr>
                <w:sz w:val="20"/>
                <w:szCs w:val="20"/>
                <w:lang w:val="es-ES"/>
              </w:rPr>
              <w:t>Naples</w:t>
            </w:r>
          </w:p>
        </w:tc>
        <w:tc>
          <w:tcPr>
            <w:tcW w:w="1701" w:type="dxa"/>
            <w:vAlign w:val="center"/>
          </w:tcPr>
          <w:p w:rsidR="008B16BE" w:rsidRPr="00E8692E" w:rsidRDefault="00B1783D" w:rsidP="00E8692E">
            <w:pPr>
              <w:pStyle w:val="ECHRParaSpaced"/>
              <w:jc w:val="right"/>
              <w:rPr>
                <w:sz w:val="20"/>
                <w:szCs w:val="20"/>
                <w:lang w:val="fr-FR"/>
              </w:rPr>
            </w:pPr>
            <w:r w:rsidRPr="00E8692E">
              <w:rPr>
                <w:rFonts w:eastAsiaTheme="minorEastAsia"/>
                <w:noProof/>
                <w:sz w:val="20"/>
                <w:szCs w:val="20"/>
                <w:lang w:val="fr-FR"/>
              </w:rPr>
              <w:t>20612</w:t>
            </w:r>
            <w:r w:rsidR="0070130C" w:rsidRPr="00E8692E">
              <w:rPr>
                <w:rFonts w:eastAsiaTheme="minorEastAsia"/>
                <w:noProof/>
                <w:sz w:val="20"/>
                <w:szCs w:val="20"/>
                <w:lang w:val="fr-FR"/>
              </w:rPr>
              <w:t>/</w:t>
            </w:r>
            <w:r w:rsidRPr="00E8692E">
              <w:rPr>
                <w:rFonts w:eastAsiaTheme="minorEastAsia"/>
                <w:noProof/>
                <w:sz w:val="20"/>
                <w:szCs w:val="20"/>
                <w:lang w:val="fr-FR"/>
              </w:rPr>
              <w:t>10</w:t>
            </w:r>
            <w:r w:rsidR="001648F4" w:rsidRPr="00E8692E">
              <w:rPr>
                <w:rFonts w:eastAsiaTheme="minorEastAsia"/>
                <w:noProof/>
                <w:sz w:val="20"/>
                <w:szCs w:val="20"/>
                <w:lang w:val="fr-FR"/>
              </w:rPr>
              <w:t xml:space="preserve"> </w:t>
            </w:r>
          </w:p>
        </w:tc>
        <w:tc>
          <w:tcPr>
            <w:tcW w:w="1559" w:type="dxa"/>
          </w:tcPr>
          <w:p w:rsidR="008B16BE" w:rsidRPr="00E8692E" w:rsidRDefault="00776AA9" w:rsidP="00E8692E">
            <w:pPr>
              <w:pStyle w:val="ECHRParaSpaced"/>
              <w:jc w:val="right"/>
              <w:rPr>
                <w:rFonts w:eastAsiaTheme="minorEastAsia"/>
                <w:noProof/>
                <w:sz w:val="20"/>
                <w:szCs w:val="20"/>
                <w:lang w:val="fr-FR"/>
              </w:rPr>
            </w:pPr>
            <w:r w:rsidRPr="00E8692E">
              <w:rPr>
                <w:rFonts w:eastAsiaTheme="minorEastAsia"/>
                <w:noProof/>
                <w:sz w:val="20"/>
                <w:szCs w:val="20"/>
                <w:lang w:val="fr-FR"/>
              </w:rPr>
              <w:t>2</w:t>
            </w:r>
            <w:r w:rsidR="009C5831" w:rsidRPr="00E8692E">
              <w:rPr>
                <w:rFonts w:eastAsiaTheme="minorEastAsia"/>
                <w:noProof/>
                <w:sz w:val="20"/>
                <w:szCs w:val="20"/>
                <w:lang w:val="fr-FR"/>
              </w:rPr>
              <w:t>3</w:t>
            </w:r>
            <w:r w:rsidRPr="00E8692E">
              <w:rPr>
                <w:rFonts w:eastAsiaTheme="minorEastAsia"/>
                <w:noProof/>
                <w:sz w:val="20"/>
                <w:szCs w:val="20"/>
                <w:lang w:val="fr-FR"/>
              </w:rPr>
              <w:t>/</w:t>
            </w:r>
            <w:r w:rsidR="009C5831" w:rsidRPr="00E8692E">
              <w:rPr>
                <w:rFonts w:eastAsiaTheme="minorEastAsia"/>
                <w:noProof/>
                <w:sz w:val="20"/>
                <w:szCs w:val="20"/>
                <w:lang w:val="fr-FR"/>
              </w:rPr>
              <w:t>07</w:t>
            </w:r>
            <w:r w:rsidR="004B2790" w:rsidRPr="00E8692E">
              <w:rPr>
                <w:rFonts w:eastAsiaTheme="minorEastAsia"/>
                <w:noProof/>
                <w:sz w:val="20"/>
                <w:szCs w:val="20"/>
                <w:lang w:val="fr-FR"/>
              </w:rPr>
              <w:t>/2010</w:t>
            </w:r>
            <w:r w:rsidRPr="00E8692E">
              <w:rPr>
                <w:rFonts w:eastAsiaTheme="minorEastAsia"/>
                <w:noProof/>
                <w:sz w:val="20"/>
                <w:szCs w:val="20"/>
                <w:lang w:val="fr-FR"/>
              </w:rPr>
              <w:t xml:space="preserve"> </w:t>
            </w:r>
          </w:p>
        </w:tc>
        <w:tc>
          <w:tcPr>
            <w:tcW w:w="1761" w:type="dxa"/>
            <w:vMerge w:val="restart"/>
            <w:vAlign w:val="center"/>
          </w:tcPr>
          <w:p w:rsidR="008B16BE" w:rsidRPr="00E8692E" w:rsidRDefault="008B16BE" w:rsidP="00E8692E">
            <w:pPr>
              <w:pStyle w:val="ECHRParaSpaced"/>
              <w:jc w:val="right"/>
              <w:rPr>
                <w:sz w:val="20"/>
                <w:szCs w:val="20"/>
                <w:lang w:val="fr-FR"/>
              </w:rPr>
            </w:pPr>
            <w:r w:rsidRPr="00E8692E">
              <w:rPr>
                <w:rFonts w:eastAsiaTheme="minorEastAsia"/>
                <w:noProof/>
                <w:sz w:val="20"/>
                <w:szCs w:val="20"/>
                <w:lang w:val="fr-FR"/>
              </w:rPr>
              <w:t>95 116,62</w:t>
            </w:r>
          </w:p>
        </w:tc>
      </w:tr>
      <w:tr w:rsidR="00D11440" w:rsidRPr="00E8692E" w:rsidTr="009C0A5A">
        <w:trPr>
          <w:trHeight w:val="288"/>
          <w:jc w:val="center"/>
        </w:trPr>
        <w:tc>
          <w:tcPr>
            <w:tcW w:w="850" w:type="dxa"/>
            <w:vMerge/>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8B16BE" w:rsidRPr="00E8692E" w:rsidRDefault="008B16BE" w:rsidP="00E8692E">
            <w:pPr>
              <w:suppressAutoHyphens/>
              <w:jc w:val="center"/>
              <w:rPr>
                <w:sz w:val="20"/>
                <w:szCs w:val="20"/>
                <w:lang w:val="fr-FR"/>
              </w:rPr>
            </w:pPr>
          </w:p>
        </w:tc>
        <w:tc>
          <w:tcPr>
            <w:tcW w:w="1483" w:type="dxa"/>
            <w:vMerge/>
            <w:shd w:val="clear" w:color="auto" w:fill="auto"/>
            <w:vAlign w:val="center"/>
          </w:tcPr>
          <w:p w:rsidR="008B16BE" w:rsidRPr="00E8692E" w:rsidRDefault="008B16BE" w:rsidP="00E8692E">
            <w:pPr>
              <w:suppressAutoHyphens/>
              <w:jc w:val="center"/>
              <w:rPr>
                <w:sz w:val="20"/>
                <w:szCs w:val="20"/>
                <w:lang w:val="fr-FR"/>
              </w:rPr>
            </w:pPr>
          </w:p>
        </w:tc>
        <w:tc>
          <w:tcPr>
            <w:tcW w:w="1984" w:type="dxa"/>
            <w:vMerge/>
            <w:shd w:val="clear" w:color="auto" w:fill="auto"/>
            <w:vAlign w:val="center"/>
          </w:tcPr>
          <w:p w:rsidR="008B16BE" w:rsidRPr="00E8692E" w:rsidRDefault="008B16BE" w:rsidP="00E8692E">
            <w:pPr>
              <w:suppressAutoHyphens/>
              <w:jc w:val="center"/>
              <w:rPr>
                <w:b/>
                <w:sz w:val="20"/>
                <w:szCs w:val="20"/>
                <w:lang w:val="fr-FR"/>
              </w:rPr>
            </w:pPr>
          </w:p>
        </w:tc>
        <w:tc>
          <w:tcPr>
            <w:tcW w:w="1701" w:type="dxa"/>
            <w:vAlign w:val="center"/>
          </w:tcPr>
          <w:p w:rsidR="008B16BE"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20615</w:t>
            </w:r>
            <w:r w:rsidR="0070130C" w:rsidRPr="00E8692E">
              <w:rPr>
                <w:rFonts w:eastAsiaTheme="minorEastAsia"/>
                <w:noProof/>
                <w:sz w:val="20"/>
                <w:szCs w:val="20"/>
                <w:lang w:val="fr-FR"/>
              </w:rPr>
              <w:t>/</w:t>
            </w:r>
            <w:r w:rsidRPr="00E8692E">
              <w:rPr>
                <w:rFonts w:eastAsiaTheme="minorEastAsia"/>
                <w:noProof/>
                <w:sz w:val="20"/>
                <w:szCs w:val="20"/>
                <w:lang w:val="fr-FR"/>
              </w:rPr>
              <w:t>10</w:t>
            </w:r>
          </w:p>
        </w:tc>
        <w:tc>
          <w:tcPr>
            <w:tcW w:w="1559" w:type="dxa"/>
          </w:tcPr>
          <w:p w:rsidR="008B16BE" w:rsidRPr="00E8692E" w:rsidRDefault="00776AA9" w:rsidP="00E8692E">
            <w:pPr>
              <w:pStyle w:val="ECHRParaSpaced"/>
              <w:jc w:val="right"/>
              <w:rPr>
                <w:rFonts w:eastAsiaTheme="minorEastAsia"/>
                <w:noProof/>
                <w:sz w:val="20"/>
                <w:szCs w:val="20"/>
                <w:lang w:val="fr-FR"/>
              </w:rPr>
            </w:pPr>
            <w:r w:rsidRPr="00E8692E">
              <w:rPr>
                <w:rFonts w:eastAsiaTheme="minorEastAsia"/>
                <w:noProof/>
                <w:sz w:val="20"/>
                <w:szCs w:val="20"/>
                <w:lang w:val="fr-FR"/>
              </w:rPr>
              <w:t>2</w:t>
            </w:r>
            <w:r w:rsidR="009C5831" w:rsidRPr="00E8692E">
              <w:rPr>
                <w:rFonts w:eastAsiaTheme="minorEastAsia"/>
                <w:noProof/>
                <w:sz w:val="20"/>
                <w:szCs w:val="20"/>
                <w:lang w:val="fr-FR"/>
              </w:rPr>
              <w:t>1</w:t>
            </w:r>
            <w:r w:rsidRPr="00E8692E">
              <w:rPr>
                <w:rFonts w:eastAsiaTheme="minorEastAsia"/>
                <w:noProof/>
                <w:sz w:val="20"/>
                <w:szCs w:val="20"/>
                <w:lang w:val="fr-FR"/>
              </w:rPr>
              <w:t>/</w:t>
            </w:r>
            <w:r w:rsidR="009C5831" w:rsidRPr="00E8692E">
              <w:rPr>
                <w:rFonts w:eastAsiaTheme="minorEastAsia"/>
                <w:noProof/>
                <w:sz w:val="20"/>
                <w:szCs w:val="20"/>
                <w:lang w:val="fr-FR"/>
              </w:rPr>
              <w:t>07</w:t>
            </w:r>
            <w:r w:rsidR="004B2790" w:rsidRPr="00E8692E">
              <w:rPr>
                <w:rFonts w:eastAsiaTheme="minorEastAsia"/>
                <w:noProof/>
                <w:sz w:val="20"/>
                <w:szCs w:val="20"/>
                <w:lang w:val="fr-FR"/>
              </w:rPr>
              <w:t>/2010</w:t>
            </w:r>
            <w:r w:rsidR="001E2EDB" w:rsidRPr="00E8692E">
              <w:rPr>
                <w:rFonts w:eastAsiaTheme="minorEastAsia"/>
                <w:noProof/>
                <w:sz w:val="20"/>
                <w:szCs w:val="20"/>
                <w:lang w:val="fr-FR"/>
              </w:rPr>
              <w:t xml:space="preserve"> </w:t>
            </w:r>
          </w:p>
        </w:tc>
        <w:tc>
          <w:tcPr>
            <w:tcW w:w="1761" w:type="dxa"/>
            <w:vMerge/>
            <w:vAlign w:val="center"/>
          </w:tcPr>
          <w:p w:rsidR="008B16BE" w:rsidRPr="00E8692E" w:rsidRDefault="008B16BE" w:rsidP="00E8692E">
            <w:pPr>
              <w:pStyle w:val="ECHRParaSpaced"/>
              <w:jc w:val="right"/>
              <w:rPr>
                <w:rFonts w:eastAsiaTheme="minorEastAsia"/>
                <w:noProof/>
                <w:sz w:val="20"/>
                <w:szCs w:val="20"/>
                <w:lang w:val="fr-FR"/>
              </w:rPr>
            </w:pPr>
          </w:p>
        </w:tc>
      </w:tr>
      <w:tr w:rsidR="00D11440" w:rsidRPr="00E8692E" w:rsidTr="009C0A5A">
        <w:trPr>
          <w:trHeight w:val="288"/>
          <w:jc w:val="center"/>
        </w:trPr>
        <w:tc>
          <w:tcPr>
            <w:tcW w:w="850" w:type="dxa"/>
            <w:vMerge/>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8B16BE" w:rsidRPr="00E8692E" w:rsidRDefault="008B16BE" w:rsidP="00E8692E">
            <w:pPr>
              <w:suppressAutoHyphens/>
              <w:jc w:val="center"/>
              <w:rPr>
                <w:sz w:val="20"/>
                <w:szCs w:val="20"/>
                <w:lang w:val="fr-FR"/>
              </w:rPr>
            </w:pPr>
          </w:p>
        </w:tc>
        <w:tc>
          <w:tcPr>
            <w:tcW w:w="1483" w:type="dxa"/>
            <w:vMerge/>
            <w:shd w:val="clear" w:color="auto" w:fill="auto"/>
            <w:vAlign w:val="center"/>
          </w:tcPr>
          <w:p w:rsidR="008B16BE" w:rsidRPr="00E8692E" w:rsidRDefault="008B16BE" w:rsidP="00E8692E">
            <w:pPr>
              <w:suppressAutoHyphens/>
              <w:jc w:val="center"/>
              <w:rPr>
                <w:sz w:val="20"/>
                <w:szCs w:val="20"/>
                <w:lang w:val="fr-FR"/>
              </w:rPr>
            </w:pPr>
          </w:p>
        </w:tc>
        <w:tc>
          <w:tcPr>
            <w:tcW w:w="1984" w:type="dxa"/>
            <w:vMerge/>
            <w:shd w:val="clear" w:color="auto" w:fill="auto"/>
            <w:vAlign w:val="center"/>
          </w:tcPr>
          <w:p w:rsidR="008B16BE" w:rsidRPr="00E8692E" w:rsidRDefault="008B16BE" w:rsidP="00E8692E">
            <w:pPr>
              <w:suppressAutoHyphens/>
              <w:jc w:val="center"/>
              <w:rPr>
                <w:b/>
                <w:sz w:val="20"/>
                <w:szCs w:val="20"/>
                <w:lang w:val="fr-FR"/>
              </w:rPr>
            </w:pPr>
          </w:p>
        </w:tc>
        <w:tc>
          <w:tcPr>
            <w:tcW w:w="1701" w:type="dxa"/>
            <w:vAlign w:val="center"/>
          </w:tcPr>
          <w:p w:rsidR="008B16BE"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20617</w:t>
            </w:r>
            <w:r w:rsidR="0070130C" w:rsidRPr="00E8692E">
              <w:rPr>
                <w:rFonts w:eastAsiaTheme="minorEastAsia"/>
                <w:noProof/>
                <w:sz w:val="20"/>
                <w:szCs w:val="20"/>
                <w:lang w:val="fr-FR"/>
              </w:rPr>
              <w:t>/</w:t>
            </w:r>
            <w:r w:rsidRPr="00E8692E">
              <w:rPr>
                <w:rFonts w:eastAsiaTheme="minorEastAsia"/>
                <w:noProof/>
                <w:sz w:val="20"/>
                <w:szCs w:val="20"/>
                <w:lang w:val="fr-FR"/>
              </w:rPr>
              <w:t xml:space="preserve">10 </w:t>
            </w:r>
          </w:p>
        </w:tc>
        <w:tc>
          <w:tcPr>
            <w:tcW w:w="1559" w:type="dxa"/>
          </w:tcPr>
          <w:p w:rsidR="008B16BE" w:rsidRPr="00E8692E" w:rsidRDefault="009C5831" w:rsidP="00E8692E">
            <w:pPr>
              <w:pStyle w:val="ECHRParaSpaced"/>
              <w:jc w:val="right"/>
              <w:rPr>
                <w:rFonts w:eastAsiaTheme="minorEastAsia"/>
                <w:noProof/>
                <w:sz w:val="20"/>
                <w:szCs w:val="20"/>
                <w:lang w:val="fr-FR"/>
              </w:rPr>
            </w:pPr>
            <w:r w:rsidRPr="00E8692E">
              <w:rPr>
                <w:rFonts w:eastAsiaTheme="minorEastAsia"/>
                <w:noProof/>
                <w:sz w:val="20"/>
                <w:szCs w:val="20"/>
                <w:lang w:val="fr-FR"/>
              </w:rPr>
              <w:t>30</w:t>
            </w:r>
            <w:r w:rsidR="0070130C" w:rsidRPr="00E8692E">
              <w:rPr>
                <w:rFonts w:eastAsiaTheme="minorEastAsia"/>
                <w:noProof/>
                <w:sz w:val="20"/>
                <w:szCs w:val="20"/>
                <w:lang w:val="fr-FR"/>
              </w:rPr>
              <w:t>/</w:t>
            </w:r>
            <w:r w:rsidR="00776AA9" w:rsidRPr="00E8692E">
              <w:rPr>
                <w:rFonts w:eastAsiaTheme="minorEastAsia"/>
                <w:noProof/>
                <w:sz w:val="20"/>
                <w:szCs w:val="20"/>
                <w:lang w:val="fr-FR"/>
              </w:rPr>
              <w:t>0</w:t>
            </w:r>
            <w:r w:rsidRPr="00E8692E">
              <w:rPr>
                <w:rFonts w:eastAsiaTheme="minorEastAsia"/>
                <w:noProof/>
                <w:sz w:val="20"/>
                <w:szCs w:val="20"/>
                <w:lang w:val="fr-FR"/>
              </w:rPr>
              <w:t>9</w:t>
            </w:r>
            <w:r w:rsidR="0070130C" w:rsidRPr="00E8692E">
              <w:rPr>
                <w:rFonts w:eastAsiaTheme="minorEastAsia"/>
                <w:noProof/>
                <w:sz w:val="20"/>
                <w:szCs w:val="20"/>
                <w:lang w:val="fr-FR"/>
              </w:rPr>
              <w:t>/201</w:t>
            </w:r>
            <w:r w:rsidRPr="00E8692E">
              <w:rPr>
                <w:rFonts w:eastAsiaTheme="minorEastAsia"/>
                <w:noProof/>
                <w:sz w:val="20"/>
                <w:szCs w:val="20"/>
                <w:lang w:val="fr-FR"/>
              </w:rPr>
              <w:t>0</w:t>
            </w:r>
            <w:r w:rsidR="00776AA9" w:rsidRPr="00E8692E">
              <w:rPr>
                <w:rFonts w:eastAsiaTheme="minorEastAsia"/>
                <w:noProof/>
                <w:sz w:val="20"/>
                <w:szCs w:val="20"/>
                <w:lang w:val="fr-FR"/>
              </w:rPr>
              <w:t xml:space="preserve"> </w:t>
            </w:r>
          </w:p>
        </w:tc>
        <w:tc>
          <w:tcPr>
            <w:tcW w:w="1761" w:type="dxa"/>
            <w:vMerge/>
            <w:vAlign w:val="center"/>
          </w:tcPr>
          <w:p w:rsidR="008B16BE" w:rsidRPr="00E8692E" w:rsidRDefault="008B16BE" w:rsidP="00E8692E">
            <w:pPr>
              <w:pStyle w:val="ECHRParaSpaced"/>
              <w:jc w:val="right"/>
              <w:rPr>
                <w:rFonts w:eastAsiaTheme="minorEastAsia"/>
                <w:noProof/>
                <w:sz w:val="20"/>
                <w:szCs w:val="20"/>
                <w:lang w:val="fr-FR"/>
              </w:rPr>
            </w:pPr>
          </w:p>
        </w:tc>
      </w:tr>
      <w:tr w:rsidR="00D11440" w:rsidRPr="00E8692E" w:rsidTr="009C0A5A">
        <w:trPr>
          <w:trHeight w:val="288"/>
          <w:jc w:val="center"/>
        </w:trPr>
        <w:tc>
          <w:tcPr>
            <w:tcW w:w="850" w:type="dxa"/>
            <w:vMerge/>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8B16BE" w:rsidRPr="00E8692E" w:rsidRDefault="008B16BE" w:rsidP="00E8692E">
            <w:pPr>
              <w:suppressAutoHyphens/>
              <w:jc w:val="center"/>
              <w:rPr>
                <w:sz w:val="20"/>
                <w:szCs w:val="20"/>
                <w:lang w:val="fr-FR"/>
              </w:rPr>
            </w:pPr>
          </w:p>
        </w:tc>
        <w:tc>
          <w:tcPr>
            <w:tcW w:w="1483" w:type="dxa"/>
            <w:vMerge/>
            <w:shd w:val="clear" w:color="auto" w:fill="auto"/>
            <w:vAlign w:val="center"/>
          </w:tcPr>
          <w:p w:rsidR="008B16BE" w:rsidRPr="00E8692E" w:rsidRDefault="008B16BE" w:rsidP="00E8692E">
            <w:pPr>
              <w:suppressAutoHyphens/>
              <w:jc w:val="center"/>
              <w:rPr>
                <w:sz w:val="20"/>
                <w:szCs w:val="20"/>
                <w:lang w:val="fr-FR"/>
              </w:rPr>
            </w:pPr>
          </w:p>
        </w:tc>
        <w:tc>
          <w:tcPr>
            <w:tcW w:w="1984" w:type="dxa"/>
            <w:vMerge/>
            <w:shd w:val="clear" w:color="auto" w:fill="auto"/>
            <w:vAlign w:val="center"/>
          </w:tcPr>
          <w:p w:rsidR="008B16BE" w:rsidRPr="00E8692E" w:rsidRDefault="008B16BE" w:rsidP="00E8692E">
            <w:pPr>
              <w:suppressAutoHyphens/>
              <w:jc w:val="center"/>
              <w:rPr>
                <w:b/>
                <w:sz w:val="20"/>
                <w:szCs w:val="20"/>
                <w:lang w:val="fr-FR"/>
              </w:rPr>
            </w:pPr>
          </w:p>
        </w:tc>
        <w:tc>
          <w:tcPr>
            <w:tcW w:w="1701" w:type="dxa"/>
            <w:vAlign w:val="center"/>
          </w:tcPr>
          <w:p w:rsidR="008B16BE"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21526</w:t>
            </w:r>
            <w:r w:rsidR="0070130C" w:rsidRPr="00E8692E">
              <w:rPr>
                <w:rFonts w:eastAsiaTheme="minorEastAsia"/>
                <w:noProof/>
                <w:sz w:val="20"/>
                <w:szCs w:val="20"/>
                <w:lang w:val="fr-FR"/>
              </w:rPr>
              <w:t>/</w:t>
            </w:r>
            <w:r w:rsidRPr="00E8692E">
              <w:rPr>
                <w:rFonts w:eastAsiaTheme="minorEastAsia"/>
                <w:noProof/>
                <w:sz w:val="20"/>
                <w:szCs w:val="20"/>
                <w:lang w:val="fr-FR"/>
              </w:rPr>
              <w:t>10</w:t>
            </w:r>
          </w:p>
        </w:tc>
        <w:tc>
          <w:tcPr>
            <w:tcW w:w="1559" w:type="dxa"/>
          </w:tcPr>
          <w:p w:rsidR="008B16BE" w:rsidRPr="00E8692E" w:rsidRDefault="00776AA9" w:rsidP="00E8692E">
            <w:pPr>
              <w:pStyle w:val="ECHRParaSpaced"/>
              <w:jc w:val="right"/>
              <w:rPr>
                <w:rFonts w:eastAsiaTheme="minorEastAsia"/>
                <w:noProof/>
                <w:sz w:val="20"/>
                <w:szCs w:val="20"/>
                <w:lang w:val="fr-FR"/>
              </w:rPr>
            </w:pPr>
            <w:r w:rsidRPr="00E8692E">
              <w:rPr>
                <w:rFonts w:eastAsiaTheme="minorEastAsia"/>
                <w:noProof/>
                <w:sz w:val="20"/>
                <w:szCs w:val="20"/>
                <w:lang w:val="fr-FR"/>
              </w:rPr>
              <w:t>2</w:t>
            </w:r>
            <w:r w:rsidR="009C5831" w:rsidRPr="00E8692E">
              <w:rPr>
                <w:rFonts w:eastAsiaTheme="minorEastAsia"/>
                <w:noProof/>
                <w:sz w:val="20"/>
                <w:szCs w:val="20"/>
                <w:lang w:val="fr-FR"/>
              </w:rPr>
              <w:t>1</w:t>
            </w:r>
            <w:r w:rsidRPr="00E8692E">
              <w:rPr>
                <w:rFonts w:eastAsiaTheme="minorEastAsia"/>
                <w:noProof/>
                <w:sz w:val="20"/>
                <w:szCs w:val="20"/>
                <w:lang w:val="fr-FR"/>
              </w:rPr>
              <w:t>/</w:t>
            </w:r>
            <w:r w:rsidR="009C5831" w:rsidRPr="00E8692E">
              <w:rPr>
                <w:rFonts w:eastAsiaTheme="minorEastAsia"/>
                <w:noProof/>
                <w:sz w:val="20"/>
                <w:szCs w:val="20"/>
                <w:lang w:val="fr-FR"/>
              </w:rPr>
              <w:t>07</w:t>
            </w:r>
            <w:r w:rsidRPr="00E8692E">
              <w:rPr>
                <w:rFonts w:eastAsiaTheme="minorEastAsia"/>
                <w:noProof/>
                <w:sz w:val="20"/>
                <w:szCs w:val="20"/>
                <w:lang w:val="fr-FR"/>
              </w:rPr>
              <w:t xml:space="preserve">/2010 </w:t>
            </w:r>
          </w:p>
        </w:tc>
        <w:tc>
          <w:tcPr>
            <w:tcW w:w="1761" w:type="dxa"/>
            <w:vMerge/>
            <w:vAlign w:val="center"/>
          </w:tcPr>
          <w:p w:rsidR="008B16BE" w:rsidRPr="00E8692E" w:rsidRDefault="008B16BE" w:rsidP="00E8692E">
            <w:pPr>
              <w:pStyle w:val="ECHRParaSpaced"/>
              <w:jc w:val="right"/>
              <w:rPr>
                <w:rFonts w:eastAsiaTheme="minorEastAsia"/>
                <w:noProof/>
                <w:sz w:val="20"/>
                <w:szCs w:val="20"/>
                <w:lang w:val="fr-FR"/>
              </w:rPr>
            </w:pPr>
          </w:p>
        </w:tc>
      </w:tr>
      <w:tr w:rsidR="00D11440" w:rsidRPr="00E8692E" w:rsidTr="009C0A5A">
        <w:trPr>
          <w:trHeight w:val="711"/>
          <w:jc w:val="center"/>
        </w:trPr>
        <w:tc>
          <w:tcPr>
            <w:tcW w:w="850" w:type="dxa"/>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39189/11</w:t>
            </w:r>
          </w:p>
        </w:tc>
        <w:tc>
          <w:tcPr>
            <w:tcW w:w="1483" w:type="dxa"/>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21/06/2011</w:t>
            </w:r>
          </w:p>
        </w:tc>
        <w:tc>
          <w:tcPr>
            <w:tcW w:w="1984" w:type="dxa"/>
            <w:shd w:val="clear" w:color="auto" w:fill="auto"/>
            <w:vAlign w:val="center"/>
          </w:tcPr>
          <w:p w:rsidR="008B16BE" w:rsidRPr="00E8692E" w:rsidRDefault="008B16BE" w:rsidP="00E8692E">
            <w:pPr>
              <w:suppressAutoHyphens/>
              <w:jc w:val="center"/>
              <w:rPr>
                <w:b/>
                <w:sz w:val="20"/>
                <w:szCs w:val="20"/>
                <w:lang w:val="fr-FR"/>
              </w:rPr>
            </w:pPr>
            <w:r w:rsidRPr="00E8692E">
              <w:rPr>
                <w:b/>
                <w:sz w:val="20"/>
                <w:szCs w:val="20"/>
                <w:lang w:val="fr-FR"/>
              </w:rPr>
              <w:t>I.F.K.O. S.R.L.</w:t>
            </w:r>
          </w:p>
          <w:p w:rsidR="008B16BE" w:rsidRPr="00E8692E" w:rsidRDefault="008B16BE" w:rsidP="00E8692E">
            <w:pPr>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8B16BE" w:rsidP="00E8692E">
            <w:pPr>
              <w:pStyle w:val="ECHRParaSpaced"/>
              <w:jc w:val="right"/>
              <w:rPr>
                <w:sz w:val="20"/>
                <w:szCs w:val="20"/>
                <w:lang w:val="fr-FR"/>
              </w:rPr>
            </w:pPr>
          </w:p>
        </w:tc>
        <w:tc>
          <w:tcPr>
            <w:tcW w:w="1559" w:type="dxa"/>
          </w:tcPr>
          <w:p w:rsidR="008B16BE" w:rsidRPr="00E8692E" w:rsidRDefault="008B16BE" w:rsidP="00E8692E">
            <w:pPr>
              <w:pStyle w:val="ECHRParaSpaced"/>
              <w:jc w:val="right"/>
              <w:rPr>
                <w:sz w:val="20"/>
                <w:szCs w:val="20"/>
                <w:lang w:val="fr-FR"/>
              </w:rPr>
            </w:pPr>
          </w:p>
        </w:tc>
        <w:tc>
          <w:tcPr>
            <w:tcW w:w="1761" w:type="dxa"/>
            <w:vAlign w:val="center"/>
          </w:tcPr>
          <w:p w:rsidR="008B16BE" w:rsidRPr="00E8692E" w:rsidRDefault="008B16BE" w:rsidP="00E8692E">
            <w:pPr>
              <w:pStyle w:val="ECHRParaSpaced"/>
              <w:jc w:val="right"/>
              <w:rPr>
                <w:sz w:val="20"/>
                <w:szCs w:val="20"/>
                <w:lang w:val="fr-FR"/>
              </w:rPr>
            </w:pPr>
          </w:p>
        </w:tc>
      </w:tr>
      <w:tr w:rsidR="00D11440" w:rsidRPr="00E8692E" w:rsidTr="009C0A5A">
        <w:trPr>
          <w:trHeight w:val="711"/>
          <w:jc w:val="center"/>
        </w:trPr>
        <w:tc>
          <w:tcPr>
            <w:tcW w:w="850" w:type="dxa"/>
            <w:shd w:val="clear" w:color="auto" w:fill="auto"/>
            <w:vAlign w:val="center"/>
          </w:tcPr>
          <w:p w:rsidR="008B16BE" w:rsidRPr="00E8692E" w:rsidRDefault="008B16BE" w:rsidP="00E8692E">
            <w:pPr>
              <w:numPr>
                <w:ilvl w:val="0"/>
                <w:numId w:val="18"/>
              </w:numPr>
              <w:suppressAutoHyphens/>
              <w:ind w:left="357" w:hanging="357"/>
              <w:jc w:val="left"/>
              <w:rPr>
                <w:b/>
                <w:sz w:val="20"/>
                <w:szCs w:val="20"/>
                <w:lang w:val="fr-FR"/>
              </w:rPr>
            </w:pPr>
          </w:p>
        </w:tc>
        <w:tc>
          <w:tcPr>
            <w:tcW w:w="1418" w:type="dxa"/>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39190/11</w:t>
            </w:r>
          </w:p>
        </w:tc>
        <w:tc>
          <w:tcPr>
            <w:tcW w:w="1483" w:type="dxa"/>
            <w:shd w:val="clear" w:color="auto" w:fill="auto"/>
            <w:vAlign w:val="center"/>
          </w:tcPr>
          <w:p w:rsidR="008B16BE" w:rsidRPr="00E8692E" w:rsidRDefault="008B16BE" w:rsidP="00E8692E">
            <w:pPr>
              <w:suppressAutoHyphens/>
              <w:jc w:val="center"/>
              <w:rPr>
                <w:sz w:val="20"/>
                <w:szCs w:val="20"/>
                <w:lang w:val="fr-FR"/>
              </w:rPr>
            </w:pPr>
            <w:r w:rsidRPr="00E8692E">
              <w:rPr>
                <w:sz w:val="20"/>
                <w:szCs w:val="20"/>
                <w:lang w:val="fr-FR"/>
              </w:rPr>
              <w:t>21/06/2011</w:t>
            </w:r>
          </w:p>
        </w:tc>
        <w:tc>
          <w:tcPr>
            <w:tcW w:w="1984" w:type="dxa"/>
            <w:shd w:val="clear" w:color="auto" w:fill="auto"/>
            <w:vAlign w:val="center"/>
          </w:tcPr>
          <w:p w:rsidR="008B16BE" w:rsidRPr="00E8692E" w:rsidRDefault="008B16BE" w:rsidP="00E8692E">
            <w:pPr>
              <w:suppressAutoHyphens/>
              <w:jc w:val="center"/>
              <w:rPr>
                <w:b/>
                <w:sz w:val="20"/>
                <w:szCs w:val="20"/>
                <w:lang w:val="it-IT"/>
              </w:rPr>
            </w:pPr>
            <w:r w:rsidRPr="00E8692E">
              <w:rPr>
                <w:b/>
                <w:sz w:val="20"/>
                <w:szCs w:val="20"/>
                <w:lang w:val="it-IT"/>
              </w:rPr>
              <w:t>CENTRO STUDI DELLA SCOLIOSI S.R.L.</w:t>
            </w:r>
          </w:p>
          <w:p w:rsidR="008B16BE" w:rsidRPr="00E8692E" w:rsidRDefault="008B16BE" w:rsidP="00E8692E">
            <w:pPr>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8B16BE" w:rsidP="00E8692E">
            <w:pPr>
              <w:pStyle w:val="ECHRParaSpaced"/>
              <w:jc w:val="right"/>
              <w:rPr>
                <w:sz w:val="20"/>
                <w:szCs w:val="20"/>
                <w:lang w:val="it-IT"/>
              </w:rPr>
            </w:pPr>
          </w:p>
        </w:tc>
        <w:tc>
          <w:tcPr>
            <w:tcW w:w="1559" w:type="dxa"/>
          </w:tcPr>
          <w:p w:rsidR="008B16BE" w:rsidRPr="00E8692E" w:rsidRDefault="008B16BE" w:rsidP="00E8692E">
            <w:pPr>
              <w:pStyle w:val="ECHRParaSpaced"/>
              <w:jc w:val="right"/>
              <w:rPr>
                <w:sz w:val="20"/>
                <w:szCs w:val="20"/>
                <w:lang w:val="it-IT"/>
              </w:rPr>
            </w:pPr>
          </w:p>
        </w:tc>
        <w:tc>
          <w:tcPr>
            <w:tcW w:w="1761" w:type="dxa"/>
            <w:vAlign w:val="center"/>
          </w:tcPr>
          <w:p w:rsidR="008B16BE" w:rsidRPr="00E8692E" w:rsidRDefault="008B16BE" w:rsidP="00E8692E">
            <w:pPr>
              <w:pStyle w:val="ECHRParaSpaced"/>
              <w:jc w:val="right"/>
              <w:rPr>
                <w:sz w:val="20"/>
                <w:szCs w:val="20"/>
                <w:lang w:val="it-IT"/>
              </w:rPr>
            </w:pPr>
          </w:p>
        </w:tc>
      </w:tr>
      <w:tr w:rsidR="00D11440" w:rsidRPr="00E8692E" w:rsidTr="009C0A5A">
        <w:trPr>
          <w:trHeight w:val="186"/>
          <w:jc w:val="center"/>
        </w:trPr>
        <w:tc>
          <w:tcPr>
            <w:tcW w:w="850" w:type="dxa"/>
            <w:vMerge w:val="restart"/>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it-IT"/>
              </w:rPr>
            </w:pPr>
          </w:p>
        </w:tc>
        <w:tc>
          <w:tcPr>
            <w:tcW w:w="1418" w:type="dxa"/>
            <w:vMerge w:val="restart"/>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39192/11</w:t>
            </w:r>
          </w:p>
        </w:tc>
        <w:tc>
          <w:tcPr>
            <w:tcW w:w="1483" w:type="dxa"/>
            <w:vMerge w:val="restart"/>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8B16BE" w:rsidRPr="00E8692E" w:rsidRDefault="008B16BE" w:rsidP="00E8692E">
            <w:pPr>
              <w:keepNext/>
              <w:keepLines/>
              <w:suppressAutoHyphens/>
              <w:jc w:val="center"/>
              <w:rPr>
                <w:b/>
                <w:sz w:val="20"/>
                <w:szCs w:val="20"/>
                <w:lang w:val="it-IT"/>
              </w:rPr>
            </w:pPr>
            <w:r w:rsidRPr="00E8692E">
              <w:rPr>
                <w:b/>
                <w:sz w:val="20"/>
                <w:szCs w:val="20"/>
                <w:lang w:val="it-IT"/>
              </w:rPr>
              <w:t>FARMACIA AI ROMANI DI TOMMASO PORTANOVA &amp; C. S.A.S.</w:t>
            </w:r>
          </w:p>
          <w:p w:rsidR="008B16BE" w:rsidRPr="00E8692E" w:rsidRDefault="008B16BE" w:rsidP="00E8692E">
            <w:pPr>
              <w:keepNext/>
              <w:keepLines/>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8B16BE" w:rsidP="00E8692E">
            <w:pPr>
              <w:pStyle w:val="ECHRParaSpaced"/>
              <w:keepNext/>
              <w:keepLines/>
              <w:jc w:val="right"/>
              <w:rPr>
                <w:sz w:val="20"/>
                <w:szCs w:val="20"/>
                <w:lang w:val="fr-FR"/>
              </w:rPr>
            </w:pPr>
            <w:r w:rsidRPr="00E8692E">
              <w:rPr>
                <w:rFonts w:eastAsiaTheme="minorEastAsia"/>
                <w:noProof/>
                <w:sz w:val="20"/>
                <w:szCs w:val="20"/>
                <w:lang w:val="fr-FR"/>
              </w:rPr>
              <w:t xml:space="preserve">896/09 </w:t>
            </w:r>
          </w:p>
        </w:tc>
        <w:tc>
          <w:tcPr>
            <w:tcW w:w="1559" w:type="dxa"/>
          </w:tcPr>
          <w:p w:rsidR="008B16BE" w:rsidRPr="00E8692E" w:rsidRDefault="00DB7E88"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06/1</w:t>
            </w:r>
            <w:r w:rsidR="00C35A50" w:rsidRPr="00E8692E">
              <w:rPr>
                <w:rFonts w:eastAsiaTheme="minorEastAsia"/>
                <w:noProof/>
                <w:sz w:val="20"/>
                <w:szCs w:val="20"/>
                <w:lang w:val="fr-FR"/>
              </w:rPr>
              <w:t>1/20</w:t>
            </w:r>
            <w:r w:rsidRPr="00E8692E">
              <w:rPr>
                <w:rFonts w:eastAsiaTheme="minorEastAsia"/>
                <w:noProof/>
                <w:sz w:val="20"/>
                <w:szCs w:val="20"/>
                <w:lang w:val="fr-FR"/>
              </w:rPr>
              <w:t>09</w:t>
            </w:r>
            <w:r w:rsidR="00C35A50" w:rsidRPr="00E8692E">
              <w:rPr>
                <w:rFonts w:eastAsiaTheme="minorEastAsia"/>
                <w:noProof/>
                <w:sz w:val="20"/>
                <w:szCs w:val="20"/>
                <w:lang w:val="fr-FR"/>
              </w:rPr>
              <w:t xml:space="preserve"> </w:t>
            </w:r>
          </w:p>
        </w:tc>
        <w:tc>
          <w:tcPr>
            <w:tcW w:w="1761" w:type="dxa"/>
            <w:vMerge w:val="restart"/>
            <w:vAlign w:val="center"/>
          </w:tcPr>
          <w:p w:rsidR="008B16BE" w:rsidRPr="00E8692E" w:rsidRDefault="008B16BE" w:rsidP="00E8692E">
            <w:pPr>
              <w:pStyle w:val="ECHRParaSpaced"/>
              <w:keepNext/>
              <w:keepLines/>
              <w:jc w:val="right"/>
              <w:rPr>
                <w:sz w:val="20"/>
                <w:szCs w:val="20"/>
                <w:lang w:val="fr-FR"/>
              </w:rPr>
            </w:pPr>
            <w:r w:rsidRPr="00E8692E">
              <w:rPr>
                <w:rFonts w:eastAsiaTheme="minorEastAsia"/>
                <w:noProof/>
                <w:sz w:val="20"/>
                <w:szCs w:val="20"/>
                <w:lang w:val="fr-FR"/>
              </w:rPr>
              <w:t>34 508,65</w:t>
            </w:r>
          </w:p>
        </w:tc>
      </w:tr>
      <w:tr w:rsidR="00D11440" w:rsidRPr="00E8692E" w:rsidTr="009C0A5A">
        <w:trPr>
          <w:trHeight w:val="183"/>
          <w:jc w:val="center"/>
        </w:trPr>
        <w:tc>
          <w:tcPr>
            <w:tcW w:w="850" w:type="dxa"/>
            <w:vMerge/>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it-IT"/>
              </w:rPr>
            </w:pPr>
          </w:p>
        </w:tc>
        <w:tc>
          <w:tcPr>
            <w:tcW w:w="1418"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483"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984" w:type="dxa"/>
            <w:vMerge/>
            <w:shd w:val="clear" w:color="auto" w:fill="auto"/>
            <w:vAlign w:val="center"/>
          </w:tcPr>
          <w:p w:rsidR="008B16BE" w:rsidRPr="00E8692E" w:rsidRDefault="008B16BE" w:rsidP="00E8692E">
            <w:pPr>
              <w:keepNext/>
              <w:keepLines/>
              <w:suppressAutoHyphens/>
              <w:jc w:val="center"/>
              <w:rPr>
                <w:b/>
                <w:sz w:val="20"/>
                <w:szCs w:val="20"/>
                <w:lang w:val="it-IT"/>
              </w:rPr>
            </w:pPr>
          </w:p>
        </w:tc>
        <w:tc>
          <w:tcPr>
            <w:tcW w:w="1701" w:type="dxa"/>
            <w:vAlign w:val="center"/>
          </w:tcPr>
          <w:p w:rsidR="008B16BE" w:rsidRPr="00E8692E" w:rsidRDefault="00B1783D"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897/09</w:t>
            </w:r>
          </w:p>
        </w:tc>
        <w:tc>
          <w:tcPr>
            <w:tcW w:w="1559" w:type="dxa"/>
          </w:tcPr>
          <w:p w:rsidR="008B16BE" w:rsidRPr="00E8692E" w:rsidRDefault="00A65FDB"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06</w:t>
            </w:r>
            <w:r w:rsidR="00C35A50" w:rsidRPr="00E8692E">
              <w:rPr>
                <w:rFonts w:eastAsiaTheme="minorEastAsia"/>
                <w:noProof/>
                <w:sz w:val="20"/>
                <w:szCs w:val="20"/>
                <w:lang w:val="fr-FR"/>
              </w:rPr>
              <w:t>/</w:t>
            </w:r>
            <w:r w:rsidRPr="00E8692E">
              <w:rPr>
                <w:rFonts w:eastAsiaTheme="minorEastAsia"/>
                <w:noProof/>
                <w:sz w:val="20"/>
                <w:szCs w:val="20"/>
                <w:lang w:val="fr-FR"/>
              </w:rPr>
              <w:t>1</w:t>
            </w:r>
            <w:r w:rsidR="00C35A50" w:rsidRPr="00E8692E">
              <w:rPr>
                <w:rFonts w:eastAsiaTheme="minorEastAsia"/>
                <w:noProof/>
                <w:sz w:val="20"/>
                <w:szCs w:val="20"/>
                <w:lang w:val="fr-FR"/>
              </w:rPr>
              <w:t>1/20</w:t>
            </w:r>
            <w:r w:rsidRPr="00E8692E">
              <w:rPr>
                <w:rFonts w:eastAsiaTheme="minorEastAsia"/>
                <w:noProof/>
                <w:sz w:val="20"/>
                <w:szCs w:val="20"/>
                <w:lang w:val="fr-FR"/>
              </w:rPr>
              <w:t>09</w:t>
            </w:r>
          </w:p>
        </w:tc>
        <w:tc>
          <w:tcPr>
            <w:tcW w:w="1761" w:type="dxa"/>
            <w:vMerge/>
            <w:vAlign w:val="center"/>
          </w:tcPr>
          <w:p w:rsidR="008B16BE" w:rsidRPr="00E8692E" w:rsidRDefault="008B16BE" w:rsidP="00E8692E">
            <w:pPr>
              <w:pStyle w:val="ECHRParaSpaced"/>
              <w:keepNext/>
              <w:keepLines/>
              <w:jc w:val="right"/>
              <w:rPr>
                <w:rFonts w:eastAsiaTheme="minorEastAsia"/>
                <w:noProof/>
                <w:sz w:val="20"/>
                <w:szCs w:val="20"/>
                <w:lang w:val="fr-FR"/>
              </w:rPr>
            </w:pPr>
          </w:p>
        </w:tc>
      </w:tr>
      <w:tr w:rsidR="00D11440" w:rsidRPr="00E8692E" w:rsidTr="009C0A5A">
        <w:trPr>
          <w:trHeight w:val="183"/>
          <w:jc w:val="center"/>
        </w:trPr>
        <w:tc>
          <w:tcPr>
            <w:tcW w:w="850" w:type="dxa"/>
            <w:vMerge/>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it-IT"/>
              </w:rPr>
            </w:pPr>
          </w:p>
        </w:tc>
        <w:tc>
          <w:tcPr>
            <w:tcW w:w="1418"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483"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984" w:type="dxa"/>
            <w:vMerge/>
            <w:shd w:val="clear" w:color="auto" w:fill="auto"/>
            <w:vAlign w:val="center"/>
          </w:tcPr>
          <w:p w:rsidR="008B16BE" w:rsidRPr="00E8692E" w:rsidRDefault="008B16BE" w:rsidP="00E8692E">
            <w:pPr>
              <w:keepNext/>
              <w:keepLines/>
              <w:suppressAutoHyphens/>
              <w:jc w:val="center"/>
              <w:rPr>
                <w:b/>
                <w:sz w:val="20"/>
                <w:szCs w:val="20"/>
                <w:lang w:val="it-IT"/>
              </w:rPr>
            </w:pPr>
          </w:p>
        </w:tc>
        <w:tc>
          <w:tcPr>
            <w:tcW w:w="1701" w:type="dxa"/>
            <w:vAlign w:val="center"/>
          </w:tcPr>
          <w:p w:rsidR="008B16BE" w:rsidRPr="00E8692E" w:rsidRDefault="00B1783D"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3336/09</w:t>
            </w:r>
          </w:p>
        </w:tc>
        <w:tc>
          <w:tcPr>
            <w:tcW w:w="1559" w:type="dxa"/>
          </w:tcPr>
          <w:p w:rsidR="008B16BE" w:rsidRPr="00E8692E" w:rsidRDefault="00DB7E88"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20/</w:t>
            </w:r>
            <w:r w:rsidR="00C35A50" w:rsidRPr="00E8692E">
              <w:rPr>
                <w:rFonts w:eastAsiaTheme="minorEastAsia"/>
                <w:noProof/>
                <w:sz w:val="20"/>
                <w:szCs w:val="20"/>
                <w:lang w:val="fr-FR"/>
              </w:rPr>
              <w:t>0</w:t>
            </w:r>
            <w:r w:rsidRPr="00E8692E">
              <w:rPr>
                <w:rFonts w:eastAsiaTheme="minorEastAsia"/>
                <w:noProof/>
                <w:sz w:val="20"/>
                <w:szCs w:val="20"/>
                <w:lang w:val="fr-FR"/>
              </w:rPr>
              <w:t>2</w:t>
            </w:r>
            <w:r w:rsidR="00C35A50" w:rsidRPr="00E8692E">
              <w:rPr>
                <w:rFonts w:eastAsiaTheme="minorEastAsia"/>
                <w:noProof/>
                <w:sz w:val="20"/>
                <w:szCs w:val="20"/>
                <w:lang w:val="fr-FR"/>
              </w:rPr>
              <w:t>/2009</w:t>
            </w:r>
          </w:p>
        </w:tc>
        <w:tc>
          <w:tcPr>
            <w:tcW w:w="1761" w:type="dxa"/>
            <w:vMerge/>
            <w:vAlign w:val="center"/>
          </w:tcPr>
          <w:p w:rsidR="008B16BE" w:rsidRPr="00E8692E" w:rsidRDefault="008B16BE" w:rsidP="00E8692E">
            <w:pPr>
              <w:pStyle w:val="ECHRParaSpaced"/>
              <w:keepNext/>
              <w:keepLines/>
              <w:jc w:val="right"/>
              <w:rPr>
                <w:rFonts w:eastAsiaTheme="minorEastAsia"/>
                <w:noProof/>
                <w:sz w:val="20"/>
                <w:szCs w:val="20"/>
                <w:lang w:val="fr-FR"/>
              </w:rPr>
            </w:pPr>
          </w:p>
        </w:tc>
      </w:tr>
      <w:tr w:rsidR="00D11440" w:rsidRPr="00E8692E" w:rsidTr="009C0A5A">
        <w:trPr>
          <w:trHeight w:val="183"/>
          <w:jc w:val="center"/>
        </w:trPr>
        <w:tc>
          <w:tcPr>
            <w:tcW w:w="850" w:type="dxa"/>
            <w:vMerge/>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it-IT"/>
              </w:rPr>
            </w:pPr>
          </w:p>
        </w:tc>
        <w:tc>
          <w:tcPr>
            <w:tcW w:w="1418"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483" w:type="dxa"/>
            <w:vMerge/>
            <w:shd w:val="clear" w:color="auto" w:fill="auto"/>
            <w:vAlign w:val="center"/>
          </w:tcPr>
          <w:p w:rsidR="008B16BE" w:rsidRPr="00E8692E" w:rsidRDefault="008B16BE" w:rsidP="00E8692E">
            <w:pPr>
              <w:keepNext/>
              <w:keepLines/>
              <w:suppressAutoHyphens/>
              <w:jc w:val="center"/>
              <w:rPr>
                <w:sz w:val="20"/>
                <w:szCs w:val="20"/>
                <w:lang w:val="fr-FR"/>
              </w:rPr>
            </w:pPr>
          </w:p>
        </w:tc>
        <w:tc>
          <w:tcPr>
            <w:tcW w:w="1984" w:type="dxa"/>
            <w:vMerge/>
            <w:shd w:val="clear" w:color="auto" w:fill="auto"/>
            <w:vAlign w:val="center"/>
          </w:tcPr>
          <w:p w:rsidR="008B16BE" w:rsidRPr="00E8692E" w:rsidRDefault="008B16BE" w:rsidP="00E8692E">
            <w:pPr>
              <w:keepNext/>
              <w:keepLines/>
              <w:suppressAutoHyphens/>
              <w:jc w:val="center"/>
              <w:rPr>
                <w:b/>
                <w:sz w:val="20"/>
                <w:szCs w:val="20"/>
                <w:lang w:val="it-IT"/>
              </w:rPr>
            </w:pPr>
          </w:p>
        </w:tc>
        <w:tc>
          <w:tcPr>
            <w:tcW w:w="1701" w:type="dxa"/>
            <w:vAlign w:val="center"/>
          </w:tcPr>
          <w:p w:rsidR="008B16BE" w:rsidRPr="00E8692E" w:rsidRDefault="00B1783D"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574/10</w:t>
            </w:r>
          </w:p>
        </w:tc>
        <w:tc>
          <w:tcPr>
            <w:tcW w:w="1559" w:type="dxa"/>
          </w:tcPr>
          <w:p w:rsidR="008B16BE" w:rsidRPr="00E8692E" w:rsidRDefault="00C35A50"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17/0</w:t>
            </w:r>
            <w:r w:rsidR="00DB7E88" w:rsidRPr="00E8692E">
              <w:rPr>
                <w:rFonts w:eastAsiaTheme="minorEastAsia"/>
                <w:noProof/>
                <w:sz w:val="20"/>
                <w:szCs w:val="20"/>
                <w:lang w:val="fr-FR"/>
              </w:rPr>
              <w:t>2</w:t>
            </w:r>
            <w:r w:rsidRPr="00E8692E">
              <w:rPr>
                <w:rFonts w:eastAsiaTheme="minorEastAsia"/>
                <w:noProof/>
                <w:sz w:val="20"/>
                <w:szCs w:val="20"/>
                <w:lang w:val="fr-FR"/>
              </w:rPr>
              <w:t>/2010</w:t>
            </w:r>
          </w:p>
        </w:tc>
        <w:tc>
          <w:tcPr>
            <w:tcW w:w="1761" w:type="dxa"/>
            <w:vMerge/>
            <w:vAlign w:val="center"/>
          </w:tcPr>
          <w:p w:rsidR="008B16BE" w:rsidRPr="00E8692E" w:rsidRDefault="008B16BE" w:rsidP="00E8692E">
            <w:pPr>
              <w:pStyle w:val="ECHRParaSpaced"/>
              <w:keepNext/>
              <w:keepLines/>
              <w:jc w:val="right"/>
              <w:rPr>
                <w:rFonts w:eastAsiaTheme="minorEastAsia"/>
                <w:noProof/>
                <w:sz w:val="20"/>
                <w:szCs w:val="20"/>
                <w:lang w:val="fr-FR"/>
              </w:rPr>
            </w:pPr>
          </w:p>
        </w:tc>
      </w:tr>
      <w:tr w:rsidR="00D11440" w:rsidRPr="00E8692E" w:rsidTr="009C0A5A">
        <w:trPr>
          <w:trHeight w:val="353"/>
          <w:jc w:val="center"/>
        </w:trPr>
        <w:tc>
          <w:tcPr>
            <w:tcW w:w="850" w:type="dxa"/>
            <w:vMerge w:val="restart"/>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val="restart"/>
            <w:shd w:val="clear" w:color="auto" w:fill="auto"/>
            <w:vAlign w:val="center"/>
          </w:tcPr>
          <w:p w:rsidR="00B1783D" w:rsidRPr="00E8692E" w:rsidRDefault="00B1783D" w:rsidP="00E8692E">
            <w:pPr>
              <w:keepNext/>
              <w:keepLines/>
              <w:suppressAutoHyphens/>
              <w:jc w:val="center"/>
              <w:rPr>
                <w:sz w:val="20"/>
                <w:szCs w:val="20"/>
                <w:lang w:val="fr-FR"/>
              </w:rPr>
            </w:pPr>
            <w:r w:rsidRPr="00E8692E">
              <w:rPr>
                <w:sz w:val="20"/>
                <w:szCs w:val="20"/>
                <w:lang w:val="fr-FR"/>
              </w:rPr>
              <w:t>39193/11</w:t>
            </w:r>
          </w:p>
        </w:tc>
        <w:tc>
          <w:tcPr>
            <w:tcW w:w="1483" w:type="dxa"/>
            <w:vMerge w:val="restart"/>
            <w:shd w:val="clear" w:color="auto" w:fill="auto"/>
            <w:vAlign w:val="center"/>
          </w:tcPr>
          <w:p w:rsidR="00B1783D" w:rsidRPr="00E8692E" w:rsidRDefault="00B1783D" w:rsidP="00E8692E">
            <w:pPr>
              <w:keepNext/>
              <w:keepLines/>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B1783D" w:rsidRPr="00E8692E" w:rsidRDefault="00B1783D" w:rsidP="00E8692E">
            <w:pPr>
              <w:keepNext/>
              <w:keepLines/>
              <w:suppressAutoHyphens/>
              <w:jc w:val="center"/>
              <w:rPr>
                <w:b/>
                <w:sz w:val="20"/>
                <w:szCs w:val="20"/>
                <w:lang w:val="it-IT"/>
              </w:rPr>
            </w:pPr>
            <w:r w:rsidRPr="00E8692E">
              <w:rPr>
                <w:b/>
                <w:sz w:val="20"/>
                <w:szCs w:val="20"/>
                <w:lang w:val="it-IT"/>
              </w:rPr>
              <w:t>CENTRO FUTURA S.R.L.</w:t>
            </w:r>
          </w:p>
          <w:p w:rsidR="00B1783D" w:rsidRPr="00E8692E" w:rsidRDefault="00B1783D" w:rsidP="00E8692E">
            <w:pPr>
              <w:keepNext/>
              <w:keepLines/>
              <w:suppressAutoHyphens/>
              <w:jc w:val="center"/>
              <w:rPr>
                <w:sz w:val="20"/>
                <w:szCs w:val="20"/>
                <w:lang w:val="fr-FR"/>
              </w:rPr>
            </w:pPr>
            <w:r w:rsidRPr="00E8692E">
              <w:rPr>
                <w:sz w:val="20"/>
                <w:szCs w:val="20"/>
                <w:lang w:val="fr-FR"/>
              </w:rPr>
              <w:t>Naples</w:t>
            </w:r>
          </w:p>
        </w:tc>
        <w:tc>
          <w:tcPr>
            <w:tcW w:w="1701" w:type="dxa"/>
            <w:vAlign w:val="center"/>
          </w:tcPr>
          <w:p w:rsidR="00B1783D" w:rsidRPr="00E8692E" w:rsidRDefault="00B1783D" w:rsidP="00E8692E">
            <w:pPr>
              <w:pStyle w:val="ECHRParaSpaced"/>
              <w:keepNext/>
              <w:keepLines/>
              <w:jc w:val="right"/>
              <w:rPr>
                <w:sz w:val="20"/>
                <w:szCs w:val="20"/>
                <w:lang w:val="fr-FR"/>
              </w:rPr>
            </w:pPr>
            <w:r w:rsidRPr="00E8692E">
              <w:rPr>
                <w:rFonts w:eastAsiaTheme="minorEastAsia"/>
                <w:noProof/>
                <w:sz w:val="20"/>
                <w:szCs w:val="20"/>
                <w:lang w:val="fr-FR"/>
              </w:rPr>
              <w:t>6357/10</w:t>
            </w:r>
          </w:p>
        </w:tc>
        <w:tc>
          <w:tcPr>
            <w:tcW w:w="1559" w:type="dxa"/>
          </w:tcPr>
          <w:p w:rsidR="00B1783D" w:rsidRPr="00E8692E" w:rsidRDefault="009E2616"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15</w:t>
            </w:r>
            <w:r w:rsidR="0047204C" w:rsidRPr="00E8692E">
              <w:rPr>
                <w:rFonts w:eastAsiaTheme="minorEastAsia"/>
                <w:noProof/>
                <w:sz w:val="20"/>
                <w:szCs w:val="20"/>
                <w:lang w:val="fr-FR"/>
              </w:rPr>
              <w:t>/</w:t>
            </w:r>
            <w:r w:rsidRPr="00E8692E">
              <w:rPr>
                <w:rFonts w:eastAsiaTheme="minorEastAsia"/>
                <w:noProof/>
                <w:sz w:val="20"/>
                <w:szCs w:val="20"/>
                <w:lang w:val="fr-FR"/>
              </w:rPr>
              <w:t>07</w:t>
            </w:r>
            <w:r w:rsidR="0047204C" w:rsidRPr="00E8692E">
              <w:rPr>
                <w:rFonts w:eastAsiaTheme="minorEastAsia"/>
                <w:noProof/>
                <w:sz w:val="20"/>
                <w:szCs w:val="20"/>
                <w:lang w:val="fr-FR"/>
              </w:rPr>
              <w:t>/2010</w:t>
            </w:r>
          </w:p>
        </w:tc>
        <w:tc>
          <w:tcPr>
            <w:tcW w:w="1761" w:type="dxa"/>
            <w:vMerge w:val="restart"/>
            <w:vAlign w:val="center"/>
          </w:tcPr>
          <w:p w:rsidR="00B1783D" w:rsidRPr="00E8692E" w:rsidRDefault="00B1783D" w:rsidP="00E8692E">
            <w:pPr>
              <w:pStyle w:val="ECHRParaSpaced"/>
              <w:keepNext/>
              <w:keepLines/>
              <w:jc w:val="right"/>
              <w:rPr>
                <w:sz w:val="20"/>
                <w:szCs w:val="20"/>
                <w:lang w:val="fr-FR"/>
              </w:rPr>
            </w:pPr>
            <w:r w:rsidRPr="00E8692E">
              <w:rPr>
                <w:rFonts w:eastAsiaTheme="minorEastAsia"/>
                <w:noProof/>
                <w:sz w:val="20"/>
                <w:szCs w:val="20"/>
                <w:lang w:val="fr-FR"/>
              </w:rPr>
              <w:t>17 563,27</w:t>
            </w:r>
          </w:p>
        </w:tc>
      </w:tr>
      <w:tr w:rsidR="00D11440" w:rsidRPr="00E8692E" w:rsidTr="009C0A5A">
        <w:trPr>
          <w:trHeight w:val="352"/>
          <w:jc w:val="center"/>
        </w:trPr>
        <w:tc>
          <w:tcPr>
            <w:tcW w:w="850" w:type="dxa"/>
            <w:vMerge/>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483"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984" w:type="dxa"/>
            <w:vMerge/>
            <w:shd w:val="clear" w:color="auto" w:fill="auto"/>
            <w:vAlign w:val="center"/>
          </w:tcPr>
          <w:p w:rsidR="00B1783D" w:rsidRPr="00E8692E" w:rsidRDefault="00B1783D" w:rsidP="00E8692E">
            <w:pPr>
              <w:keepNext/>
              <w:keepLines/>
              <w:suppressAutoHyphens/>
              <w:jc w:val="center"/>
              <w:rPr>
                <w:b/>
                <w:sz w:val="20"/>
                <w:szCs w:val="20"/>
                <w:lang w:val="it-IT"/>
              </w:rPr>
            </w:pPr>
          </w:p>
        </w:tc>
        <w:tc>
          <w:tcPr>
            <w:tcW w:w="1701" w:type="dxa"/>
            <w:vAlign w:val="center"/>
          </w:tcPr>
          <w:p w:rsidR="00B1783D" w:rsidRPr="00E8692E" w:rsidRDefault="00B1783D"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20455/10</w:t>
            </w:r>
            <w:r w:rsidR="001648F4" w:rsidRPr="00E8692E">
              <w:rPr>
                <w:rFonts w:eastAsiaTheme="minorEastAsia"/>
                <w:noProof/>
                <w:sz w:val="20"/>
                <w:szCs w:val="20"/>
                <w:lang w:val="fr-FR"/>
              </w:rPr>
              <w:t xml:space="preserve"> </w:t>
            </w:r>
          </w:p>
        </w:tc>
        <w:tc>
          <w:tcPr>
            <w:tcW w:w="1559" w:type="dxa"/>
          </w:tcPr>
          <w:p w:rsidR="00B1783D" w:rsidRPr="00E8692E" w:rsidRDefault="009E2616"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21</w:t>
            </w:r>
            <w:r w:rsidR="0047204C" w:rsidRPr="00E8692E">
              <w:rPr>
                <w:rFonts w:eastAsiaTheme="minorEastAsia"/>
                <w:noProof/>
                <w:sz w:val="20"/>
                <w:szCs w:val="20"/>
                <w:lang w:val="fr-FR"/>
              </w:rPr>
              <w:t>/</w:t>
            </w:r>
            <w:r w:rsidRPr="00E8692E">
              <w:rPr>
                <w:rFonts w:eastAsiaTheme="minorEastAsia"/>
                <w:noProof/>
                <w:sz w:val="20"/>
                <w:szCs w:val="20"/>
                <w:lang w:val="fr-FR"/>
              </w:rPr>
              <w:t>07</w:t>
            </w:r>
            <w:r w:rsidR="0047204C" w:rsidRPr="00E8692E">
              <w:rPr>
                <w:rFonts w:eastAsiaTheme="minorEastAsia"/>
                <w:noProof/>
                <w:sz w:val="20"/>
                <w:szCs w:val="20"/>
                <w:lang w:val="fr-FR"/>
              </w:rPr>
              <w:t>/2010</w:t>
            </w:r>
          </w:p>
        </w:tc>
        <w:tc>
          <w:tcPr>
            <w:tcW w:w="1761" w:type="dxa"/>
            <w:vMerge/>
            <w:vAlign w:val="center"/>
          </w:tcPr>
          <w:p w:rsidR="00B1783D" w:rsidRPr="00E8692E" w:rsidRDefault="00B1783D" w:rsidP="00E8692E">
            <w:pPr>
              <w:pStyle w:val="ECHRParaSpaced"/>
              <w:keepNext/>
              <w:keepLines/>
              <w:jc w:val="right"/>
              <w:rPr>
                <w:rFonts w:eastAsiaTheme="minorEastAsia"/>
                <w:noProof/>
                <w:sz w:val="20"/>
                <w:szCs w:val="20"/>
                <w:lang w:val="fr-FR"/>
              </w:rPr>
            </w:pPr>
          </w:p>
        </w:tc>
      </w:tr>
      <w:tr w:rsidR="00D11440" w:rsidRPr="00E8692E" w:rsidTr="009C0A5A">
        <w:trPr>
          <w:trHeight w:val="352"/>
          <w:jc w:val="center"/>
        </w:trPr>
        <w:tc>
          <w:tcPr>
            <w:tcW w:w="850" w:type="dxa"/>
            <w:vMerge/>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483"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984" w:type="dxa"/>
            <w:vMerge/>
            <w:shd w:val="clear" w:color="auto" w:fill="auto"/>
            <w:vAlign w:val="center"/>
          </w:tcPr>
          <w:p w:rsidR="00B1783D" w:rsidRPr="00E8692E" w:rsidRDefault="00B1783D" w:rsidP="00E8692E">
            <w:pPr>
              <w:keepNext/>
              <w:keepLines/>
              <w:suppressAutoHyphens/>
              <w:jc w:val="center"/>
              <w:rPr>
                <w:b/>
                <w:sz w:val="20"/>
                <w:szCs w:val="20"/>
                <w:lang w:val="it-IT"/>
              </w:rPr>
            </w:pPr>
          </w:p>
        </w:tc>
        <w:tc>
          <w:tcPr>
            <w:tcW w:w="1701" w:type="dxa"/>
            <w:vAlign w:val="center"/>
          </w:tcPr>
          <w:p w:rsidR="00B1783D" w:rsidRPr="00E8692E" w:rsidRDefault="00B1783D"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21519/10</w:t>
            </w:r>
          </w:p>
        </w:tc>
        <w:tc>
          <w:tcPr>
            <w:tcW w:w="1559" w:type="dxa"/>
          </w:tcPr>
          <w:p w:rsidR="00B1783D" w:rsidRPr="00E8692E" w:rsidRDefault="009E2616"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05</w:t>
            </w:r>
            <w:r w:rsidR="0047204C" w:rsidRPr="00E8692E">
              <w:rPr>
                <w:rFonts w:eastAsiaTheme="minorEastAsia"/>
                <w:noProof/>
                <w:sz w:val="20"/>
                <w:szCs w:val="20"/>
                <w:lang w:val="fr-FR"/>
              </w:rPr>
              <w:t>/10/2010</w:t>
            </w:r>
          </w:p>
        </w:tc>
        <w:tc>
          <w:tcPr>
            <w:tcW w:w="1761" w:type="dxa"/>
            <w:vMerge/>
            <w:vAlign w:val="center"/>
          </w:tcPr>
          <w:p w:rsidR="00B1783D" w:rsidRPr="00E8692E" w:rsidRDefault="00B1783D" w:rsidP="00E8692E">
            <w:pPr>
              <w:pStyle w:val="ECHRParaSpaced"/>
              <w:keepNext/>
              <w:keepLines/>
              <w:jc w:val="right"/>
              <w:rPr>
                <w:rFonts w:eastAsiaTheme="minorEastAsia"/>
                <w:noProof/>
                <w:sz w:val="20"/>
                <w:szCs w:val="20"/>
                <w:lang w:val="fr-FR"/>
              </w:rPr>
            </w:pPr>
          </w:p>
        </w:tc>
      </w:tr>
      <w:tr w:rsidR="00D11440" w:rsidRPr="00E8692E" w:rsidTr="009C0A5A">
        <w:trPr>
          <w:trHeight w:val="711"/>
          <w:jc w:val="center"/>
        </w:trPr>
        <w:tc>
          <w:tcPr>
            <w:tcW w:w="850" w:type="dxa"/>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fr-FR"/>
              </w:rPr>
            </w:pPr>
          </w:p>
        </w:tc>
        <w:tc>
          <w:tcPr>
            <w:tcW w:w="1418" w:type="dxa"/>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39194/11</w:t>
            </w:r>
          </w:p>
        </w:tc>
        <w:tc>
          <w:tcPr>
            <w:tcW w:w="1483" w:type="dxa"/>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21/06/2011</w:t>
            </w:r>
          </w:p>
        </w:tc>
        <w:tc>
          <w:tcPr>
            <w:tcW w:w="1984" w:type="dxa"/>
            <w:shd w:val="clear" w:color="auto" w:fill="auto"/>
            <w:vAlign w:val="center"/>
          </w:tcPr>
          <w:p w:rsidR="008B16BE" w:rsidRPr="00E8692E" w:rsidRDefault="008B16BE" w:rsidP="00E8692E">
            <w:pPr>
              <w:keepNext/>
              <w:keepLines/>
              <w:suppressAutoHyphens/>
              <w:jc w:val="center"/>
              <w:rPr>
                <w:b/>
                <w:sz w:val="20"/>
                <w:szCs w:val="20"/>
                <w:lang w:val="it-IT"/>
              </w:rPr>
            </w:pPr>
            <w:r w:rsidRPr="00E8692E">
              <w:rPr>
                <w:b/>
                <w:sz w:val="20"/>
                <w:szCs w:val="20"/>
                <w:lang w:val="it-IT"/>
              </w:rPr>
              <w:t>CENTRO FLEGREO S.R.L.</w:t>
            </w:r>
          </w:p>
          <w:p w:rsidR="008B16BE" w:rsidRPr="00E8692E" w:rsidRDefault="008B16BE" w:rsidP="00E8692E">
            <w:pPr>
              <w:keepNext/>
              <w:keepLines/>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8B16BE" w:rsidP="00E8692E">
            <w:pPr>
              <w:pStyle w:val="ECHRParaSpaced"/>
              <w:keepNext/>
              <w:keepLines/>
              <w:jc w:val="right"/>
              <w:rPr>
                <w:sz w:val="20"/>
                <w:szCs w:val="20"/>
                <w:lang w:val="it-IT"/>
              </w:rPr>
            </w:pPr>
          </w:p>
        </w:tc>
        <w:tc>
          <w:tcPr>
            <w:tcW w:w="1559" w:type="dxa"/>
          </w:tcPr>
          <w:p w:rsidR="008B16BE" w:rsidRPr="00E8692E" w:rsidRDefault="008B16BE" w:rsidP="00E8692E">
            <w:pPr>
              <w:pStyle w:val="ECHRParaSpaced"/>
              <w:keepNext/>
              <w:keepLines/>
              <w:jc w:val="right"/>
              <w:rPr>
                <w:sz w:val="20"/>
                <w:szCs w:val="20"/>
                <w:lang w:val="it-IT"/>
              </w:rPr>
            </w:pPr>
          </w:p>
        </w:tc>
        <w:tc>
          <w:tcPr>
            <w:tcW w:w="1761" w:type="dxa"/>
            <w:vAlign w:val="center"/>
          </w:tcPr>
          <w:p w:rsidR="008B16BE" w:rsidRPr="00E8692E" w:rsidRDefault="008B16BE" w:rsidP="00E8692E">
            <w:pPr>
              <w:pStyle w:val="ECHRParaSpaced"/>
              <w:keepNext/>
              <w:keepLines/>
              <w:jc w:val="right"/>
              <w:rPr>
                <w:sz w:val="20"/>
                <w:szCs w:val="20"/>
                <w:lang w:val="it-IT"/>
              </w:rPr>
            </w:pPr>
          </w:p>
        </w:tc>
      </w:tr>
      <w:tr w:rsidR="00D11440" w:rsidRPr="00E8692E" w:rsidTr="009C0A5A">
        <w:trPr>
          <w:trHeight w:val="711"/>
          <w:jc w:val="center"/>
        </w:trPr>
        <w:tc>
          <w:tcPr>
            <w:tcW w:w="850" w:type="dxa"/>
            <w:shd w:val="clear" w:color="auto" w:fill="auto"/>
            <w:vAlign w:val="center"/>
          </w:tcPr>
          <w:p w:rsidR="008B16BE" w:rsidRPr="00E8692E" w:rsidRDefault="008B16BE" w:rsidP="00E8692E">
            <w:pPr>
              <w:keepNext/>
              <w:keepLines/>
              <w:numPr>
                <w:ilvl w:val="0"/>
                <w:numId w:val="18"/>
              </w:numPr>
              <w:suppressAutoHyphens/>
              <w:ind w:left="357" w:hanging="357"/>
              <w:jc w:val="left"/>
              <w:rPr>
                <w:b/>
                <w:sz w:val="20"/>
                <w:szCs w:val="20"/>
                <w:lang w:val="it-IT"/>
              </w:rPr>
            </w:pPr>
          </w:p>
        </w:tc>
        <w:tc>
          <w:tcPr>
            <w:tcW w:w="1418" w:type="dxa"/>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39196/11</w:t>
            </w:r>
          </w:p>
        </w:tc>
        <w:tc>
          <w:tcPr>
            <w:tcW w:w="1483" w:type="dxa"/>
            <w:shd w:val="clear" w:color="auto" w:fill="auto"/>
            <w:vAlign w:val="center"/>
          </w:tcPr>
          <w:p w:rsidR="008B16BE" w:rsidRPr="00E8692E" w:rsidRDefault="008B16BE" w:rsidP="00E8692E">
            <w:pPr>
              <w:keepNext/>
              <w:keepLines/>
              <w:suppressAutoHyphens/>
              <w:jc w:val="center"/>
              <w:rPr>
                <w:sz w:val="20"/>
                <w:szCs w:val="20"/>
                <w:lang w:val="fr-FR"/>
              </w:rPr>
            </w:pPr>
            <w:r w:rsidRPr="00E8692E">
              <w:rPr>
                <w:sz w:val="20"/>
                <w:szCs w:val="20"/>
                <w:lang w:val="fr-FR"/>
              </w:rPr>
              <w:t>21/06/2011</w:t>
            </w:r>
          </w:p>
        </w:tc>
        <w:tc>
          <w:tcPr>
            <w:tcW w:w="1984" w:type="dxa"/>
            <w:shd w:val="clear" w:color="auto" w:fill="auto"/>
            <w:vAlign w:val="center"/>
          </w:tcPr>
          <w:p w:rsidR="008B16BE" w:rsidRPr="00E8692E" w:rsidRDefault="008B16BE" w:rsidP="00E8692E">
            <w:pPr>
              <w:keepNext/>
              <w:keepLines/>
              <w:suppressAutoHyphens/>
              <w:jc w:val="center"/>
              <w:rPr>
                <w:b/>
                <w:sz w:val="20"/>
                <w:szCs w:val="20"/>
                <w:lang w:val="it-IT"/>
              </w:rPr>
            </w:pPr>
            <w:r w:rsidRPr="00E8692E">
              <w:rPr>
                <w:b/>
                <w:sz w:val="20"/>
                <w:szCs w:val="20"/>
                <w:lang w:val="it-IT"/>
              </w:rPr>
              <w:t>CENTRO MANZONI S.R.L.</w:t>
            </w:r>
          </w:p>
          <w:p w:rsidR="008B16BE" w:rsidRPr="00E8692E" w:rsidRDefault="008B16BE" w:rsidP="00E8692E">
            <w:pPr>
              <w:keepNext/>
              <w:keepLines/>
              <w:suppressAutoHyphens/>
              <w:jc w:val="center"/>
              <w:rPr>
                <w:sz w:val="20"/>
                <w:szCs w:val="20"/>
                <w:lang w:val="fr-FR"/>
              </w:rPr>
            </w:pPr>
            <w:r w:rsidRPr="00E8692E">
              <w:rPr>
                <w:sz w:val="20"/>
                <w:szCs w:val="20"/>
                <w:lang w:val="fr-FR"/>
              </w:rPr>
              <w:t>Naples</w:t>
            </w:r>
          </w:p>
        </w:tc>
        <w:tc>
          <w:tcPr>
            <w:tcW w:w="1701" w:type="dxa"/>
            <w:vAlign w:val="center"/>
          </w:tcPr>
          <w:p w:rsidR="008B16BE" w:rsidRPr="00E8692E" w:rsidRDefault="008B16BE" w:rsidP="00E8692E">
            <w:pPr>
              <w:pStyle w:val="ECHRParaSpaced"/>
              <w:keepNext/>
              <w:keepLines/>
              <w:jc w:val="right"/>
              <w:rPr>
                <w:sz w:val="20"/>
                <w:szCs w:val="20"/>
                <w:lang w:val="fr-FR"/>
              </w:rPr>
            </w:pPr>
            <w:r w:rsidRPr="00E8692E">
              <w:rPr>
                <w:rFonts w:eastAsiaTheme="minorEastAsia"/>
                <w:noProof/>
                <w:sz w:val="20"/>
                <w:szCs w:val="20"/>
                <w:lang w:val="fr-FR"/>
              </w:rPr>
              <w:t>20305/10</w:t>
            </w:r>
          </w:p>
        </w:tc>
        <w:tc>
          <w:tcPr>
            <w:tcW w:w="1559" w:type="dxa"/>
          </w:tcPr>
          <w:p w:rsidR="008B16BE" w:rsidRPr="00E8692E" w:rsidRDefault="00B74CA4"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05</w:t>
            </w:r>
            <w:r w:rsidR="00601BB0" w:rsidRPr="00E8692E">
              <w:rPr>
                <w:rFonts w:eastAsiaTheme="minorEastAsia"/>
                <w:noProof/>
                <w:sz w:val="20"/>
                <w:szCs w:val="20"/>
                <w:lang w:val="fr-FR"/>
              </w:rPr>
              <w:t>/10/2010</w:t>
            </w:r>
          </w:p>
        </w:tc>
        <w:tc>
          <w:tcPr>
            <w:tcW w:w="1761" w:type="dxa"/>
            <w:vAlign w:val="center"/>
          </w:tcPr>
          <w:p w:rsidR="008B16BE" w:rsidRPr="00E8692E" w:rsidRDefault="008B16BE" w:rsidP="00E8692E">
            <w:pPr>
              <w:pStyle w:val="ECHRParaSpaced"/>
              <w:keepNext/>
              <w:keepLines/>
              <w:jc w:val="right"/>
              <w:rPr>
                <w:sz w:val="20"/>
                <w:szCs w:val="20"/>
                <w:lang w:val="fr-FR"/>
              </w:rPr>
            </w:pPr>
            <w:r w:rsidRPr="00E8692E">
              <w:rPr>
                <w:rFonts w:eastAsiaTheme="minorEastAsia"/>
                <w:noProof/>
                <w:sz w:val="20"/>
                <w:szCs w:val="20"/>
                <w:lang w:val="fr-FR"/>
              </w:rPr>
              <w:t>15 022,87</w:t>
            </w:r>
          </w:p>
        </w:tc>
      </w:tr>
      <w:tr w:rsidR="00D11440" w:rsidRPr="00E8692E" w:rsidTr="009C0A5A">
        <w:trPr>
          <w:cantSplit/>
          <w:trHeight w:val="310"/>
          <w:jc w:val="center"/>
        </w:trPr>
        <w:tc>
          <w:tcPr>
            <w:tcW w:w="850" w:type="dxa"/>
            <w:vMerge w:val="restart"/>
            <w:shd w:val="clear" w:color="auto" w:fill="auto"/>
            <w:vAlign w:val="center"/>
          </w:tcPr>
          <w:p w:rsidR="00B1783D" w:rsidRPr="00E8692E" w:rsidRDefault="00B1783D" w:rsidP="00E8692E">
            <w:pPr>
              <w:numPr>
                <w:ilvl w:val="0"/>
                <w:numId w:val="18"/>
              </w:numPr>
              <w:suppressAutoHyphens/>
              <w:ind w:left="357" w:hanging="357"/>
              <w:jc w:val="left"/>
              <w:rPr>
                <w:b/>
                <w:sz w:val="20"/>
                <w:szCs w:val="20"/>
                <w:lang w:val="fr-FR"/>
              </w:rPr>
            </w:pPr>
          </w:p>
        </w:tc>
        <w:tc>
          <w:tcPr>
            <w:tcW w:w="1418" w:type="dxa"/>
            <w:vMerge w:val="restart"/>
            <w:shd w:val="clear" w:color="auto" w:fill="auto"/>
            <w:vAlign w:val="center"/>
          </w:tcPr>
          <w:p w:rsidR="00B1783D" w:rsidRPr="00E8692E" w:rsidRDefault="00B1783D" w:rsidP="00E8692E">
            <w:pPr>
              <w:suppressAutoHyphens/>
              <w:jc w:val="center"/>
              <w:rPr>
                <w:sz w:val="20"/>
                <w:szCs w:val="20"/>
                <w:lang w:val="fr-FR"/>
              </w:rPr>
            </w:pPr>
            <w:r w:rsidRPr="00E8692E">
              <w:rPr>
                <w:sz w:val="20"/>
                <w:szCs w:val="20"/>
                <w:lang w:val="fr-FR"/>
              </w:rPr>
              <w:t>39197/11</w:t>
            </w:r>
          </w:p>
        </w:tc>
        <w:tc>
          <w:tcPr>
            <w:tcW w:w="1483" w:type="dxa"/>
            <w:vMerge w:val="restart"/>
            <w:shd w:val="clear" w:color="auto" w:fill="auto"/>
            <w:vAlign w:val="center"/>
          </w:tcPr>
          <w:p w:rsidR="00B1783D" w:rsidRPr="00E8692E" w:rsidRDefault="00B1783D" w:rsidP="00E8692E">
            <w:pPr>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B1783D" w:rsidRPr="00E8692E" w:rsidRDefault="00B1783D" w:rsidP="00E8692E">
            <w:pPr>
              <w:suppressAutoHyphens/>
              <w:jc w:val="center"/>
              <w:rPr>
                <w:b/>
                <w:sz w:val="20"/>
                <w:szCs w:val="20"/>
                <w:lang w:val="it-IT"/>
              </w:rPr>
            </w:pPr>
            <w:r w:rsidRPr="00E8692E">
              <w:rPr>
                <w:b/>
                <w:sz w:val="20"/>
                <w:szCs w:val="20"/>
                <w:lang w:val="it-IT"/>
              </w:rPr>
              <w:t>CENTRO ORTOPEDICO RIABILITATIVO S.R.L.</w:t>
            </w:r>
          </w:p>
          <w:p w:rsidR="00B1783D" w:rsidRPr="00E8692E" w:rsidRDefault="00B1783D" w:rsidP="00E8692E">
            <w:pPr>
              <w:suppressAutoHyphens/>
              <w:jc w:val="center"/>
              <w:rPr>
                <w:sz w:val="20"/>
                <w:szCs w:val="20"/>
                <w:lang w:val="fr-FR"/>
              </w:rPr>
            </w:pPr>
            <w:r w:rsidRPr="00E8692E">
              <w:rPr>
                <w:sz w:val="20"/>
                <w:szCs w:val="20"/>
                <w:lang w:val="fr-FR"/>
              </w:rPr>
              <w:lastRenderedPageBreak/>
              <w:t>Naples</w:t>
            </w:r>
          </w:p>
        </w:tc>
        <w:tc>
          <w:tcPr>
            <w:tcW w:w="1701" w:type="dxa"/>
            <w:vAlign w:val="center"/>
          </w:tcPr>
          <w:p w:rsidR="00B1783D" w:rsidRPr="00E8692E" w:rsidRDefault="00B1783D" w:rsidP="00E8692E">
            <w:pPr>
              <w:pStyle w:val="ECHRParaSpaced"/>
              <w:jc w:val="right"/>
              <w:rPr>
                <w:sz w:val="20"/>
                <w:szCs w:val="20"/>
                <w:lang w:val="fr-FR"/>
              </w:rPr>
            </w:pPr>
            <w:r w:rsidRPr="00E8692E">
              <w:rPr>
                <w:rFonts w:eastAsiaTheme="minorEastAsia"/>
                <w:noProof/>
                <w:sz w:val="20"/>
                <w:szCs w:val="20"/>
                <w:lang w:val="fr-FR"/>
              </w:rPr>
              <w:lastRenderedPageBreak/>
              <w:t xml:space="preserve">11802/10 </w:t>
            </w:r>
          </w:p>
        </w:tc>
        <w:tc>
          <w:tcPr>
            <w:tcW w:w="1559" w:type="dxa"/>
          </w:tcPr>
          <w:p w:rsidR="00B1783D" w:rsidRPr="00E8692E" w:rsidRDefault="00310CE0" w:rsidP="00E8692E">
            <w:pPr>
              <w:pStyle w:val="ECHRParaSpaced"/>
              <w:jc w:val="right"/>
              <w:rPr>
                <w:rFonts w:eastAsiaTheme="minorEastAsia"/>
                <w:noProof/>
                <w:sz w:val="20"/>
                <w:szCs w:val="20"/>
                <w:lang w:val="fr-FR"/>
              </w:rPr>
            </w:pPr>
            <w:r w:rsidRPr="00E8692E">
              <w:rPr>
                <w:rFonts w:eastAsiaTheme="minorEastAsia"/>
                <w:noProof/>
                <w:sz w:val="20"/>
                <w:szCs w:val="20"/>
                <w:lang w:val="fr-FR"/>
              </w:rPr>
              <w:t>1</w:t>
            </w:r>
            <w:r w:rsidR="00B74CA4" w:rsidRPr="00E8692E">
              <w:rPr>
                <w:rFonts w:eastAsiaTheme="minorEastAsia"/>
                <w:noProof/>
                <w:sz w:val="20"/>
                <w:szCs w:val="20"/>
                <w:lang w:val="fr-FR"/>
              </w:rPr>
              <w:t>4</w:t>
            </w:r>
            <w:r w:rsidRPr="00E8692E">
              <w:rPr>
                <w:rFonts w:eastAsiaTheme="minorEastAsia"/>
                <w:noProof/>
                <w:sz w:val="20"/>
                <w:szCs w:val="20"/>
                <w:lang w:val="fr-FR"/>
              </w:rPr>
              <w:t>/</w:t>
            </w:r>
            <w:r w:rsidR="00B74CA4" w:rsidRPr="00E8692E">
              <w:rPr>
                <w:rFonts w:eastAsiaTheme="minorEastAsia"/>
                <w:noProof/>
                <w:sz w:val="20"/>
                <w:szCs w:val="20"/>
                <w:lang w:val="fr-FR"/>
              </w:rPr>
              <w:t>07</w:t>
            </w:r>
            <w:r w:rsidRPr="00E8692E">
              <w:rPr>
                <w:rFonts w:eastAsiaTheme="minorEastAsia"/>
                <w:noProof/>
                <w:sz w:val="20"/>
                <w:szCs w:val="20"/>
                <w:lang w:val="fr-FR"/>
              </w:rPr>
              <w:t>/2010</w:t>
            </w:r>
          </w:p>
        </w:tc>
        <w:tc>
          <w:tcPr>
            <w:tcW w:w="1761" w:type="dxa"/>
            <w:vMerge w:val="restart"/>
            <w:vAlign w:val="center"/>
          </w:tcPr>
          <w:p w:rsidR="00B1783D" w:rsidRPr="00E8692E" w:rsidRDefault="00B1783D" w:rsidP="00E8692E">
            <w:pPr>
              <w:pStyle w:val="ECHRParaSpaced"/>
              <w:keepNext/>
              <w:keepLines/>
              <w:jc w:val="right"/>
              <w:rPr>
                <w:sz w:val="20"/>
                <w:szCs w:val="20"/>
                <w:lang w:val="fr-FR"/>
              </w:rPr>
            </w:pPr>
            <w:r w:rsidRPr="00E8692E">
              <w:rPr>
                <w:rFonts w:eastAsiaTheme="minorEastAsia"/>
                <w:noProof/>
                <w:sz w:val="20"/>
                <w:szCs w:val="20"/>
                <w:lang w:val="fr-FR"/>
              </w:rPr>
              <w:t>98 599,28</w:t>
            </w:r>
          </w:p>
        </w:tc>
      </w:tr>
      <w:tr w:rsidR="00D11440" w:rsidRPr="00E8692E" w:rsidTr="009C0A5A">
        <w:trPr>
          <w:cantSplit/>
          <w:trHeight w:val="310"/>
          <w:jc w:val="center"/>
        </w:trPr>
        <w:tc>
          <w:tcPr>
            <w:tcW w:w="850" w:type="dxa"/>
            <w:vMerge/>
            <w:shd w:val="clear" w:color="auto" w:fill="auto"/>
            <w:vAlign w:val="center"/>
          </w:tcPr>
          <w:p w:rsidR="00B1783D" w:rsidRPr="00E8692E" w:rsidRDefault="00B1783D"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suppressAutoHyphens/>
              <w:jc w:val="center"/>
              <w:rPr>
                <w:sz w:val="20"/>
                <w:szCs w:val="20"/>
                <w:lang w:val="fr-FR"/>
              </w:rPr>
            </w:pPr>
          </w:p>
        </w:tc>
        <w:tc>
          <w:tcPr>
            <w:tcW w:w="1483" w:type="dxa"/>
            <w:vMerge/>
            <w:shd w:val="clear" w:color="auto" w:fill="auto"/>
            <w:vAlign w:val="center"/>
          </w:tcPr>
          <w:p w:rsidR="00B1783D" w:rsidRPr="00E8692E" w:rsidRDefault="00B1783D" w:rsidP="00E8692E">
            <w:pPr>
              <w:suppressAutoHyphens/>
              <w:jc w:val="center"/>
              <w:rPr>
                <w:sz w:val="20"/>
                <w:szCs w:val="20"/>
                <w:lang w:val="fr-FR"/>
              </w:rPr>
            </w:pPr>
          </w:p>
        </w:tc>
        <w:tc>
          <w:tcPr>
            <w:tcW w:w="1984" w:type="dxa"/>
            <w:vMerge/>
            <w:shd w:val="clear" w:color="auto" w:fill="auto"/>
            <w:vAlign w:val="center"/>
          </w:tcPr>
          <w:p w:rsidR="00B1783D" w:rsidRPr="00E8692E" w:rsidRDefault="00B1783D" w:rsidP="00E8692E">
            <w:pPr>
              <w:suppressAutoHyphens/>
              <w:jc w:val="center"/>
              <w:rPr>
                <w:b/>
                <w:sz w:val="20"/>
                <w:szCs w:val="20"/>
                <w:lang w:val="it-IT"/>
              </w:rPr>
            </w:pPr>
          </w:p>
        </w:tc>
        <w:tc>
          <w:tcPr>
            <w:tcW w:w="1701" w:type="dxa"/>
            <w:vAlign w:val="center"/>
          </w:tcPr>
          <w:p w:rsidR="00B1783D"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16051/10</w:t>
            </w:r>
          </w:p>
        </w:tc>
        <w:tc>
          <w:tcPr>
            <w:tcW w:w="1559" w:type="dxa"/>
          </w:tcPr>
          <w:p w:rsidR="00B1783D" w:rsidRPr="00E8692E" w:rsidRDefault="00B74CA4" w:rsidP="00E8692E">
            <w:pPr>
              <w:pStyle w:val="ECHRParaSpaced"/>
              <w:jc w:val="right"/>
              <w:rPr>
                <w:rFonts w:eastAsiaTheme="minorEastAsia"/>
                <w:noProof/>
                <w:sz w:val="20"/>
                <w:szCs w:val="20"/>
                <w:lang w:val="fr-FR"/>
              </w:rPr>
            </w:pPr>
            <w:r w:rsidRPr="00E8692E">
              <w:rPr>
                <w:rFonts w:eastAsiaTheme="minorEastAsia"/>
                <w:noProof/>
                <w:sz w:val="20"/>
                <w:szCs w:val="20"/>
                <w:lang w:val="fr-FR"/>
              </w:rPr>
              <w:t>16</w:t>
            </w:r>
            <w:r w:rsidR="00310CE0" w:rsidRPr="00E8692E">
              <w:rPr>
                <w:rFonts w:eastAsiaTheme="minorEastAsia"/>
                <w:noProof/>
                <w:sz w:val="20"/>
                <w:szCs w:val="20"/>
                <w:lang w:val="fr-FR"/>
              </w:rPr>
              <w:t>/</w:t>
            </w:r>
            <w:r w:rsidRPr="00E8692E">
              <w:rPr>
                <w:rFonts w:eastAsiaTheme="minorEastAsia"/>
                <w:noProof/>
                <w:sz w:val="20"/>
                <w:szCs w:val="20"/>
                <w:lang w:val="fr-FR"/>
              </w:rPr>
              <w:t>06</w:t>
            </w:r>
            <w:r w:rsidR="00310CE0" w:rsidRPr="00E8692E">
              <w:rPr>
                <w:rFonts w:eastAsiaTheme="minorEastAsia"/>
                <w:noProof/>
                <w:sz w:val="20"/>
                <w:szCs w:val="20"/>
                <w:lang w:val="fr-FR"/>
              </w:rPr>
              <w:t>/2010</w:t>
            </w:r>
          </w:p>
        </w:tc>
        <w:tc>
          <w:tcPr>
            <w:tcW w:w="1761" w:type="dxa"/>
            <w:vMerge/>
            <w:vAlign w:val="center"/>
          </w:tcPr>
          <w:p w:rsidR="00B1783D" w:rsidRPr="00E8692E" w:rsidRDefault="00B1783D" w:rsidP="00E8692E">
            <w:pPr>
              <w:pStyle w:val="ECHRParaSpaced"/>
              <w:keepNext/>
              <w:keepLines/>
              <w:jc w:val="right"/>
              <w:rPr>
                <w:rFonts w:eastAsiaTheme="minorEastAsia"/>
                <w:noProof/>
                <w:sz w:val="20"/>
                <w:szCs w:val="20"/>
                <w:lang w:val="fr-FR"/>
              </w:rPr>
            </w:pPr>
          </w:p>
        </w:tc>
      </w:tr>
      <w:tr w:rsidR="00D11440" w:rsidRPr="00E8692E" w:rsidTr="009C0A5A">
        <w:trPr>
          <w:cantSplit/>
          <w:trHeight w:val="310"/>
          <w:jc w:val="center"/>
        </w:trPr>
        <w:tc>
          <w:tcPr>
            <w:tcW w:w="850" w:type="dxa"/>
            <w:vMerge/>
            <w:shd w:val="clear" w:color="auto" w:fill="auto"/>
            <w:vAlign w:val="center"/>
          </w:tcPr>
          <w:p w:rsidR="00B1783D" w:rsidRPr="00E8692E" w:rsidRDefault="00B1783D"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suppressAutoHyphens/>
              <w:jc w:val="center"/>
              <w:rPr>
                <w:sz w:val="20"/>
                <w:szCs w:val="20"/>
                <w:lang w:val="fr-FR"/>
              </w:rPr>
            </w:pPr>
          </w:p>
        </w:tc>
        <w:tc>
          <w:tcPr>
            <w:tcW w:w="1483" w:type="dxa"/>
            <w:vMerge/>
            <w:shd w:val="clear" w:color="auto" w:fill="auto"/>
            <w:vAlign w:val="center"/>
          </w:tcPr>
          <w:p w:rsidR="00B1783D" w:rsidRPr="00E8692E" w:rsidRDefault="00B1783D" w:rsidP="00E8692E">
            <w:pPr>
              <w:suppressAutoHyphens/>
              <w:jc w:val="center"/>
              <w:rPr>
                <w:sz w:val="20"/>
                <w:szCs w:val="20"/>
                <w:lang w:val="fr-FR"/>
              </w:rPr>
            </w:pPr>
          </w:p>
        </w:tc>
        <w:tc>
          <w:tcPr>
            <w:tcW w:w="1984" w:type="dxa"/>
            <w:vMerge/>
            <w:shd w:val="clear" w:color="auto" w:fill="auto"/>
            <w:vAlign w:val="center"/>
          </w:tcPr>
          <w:p w:rsidR="00B1783D" w:rsidRPr="00E8692E" w:rsidRDefault="00B1783D" w:rsidP="00E8692E">
            <w:pPr>
              <w:suppressAutoHyphens/>
              <w:jc w:val="center"/>
              <w:rPr>
                <w:b/>
                <w:sz w:val="20"/>
                <w:szCs w:val="20"/>
                <w:lang w:val="it-IT"/>
              </w:rPr>
            </w:pPr>
          </w:p>
        </w:tc>
        <w:tc>
          <w:tcPr>
            <w:tcW w:w="1701" w:type="dxa"/>
            <w:vAlign w:val="center"/>
          </w:tcPr>
          <w:p w:rsidR="00B1783D" w:rsidRPr="00E8692E" w:rsidRDefault="00B1783D" w:rsidP="00E8692E">
            <w:pPr>
              <w:pStyle w:val="ECHRParaSpaced"/>
              <w:jc w:val="right"/>
              <w:rPr>
                <w:rFonts w:eastAsiaTheme="minorEastAsia"/>
                <w:noProof/>
                <w:sz w:val="20"/>
                <w:szCs w:val="20"/>
                <w:lang w:val="fr-FR"/>
              </w:rPr>
            </w:pPr>
            <w:r w:rsidRPr="00E8692E">
              <w:rPr>
                <w:rFonts w:eastAsiaTheme="minorEastAsia"/>
                <w:noProof/>
                <w:sz w:val="20"/>
                <w:szCs w:val="20"/>
                <w:lang w:val="fr-FR"/>
              </w:rPr>
              <w:t>16052/10</w:t>
            </w:r>
          </w:p>
        </w:tc>
        <w:tc>
          <w:tcPr>
            <w:tcW w:w="1559" w:type="dxa"/>
          </w:tcPr>
          <w:p w:rsidR="00B1783D" w:rsidRPr="00E8692E" w:rsidRDefault="00B74CA4" w:rsidP="00E8692E">
            <w:pPr>
              <w:pStyle w:val="ECHRParaSpaced"/>
              <w:jc w:val="right"/>
              <w:rPr>
                <w:rFonts w:eastAsiaTheme="minorEastAsia"/>
                <w:noProof/>
                <w:sz w:val="20"/>
                <w:szCs w:val="20"/>
                <w:lang w:val="fr-FR"/>
              </w:rPr>
            </w:pPr>
            <w:r w:rsidRPr="00E8692E">
              <w:rPr>
                <w:rFonts w:eastAsiaTheme="minorEastAsia"/>
                <w:noProof/>
                <w:sz w:val="20"/>
                <w:szCs w:val="20"/>
                <w:lang w:val="fr-FR"/>
              </w:rPr>
              <w:t>21</w:t>
            </w:r>
            <w:r w:rsidR="00310CE0" w:rsidRPr="00E8692E">
              <w:rPr>
                <w:rFonts w:eastAsiaTheme="minorEastAsia"/>
                <w:noProof/>
                <w:sz w:val="20"/>
                <w:szCs w:val="20"/>
                <w:lang w:val="fr-FR"/>
              </w:rPr>
              <w:t>/</w:t>
            </w:r>
            <w:r w:rsidRPr="00E8692E">
              <w:rPr>
                <w:rFonts w:eastAsiaTheme="minorEastAsia"/>
                <w:noProof/>
                <w:sz w:val="20"/>
                <w:szCs w:val="20"/>
                <w:lang w:val="fr-FR"/>
              </w:rPr>
              <w:t>07</w:t>
            </w:r>
            <w:r w:rsidR="00310CE0" w:rsidRPr="00E8692E">
              <w:rPr>
                <w:rFonts w:eastAsiaTheme="minorEastAsia"/>
                <w:noProof/>
                <w:sz w:val="20"/>
                <w:szCs w:val="20"/>
                <w:lang w:val="fr-FR"/>
              </w:rPr>
              <w:t>/2010</w:t>
            </w:r>
          </w:p>
        </w:tc>
        <w:tc>
          <w:tcPr>
            <w:tcW w:w="1761" w:type="dxa"/>
            <w:vMerge/>
            <w:vAlign w:val="center"/>
          </w:tcPr>
          <w:p w:rsidR="00B1783D" w:rsidRPr="00E8692E" w:rsidRDefault="00B1783D" w:rsidP="00E8692E">
            <w:pPr>
              <w:pStyle w:val="ECHRParaSpaced"/>
              <w:keepNext/>
              <w:keepLines/>
              <w:jc w:val="right"/>
              <w:rPr>
                <w:rFonts w:eastAsiaTheme="minorEastAsia"/>
                <w:noProof/>
                <w:sz w:val="20"/>
                <w:szCs w:val="20"/>
                <w:lang w:val="fr-FR"/>
              </w:rPr>
            </w:pPr>
          </w:p>
        </w:tc>
      </w:tr>
      <w:tr w:rsidR="00D11440" w:rsidRPr="00E8692E" w:rsidTr="009C0A5A">
        <w:trPr>
          <w:trHeight w:val="186"/>
          <w:jc w:val="center"/>
        </w:trPr>
        <w:tc>
          <w:tcPr>
            <w:tcW w:w="850" w:type="dxa"/>
            <w:vMerge w:val="restart"/>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val="restart"/>
            <w:shd w:val="clear" w:color="auto" w:fill="auto"/>
            <w:vAlign w:val="center"/>
          </w:tcPr>
          <w:p w:rsidR="00B1783D" w:rsidRPr="00E8692E" w:rsidRDefault="00B1783D" w:rsidP="00E8692E">
            <w:pPr>
              <w:keepNext/>
              <w:keepLines/>
              <w:suppressAutoHyphens/>
              <w:jc w:val="center"/>
              <w:rPr>
                <w:sz w:val="20"/>
                <w:szCs w:val="20"/>
                <w:lang w:val="fr-FR"/>
              </w:rPr>
            </w:pPr>
            <w:r w:rsidRPr="00E8692E">
              <w:rPr>
                <w:sz w:val="20"/>
                <w:szCs w:val="20"/>
                <w:lang w:val="fr-FR"/>
              </w:rPr>
              <w:t>39198/11</w:t>
            </w:r>
          </w:p>
        </w:tc>
        <w:tc>
          <w:tcPr>
            <w:tcW w:w="1483" w:type="dxa"/>
            <w:vMerge w:val="restart"/>
            <w:shd w:val="clear" w:color="auto" w:fill="auto"/>
            <w:vAlign w:val="center"/>
          </w:tcPr>
          <w:p w:rsidR="00B1783D" w:rsidRPr="00E8692E" w:rsidRDefault="00B1783D" w:rsidP="00E8692E">
            <w:pPr>
              <w:keepNext/>
              <w:keepLines/>
              <w:suppressAutoHyphens/>
              <w:jc w:val="center"/>
              <w:rPr>
                <w:sz w:val="20"/>
                <w:szCs w:val="20"/>
                <w:lang w:val="fr-FR"/>
              </w:rPr>
            </w:pPr>
            <w:r w:rsidRPr="00E8692E">
              <w:rPr>
                <w:sz w:val="20"/>
                <w:szCs w:val="20"/>
                <w:lang w:val="fr-FR"/>
              </w:rPr>
              <w:t>21/06/2011</w:t>
            </w:r>
          </w:p>
        </w:tc>
        <w:tc>
          <w:tcPr>
            <w:tcW w:w="1984" w:type="dxa"/>
            <w:vMerge w:val="restart"/>
            <w:shd w:val="clear" w:color="auto" w:fill="auto"/>
            <w:vAlign w:val="center"/>
          </w:tcPr>
          <w:p w:rsidR="00B1783D" w:rsidRPr="00E8692E" w:rsidRDefault="00B1783D" w:rsidP="00E8692E">
            <w:pPr>
              <w:keepNext/>
              <w:keepLines/>
              <w:suppressAutoHyphens/>
              <w:jc w:val="center"/>
              <w:rPr>
                <w:b/>
                <w:sz w:val="20"/>
                <w:szCs w:val="20"/>
                <w:lang w:val="it-IT"/>
              </w:rPr>
            </w:pPr>
            <w:r w:rsidRPr="00E8692E">
              <w:rPr>
                <w:b/>
                <w:sz w:val="20"/>
                <w:szCs w:val="20"/>
                <w:lang w:val="it-IT"/>
              </w:rPr>
              <w:t>CENTRO MEDICO RIABILITATIVO POMPEI S.R.L.</w:t>
            </w:r>
          </w:p>
          <w:p w:rsidR="00B1783D" w:rsidRPr="00E8692E" w:rsidRDefault="00B1783D" w:rsidP="00E8692E">
            <w:pPr>
              <w:keepNext/>
              <w:keepLines/>
              <w:suppressAutoHyphens/>
              <w:jc w:val="center"/>
              <w:rPr>
                <w:sz w:val="20"/>
                <w:szCs w:val="20"/>
                <w:lang w:val="fr-FR"/>
              </w:rPr>
            </w:pPr>
            <w:r w:rsidRPr="00E8692E">
              <w:rPr>
                <w:sz w:val="20"/>
                <w:szCs w:val="20"/>
                <w:lang w:val="fr-FR"/>
              </w:rPr>
              <w:t>Naples</w:t>
            </w:r>
          </w:p>
        </w:tc>
        <w:tc>
          <w:tcPr>
            <w:tcW w:w="1701" w:type="dxa"/>
            <w:vAlign w:val="center"/>
          </w:tcPr>
          <w:p w:rsidR="00B1783D" w:rsidRPr="00E8692E" w:rsidRDefault="0070130C" w:rsidP="00E8692E">
            <w:pPr>
              <w:pStyle w:val="ECHRParaSpaced"/>
              <w:keepNext/>
              <w:keepLines/>
              <w:jc w:val="right"/>
              <w:rPr>
                <w:sz w:val="20"/>
                <w:szCs w:val="20"/>
                <w:lang w:val="fr-FR"/>
              </w:rPr>
            </w:pPr>
            <w:r w:rsidRPr="00E8692E">
              <w:rPr>
                <w:rFonts w:eastAsiaTheme="minorEastAsia"/>
                <w:noProof/>
                <w:sz w:val="20"/>
                <w:szCs w:val="20"/>
                <w:lang w:val="fr-FR"/>
              </w:rPr>
              <w:t>1280/09</w:t>
            </w:r>
            <w:r w:rsidR="00B1783D" w:rsidRPr="00E8692E">
              <w:rPr>
                <w:rFonts w:eastAsiaTheme="minorEastAsia"/>
                <w:noProof/>
                <w:sz w:val="20"/>
                <w:szCs w:val="20"/>
                <w:lang w:val="fr-FR"/>
              </w:rPr>
              <w:t xml:space="preserve"> </w:t>
            </w:r>
          </w:p>
        </w:tc>
        <w:tc>
          <w:tcPr>
            <w:tcW w:w="1559" w:type="dxa"/>
          </w:tcPr>
          <w:p w:rsidR="00B1783D" w:rsidRPr="00E8692E" w:rsidRDefault="00E32731"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20</w:t>
            </w:r>
            <w:r w:rsidR="00DC5FAF" w:rsidRPr="00E8692E">
              <w:rPr>
                <w:rFonts w:eastAsiaTheme="minorEastAsia"/>
                <w:noProof/>
                <w:sz w:val="20"/>
                <w:szCs w:val="20"/>
                <w:lang w:val="fr-FR"/>
              </w:rPr>
              <w:t>/</w:t>
            </w:r>
            <w:r w:rsidRPr="00E8692E">
              <w:rPr>
                <w:rFonts w:eastAsiaTheme="minorEastAsia"/>
                <w:noProof/>
                <w:sz w:val="20"/>
                <w:szCs w:val="20"/>
                <w:lang w:val="fr-FR"/>
              </w:rPr>
              <w:t>1</w:t>
            </w:r>
            <w:r w:rsidR="00DC5FAF" w:rsidRPr="00E8692E">
              <w:rPr>
                <w:rFonts w:eastAsiaTheme="minorEastAsia"/>
                <w:noProof/>
                <w:sz w:val="20"/>
                <w:szCs w:val="20"/>
                <w:lang w:val="fr-FR"/>
              </w:rPr>
              <w:t>1/20</w:t>
            </w:r>
            <w:r w:rsidRPr="00E8692E">
              <w:rPr>
                <w:rFonts w:eastAsiaTheme="minorEastAsia"/>
                <w:noProof/>
                <w:sz w:val="20"/>
                <w:szCs w:val="20"/>
                <w:lang w:val="fr-FR"/>
              </w:rPr>
              <w:t>09</w:t>
            </w:r>
          </w:p>
        </w:tc>
        <w:tc>
          <w:tcPr>
            <w:tcW w:w="1761" w:type="dxa"/>
            <w:vMerge w:val="restart"/>
            <w:vAlign w:val="center"/>
          </w:tcPr>
          <w:p w:rsidR="00B1783D" w:rsidRPr="00E8692E" w:rsidRDefault="00B1783D" w:rsidP="00E8692E">
            <w:pPr>
              <w:pStyle w:val="ECHRParaSpaced"/>
              <w:keepNext/>
              <w:keepLines/>
              <w:jc w:val="right"/>
              <w:rPr>
                <w:sz w:val="20"/>
                <w:szCs w:val="20"/>
                <w:lang w:val="fr-FR"/>
              </w:rPr>
            </w:pPr>
            <w:r w:rsidRPr="00E8692E">
              <w:rPr>
                <w:rFonts w:eastAsiaTheme="minorEastAsia"/>
                <w:noProof/>
                <w:sz w:val="20"/>
                <w:szCs w:val="20"/>
                <w:lang w:val="fr-FR"/>
              </w:rPr>
              <w:t>977,66</w:t>
            </w:r>
          </w:p>
        </w:tc>
      </w:tr>
      <w:tr w:rsidR="00D11440" w:rsidRPr="00E8692E" w:rsidTr="009C0A5A">
        <w:trPr>
          <w:trHeight w:val="186"/>
          <w:jc w:val="center"/>
        </w:trPr>
        <w:tc>
          <w:tcPr>
            <w:tcW w:w="850" w:type="dxa"/>
            <w:vMerge/>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483"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984" w:type="dxa"/>
            <w:vMerge/>
            <w:shd w:val="clear" w:color="auto" w:fill="auto"/>
            <w:vAlign w:val="center"/>
          </w:tcPr>
          <w:p w:rsidR="00B1783D" w:rsidRPr="00E8692E" w:rsidRDefault="00B1783D" w:rsidP="00E8692E">
            <w:pPr>
              <w:keepNext/>
              <w:keepLines/>
              <w:suppressAutoHyphens/>
              <w:jc w:val="center"/>
              <w:rPr>
                <w:b/>
                <w:sz w:val="20"/>
                <w:szCs w:val="20"/>
                <w:lang w:val="it-IT"/>
              </w:rPr>
            </w:pPr>
          </w:p>
        </w:tc>
        <w:tc>
          <w:tcPr>
            <w:tcW w:w="1701" w:type="dxa"/>
            <w:vAlign w:val="center"/>
          </w:tcPr>
          <w:p w:rsidR="00B1783D" w:rsidRPr="00E8692E" w:rsidRDefault="0070130C"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1281/09</w:t>
            </w:r>
          </w:p>
        </w:tc>
        <w:tc>
          <w:tcPr>
            <w:tcW w:w="1559" w:type="dxa"/>
          </w:tcPr>
          <w:p w:rsidR="00B1783D" w:rsidRPr="00E8692E" w:rsidRDefault="00E32731"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26</w:t>
            </w:r>
            <w:r w:rsidR="00DC5FAF" w:rsidRPr="00E8692E">
              <w:rPr>
                <w:rFonts w:eastAsiaTheme="minorEastAsia"/>
                <w:noProof/>
                <w:sz w:val="20"/>
                <w:szCs w:val="20"/>
                <w:lang w:val="fr-FR"/>
              </w:rPr>
              <w:t>/</w:t>
            </w:r>
            <w:r w:rsidRPr="00E8692E">
              <w:rPr>
                <w:rFonts w:eastAsiaTheme="minorEastAsia"/>
                <w:noProof/>
                <w:sz w:val="20"/>
                <w:szCs w:val="20"/>
                <w:lang w:val="fr-FR"/>
              </w:rPr>
              <w:t>11</w:t>
            </w:r>
            <w:r w:rsidR="00DC5FAF" w:rsidRPr="00E8692E">
              <w:rPr>
                <w:rFonts w:eastAsiaTheme="minorEastAsia"/>
                <w:noProof/>
                <w:sz w:val="20"/>
                <w:szCs w:val="20"/>
                <w:lang w:val="fr-FR"/>
              </w:rPr>
              <w:t>/20</w:t>
            </w:r>
            <w:r w:rsidRPr="00E8692E">
              <w:rPr>
                <w:rFonts w:eastAsiaTheme="minorEastAsia"/>
                <w:noProof/>
                <w:sz w:val="20"/>
                <w:szCs w:val="20"/>
                <w:lang w:val="fr-FR"/>
              </w:rPr>
              <w:t>09</w:t>
            </w:r>
          </w:p>
        </w:tc>
        <w:tc>
          <w:tcPr>
            <w:tcW w:w="1761" w:type="dxa"/>
            <w:vMerge/>
            <w:vAlign w:val="center"/>
          </w:tcPr>
          <w:p w:rsidR="00B1783D" w:rsidRPr="00E8692E" w:rsidRDefault="00B1783D" w:rsidP="00E8692E">
            <w:pPr>
              <w:pStyle w:val="ECHRParaSpaced"/>
              <w:jc w:val="right"/>
              <w:rPr>
                <w:rFonts w:eastAsiaTheme="minorEastAsia"/>
                <w:noProof/>
                <w:sz w:val="20"/>
                <w:szCs w:val="20"/>
                <w:lang w:val="fr-FR"/>
              </w:rPr>
            </w:pPr>
          </w:p>
        </w:tc>
      </w:tr>
      <w:tr w:rsidR="00D11440" w:rsidRPr="00E8692E" w:rsidTr="009C0A5A">
        <w:trPr>
          <w:trHeight w:val="186"/>
          <w:jc w:val="center"/>
        </w:trPr>
        <w:tc>
          <w:tcPr>
            <w:tcW w:w="850" w:type="dxa"/>
            <w:vMerge/>
            <w:shd w:val="clear" w:color="auto" w:fill="auto"/>
            <w:vAlign w:val="center"/>
          </w:tcPr>
          <w:p w:rsidR="00B1783D" w:rsidRPr="00E8692E" w:rsidRDefault="00B1783D" w:rsidP="00E8692E">
            <w:pPr>
              <w:keepNext/>
              <w:keepLines/>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483" w:type="dxa"/>
            <w:vMerge/>
            <w:shd w:val="clear" w:color="auto" w:fill="auto"/>
            <w:vAlign w:val="center"/>
          </w:tcPr>
          <w:p w:rsidR="00B1783D" w:rsidRPr="00E8692E" w:rsidRDefault="00B1783D" w:rsidP="00E8692E">
            <w:pPr>
              <w:keepNext/>
              <w:keepLines/>
              <w:suppressAutoHyphens/>
              <w:jc w:val="center"/>
              <w:rPr>
                <w:sz w:val="20"/>
                <w:szCs w:val="20"/>
                <w:lang w:val="fr-FR"/>
              </w:rPr>
            </w:pPr>
          </w:p>
        </w:tc>
        <w:tc>
          <w:tcPr>
            <w:tcW w:w="1984" w:type="dxa"/>
            <w:vMerge/>
            <w:shd w:val="clear" w:color="auto" w:fill="auto"/>
            <w:vAlign w:val="center"/>
          </w:tcPr>
          <w:p w:rsidR="00B1783D" w:rsidRPr="00E8692E" w:rsidRDefault="00B1783D" w:rsidP="00E8692E">
            <w:pPr>
              <w:keepNext/>
              <w:keepLines/>
              <w:suppressAutoHyphens/>
              <w:jc w:val="center"/>
              <w:rPr>
                <w:b/>
                <w:sz w:val="20"/>
                <w:szCs w:val="20"/>
                <w:lang w:val="it-IT"/>
              </w:rPr>
            </w:pPr>
          </w:p>
        </w:tc>
        <w:tc>
          <w:tcPr>
            <w:tcW w:w="1701" w:type="dxa"/>
            <w:vAlign w:val="center"/>
          </w:tcPr>
          <w:p w:rsidR="00B1783D" w:rsidRPr="00E8692E" w:rsidRDefault="0070130C"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1283/09</w:t>
            </w:r>
          </w:p>
        </w:tc>
        <w:tc>
          <w:tcPr>
            <w:tcW w:w="1559" w:type="dxa"/>
          </w:tcPr>
          <w:p w:rsidR="00B1783D" w:rsidRPr="00E8692E" w:rsidRDefault="00E32731" w:rsidP="00E8692E">
            <w:pPr>
              <w:pStyle w:val="ECHRParaSpaced"/>
              <w:keepNext/>
              <w:keepLines/>
              <w:jc w:val="right"/>
              <w:rPr>
                <w:rFonts w:eastAsiaTheme="minorEastAsia"/>
                <w:noProof/>
                <w:sz w:val="20"/>
                <w:szCs w:val="20"/>
                <w:lang w:val="fr-FR"/>
              </w:rPr>
            </w:pPr>
            <w:r w:rsidRPr="00E8692E">
              <w:rPr>
                <w:rFonts w:eastAsiaTheme="minorEastAsia"/>
                <w:noProof/>
                <w:sz w:val="20"/>
                <w:szCs w:val="20"/>
                <w:lang w:val="fr-FR"/>
              </w:rPr>
              <w:t>07</w:t>
            </w:r>
            <w:r w:rsidR="00DC5FAF" w:rsidRPr="00E8692E">
              <w:rPr>
                <w:rFonts w:eastAsiaTheme="minorEastAsia"/>
                <w:noProof/>
                <w:sz w:val="20"/>
                <w:szCs w:val="20"/>
                <w:lang w:val="fr-FR"/>
              </w:rPr>
              <w:t>/0</w:t>
            </w:r>
            <w:r w:rsidRPr="00E8692E">
              <w:rPr>
                <w:rFonts w:eastAsiaTheme="minorEastAsia"/>
                <w:noProof/>
                <w:sz w:val="20"/>
                <w:szCs w:val="20"/>
                <w:lang w:val="fr-FR"/>
              </w:rPr>
              <w:t>9</w:t>
            </w:r>
            <w:r w:rsidR="00DC5FAF" w:rsidRPr="00E8692E">
              <w:rPr>
                <w:rFonts w:eastAsiaTheme="minorEastAsia"/>
                <w:noProof/>
                <w:sz w:val="20"/>
                <w:szCs w:val="20"/>
                <w:lang w:val="fr-FR"/>
              </w:rPr>
              <w:t>/20</w:t>
            </w:r>
            <w:r w:rsidRPr="00E8692E">
              <w:rPr>
                <w:rFonts w:eastAsiaTheme="minorEastAsia"/>
                <w:noProof/>
                <w:sz w:val="20"/>
                <w:szCs w:val="20"/>
                <w:lang w:val="fr-FR"/>
              </w:rPr>
              <w:t>09</w:t>
            </w:r>
          </w:p>
        </w:tc>
        <w:tc>
          <w:tcPr>
            <w:tcW w:w="1761" w:type="dxa"/>
            <w:vMerge/>
            <w:vAlign w:val="center"/>
          </w:tcPr>
          <w:p w:rsidR="00B1783D" w:rsidRPr="00E8692E" w:rsidRDefault="00B1783D" w:rsidP="00E8692E">
            <w:pPr>
              <w:pStyle w:val="ECHRParaSpaced"/>
              <w:jc w:val="right"/>
              <w:rPr>
                <w:rFonts w:eastAsiaTheme="minorEastAsia"/>
                <w:noProof/>
                <w:sz w:val="20"/>
                <w:szCs w:val="20"/>
                <w:lang w:val="fr-FR"/>
              </w:rPr>
            </w:pPr>
          </w:p>
        </w:tc>
      </w:tr>
      <w:tr w:rsidR="00D11440" w:rsidRPr="00E8692E" w:rsidTr="009C0A5A">
        <w:trPr>
          <w:trHeight w:val="186"/>
          <w:jc w:val="center"/>
        </w:trPr>
        <w:tc>
          <w:tcPr>
            <w:tcW w:w="850" w:type="dxa"/>
            <w:vMerge/>
            <w:shd w:val="clear" w:color="auto" w:fill="auto"/>
            <w:vAlign w:val="center"/>
          </w:tcPr>
          <w:p w:rsidR="00B1783D" w:rsidRPr="00E8692E" w:rsidRDefault="00B1783D"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suppressAutoHyphens/>
              <w:jc w:val="center"/>
              <w:rPr>
                <w:sz w:val="20"/>
                <w:szCs w:val="20"/>
                <w:lang w:val="fr-FR"/>
              </w:rPr>
            </w:pPr>
          </w:p>
        </w:tc>
        <w:tc>
          <w:tcPr>
            <w:tcW w:w="1483" w:type="dxa"/>
            <w:vMerge/>
            <w:shd w:val="clear" w:color="auto" w:fill="auto"/>
            <w:vAlign w:val="center"/>
          </w:tcPr>
          <w:p w:rsidR="00B1783D" w:rsidRPr="00E8692E" w:rsidRDefault="00B1783D" w:rsidP="00E8692E">
            <w:pPr>
              <w:suppressAutoHyphens/>
              <w:jc w:val="center"/>
              <w:rPr>
                <w:sz w:val="20"/>
                <w:szCs w:val="20"/>
                <w:lang w:val="fr-FR"/>
              </w:rPr>
            </w:pPr>
          </w:p>
        </w:tc>
        <w:tc>
          <w:tcPr>
            <w:tcW w:w="1984" w:type="dxa"/>
            <w:vMerge/>
            <w:shd w:val="clear" w:color="auto" w:fill="auto"/>
            <w:vAlign w:val="center"/>
          </w:tcPr>
          <w:p w:rsidR="00B1783D" w:rsidRPr="00E8692E" w:rsidRDefault="00B1783D" w:rsidP="00E8692E">
            <w:pPr>
              <w:suppressAutoHyphens/>
              <w:jc w:val="center"/>
              <w:rPr>
                <w:b/>
                <w:sz w:val="20"/>
                <w:szCs w:val="20"/>
                <w:lang w:val="it-IT"/>
              </w:rPr>
            </w:pPr>
          </w:p>
        </w:tc>
        <w:tc>
          <w:tcPr>
            <w:tcW w:w="1701" w:type="dxa"/>
            <w:vAlign w:val="center"/>
          </w:tcPr>
          <w:p w:rsidR="00B1783D" w:rsidRPr="00E8692E" w:rsidRDefault="0070130C" w:rsidP="00E8692E">
            <w:pPr>
              <w:pStyle w:val="ECHRParaSpaced"/>
              <w:jc w:val="right"/>
              <w:rPr>
                <w:rFonts w:eastAsiaTheme="minorEastAsia"/>
                <w:noProof/>
                <w:sz w:val="20"/>
                <w:szCs w:val="20"/>
                <w:lang w:val="fr-FR"/>
              </w:rPr>
            </w:pPr>
            <w:r w:rsidRPr="00E8692E">
              <w:rPr>
                <w:rFonts w:eastAsiaTheme="minorEastAsia"/>
                <w:noProof/>
                <w:sz w:val="20"/>
                <w:szCs w:val="20"/>
                <w:lang w:val="fr-FR"/>
              </w:rPr>
              <w:t>468/10</w:t>
            </w:r>
          </w:p>
        </w:tc>
        <w:tc>
          <w:tcPr>
            <w:tcW w:w="1559" w:type="dxa"/>
          </w:tcPr>
          <w:p w:rsidR="00B1783D" w:rsidRPr="00E8692E" w:rsidRDefault="00E32731" w:rsidP="00E8692E">
            <w:pPr>
              <w:pStyle w:val="ECHRParaSpaced"/>
              <w:jc w:val="right"/>
              <w:rPr>
                <w:rFonts w:eastAsiaTheme="minorEastAsia"/>
                <w:noProof/>
                <w:sz w:val="20"/>
                <w:szCs w:val="20"/>
                <w:lang w:val="fr-FR"/>
              </w:rPr>
            </w:pPr>
            <w:r w:rsidRPr="00E8692E">
              <w:rPr>
                <w:rFonts w:eastAsiaTheme="minorEastAsia"/>
                <w:noProof/>
                <w:sz w:val="20"/>
                <w:szCs w:val="20"/>
                <w:lang w:val="fr-FR"/>
              </w:rPr>
              <w:t>07</w:t>
            </w:r>
            <w:r w:rsidR="00DC5FAF" w:rsidRPr="00E8692E">
              <w:rPr>
                <w:rFonts w:eastAsiaTheme="minorEastAsia"/>
                <w:noProof/>
                <w:sz w:val="20"/>
                <w:szCs w:val="20"/>
                <w:lang w:val="fr-FR"/>
              </w:rPr>
              <w:t>/0</w:t>
            </w:r>
            <w:r w:rsidRPr="00E8692E">
              <w:rPr>
                <w:rFonts w:eastAsiaTheme="minorEastAsia"/>
                <w:noProof/>
                <w:sz w:val="20"/>
                <w:szCs w:val="20"/>
                <w:lang w:val="fr-FR"/>
              </w:rPr>
              <w:t>4</w:t>
            </w:r>
            <w:r w:rsidR="00DC5FAF" w:rsidRPr="00E8692E">
              <w:rPr>
                <w:rFonts w:eastAsiaTheme="minorEastAsia"/>
                <w:noProof/>
                <w:sz w:val="20"/>
                <w:szCs w:val="20"/>
                <w:lang w:val="fr-FR"/>
              </w:rPr>
              <w:t>/2010</w:t>
            </w:r>
          </w:p>
        </w:tc>
        <w:tc>
          <w:tcPr>
            <w:tcW w:w="1761" w:type="dxa"/>
            <w:vMerge/>
            <w:vAlign w:val="center"/>
          </w:tcPr>
          <w:p w:rsidR="00B1783D" w:rsidRPr="00E8692E" w:rsidRDefault="00B1783D" w:rsidP="00E8692E">
            <w:pPr>
              <w:pStyle w:val="ECHRParaSpaced"/>
              <w:jc w:val="right"/>
              <w:rPr>
                <w:rFonts w:eastAsiaTheme="minorEastAsia"/>
                <w:noProof/>
                <w:sz w:val="20"/>
                <w:szCs w:val="20"/>
                <w:lang w:val="fr-FR"/>
              </w:rPr>
            </w:pPr>
          </w:p>
        </w:tc>
      </w:tr>
      <w:tr w:rsidR="00D11440" w:rsidRPr="00E8692E" w:rsidTr="009C0A5A">
        <w:trPr>
          <w:trHeight w:val="186"/>
          <w:jc w:val="center"/>
        </w:trPr>
        <w:tc>
          <w:tcPr>
            <w:tcW w:w="850" w:type="dxa"/>
            <w:vMerge/>
            <w:shd w:val="clear" w:color="auto" w:fill="auto"/>
            <w:vAlign w:val="center"/>
          </w:tcPr>
          <w:p w:rsidR="00B1783D" w:rsidRPr="00E8692E" w:rsidRDefault="00B1783D" w:rsidP="00E8692E">
            <w:pPr>
              <w:numPr>
                <w:ilvl w:val="0"/>
                <w:numId w:val="18"/>
              </w:numPr>
              <w:suppressAutoHyphens/>
              <w:ind w:left="357" w:hanging="357"/>
              <w:jc w:val="left"/>
              <w:rPr>
                <w:b/>
                <w:sz w:val="20"/>
                <w:szCs w:val="20"/>
                <w:lang w:val="fr-FR"/>
              </w:rPr>
            </w:pPr>
          </w:p>
        </w:tc>
        <w:tc>
          <w:tcPr>
            <w:tcW w:w="1418" w:type="dxa"/>
            <w:vMerge/>
            <w:shd w:val="clear" w:color="auto" w:fill="auto"/>
            <w:vAlign w:val="center"/>
          </w:tcPr>
          <w:p w:rsidR="00B1783D" w:rsidRPr="00E8692E" w:rsidRDefault="00B1783D" w:rsidP="00E8692E">
            <w:pPr>
              <w:suppressAutoHyphens/>
              <w:jc w:val="center"/>
              <w:rPr>
                <w:sz w:val="20"/>
                <w:szCs w:val="20"/>
                <w:lang w:val="fr-FR"/>
              </w:rPr>
            </w:pPr>
          </w:p>
        </w:tc>
        <w:tc>
          <w:tcPr>
            <w:tcW w:w="1483" w:type="dxa"/>
            <w:vMerge/>
            <w:shd w:val="clear" w:color="auto" w:fill="auto"/>
            <w:vAlign w:val="center"/>
          </w:tcPr>
          <w:p w:rsidR="00B1783D" w:rsidRPr="00E8692E" w:rsidRDefault="00B1783D" w:rsidP="00E8692E">
            <w:pPr>
              <w:suppressAutoHyphens/>
              <w:jc w:val="center"/>
              <w:rPr>
                <w:sz w:val="20"/>
                <w:szCs w:val="20"/>
                <w:lang w:val="fr-FR"/>
              </w:rPr>
            </w:pPr>
          </w:p>
        </w:tc>
        <w:tc>
          <w:tcPr>
            <w:tcW w:w="1984" w:type="dxa"/>
            <w:vMerge/>
            <w:shd w:val="clear" w:color="auto" w:fill="auto"/>
            <w:vAlign w:val="center"/>
          </w:tcPr>
          <w:p w:rsidR="00B1783D" w:rsidRPr="00E8692E" w:rsidRDefault="00B1783D" w:rsidP="00E8692E">
            <w:pPr>
              <w:suppressAutoHyphens/>
              <w:jc w:val="center"/>
              <w:rPr>
                <w:b/>
                <w:sz w:val="20"/>
                <w:szCs w:val="20"/>
                <w:lang w:val="it-IT"/>
              </w:rPr>
            </w:pPr>
          </w:p>
        </w:tc>
        <w:tc>
          <w:tcPr>
            <w:tcW w:w="1701" w:type="dxa"/>
            <w:vAlign w:val="center"/>
          </w:tcPr>
          <w:p w:rsidR="00B1783D" w:rsidRPr="00E8692E" w:rsidRDefault="0070130C" w:rsidP="00E8692E">
            <w:pPr>
              <w:pStyle w:val="ECHRParaSpaced"/>
              <w:jc w:val="right"/>
              <w:rPr>
                <w:rFonts w:eastAsiaTheme="minorEastAsia"/>
                <w:noProof/>
                <w:sz w:val="20"/>
                <w:szCs w:val="20"/>
                <w:lang w:val="fr-FR"/>
              </w:rPr>
            </w:pPr>
            <w:r w:rsidRPr="00E8692E">
              <w:rPr>
                <w:rFonts w:eastAsiaTheme="minorEastAsia"/>
                <w:noProof/>
                <w:sz w:val="20"/>
                <w:szCs w:val="20"/>
                <w:lang w:val="fr-FR"/>
              </w:rPr>
              <w:t>1088/10</w:t>
            </w:r>
          </w:p>
        </w:tc>
        <w:tc>
          <w:tcPr>
            <w:tcW w:w="1559" w:type="dxa"/>
          </w:tcPr>
          <w:p w:rsidR="00B1783D" w:rsidRPr="00E8692E" w:rsidRDefault="00E32731" w:rsidP="00E8692E">
            <w:pPr>
              <w:pStyle w:val="ECHRParaSpaced"/>
              <w:jc w:val="right"/>
              <w:rPr>
                <w:rFonts w:eastAsiaTheme="minorEastAsia"/>
                <w:noProof/>
                <w:sz w:val="20"/>
                <w:szCs w:val="20"/>
                <w:lang w:val="fr-FR"/>
              </w:rPr>
            </w:pPr>
            <w:r w:rsidRPr="00E8692E">
              <w:rPr>
                <w:rFonts w:eastAsiaTheme="minorEastAsia"/>
                <w:noProof/>
                <w:sz w:val="20"/>
                <w:szCs w:val="20"/>
                <w:lang w:val="fr-FR"/>
              </w:rPr>
              <w:t>11</w:t>
            </w:r>
            <w:r w:rsidR="00DC5FAF" w:rsidRPr="00E8692E">
              <w:rPr>
                <w:rFonts w:eastAsiaTheme="minorEastAsia"/>
                <w:noProof/>
                <w:sz w:val="20"/>
                <w:szCs w:val="20"/>
                <w:lang w:val="fr-FR"/>
              </w:rPr>
              <w:t>/</w:t>
            </w:r>
            <w:r w:rsidRPr="00E8692E">
              <w:rPr>
                <w:rFonts w:eastAsiaTheme="minorEastAsia"/>
                <w:noProof/>
                <w:sz w:val="20"/>
                <w:szCs w:val="20"/>
                <w:lang w:val="fr-FR"/>
              </w:rPr>
              <w:t>06</w:t>
            </w:r>
            <w:r w:rsidR="00DC5FAF" w:rsidRPr="00E8692E">
              <w:rPr>
                <w:rFonts w:eastAsiaTheme="minorEastAsia"/>
                <w:noProof/>
                <w:sz w:val="20"/>
                <w:szCs w:val="20"/>
                <w:lang w:val="fr-FR"/>
              </w:rPr>
              <w:t>/2010</w:t>
            </w:r>
          </w:p>
        </w:tc>
        <w:tc>
          <w:tcPr>
            <w:tcW w:w="1761" w:type="dxa"/>
            <w:vMerge/>
            <w:vAlign w:val="center"/>
          </w:tcPr>
          <w:p w:rsidR="00B1783D" w:rsidRPr="00E8692E" w:rsidRDefault="00B1783D" w:rsidP="00E8692E">
            <w:pPr>
              <w:pStyle w:val="ECHRParaSpaced"/>
              <w:jc w:val="right"/>
              <w:rPr>
                <w:rFonts w:eastAsiaTheme="minorEastAsia"/>
                <w:noProof/>
                <w:sz w:val="20"/>
                <w:szCs w:val="20"/>
                <w:lang w:val="fr-FR"/>
              </w:rPr>
            </w:pPr>
          </w:p>
        </w:tc>
      </w:tr>
    </w:tbl>
    <w:p w:rsidR="00934225" w:rsidRPr="00E8692E" w:rsidRDefault="00934225" w:rsidP="00E8692E">
      <w:pPr>
        <w:rPr>
          <w:lang w:val="fr-FR"/>
        </w:rPr>
      </w:pPr>
    </w:p>
    <w:sectPr w:rsidR="00934225" w:rsidRPr="00E8692E" w:rsidSect="00121400">
      <w:headerReference w:type="even" r:id="rId19"/>
      <w:headerReference w:type="default" r:id="rId20"/>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2FD" w:rsidRPr="00DE0CDA" w:rsidRDefault="00E222FD" w:rsidP="00E77CB3">
      <w:pPr>
        <w:rPr>
          <w:lang w:val="fr-FR"/>
        </w:rPr>
      </w:pPr>
      <w:r w:rsidRPr="00DE0CDA">
        <w:rPr>
          <w:lang w:val="fr-FR"/>
        </w:rPr>
        <w:separator/>
      </w:r>
    </w:p>
  </w:endnote>
  <w:endnote w:type="continuationSeparator" w:id="0">
    <w:p w:rsidR="00E222FD" w:rsidRPr="00DE0CDA" w:rsidRDefault="00E222FD" w:rsidP="00E77CB3">
      <w:pPr>
        <w:rPr>
          <w:lang w:val="fr-FR"/>
        </w:rPr>
      </w:pPr>
      <w:r w:rsidRPr="00DE0CDA">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E" w:rsidRDefault="00E8692E" w:rsidP="00E8692E">
    <w:pPr>
      <w:pStyle w:val="Pidipagina"/>
      <w:jc w:val="center"/>
    </w:pPr>
    <w:r>
      <w:rPr>
        <w:noProof/>
        <w:lang w:val="it-IT" w:eastAsia="it-IT"/>
      </w:rPr>
      <w:drawing>
        <wp:inline distT="0" distB="0" distL="0" distR="0" wp14:anchorId="4CEA6515" wp14:editId="5734ADD8">
          <wp:extent cx="771525" cy="619125"/>
          <wp:effectExtent l="0" t="0" r="9525" b="9525"/>
          <wp:docPr id="47" name="Picture 47"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2E" w:rsidRDefault="00E8692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2FD" w:rsidRPr="00DE0CDA" w:rsidRDefault="00E222FD" w:rsidP="00E77CB3">
      <w:pPr>
        <w:rPr>
          <w:lang w:val="fr-FR"/>
        </w:rPr>
      </w:pPr>
      <w:r w:rsidRPr="00DE0CDA">
        <w:rPr>
          <w:lang w:val="fr-FR"/>
        </w:rPr>
        <w:separator/>
      </w:r>
    </w:p>
  </w:footnote>
  <w:footnote w:type="continuationSeparator" w:id="0">
    <w:p w:rsidR="00E222FD" w:rsidRPr="00DE0CDA" w:rsidRDefault="00E222FD" w:rsidP="00E77CB3">
      <w:pPr>
        <w:rPr>
          <w:lang w:val="fr-FR"/>
        </w:rPr>
      </w:pPr>
      <w:r w:rsidRPr="00DE0CDA">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DB" w:rsidRPr="00DE0CDA" w:rsidRDefault="001E2EDB" w:rsidP="00121400">
    <w:pPr>
      <w:pStyle w:val="ECHRHeader"/>
      <w:tabs>
        <w:tab w:val="clear" w:pos="3686"/>
        <w:tab w:val="left" w:pos="1418"/>
        <w:tab w:val="left" w:pos="5103"/>
      </w:tabs>
      <w:jc w:val="both"/>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832774">
      <w:rPr>
        <w:rStyle w:val="Numeropagina"/>
        <w:noProof/>
        <w:lang w:val="fr-FR"/>
      </w:rPr>
      <w:t>8</w:t>
    </w:r>
    <w:r>
      <w:rPr>
        <w:rStyle w:val="Numeropagina"/>
        <w:lang w:val="fr-FR"/>
      </w:rPr>
      <w:fldChar w:fldCharType="end"/>
    </w:r>
    <w:r>
      <w:rPr>
        <w:rStyle w:val="Numeropagina"/>
        <w:lang w:val="fr-FR"/>
      </w:rPr>
      <w:tab/>
    </w:r>
    <w:r>
      <w:rPr>
        <w:noProof/>
        <w:lang w:val="it-IT"/>
      </w:rPr>
      <w:t>ARRÊT</w:t>
    </w:r>
    <w:r>
      <w:rPr>
        <w:lang w:val="fr-FR"/>
      </w:rPr>
      <w:t xml:space="preserve"> THERAPIC CENTER S.R.L. ET AUTRES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DB" w:rsidRPr="00DE0CDA" w:rsidRDefault="00CD5599" w:rsidP="00CD5599">
    <w:pPr>
      <w:pStyle w:val="ECHRHeader"/>
      <w:tabs>
        <w:tab w:val="clear" w:pos="3686"/>
        <w:tab w:val="clear" w:pos="7371"/>
        <w:tab w:val="left" w:pos="1418"/>
        <w:tab w:val="left" w:pos="7088"/>
        <w:tab w:val="right" w:pos="12333"/>
      </w:tabs>
      <w:jc w:val="center"/>
      <w:rPr>
        <w:lang w:val="fr-FR"/>
      </w:rPr>
    </w:pPr>
    <w:r>
      <w:rPr>
        <w:noProof/>
        <w:lang w:val="it-IT"/>
      </w:rPr>
      <w:tab/>
      <w:t>ARRÊT</w:t>
    </w:r>
    <w:r w:rsidRPr="00504CBF">
      <w:rPr>
        <w:lang w:val="it-IT"/>
      </w:rPr>
      <w:t xml:space="preserve"> </w:t>
    </w:r>
    <w:r>
      <w:rPr>
        <w:lang w:val="fr-FR"/>
      </w:rPr>
      <w:t>THERAPIC CENTER S.R.L. ET AUTRES c. ITALIE</w:t>
    </w:r>
    <w:r>
      <w:rPr>
        <w:lang w:val="fr-FR"/>
      </w:rPr>
      <w:tab/>
      <w:t xml:space="preserve"> </w:t>
    </w:r>
    <w:r w:rsidR="001E2EDB">
      <w:rPr>
        <w:rStyle w:val="Numeropagina"/>
        <w:lang w:val="fr-FR"/>
      </w:rPr>
      <w:fldChar w:fldCharType="begin"/>
    </w:r>
    <w:r w:rsidR="001E2EDB">
      <w:rPr>
        <w:rStyle w:val="Numeropagina"/>
        <w:lang w:val="fr-FR"/>
      </w:rPr>
      <w:instrText xml:space="preserve"> PAGE </w:instrText>
    </w:r>
    <w:r w:rsidR="001E2EDB">
      <w:rPr>
        <w:rStyle w:val="Numeropagina"/>
        <w:lang w:val="fr-FR"/>
      </w:rPr>
      <w:fldChar w:fldCharType="separate"/>
    </w:r>
    <w:r w:rsidR="00832774">
      <w:rPr>
        <w:rStyle w:val="Numeropagina"/>
        <w:noProof/>
        <w:lang w:val="fr-FR"/>
      </w:rPr>
      <w:t>7</w:t>
    </w:r>
    <w:r w:rsidR="001E2EDB">
      <w:rPr>
        <w:rStyle w:val="Numeropagina"/>
        <w:lang w:val="fr-F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DB" w:rsidRDefault="001E2EDB" w:rsidP="001E2EDB">
    <w:pPr>
      <w:pStyle w:val="Intestazione"/>
      <w:tabs>
        <w:tab w:val="clear" w:pos="4536"/>
      </w:tabs>
      <w:jc w:val="center"/>
    </w:pPr>
    <w:r>
      <w:rPr>
        <w:noProof/>
        <w:lang w:val="it-IT" w:eastAsia="it-IT"/>
      </w:rPr>
      <w:drawing>
        <wp:inline distT="0" distB="0" distL="0" distR="0" wp14:anchorId="03B05C7A" wp14:editId="1FD86D6B">
          <wp:extent cx="2962275" cy="1219200"/>
          <wp:effectExtent l="0" t="0" r="9525" b="0"/>
          <wp:docPr id="16" name="Picture 16"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EDB" w:rsidRPr="00504CBF" w:rsidRDefault="001E2EDB" w:rsidP="001E2EDB">
    <w:pPr>
      <w:pStyle w:val="ECHRHeader"/>
      <w:tabs>
        <w:tab w:val="clear" w:pos="7371"/>
        <w:tab w:val="right" w:pos="7797"/>
      </w:tabs>
      <w:rPr>
        <w:lang w:val="it-IT"/>
      </w:rPr>
    </w:pPr>
    <w:r w:rsidRPr="00DE0CDA">
      <w:rPr>
        <w:lang w:val="fr-FR"/>
      </w:rPr>
      <w:tab/>
    </w:r>
    <w:r>
      <w:rPr>
        <w:noProof/>
        <w:lang w:val="it-IT"/>
      </w:rPr>
      <w:t>ARRÊT</w:t>
    </w:r>
    <w:r w:rsidRPr="00504CBF">
      <w:rPr>
        <w:lang w:val="it-IT"/>
      </w:rPr>
      <w:t xml:space="preserve"> </w:t>
    </w:r>
    <w:r>
      <w:rPr>
        <w:lang w:val="fr-FR"/>
      </w:rPr>
      <w:t>THERAPIC CENTER S.R.L. ET AUTRES c. ITALIE</w:t>
    </w:r>
    <w:r w:rsidRPr="00504CBF">
      <w:rPr>
        <w:lang w:val="it-IT"/>
      </w:rPr>
      <w:tab/>
    </w:r>
    <w:r>
      <w:rPr>
        <w:rStyle w:val="Numeropagina"/>
        <w:lang w:val="fr-FR"/>
      </w:rPr>
      <w:fldChar w:fldCharType="begin"/>
    </w:r>
    <w:r w:rsidRPr="00504CBF">
      <w:rPr>
        <w:rStyle w:val="Numeropagina"/>
        <w:lang w:val="it-IT"/>
      </w:rPr>
      <w:instrText xml:space="preserve"> PAGE </w:instrText>
    </w:r>
    <w:r>
      <w:rPr>
        <w:rStyle w:val="Numeropagina"/>
        <w:lang w:val="fr-FR"/>
      </w:rPr>
      <w:fldChar w:fldCharType="separate"/>
    </w:r>
    <w:r w:rsidR="00832774">
      <w:rPr>
        <w:rStyle w:val="Numeropagina"/>
        <w:noProof/>
        <w:lang w:val="it-IT"/>
      </w:rPr>
      <w:t>1</w:t>
    </w:r>
    <w:r>
      <w:rPr>
        <w:rStyle w:val="Numeropagina"/>
        <w:lang w:val="fr-F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00" w:rsidRPr="00DE0CDA" w:rsidRDefault="00121400" w:rsidP="00121400">
    <w:pPr>
      <w:pStyle w:val="ECHRHeader"/>
      <w:tabs>
        <w:tab w:val="clear" w:pos="3686"/>
        <w:tab w:val="left" w:pos="1418"/>
        <w:tab w:val="left" w:pos="4820"/>
      </w:tabs>
      <w:jc w:val="both"/>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832774">
      <w:rPr>
        <w:rStyle w:val="Numeropagina"/>
        <w:noProof/>
        <w:lang w:val="fr-FR"/>
      </w:rPr>
      <w:t>10</w:t>
    </w:r>
    <w:r>
      <w:rPr>
        <w:rStyle w:val="Numeropagina"/>
        <w:lang w:val="fr-FR"/>
      </w:rPr>
      <w:fldChar w:fldCharType="end"/>
    </w:r>
    <w:r>
      <w:rPr>
        <w:rStyle w:val="Numeropagina"/>
        <w:lang w:val="fr-FR"/>
      </w:rPr>
      <w:tab/>
    </w:r>
    <w:r>
      <w:rPr>
        <w:rStyle w:val="Numeropagina"/>
        <w:lang w:val="fr-FR"/>
      </w:rPr>
      <w:tab/>
    </w:r>
    <w:r>
      <w:rPr>
        <w:noProof/>
        <w:lang w:val="it-IT"/>
      </w:rPr>
      <w:t>ARRÊT</w:t>
    </w:r>
    <w:r>
      <w:rPr>
        <w:lang w:val="fr-FR"/>
      </w:rPr>
      <w:t xml:space="preserve"> THERAPIC CENTER S.R.L. ET AUTRES c. ITALIE</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400" w:rsidRPr="00DE0CDA" w:rsidRDefault="00121400" w:rsidP="00121400">
    <w:pPr>
      <w:pStyle w:val="ECHRHeader"/>
      <w:tabs>
        <w:tab w:val="clear" w:pos="7371"/>
        <w:tab w:val="left" w:pos="3686"/>
        <w:tab w:val="left" w:pos="7088"/>
        <w:tab w:val="right" w:pos="12333"/>
      </w:tabs>
      <w:jc w:val="center"/>
      <w:rPr>
        <w:lang w:val="fr-FR"/>
      </w:rPr>
    </w:pPr>
    <w:r>
      <w:rPr>
        <w:noProof/>
        <w:lang w:val="it-IT"/>
      </w:rPr>
      <w:tab/>
      <w:t>ARRÊT</w:t>
    </w:r>
    <w:r w:rsidRPr="00504CBF">
      <w:rPr>
        <w:lang w:val="it-IT"/>
      </w:rPr>
      <w:t xml:space="preserve"> </w:t>
    </w:r>
    <w:r>
      <w:rPr>
        <w:lang w:val="fr-FR"/>
      </w:rPr>
      <w:t>THERAPIC CENTER S.R.L. ET AUTRES c. ITALIE</w:t>
    </w:r>
    <w:r>
      <w:rPr>
        <w:lang w:val="fr-FR"/>
      </w:rPr>
      <w:tab/>
    </w:r>
    <w:r>
      <w:rPr>
        <w:lang w:val="fr-FR"/>
      </w:rPr>
      <w:tab/>
    </w: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832774">
      <w:rPr>
        <w:rStyle w:val="Numeropagina"/>
        <w:noProof/>
        <w:lang w:val="fr-FR"/>
      </w:rPr>
      <w:t>11</w:t>
    </w:r>
    <w:r>
      <w:rPr>
        <w:rStyle w:val="Numeropagina"/>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3556908"/>
    <w:multiLevelType w:val="hybridMultilevel"/>
    <w:tmpl w:val="E9505042"/>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256A1A91"/>
    <w:multiLevelType w:val="hybridMultilevel"/>
    <w:tmpl w:val="B52C07F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4B01A1"/>
    <w:multiLevelType w:val="hybridMultilevel"/>
    <w:tmpl w:val="4260ECF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5">
    <w:nsid w:val="2CFF77FB"/>
    <w:multiLevelType w:val="hybridMultilevel"/>
    <w:tmpl w:val="4260ECF6"/>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7CC60063"/>
    <w:multiLevelType w:val="hybridMultilevel"/>
    <w:tmpl w:val="FF34321E"/>
    <w:lvl w:ilvl="0" w:tplc="0409001B">
      <w:start w:val="1"/>
      <w:numFmt w:val="lowerRoman"/>
      <w:lvlText w:val="%1."/>
      <w:lvlJc w:val="righ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9"/>
  </w:num>
  <w:num w:numId="2">
    <w:abstractNumId w:val="13"/>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7"/>
  </w:num>
  <w:num w:numId="16">
    <w:abstractNumId w:val="17"/>
  </w:num>
  <w:num w:numId="17">
    <w:abstractNumId w:val="17"/>
  </w:num>
  <w:num w:numId="18">
    <w:abstractNumId w:val="12"/>
  </w:num>
  <w:num w:numId="19">
    <w:abstractNumId w:val="14"/>
  </w:num>
  <w:num w:numId="20">
    <w:abstractNumId w:val="15"/>
  </w:num>
  <w:num w:numId="21">
    <w:abstractNumId w:val="11"/>
  </w:num>
  <w:num w:numId="22">
    <w:abstractNumId w:val="18"/>
  </w:num>
  <w:num w:numId="23">
    <w:abstractNumId w:val="17"/>
  </w:num>
  <w:num w:numId="24">
    <w:abstractNumId w:val="17"/>
  </w:num>
  <w:num w:numId="25">
    <w:abstractNumId w:val="17"/>
  </w:num>
  <w:num w:numId="26">
    <w:abstractNumId w:val="17"/>
  </w:num>
  <w:num w:numId="27">
    <w:abstractNumId w:val="17"/>
  </w:num>
  <w:num w:numId="2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MM" w:val="0"/>
    <w:docVar w:name="NBEMMDOC" w:val="0"/>
  </w:docVars>
  <w:rsids>
    <w:rsidRoot w:val="00934225"/>
    <w:rsid w:val="000041F8"/>
    <w:rsid w:val="000042A8"/>
    <w:rsid w:val="00004308"/>
    <w:rsid w:val="00005BF0"/>
    <w:rsid w:val="00007154"/>
    <w:rsid w:val="000103AE"/>
    <w:rsid w:val="00011D69"/>
    <w:rsid w:val="00012984"/>
    <w:rsid w:val="00012AD3"/>
    <w:rsid w:val="00015C2D"/>
    <w:rsid w:val="00015F00"/>
    <w:rsid w:val="00022C1D"/>
    <w:rsid w:val="00025879"/>
    <w:rsid w:val="00027390"/>
    <w:rsid w:val="00031347"/>
    <w:rsid w:val="00033414"/>
    <w:rsid w:val="00034987"/>
    <w:rsid w:val="00035334"/>
    <w:rsid w:val="00043A74"/>
    <w:rsid w:val="000602DF"/>
    <w:rsid w:val="00060790"/>
    <w:rsid w:val="00061B05"/>
    <w:rsid w:val="000632D5"/>
    <w:rsid w:val="000644EE"/>
    <w:rsid w:val="00066046"/>
    <w:rsid w:val="00066A71"/>
    <w:rsid w:val="000805C1"/>
    <w:rsid w:val="000925AD"/>
    <w:rsid w:val="000A1905"/>
    <w:rsid w:val="000A24EB"/>
    <w:rsid w:val="000A62D5"/>
    <w:rsid w:val="000B6923"/>
    <w:rsid w:val="000C5F3C"/>
    <w:rsid w:val="000C6DCC"/>
    <w:rsid w:val="000D47AA"/>
    <w:rsid w:val="000D721F"/>
    <w:rsid w:val="000E069B"/>
    <w:rsid w:val="000E0E82"/>
    <w:rsid w:val="000E1DC5"/>
    <w:rsid w:val="000E223F"/>
    <w:rsid w:val="000E5A6B"/>
    <w:rsid w:val="000E7D45"/>
    <w:rsid w:val="000F00EF"/>
    <w:rsid w:val="000F7851"/>
    <w:rsid w:val="00101491"/>
    <w:rsid w:val="00101978"/>
    <w:rsid w:val="00104E23"/>
    <w:rsid w:val="00111B0C"/>
    <w:rsid w:val="00116DC2"/>
    <w:rsid w:val="00120D6C"/>
    <w:rsid w:val="00121400"/>
    <w:rsid w:val="001237AA"/>
    <w:rsid w:val="001257EC"/>
    <w:rsid w:val="00125FE8"/>
    <w:rsid w:val="00132695"/>
    <w:rsid w:val="00133D33"/>
    <w:rsid w:val="00134748"/>
    <w:rsid w:val="00134D64"/>
    <w:rsid w:val="00135A30"/>
    <w:rsid w:val="0013612C"/>
    <w:rsid w:val="00137FF6"/>
    <w:rsid w:val="00141650"/>
    <w:rsid w:val="00141CFC"/>
    <w:rsid w:val="001516A3"/>
    <w:rsid w:val="0016174F"/>
    <w:rsid w:val="001619D7"/>
    <w:rsid w:val="00162A12"/>
    <w:rsid w:val="00163CB4"/>
    <w:rsid w:val="001648F4"/>
    <w:rsid w:val="00166530"/>
    <w:rsid w:val="001665BA"/>
    <w:rsid w:val="00172E61"/>
    <w:rsid w:val="001832BD"/>
    <w:rsid w:val="001943B5"/>
    <w:rsid w:val="00195134"/>
    <w:rsid w:val="0019607A"/>
    <w:rsid w:val="00196C2A"/>
    <w:rsid w:val="001A145B"/>
    <w:rsid w:val="001A3EF2"/>
    <w:rsid w:val="001A674C"/>
    <w:rsid w:val="001B3B24"/>
    <w:rsid w:val="001B59FB"/>
    <w:rsid w:val="001B7851"/>
    <w:rsid w:val="001C0F98"/>
    <w:rsid w:val="001C1371"/>
    <w:rsid w:val="001C2A42"/>
    <w:rsid w:val="001C3531"/>
    <w:rsid w:val="001C41FA"/>
    <w:rsid w:val="001D30FA"/>
    <w:rsid w:val="001D63ED"/>
    <w:rsid w:val="001D7348"/>
    <w:rsid w:val="001E035B"/>
    <w:rsid w:val="001E0961"/>
    <w:rsid w:val="001E0B6D"/>
    <w:rsid w:val="001E2EDB"/>
    <w:rsid w:val="001E3EAE"/>
    <w:rsid w:val="001E6F32"/>
    <w:rsid w:val="001E7D6D"/>
    <w:rsid w:val="001F2145"/>
    <w:rsid w:val="001F4E43"/>
    <w:rsid w:val="001F6262"/>
    <w:rsid w:val="001F67B0"/>
    <w:rsid w:val="001F6F11"/>
    <w:rsid w:val="001F7B3D"/>
    <w:rsid w:val="0020373C"/>
    <w:rsid w:val="00203F45"/>
    <w:rsid w:val="00205F9F"/>
    <w:rsid w:val="00207CC3"/>
    <w:rsid w:val="00210338"/>
    <w:rsid w:val="002115FC"/>
    <w:rsid w:val="00213A89"/>
    <w:rsid w:val="00213B0F"/>
    <w:rsid w:val="0021423C"/>
    <w:rsid w:val="00222C11"/>
    <w:rsid w:val="00230D00"/>
    <w:rsid w:val="00231DF7"/>
    <w:rsid w:val="00231FD1"/>
    <w:rsid w:val="002339E0"/>
    <w:rsid w:val="00233CF8"/>
    <w:rsid w:val="0023575D"/>
    <w:rsid w:val="00237148"/>
    <w:rsid w:val="0024222D"/>
    <w:rsid w:val="00243432"/>
    <w:rsid w:val="00244711"/>
    <w:rsid w:val="00244B0E"/>
    <w:rsid w:val="00244F6C"/>
    <w:rsid w:val="002463CA"/>
    <w:rsid w:val="00246ABB"/>
    <w:rsid w:val="00247A7D"/>
    <w:rsid w:val="002532C5"/>
    <w:rsid w:val="00260C03"/>
    <w:rsid w:val="0026540E"/>
    <w:rsid w:val="00275123"/>
    <w:rsid w:val="00276A96"/>
    <w:rsid w:val="002770DD"/>
    <w:rsid w:val="00282240"/>
    <w:rsid w:val="00291379"/>
    <w:rsid w:val="002948AD"/>
    <w:rsid w:val="002A01CC"/>
    <w:rsid w:val="002A41D5"/>
    <w:rsid w:val="002A61B1"/>
    <w:rsid w:val="002A663C"/>
    <w:rsid w:val="002B444B"/>
    <w:rsid w:val="002B5887"/>
    <w:rsid w:val="002C0E27"/>
    <w:rsid w:val="002C3040"/>
    <w:rsid w:val="002C41E7"/>
    <w:rsid w:val="002D022D"/>
    <w:rsid w:val="002D23B6"/>
    <w:rsid w:val="002D24BB"/>
    <w:rsid w:val="002E02CB"/>
    <w:rsid w:val="002E1848"/>
    <w:rsid w:val="002E50EC"/>
    <w:rsid w:val="002E56AE"/>
    <w:rsid w:val="002E750D"/>
    <w:rsid w:val="002F2AF7"/>
    <w:rsid w:val="002F7E1C"/>
    <w:rsid w:val="00301A75"/>
    <w:rsid w:val="00302F70"/>
    <w:rsid w:val="00302F9B"/>
    <w:rsid w:val="0030336F"/>
    <w:rsid w:val="0030375E"/>
    <w:rsid w:val="00310CE0"/>
    <w:rsid w:val="00312A30"/>
    <w:rsid w:val="0031734B"/>
    <w:rsid w:val="003175BA"/>
    <w:rsid w:val="00320F72"/>
    <w:rsid w:val="0032463E"/>
    <w:rsid w:val="003252F0"/>
    <w:rsid w:val="00325501"/>
    <w:rsid w:val="00326224"/>
    <w:rsid w:val="00327FD6"/>
    <w:rsid w:val="003328AA"/>
    <w:rsid w:val="00337EE4"/>
    <w:rsid w:val="00340FFD"/>
    <w:rsid w:val="00347339"/>
    <w:rsid w:val="003506B1"/>
    <w:rsid w:val="00354F8C"/>
    <w:rsid w:val="00356AC7"/>
    <w:rsid w:val="00356EB2"/>
    <w:rsid w:val="00360179"/>
    <w:rsid w:val="003609FA"/>
    <w:rsid w:val="003710C8"/>
    <w:rsid w:val="003750BE"/>
    <w:rsid w:val="0038406A"/>
    <w:rsid w:val="00384D70"/>
    <w:rsid w:val="00387B9D"/>
    <w:rsid w:val="0039364F"/>
    <w:rsid w:val="00396686"/>
    <w:rsid w:val="0039778E"/>
    <w:rsid w:val="003A4A1F"/>
    <w:rsid w:val="003B2814"/>
    <w:rsid w:val="003B4941"/>
    <w:rsid w:val="003C5714"/>
    <w:rsid w:val="003C6B9F"/>
    <w:rsid w:val="003C6E2A"/>
    <w:rsid w:val="003D0299"/>
    <w:rsid w:val="003D412B"/>
    <w:rsid w:val="003E6D80"/>
    <w:rsid w:val="003F05FA"/>
    <w:rsid w:val="003F244A"/>
    <w:rsid w:val="003F30B8"/>
    <w:rsid w:val="003F4C45"/>
    <w:rsid w:val="003F5F7B"/>
    <w:rsid w:val="003F7D64"/>
    <w:rsid w:val="00410272"/>
    <w:rsid w:val="00414300"/>
    <w:rsid w:val="004147EA"/>
    <w:rsid w:val="0041527A"/>
    <w:rsid w:val="00420BA7"/>
    <w:rsid w:val="00424A36"/>
    <w:rsid w:val="00425C67"/>
    <w:rsid w:val="00427E7A"/>
    <w:rsid w:val="00434EC4"/>
    <w:rsid w:val="00436360"/>
    <w:rsid w:val="00436C49"/>
    <w:rsid w:val="00445366"/>
    <w:rsid w:val="00447F5B"/>
    <w:rsid w:val="0045067D"/>
    <w:rsid w:val="00461DB0"/>
    <w:rsid w:val="00463926"/>
    <w:rsid w:val="00464C9A"/>
    <w:rsid w:val="00465B59"/>
    <w:rsid w:val="00466205"/>
    <w:rsid w:val="0047204C"/>
    <w:rsid w:val="00472837"/>
    <w:rsid w:val="004741F5"/>
    <w:rsid w:val="00474239"/>
    <w:rsid w:val="00474F3D"/>
    <w:rsid w:val="004763E8"/>
    <w:rsid w:val="00477E3A"/>
    <w:rsid w:val="00483E5F"/>
    <w:rsid w:val="00485FF9"/>
    <w:rsid w:val="00487E5D"/>
    <w:rsid w:val="004907F0"/>
    <w:rsid w:val="0049140B"/>
    <w:rsid w:val="004923A5"/>
    <w:rsid w:val="00493EB9"/>
    <w:rsid w:val="00496BFB"/>
    <w:rsid w:val="004A15C7"/>
    <w:rsid w:val="004A1A76"/>
    <w:rsid w:val="004A45E8"/>
    <w:rsid w:val="004A7F45"/>
    <w:rsid w:val="004B013B"/>
    <w:rsid w:val="004B0923"/>
    <w:rsid w:val="004B112B"/>
    <w:rsid w:val="004B162B"/>
    <w:rsid w:val="004B1DB0"/>
    <w:rsid w:val="004B2790"/>
    <w:rsid w:val="004B7BAF"/>
    <w:rsid w:val="004C01E4"/>
    <w:rsid w:val="004C086C"/>
    <w:rsid w:val="004C1F56"/>
    <w:rsid w:val="004C27BC"/>
    <w:rsid w:val="004C3131"/>
    <w:rsid w:val="004C67B8"/>
    <w:rsid w:val="004D15F3"/>
    <w:rsid w:val="004D5311"/>
    <w:rsid w:val="004D5DCC"/>
    <w:rsid w:val="004E585B"/>
    <w:rsid w:val="004E7530"/>
    <w:rsid w:val="004F10AF"/>
    <w:rsid w:val="004F11A4"/>
    <w:rsid w:val="004F2389"/>
    <w:rsid w:val="004F2979"/>
    <w:rsid w:val="004F2A06"/>
    <w:rsid w:val="004F304D"/>
    <w:rsid w:val="004F61BE"/>
    <w:rsid w:val="004F66B1"/>
    <w:rsid w:val="005029CE"/>
    <w:rsid w:val="0051005A"/>
    <w:rsid w:val="00511C07"/>
    <w:rsid w:val="005173A6"/>
    <w:rsid w:val="00520BAA"/>
    <w:rsid w:val="00525208"/>
    <w:rsid w:val="005257A5"/>
    <w:rsid w:val="005264C0"/>
    <w:rsid w:val="00526A8A"/>
    <w:rsid w:val="00531DF2"/>
    <w:rsid w:val="00537214"/>
    <w:rsid w:val="005442EE"/>
    <w:rsid w:val="005445BB"/>
    <w:rsid w:val="00547353"/>
    <w:rsid w:val="005474E7"/>
    <w:rsid w:val="00550505"/>
    <w:rsid w:val="00550662"/>
    <w:rsid w:val="005512A3"/>
    <w:rsid w:val="00553E3F"/>
    <w:rsid w:val="00556394"/>
    <w:rsid w:val="005578CE"/>
    <w:rsid w:val="00562781"/>
    <w:rsid w:val="00566E67"/>
    <w:rsid w:val="0057271C"/>
    <w:rsid w:val="00572845"/>
    <w:rsid w:val="00574C83"/>
    <w:rsid w:val="0057562A"/>
    <w:rsid w:val="00592772"/>
    <w:rsid w:val="0059574A"/>
    <w:rsid w:val="00596468"/>
    <w:rsid w:val="005A02CB"/>
    <w:rsid w:val="005A1B9B"/>
    <w:rsid w:val="005A6751"/>
    <w:rsid w:val="005B092E"/>
    <w:rsid w:val="005B152C"/>
    <w:rsid w:val="005B1EE0"/>
    <w:rsid w:val="005B2B24"/>
    <w:rsid w:val="005B4425"/>
    <w:rsid w:val="005B4B94"/>
    <w:rsid w:val="005C3EE8"/>
    <w:rsid w:val="005D34F9"/>
    <w:rsid w:val="005D4190"/>
    <w:rsid w:val="005D67A3"/>
    <w:rsid w:val="005E1E9E"/>
    <w:rsid w:val="005E28FB"/>
    <w:rsid w:val="005E2988"/>
    <w:rsid w:val="005E3085"/>
    <w:rsid w:val="005E3331"/>
    <w:rsid w:val="005E3412"/>
    <w:rsid w:val="005E37C6"/>
    <w:rsid w:val="005E55A2"/>
    <w:rsid w:val="005F1ACF"/>
    <w:rsid w:val="005F51E1"/>
    <w:rsid w:val="005F5FA5"/>
    <w:rsid w:val="00601BB0"/>
    <w:rsid w:val="00604CDC"/>
    <w:rsid w:val="00611C80"/>
    <w:rsid w:val="0061375C"/>
    <w:rsid w:val="00617E0D"/>
    <w:rsid w:val="00620692"/>
    <w:rsid w:val="00621993"/>
    <w:rsid w:val="006242CA"/>
    <w:rsid w:val="00627507"/>
    <w:rsid w:val="00633717"/>
    <w:rsid w:val="006344E1"/>
    <w:rsid w:val="00646454"/>
    <w:rsid w:val="006467A0"/>
    <w:rsid w:val="0065298D"/>
    <w:rsid w:val="006545C4"/>
    <w:rsid w:val="00661971"/>
    <w:rsid w:val="00661CE8"/>
    <w:rsid w:val="006623D9"/>
    <w:rsid w:val="0066550C"/>
    <w:rsid w:val="00665D0A"/>
    <w:rsid w:val="00667B26"/>
    <w:rsid w:val="00667EFE"/>
    <w:rsid w:val="0067040B"/>
    <w:rsid w:val="00670C98"/>
    <w:rsid w:val="006716F2"/>
    <w:rsid w:val="00673F8B"/>
    <w:rsid w:val="006757A3"/>
    <w:rsid w:val="00682BF2"/>
    <w:rsid w:val="006859CE"/>
    <w:rsid w:val="00685B71"/>
    <w:rsid w:val="00687866"/>
    <w:rsid w:val="00691270"/>
    <w:rsid w:val="00694A2E"/>
    <w:rsid w:val="00694BA8"/>
    <w:rsid w:val="006A037C"/>
    <w:rsid w:val="006A36F4"/>
    <w:rsid w:val="006A406F"/>
    <w:rsid w:val="006A5D3A"/>
    <w:rsid w:val="006B6ACF"/>
    <w:rsid w:val="006C1BCB"/>
    <w:rsid w:val="006C23D4"/>
    <w:rsid w:val="006C2EDA"/>
    <w:rsid w:val="006C64BE"/>
    <w:rsid w:val="006C7BB0"/>
    <w:rsid w:val="006D114D"/>
    <w:rsid w:val="006D3237"/>
    <w:rsid w:val="006D4449"/>
    <w:rsid w:val="006E1B85"/>
    <w:rsid w:val="006E2E37"/>
    <w:rsid w:val="006E3CF1"/>
    <w:rsid w:val="006E7E80"/>
    <w:rsid w:val="006F056C"/>
    <w:rsid w:val="006F48CA"/>
    <w:rsid w:val="006F64DD"/>
    <w:rsid w:val="00700153"/>
    <w:rsid w:val="0070130C"/>
    <w:rsid w:val="00710CDE"/>
    <w:rsid w:val="00711B9F"/>
    <w:rsid w:val="00715127"/>
    <w:rsid w:val="00715E8E"/>
    <w:rsid w:val="007173E9"/>
    <w:rsid w:val="00723580"/>
    <w:rsid w:val="00723755"/>
    <w:rsid w:val="007277ED"/>
    <w:rsid w:val="0073136C"/>
    <w:rsid w:val="00731F0F"/>
    <w:rsid w:val="00733250"/>
    <w:rsid w:val="00741404"/>
    <w:rsid w:val="007449E5"/>
    <w:rsid w:val="00747196"/>
    <w:rsid w:val="007474F6"/>
    <w:rsid w:val="00747FF0"/>
    <w:rsid w:val="00750B3D"/>
    <w:rsid w:val="007513B3"/>
    <w:rsid w:val="007605AE"/>
    <w:rsid w:val="007610A2"/>
    <w:rsid w:val="00764D4E"/>
    <w:rsid w:val="00765A1F"/>
    <w:rsid w:val="007723AB"/>
    <w:rsid w:val="00775B6D"/>
    <w:rsid w:val="00776AA9"/>
    <w:rsid w:val="00776D68"/>
    <w:rsid w:val="00782FCD"/>
    <w:rsid w:val="007850EE"/>
    <w:rsid w:val="00785B95"/>
    <w:rsid w:val="00790E96"/>
    <w:rsid w:val="00793366"/>
    <w:rsid w:val="007952DA"/>
    <w:rsid w:val="007A0725"/>
    <w:rsid w:val="007A3664"/>
    <w:rsid w:val="007A3678"/>
    <w:rsid w:val="007A716F"/>
    <w:rsid w:val="007B1D26"/>
    <w:rsid w:val="007B2606"/>
    <w:rsid w:val="007B270A"/>
    <w:rsid w:val="007B4B56"/>
    <w:rsid w:val="007B684F"/>
    <w:rsid w:val="007B7935"/>
    <w:rsid w:val="007C0695"/>
    <w:rsid w:val="007C1C7F"/>
    <w:rsid w:val="007C419A"/>
    <w:rsid w:val="007C4CC8"/>
    <w:rsid w:val="007C5300"/>
    <w:rsid w:val="007C5426"/>
    <w:rsid w:val="007C5798"/>
    <w:rsid w:val="007C6125"/>
    <w:rsid w:val="007D4832"/>
    <w:rsid w:val="007D73B9"/>
    <w:rsid w:val="007E21B2"/>
    <w:rsid w:val="007E2C4E"/>
    <w:rsid w:val="007E3ED4"/>
    <w:rsid w:val="007E48C2"/>
    <w:rsid w:val="007E5FBE"/>
    <w:rsid w:val="007F0C4A"/>
    <w:rsid w:val="007F1905"/>
    <w:rsid w:val="007F4F51"/>
    <w:rsid w:val="00801300"/>
    <w:rsid w:val="00802C64"/>
    <w:rsid w:val="00805E52"/>
    <w:rsid w:val="008061D0"/>
    <w:rsid w:val="00810B38"/>
    <w:rsid w:val="008204C7"/>
    <w:rsid w:val="00820992"/>
    <w:rsid w:val="00823602"/>
    <w:rsid w:val="008255F5"/>
    <w:rsid w:val="00826A46"/>
    <w:rsid w:val="0083014E"/>
    <w:rsid w:val="0083214A"/>
    <w:rsid w:val="008323C4"/>
    <w:rsid w:val="00832774"/>
    <w:rsid w:val="00832A86"/>
    <w:rsid w:val="00834220"/>
    <w:rsid w:val="008370FB"/>
    <w:rsid w:val="008407DD"/>
    <w:rsid w:val="008430E5"/>
    <w:rsid w:val="0084351A"/>
    <w:rsid w:val="00844C8F"/>
    <w:rsid w:val="00845723"/>
    <w:rsid w:val="00851EF9"/>
    <w:rsid w:val="008577FD"/>
    <w:rsid w:val="00860B03"/>
    <w:rsid w:val="0086497A"/>
    <w:rsid w:val="00865A99"/>
    <w:rsid w:val="008713A1"/>
    <w:rsid w:val="00873CBE"/>
    <w:rsid w:val="008754AB"/>
    <w:rsid w:val="00875AB3"/>
    <w:rsid w:val="0088060C"/>
    <w:rsid w:val="008851E6"/>
    <w:rsid w:val="008879F6"/>
    <w:rsid w:val="00893576"/>
    <w:rsid w:val="00893E73"/>
    <w:rsid w:val="008B02DC"/>
    <w:rsid w:val="008B0E9C"/>
    <w:rsid w:val="008B16BE"/>
    <w:rsid w:val="008B2E5E"/>
    <w:rsid w:val="008B57CE"/>
    <w:rsid w:val="008B6871"/>
    <w:rsid w:val="008C26DE"/>
    <w:rsid w:val="008C6B6B"/>
    <w:rsid w:val="008D2225"/>
    <w:rsid w:val="008D4752"/>
    <w:rsid w:val="008D7298"/>
    <w:rsid w:val="008E271C"/>
    <w:rsid w:val="008E418E"/>
    <w:rsid w:val="008E5BC6"/>
    <w:rsid w:val="008E6A25"/>
    <w:rsid w:val="008F5193"/>
    <w:rsid w:val="009013A7"/>
    <w:rsid w:val="009017FB"/>
    <w:rsid w:val="009017FC"/>
    <w:rsid w:val="00903E4E"/>
    <w:rsid w:val="0090506B"/>
    <w:rsid w:val="009050C9"/>
    <w:rsid w:val="009066FC"/>
    <w:rsid w:val="00906B23"/>
    <w:rsid w:val="0091293E"/>
    <w:rsid w:val="009140A3"/>
    <w:rsid w:val="009144A2"/>
    <w:rsid w:val="0091510C"/>
    <w:rsid w:val="0091523D"/>
    <w:rsid w:val="00915286"/>
    <w:rsid w:val="009259AC"/>
    <w:rsid w:val="00926AD5"/>
    <w:rsid w:val="00926F38"/>
    <w:rsid w:val="00931E2F"/>
    <w:rsid w:val="00934225"/>
    <w:rsid w:val="00934301"/>
    <w:rsid w:val="00936C2D"/>
    <w:rsid w:val="00936CD1"/>
    <w:rsid w:val="00941747"/>
    <w:rsid w:val="00941EFB"/>
    <w:rsid w:val="00947AFB"/>
    <w:rsid w:val="00951D7D"/>
    <w:rsid w:val="009541DA"/>
    <w:rsid w:val="00956BBA"/>
    <w:rsid w:val="00960F01"/>
    <w:rsid w:val="00961AF2"/>
    <w:rsid w:val="009630C7"/>
    <w:rsid w:val="009677B6"/>
    <w:rsid w:val="00972B55"/>
    <w:rsid w:val="009743B7"/>
    <w:rsid w:val="009776A2"/>
    <w:rsid w:val="0098228B"/>
    <w:rsid w:val="009828DA"/>
    <w:rsid w:val="00985BAB"/>
    <w:rsid w:val="00996304"/>
    <w:rsid w:val="009A7490"/>
    <w:rsid w:val="009B1B5F"/>
    <w:rsid w:val="009B6673"/>
    <w:rsid w:val="009C0A5A"/>
    <w:rsid w:val="009C191B"/>
    <w:rsid w:val="009C1F1B"/>
    <w:rsid w:val="009C2BD6"/>
    <w:rsid w:val="009C5831"/>
    <w:rsid w:val="009C5881"/>
    <w:rsid w:val="009D16B0"/>
    <w:rsid w:val="009E1F32"/>
    <w:rsid w:val="009E2616"/>
    <w:rsid w:val="009E776C"/>
    <w:rsid w:val="009F677B"/>
    <w:rsid w:val="00A00144"/>
    <w:rsid w:val="00A03D44"/>
    <w:rsid w:val="00A05ECC"/>
    <w:rsid w:val="00A10218"/>
    <w:rsid w:val="00A15464"/>
    <w:rsid w:val="00A166C0"/>
    <w:rsid w:val="00A1726E"/>
    <w:rsid w:val="00A204CF"/>
    <w:rsid w:val="00A23D49"/>
    <w:rsid w:val="00A27004"/>
    <w:rsid w:val="00A30C29"/>
    <w:rsid w:val="00A34DD6"/>
    <w:rsid w:val="00A36819"/>
    <w:rsid w:val="00A36989"/>
    <w:rsid w:val="00A43308"/>
    <w:rsid w:val="00A43628"/>
    <w:rsid w:val="00A52386"/>
    <w:rsid w:val="00A53F33"/>
    <w:rsid w:val="00A54192"/>
    <w:rsid w:val="00A57AAF"/>
    <w:rsid w:val="00A6035E"/>
    <w:rsid w:val="00A6144C"/>
    <w:rsid w:val="00A65FDB"/>
    <w:rsid w:val="00A66617"/>
    <w:rsid w:val="00A671F8"/>
    <w:rsid w:val="00A673A4"/>
    <w:rsid w:val="00A674FD"/>
    <w:rsid w:val="00A67531"/>
    <w:rsid w:val="00A70AEA"/>
    <w:rsid w:val="00A724AE"/>
    <w:rsid w:val="00A73329"/>
    <w:rsid w:val="00A74BC1"/>
    <w:rsid w:val="00A807F4"/>
    <w:rsid w:val="00A82359"/>
    <w:rsid w:val="00A8486D"/>
    <w:rsid w:val="00A865D2"/>
    <w:rsid w:val="00A94C20"/>
    <w:rsid w:val="00AA227F"/>
    <w:rsid w:val="00AA3BC7"/>
    <w:rsid w:val="00AA754A"/>
    <w:rsid w:val="00AA755B"/>
    <w:rsid w:val="00AB099E"/>
    <w:rsid w:val="00AB27C8"/>
    <w:rsid w:val="00AB3198"/>
    <w:rsid w:val="00AB4328"/>
    <w:rsid w:val="00AB71BE"/>
    <w:rsid w:val="00AC0824"/>
    <w:rsid w:val="00AC4EBF"/>
    <w:rsid w:val="00AC5620"/>
    <w:rsid w:val="00AD412E"/>
    <w:rsid w:val="00AE0A2E"/>
    <w:rsid w:val="00AE2706"/>
    <w:rsid w:val="00AE354C"/>
    <w:rsid w:val="00AE7DF2"/>
    <w:rsid w:val="00AF4B07"/>
    <w:rsid w:val="00AF59B8"/>
    <w:rsid w:val="00AF5CC8"/>
    <w:rsid w:val="00AF6186"/>
    <w:rsid w:val="00AF7A3A"/>
    <w:rsid w:val="00B152B9"/>
    <w:rsid w:val="00B160DB"/>
    <w:rsid w:val="00B1783D"/>
    <w:rsid w:val="00B20836"/>
    <w:rsid w:val="00B235BB"/>
    <w:rsid w:val="00B27A44"/>
    <w:rsid w:val="00B30BBF"/>
    <w:rsid w:val="00B311E9"/>
    <w:rsid w:val="00B33C03"/>
    <w:rsid w:val="00B447F5"/>
    <w:rsid w:val="00B44E56"/>
    <w:rsid w:val="00B45342"/>
    <w:rsid w:val="00B46543"/>
    <w:rsid w:val="00B47D33"/>
    <w:rsid w:val="00B52BE0"/>
    <w:rsid w:val="00B54133"/>
    <w:rsid w:val="00B56B98"/>
    <w:rsid w:val="00B701ED"/>
    <w:rsid w:val="00B72A1B"/>
    <w:rsid w:val="00B73992"/>
    <w:rsid w:val="00B74CA4"/>
    <w:rsid w:val="00B757BA"/>
    <w:rsid w:val="00B8086C"/>
    <w:rsid w:val="00B82A90"/>
    <w:rsid w:val="00B85A04"/>
    <w:rsid w:val="00B861B4"/>
    <w:rsid w:val="00B86DFE"/>
    <w:rsid w:val="00B90990"/>
    <w:rsid w:val="00B91A70"/>
    <w:rsid w:val="00B922FF"/>
    <w:rsid w:val="00B9281E"/>
    <w:rsid w:val="00B93925"/>
    <w:rsid w:val="00B93ECF"/>
    <w:rsid w:val="00B94BB8"/>
    <w:rsid w:val="00B95187"/>
    <w:rsid w:val="00B95DB2"/>
    <w:rsid w:val="00B9776F"/>
    <w:rsid w:val="00BA2D55"/>
    <w:rsid w:val="00BA71B1"/>
    <w:rsid w:val="00BB0637"/>
    <w:rsid w:val="00BB345F"/>
    <w:rsid w:val="00BB68EA"/>
    <w:rsid w:val="00BC1C27"/>
    <w:rsid w:val="00BC2FDA"/>
    <w:rsid w:val="00BC47F6"/>
    <w:rsid w:val="00BC4A8F"/>
    <w:rsid w:val="00BC6BBF"/>
    <w:rsid w:val="00BD0653"/>
    <w:rsid w:val="00BD0AC6"/>
    <w:rsid w:val="00BD1572"/>
    <w:rsid w:val="00BD4B82"/>
    <w:rsid w:val="00BD5394"/>
    <w:rsid w:val="00BE14E3"/>
    <w:rsid w:val="00BE1A3E"/>
    <w:rsid w:val="00BE3774"/>
    <w:rsid w:val="00BE41E5"/>
    <w:rsid w:val="00BF1A36"/>
    <w:rsid w:val="00BF4109"/>
    <w:rsid w:val="00BF4CC3"/>
    <w:rsid w:val="00C00E26"/>
    <w:rsid w:val="00C054C7"/>
    <w:rsid w:val="00C057B5"/>
    <w:rsid w:val="00C06E15"/>
    <w:rsid w:val="00C1262B"/>
    <w:rsid w:val="00C163F8"/>
    <w:rsid w:val="00C222AC"/>
    <w:rsid w:val="00C22687"/>
    <w:rsid w:val="00C24185"/>
    <w:rsid w:val="00C32E4D"/>
    <w:rsid w:val="00C333A0"/>
    <w:rsid w:val="00C35A50"/>
    <w:rsid w:val="00C36408"/>
    <w:rsid w:val="00C36A81"/>
    <w:rsid w:val="00C41974"/>
    <w:rsid w:val="00C53F4A"/>
    <w:rsid w:val="00C54125"/>
    <w:rsid w:val="00C55B54"/>
    <w:rsid w:val="00C6098E"/>
    <w:rsid w:val="00C611D8"/>
    <w:rsid w:val="00C6152C"/>
    <w:rsid w:val="00C63990"/>
    <w:rsid w:val="00C64EF6"/>
    <w:rsid w:val="00C65050"/>
    <w:rsid w:val="00C6539F"/>
    <w:rsid w:val="00C74810"/>
    <w:rsid w:val="00C90D68"/>
    <w:rsid w:val="00C91601"/>
    <w:rsid w:val="00C939FE"/>
    <w:rsid w:val="00C9704B"/>
    <w:rsid w:val="00CA4BDA"/>
    <w:rsid w:val="00CB1F66"/>
    <w:rsid w:val="00CB2951"/>
    <w:rsid w:val="00CC3FE5"/>
    <w:rsid w:val="00CC61B6"/>
    <w:rsid w:val="00CC71E6"/>
    <w:rsid w:val="00CD020E"/>
    <w:rsid w:val="00CD16F8"/>
    <w:rsid w:val="00CD282B"/>
    <w:rsid w:val="00CD4C35"/>
    <w:rsid w:val="00CD5599"/>
    <w:rsid w:val="00CD5BEE"/>
    <w:rsid w:val="00CD7369"/>
    <w:rsid w:val="00CE0B0E"/>
    <w:rsid w:val="00CE3831"/>
    <w:rsid w:val="00CF0217"/>
    <w:rsid w:val="00CF3965"/>
    <w:rsid w:val="00D00ABB"/>
    <w:rsid w:val="00D02EEC"/>
    <w:rsid w:val="00D0346C"/>
    <w:rsid w:val="00D03551"/>
    <w:rsid w:val="00D06A63"/>
    <w:rsid w:val="00D07E0E"/>
    <w:rsid w:val="00D100A9"/>
    <w:rsid w:val="00D11440"/>
    <w:rsid w:val="00D11478"/>
    <w:rsid w:val="00D15ED0"/>
    <w:rsid w:val="00D21B3E"/>
    <w:rsid w:val="00D21EEA"/>
    <w:rsid w:val="00D21FED"/>
    <w:rsid w:val="00D22485"/>
    <w:rsid w:val="00D24251"/>
    <w:rsid w:val="00D250D7"/>
    <w:rsid w:val="00D343E2"/>
    <w:rsid w:val="00D361A2"/>
    <w:rsid w:val="00D37C1F"/>
    <w:rsid w:val="00D4223E"/>
    <w:rsid w:val="00D42AFF"/>
    <w:rsid w:val="00D44C2E"/>
    <w:rsid w:val="00D45414"/>
    <w:rsid w:val="00D5611E"/>
    <w:rsid w:val="00D566BD"/>
    <w:rsid w:val="00D56D1E"/>
    <w:rsid w:val="00D576CF"/>
    <w:rsid w:val="00D57A4D"/>
    <w:rsid w:val="00D60AA7"/>
    <w:rsid w:val="00D638EA"/>
    <w:rsid w:val="00D6435F"/>
    <w:rsid w:val="00D671DD"/>
    <w:rsid w:val="00D712B0"/>
    <w:rsid w:val="00D7187A"/>
    <w:rsid w:val="00D72BD3"/>
    <w:rsid w:val="00D75E28"/>
    <w:rsid w:val="00D772C2"/>
    <w:rsid w:val="00D8008E"/>
    <w:rsid w:val="00D80137"/>
    <w:rsid w:val="00D82C45"/>
    <w:rsid w:val="00D876D5"/>
    <w:rsid w:val="00D908A8"/>
    <w:rsid w:val="00D967DE"/>
    <w:rsid w:val="00D977B6"/>
    <w:rsid w:val="00D97EEE"/>
    <w:rsid w:val="00DA4A31"/>
    <w:rsid w:val="00DA7B04"/>
    <w:rsid w:val="00DB36C2"/>
    <w:rsid w:val="00DB7E88"/>
    <w:rsid w:val="00DC169B"/>
    <w:rsid w:val="00DC2AB9"/>
    <w:rsid w:val="00DC5FAF"/>
    <w:rsid w:val="00DC63F0"/>
    <w:rsid w:val="00DD4AAB"/>
    <w:rsid w:val="00DD5146"/>
    <w:rsid w:val="00DD6EE5"/>
    <w:rsid w:val="00DE0CDA"/>
    <w:rsid w:val="00DE386C"/>
    <w:rsid w:val="00DE4D35"/>
    <w:rsid w:val="00DE572F"/>
    <w:rsid w:val="00DF098B"/>
    <w:rsid w:val="00DF11C4"/>
    <w:rsid w:val="00DF120B"/>
    <w:rsid w:val="00DF1659"/>
    <w:rsid w:val="00DF210C"/>
    <w:rsid w:val="00DF4B6A"/>
    <w:rsid w:val="00DF7B18"/>
    <w:rsid w:val="00E01E65"/>
    <w:rsid w:val="00E02C09"/>
    <w:rsid w:val="00E02CD3"/>
    <w:rsid w:val="00E048D8"/>
    <w:rsid w:val="00E04D59"/>
    <w:rsid w:val="00E07DA1"/>
    <w:rsid w:val="00E123CB"/>
    <w:rsid w:val="00E176DE"/>
    <w:rsid w:val="00E177B5"/>
    <w:rsid w:val="00E20E13"/>
    <w:rsid w:val="00E21DBC"/>
    <w:rsid w:val="00E222FD"/>
    <w:rsid w:val="00E23A91"/>
    <w:rsid w:val="00E273BE"/>
    <w:rsid w:val="00E275D7"/>
    <w:rsid w:val="00E27DBE"/>
    <w:rsid w:val="00E31471"/>
    <w:rsid w:val="00E32731"/>
    <w:rsid w:val="00E32AB1"/>
    <w:rsid w:val="00E32B64"/>
    <w:rsid w:val="00E36C71"/>
    <w:rsid w:val="00E373F5"/>
    <w:rsid w:val="00E37C32"/>
    <w:rsid w:val="00E40404"/>
    <w:rsid w:val="00E40595"/>
    <w:rsid w:val="00E42F95"/>
    <w:rsid w:val="00E4529A"/>
    <w:rsid w:val="00E459C6"/>
    <w:rsid w:val="00E46C83"/>
    <w:rsid w:val="00E47589"/>
    <w:rsid w:val="00E51FA6"/>
    <w:rsid w:val="00E64915"/>
    <w:rsid w:val="00E661D4"/>
    <w:rsid w:val="00E66F3A"/>
    <w:rsid w:val="00E70091"/>
    <w:rsid w:val="00E714FB"/>
    <w:rsid w:val="00E720F5"/>
    <w:rsid w:val="00E76D47"/>
    <w:rsid w:val="00E77BFB"/>
    <w:rsid w:val="00E77CB3"/>
    <w:rsid w:val="00E849F7"/>
    <w:rsid w:val="00E8692E"/>
    <w:rsid w:val="00E90302"/>
    <w:rsid w:val="00E9202D"/>
    <w:rsid w:val="00E97396"/>
    <w:rsid w:val="00EA05CE"/>
    <w:rsid w:val="00EA185E"/>
    <w:rsid w:val="00EA26E7"/>
    <w:rsid w:val="00EA592A"/>
    <w:rsid w:val="00EA5D21"/>
    <w:rsid w:val="00EB14E4"/>
    <w:rsid w:val="00EB32A5"/>
    <w:rsid w:val="00EB34ED"/>
    <w:rsid w:val="00EB3ED7"/>
    <w:rsid w:val="00EB7BE0"/>
    <w:rsid w:val="00EB7E63"/>
    <w:rsid w:val="00EC315E"/>
    <w:rsid w:val="00ED077C"/>
    <w:rsid w:val="00ED1190"/>
    <w:rsid w:val="00ED6544"/>
    <w:rsid w:val="00EE0277"/>
    <w:rsid w:val="00EE3B86"/>
    <w:rsid w:val="00EE3E00"/>
    <w:rsid w:val="00EE45A8"/>
    <w:rsid w:val="00EE4ACB"/>
    <w:rsid w:val="00EE5DD2"/>
    <w:rsid w:val="00EE76FA"/>
    <w:rsid w:val="00EF0A2E"/>
    <w:rsid w:val="00EF63C2"/>
    <w:rsid w:val="00F004FF"/>
    <w:rsid w:val="00F00A79"/>
    <w:rsid w:val="00F00A7B"/>
    <w:rsid w:val="00F00E86"/>
    <w:rsid w:val="00F0222B"/>
    <w:rsid w:val="00F02D0E"/>
    <w:rsid w:val="00F07C1E"/>
    <w:rsid w:val="00F105DB"/>
    <w:rsid w:val="00F132BC"/>
    <w:rsid w:val="00F13D80"/>
    <w:rsid w:val="00F16AAA"/>
    <w:rsid w:val="00F21161"/>
    <w:rsid w:val="00F218EF"/>
    <w:rsid w:val="00F21BC7"/>
    <w:rsid w:val="00F23B25"/>
    <w:rsid w:val="00F266A2"/>
    <w:rsid w:val="00F32269"/>
    <w:rsid w:val="00F35128"/>
    <w:rsid w:val="00F56A6F"/>
    <w:rsid w:val="00F5709C"/>
    <w:rsid w:val="00F61CC3"/>
    <w:rsid w:val="00F64EF1"/>
    <w:rsid w:val="00F65A7F"/>
    <w:rsid w:val="00F8765F"/>
    <w:rsid w:val="00F8794E"/>
    <w:rsid w:val="00F87A6D"/>
    <w:rsid w:val="00F90767"/>
    <w:rsid w:val="00FA3C96"/>
    <w:rsid w:val="00FA685B"/>
    <w:rsid w:val="00FB0C01"/>
    <w:rsid w:val="00FB2B45"/>
    <w:rsid w:val="00FC18F2"/>
    <w:rsid w:val="00FC325A"/>
    <w:rsid w:val="00FC39E5"/>
    <w:rsid w:val="00FC3A78"/>
    <w:rsid w:val="00FD1005"/>
    <w:rsid w:val="00FD4672"/>
    <w:rsid w:val="00FD5143"/>
    <w:rsid w:val="00FD6C75"/>
    <w:rsid w:val="00FE71B3"/>
    <w:rsid w:val="00FF245F"/>
    <w:rsid w:val="00FF274C"/>
    <w:rsid w:val="00FF42C5"/>
    <w:rsid w:val="00FF76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700153"/>
    <w:pPr>
      <w:jc w:val="both"/>
    </w:pPr>
    <w:rPr>
      <w:rFonts w:eastAsiaTheme="minorEastAsia"/>
      <w:sz w:val="24"/>
      <w:lang w:val="en-GB"/>
    </w:rPr>
  </w:style>
  <w:style w:type="paragraph" w:styleId="Titolo1">
    <w:name w:val="heading 1"/>
    <w:basedOn w:val="Normale"/>
    <w:next w:val="Normale"/>
    <w:link w:val="Titolo1Carattere"/>
    <w:uiPriority w:val="99"/>
    <w:semiHidden/>
    <w:rsid w:val="0070015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0015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0015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0015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00153"/>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0015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00153"/>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00153"/>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00153"/>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01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153"/>
    <w:rPr>
      <w:rFonts w:ascii="Tahoma" w:eastAsiaTheme="minorEastAsia" w:hAnsi="Tahoma" w:cs="Tahoma"/>
      <w:sz w:val="16"/>
      <w:szCs w:val="16"/>
      <w:lang w:val="en-GB"/>
    </w:rPr>
  </w:style>
  <w:style w:type="character" w:styleId="Titolodellibro">
    <w:name w:val="Book Title"/>
    <w:uiPriority w:val="99"/>
    <w:semiHidden/>
    <w:qFormat/>
    <w:rsid w:val="00700153"/>
    <w:rPr>
      <w:i/>
      <w:iCs/>
      <w:smallCaps/>
      <w:spacing w:val="5"/>
    </w:rPr>
  </w:style>
  <w:style w:type="paragraph" w:customStyle="1" w:styleId="ECHRHeader">
    <w:name w:val="ECHR_Header"/>
    <w:aliases w:val="Ju_Header"/>
    <w:basedOn w:val="Intestazione"/>
    <w:uiPriority w:val="4"/>
    <w:qFormat/>
    <w:rsid w:val="00700153"/>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00153"/>
    <w:pPr>
      <w:jc w:val="left"/>
    </w:pPr>
    <w:rPr>
      <w:sz w:val="8"/>
    </w:rPr>
  </w:style>
  <w:style w:type="character" w:styleId="Enfasigrassetto">
    <w:name w:val="Strong"/>
    <w:uiPriority w:val="99"/>
    <w:semiHidden/>
    <w:qFormat/>
    <w:rsid w:val="00700153"/>
    <w:rPr>
      <w:b/>
      <w:bCs/>
    </w:rPr>
  </w:style>
  <w:style w:type="paragraph" w:styleId="Nessunaspaziatura">
    <w:name w:val="No Spacing"/>
    <w:basedOn w:val="Normale"/>
    <w:link w:val="NessunaspaziaturaCarattere"/>
    <w:semiHidden/>
    <w:qFormat/>
    <w:rsid w:val="00700153"/>
    <w:rPr>
      <w:sz w:val="22"/>
      <w:lang w:val="en-US"/>
    </w:rPr>
  </w:style>
  <w:style w:type="character" w:customStyle="1" w:styleId="NessunaspaziaturaCarattere">
    <w:name w:val="Nessuna spaziatura Carattere"/>
    <w:basedOn w:val="Carpredefinitoparagrafo"/>
    <w:link w:val="Nessunaspaziatura"/>
    <w:semiHidden/>
    <w:rsid w:val="00700153"/>
    <w:rPr>
      <w:rFonts w:eastAsiaTheme="minorEastAsia"/>
    </w:rPr>
  </w:style>
  <w:style w:type="paragraph" w:customStyle="1" w:styleId="ECHRFooterLine">
    <w:name w:val="ECHR_Footer_Line"/>
    <w:aliases w:val="Footer_Line"/>
    <w:basedOn w:val="Normale"/>
    <w:next w:val="ECHRFooter"/>
    <w:uiPriority w:val="57"/>
    <w:semiHidden/>
    <w:rsid w:val="0070015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00153"/>
  </w:style>
  <w:style w:type="paragraph" w:customStyle="1" w:styleId="DecList">
    <w:name w:val="Dec_List"/>
    <w:basedOn w:val="Normale"/>
    <w:uiPriority w:val="9"/>
    <w:semiHidden/>
    <w:qFormat/>
    <w:rsid w:val="00700153"/>
    <w:pPr>
      <w:spacing w:before="240"/>
      <w:ind w:left="284"/>
    </w:pPr>
  </w:style>
  <w:style w:type="paragraph" w:customStyle="1" w:styleId="DummyStyle">
    <w:name w:val="Dummy_Style"/>
    <w:basedOn w:val="Normale"/>
    <w:semiHidden/>
    <w:qFormat/>
    <w:rsid w:val="00700153"/>
    <w:rPr>
      <w:color w:val="00B050"/>
    </w:rPr>
  </w:style>
  <w:style w:type="paragraph" w:customStyle="1" w:styleId="ECHRTitleCentre3">
    <w:name w:val="ECHR_Title_Centre_3"/>
    <w:aliases w:val="Ju_H_Article"/>
    <w:basedOn w:val="Normale"/>
    <w:next w:val="ECHRParaQuote"/>
    <w:uiPriority w:val="27"/>
    <w:qFormat/>
    <w:rsid w:val="0070015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00153"/>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700153"/>
    <w:pPr>
      <w:numPr>
        <w:numId w:val="28"/>
      </w:numPr>
      <w:jc w:val="left"/>
    </w:pPr>
    <w:rPr>
      <w:b/>
    </w:rPr>
  </w:style>
  <w:style w:type="paragraph" w:customStyle="1" w:styleId="JuCourt">
    <w:name w:val="Ju_Court"/>
    <w:basedOn w:val="Normale"/>
    <w:next w:val="Normale"/>
    <w:uiPriority w:val="16"/>
    <w:qFormat/>
    <w:rsid w:val="0070015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00153"/>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700153"/>
    <w:pPr>
      <w:spacing w:after="240"/>
      <w:jc w:val="center"/>
      <w:outlineLvl w:val="0"/>
    </w:pPr>
    <w:rPr>
      <w:rFonts w:asciiTheme="majorHAnsi" w:hAnsiTheme="majorHAnsi"/>
    </w:rPr>
  </w:style>
  <w:style w:type="paragraph" w:customStyle="1" w:styleId="JuInitialled">
    <w:name w:val="Ju_Initialled"/>
    <w:basedOn w:val="Normale"/>
    <w:uiPriority w:val="31"/>
    <w:qFormat/>
    <w:rsid w:val="00700153"/>
    <w:pPr>
      <w:tabs>
        <w:tab w:val="center" w:pos="6407"/>
      </w:tabs>
      <w:spacing w:before="720"/>
      <w:jc w:val="right"/>
    </w:pPr>
  </w:style>
  <w:style w:type="paragraph" w:styleId="Titolo">
    <w:name w:val="Title"/>
    <w:basedOn w:val="Normale"/>
    <w:next w:val="Normale"/>
    <w:link w:val="TitoloCarattere"/>
    <w:uiPriority w:val="99"/>
    <w:semiHidden/>
    <w:qFormat/>
    <w:rsid w:val="0070015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0015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70015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70015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00153"/>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70015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00153"/>
    <w:pPr>
      <w:keepNext/>
      <w:keepLines/>
      <w:spacing w:before="240" w:after="120"/>
      <w:ind w:left="1236"/>
    </w:pPr>
    <w:rPr>
      <w:sz w:val="20"/>
      <w:lang w:val="en-GB"/>
    </w:rPr>
  </w:style>
  <w:style w:type="paragraph" w:customStyle="1" w:styleId="JuListi">
    <w:name w:val="Ju_List_i"/>
    <w:basedOn w:val="Normale"/>
    <w:next w:val="JuLista"/>
    <w:uiPriority w:val="28"/>
    <w:qFormat/>
    <w:rsid w:val="00700153"/>
    <w:pPr>
      <w:ind w:left="794"/>
    </w:pPr>
  </w:style>
  <w:style w:type="character" w:customStyle="1" w:styleId="JUNAMES">
    <w:name w:val="JU_NAMES"/>
    <w:uiPriority w:val="17"/>
    <w:qFormat/>
    <w:rsid w:val="00700153"/>
    <w:rPr>
      <w:caps w:val="0"/>
      <w:smallCaps/>
    </w:rPr>
  </w:style>
  <w:style w:type="paragraph" w:customStyle="1" w:styleId="JuParaSub">
    <w:name w:val="Ju_Para_Sub"/>
    <w:basedOn w:val="ECHRPara"/>
    <w:uiPriority w:val="13"/>
    <w:qFormat/>
    <w:rsid w:val="00700153"/>
    <w:pPr>
      <w:ind w:left="284"/>
    </w:pPr>
  </w:style>
  <w:style w:type="paragraph" w:styleId="Intestazione">
    <w:name w:val="header"/>
    <w:basedOn w:val="Normale"/>
    <w:link w:val="IntestazioneCarattere"/>
    <w:uiPriority w:val="57"/>
    <w:semiHidden/>
    <w:rsid w:val="0070015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00153"/>
    <w:rPr>
      <w:sz w:val="24"/>
      <w:lang w:val="en-GB"/>
    </w:rPr>
  </w:style>
  <w:style w:type="character" w:customStyle="1" w:styleId="Titolo1Carattere">
    <w:name w:val="Titolo 1 Carattere"/>
    <w:basedOn w:val="Carpredefinitoparagrafo"/>
    <w:link w:val="Titolo1"/>
    <w:uiPriority w:val="99"/>
    <w:semiHidden/>
    <w:rsid w:val="00700153"/>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70015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00153"/>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00153"/>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700153"/>
    <w:pPr>
      <w:ind w:left="567"/>
    </w:pPr>
  </w:style>
  <w:style w:type="paragraph" w:customStyle="1" w:styleId="ECHRDecisionBody">
    <w:name w:val="ECHR_Decision_Body"/>
    <w:aliases w:val="Ju_Judges"/>
    <w:basedOn w:val="Normale"/>
    <w:uiPriority w:val="11"/>
    <w:qFormat/>
    <w:rsid w:val="00700153"/>
    <w:pPr>
      <w:tabs>
        <w:tab w:val="left" w:pos="567"/>
        <w:tab w:val="left" w:pos="1134"/>
      </w:tabs>
      <w:jc w:val="left"/>
    </w:pPr>
  </w:style>
  <w:style w:type="character" w:customStyle="1" w:styleId="Titolo3Carattere">
    <w:name w:val="Titolo 3 Carattere"/>
    <w:basedOn w:val="Carpredefinitoparagrafo"/>
    <w:link w:val="Titolo3"/>
    <w:uiPriority w:val="99"/>
    <w:semiHidden/>
    <w:rsid w:val="00700153"/>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700153"/>
    <w:pPr>
      <w:ind w:firstLine="284"/>
    </w:pPr>
  </w:style>
  <w:style w:type="character" w:customStyle="1" w:styleId="Titolo4Carattere">
    <w:name w:val="Titolo 4 Carattere"/>
    <w:basedOn w:val="Carpredefinitoparagrafo"/>
    <w:link w:val="Titolo4"/>
    <w:uiPriority w:val="99"/>
    <w:semiHidden/>
    <w:rsid w:val="00700153"/>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700153"/>
    <w:rPr>
      <w:rFonts w:asciiTheme="majorHAnsi" w:eastAsiaTheme="majorEastAsia" w:hAnsiTheme="majorHAnsi" w:cstheme="majorBidi"/>
      <w:b/>
      <w:bCs/>
      <w:color w:val="808080"/>
    </w:rPr>
  </w:style>
  <w:style w:type="character" w:styleId="Enfasidelicata">
    <w:name w:val="Subtle Emphasis"/>
    <w:uiPriority w:val="99"/>
    <w:semiHidden/>
    <w:qFormat/>
    <w:rsid w:val="0070015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00153"/>
    <w:pPr>
      <w:keepNext/>
      <w:keepLines/>
      <w:spacing w:before="720" w:after="240"/>
      <w:outlineLvl w:val="0"/>
    </w:pPr>
    <w:rPr>
      <w:rFonts w:asciiTheme="majorHAnsi" w:hAnsiTheme="majorHAnsi"/>
      <w:sz w:val="28"/>
    </w:rPr>
  </w:style>
  <w:style w:type="character" w:styleId="Enfasicorsivo">
    <w:name w:val="Emphasis"/>
    <w:uiPriority w:val="99"/>
    <w:semiHidden/>
    <w:qFormat/>
    <w:rsid w:val="00700153"/>
    <w:rPr>
      <w:b/>
      <w:bCs/>
      <w:i/>
      <w:iCs/>
      <w:spacing w:val="10"/>
      <w:bdr w:val="none" w:sz="0" w:space="0" w:color="auto"/>
      <w:shd w:val="clear" w:color="auto" w:fill="auto"/>
    </w:rPr>
  </w:style>
  <w:style w:type="paragraph" w:styleId="Pidipagina">
    <w:name w:val="footer"/>
    <w:basedOn w:val="Normale"/>
    <w:link w:val="PidipaginaCarattere"/>
    <w:uiPriority w:val="57"/>
    <w:semiHidden/>
    <w:rsid w:val="0070015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00153"/>
    <w:rPr>
      <w:sz w:val="24"/>
      <w:lang w:val="en-GB"/>
    </w:rPr>
  </w:style>
  <w:style w:type="character" w:styleId="Rimandonotaapidipagina">
    <w:name w:val="footnote reference"/>
    <w:basedOn w:val="Carpredefinitoparagrafo"/>
    <w:uiPriority w:val="99"/>
    <w:semiHidden/>
    <w:rsid w:val="00700153"/>
    <w:rPr>
      <w:vertAlign w:val="superscript"/>
    </w:rPr>
  </w:style>
  <w:style w:type="paragraph" w:styleId="Testonotaapidipagina">
    <w:name w:val="footnote text"/>
    <w:basedOn w:val="Normale"/>
    <w:link w:val="TestonotaapidipaginaCarattere"/>
    <w:uiPriority w:val="99"/>
    <w:semiHidden/>
    <w:rsid w:val="00700153"/>
    <w:rPr>
      <w:sz w:val="20"/>
      <w:szCs w:val="20"/>
    </w:rPr>
  </w:style>
  <w:style w:type="character" w:customStyle="1" w:styleId="TestonotaapidipaginaCarattere">
    <w:name w:val="Testo nota a piè di pagina Carattere"/>
    <w:basedOn w:val="Carpredefinitoparagrafo"/>
    <w:link w:val="Testonotaapidipagina"/>
    <w:uiPriority w:val="99"/>
    <w:semiHidden/>
    <w:rsid w:val="00700153"/>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00153"/>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0015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0015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0015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00153"/>
    <w:rPr>
      <w:color w:val="0072BC" w:themeColor="hyperlink"/>
      <w:u w:val="single"/>
    </w:rPr>
  </w:style>
  <w:style w:type="character" w:styleId="Enfasiintensa">
    <w:name w:val="Intense Emphasis"/>
    <w:uiPriority w:val="99"/>
    <w:semiHidden/>
    <w:qFormat/>
    <w:rsid w:val="00700153"/>
    <w:rPr>
      <w:b/>
      <w:bCs/>
    </w:rPr>
  </w:style>
  <w:style w:type="paragraph" w:styleId="Citazioneintensa">
    <w:name w:val="Intense Quote"/>
    <w:basedOn w:val="Normale"/>
    <w:next w:val="Normale"/>
    <w:link w:val="CitazioneintensaCarattere"/>
    <w:uiPriority w:val="99"/>
    <w:semiHidden/>
    <w:qFormat/>
    <w:rsid w:val="00700153"/>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00153"/>
    <w:rPr>
      <w:rFonts w:eastAsiaTheme="minorEastAsia"/>
      <w:b/>
      <w:bCs/>
      <w:i/>
      <w:iCs/>
      <w:lang w:bidi="en-US"/>
    </w:rPr>
  </w:style>
  <w:style w:type="character" w:styleId="Riferimentointenso">
    <w:name w:val="Intense Reference"/>
    <w:uiPriority w:val="99"/>
    <w:semiHidden/>
    <w:qFormat/>
    <w:rsid w:val="00700153"/>
    <w:rPr>
      <w:smallCaps/>
      <w:spacing w:val="5"/>
      <w:u w:val="single"/>
    </w:rPr>
  </w:style>
  <w:style w:type="paragraph" w:styleId="Paragrafoelenco">
    <w:name w:val="List Paragraph"/>
    <w:basedOn w:val="Normale"/>
    <w:uiPriority w:val="99"/>
    <w:semiHidden/>
    <w:qFormat/>
    <w:rsid w:val="0070015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00153"/>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00153"/>
    <w:rPr>
      <w:rFonts w:eastAsiaTheme="minorEastAsia"/>
      <w:i/>
      <w:iCs/>
      <w:lang w:bidi="en-US"/>
    </w:rPr>
  </w:style>
  <w:style w:type="character" w:styleId="Riferimentodelicato">
    <w:name w:val="Subtle Reference"/>
    <w:uiPriority w:val="99"/>
    <w:semiHidden/>
    <w:qFormat/>
    <w:rsid w:val="00700153"/>
    <w:rPr>
      <w:smallCaps/>
    </w:rPr>
  </w:style>
  <w:style w:type="table" w:styleId="Grigliatabella">
    <w:name w:val="Table Grid"/>
    <w:basedOn w:val="Tabellanormale"/>
    <w:uiPriority w:val="59"/>
    <w:semiHidden/>
    <w:rsid w:val="007001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0015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0015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0015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0015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0015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0015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0015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70015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0015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00153"/>
    <w:pPr>
      <w:tabs>
        <w:tab w:val="center" w:pos="851"/>
        <w:tab w:val="center" w:pos="6407"/>
      </w:tabs>
      <w:spacing w:before="720"/>
      <w:jc w:val="left"/>
    </w:pPr>
  </w:style>
  <w:style w:type="paragraph" w:customStyle="1" w:styleId="JuParaLast">
    <w:name w:val="Ju_Para_Last"/>
    <w:basedOn w:val="Normale"/>
    <w:next w:val="ECHRPara"/>
    <w:uiPriority w:val="30"/>
    <w:qFormat/>
    <w:rsid w:val="00700153"/>
    <w:pPr>
      <w:keepNext/>
      <w:keepLines/>
      <w:spacing w:before="240"/>
      <w:ind w:firstLine="284"/>
    </w:pPr>
  </w:style>
  <w:style w:type="paragraph" w:customStyle="1" w:styleId="JuCase">
    <w:name w:val="Ju_Case"/>
    <w:basedOn w:val="Normale"/>
    <w:next w:val="ECHRPara"/>
    <w:uiPriority w:val="10"/>
    <w:rsid w:val="00700153"/>
    <w:pPr>
      <w:ind w:firstLine="284"/>
    </w:pPr>
    <w:rPr>
      <w:b/>
    </w:rPr>
  </w:style>
  <w:style w:type="paragraph" w:customStyle="1" w:styleId="JuList">
    <w:name w:val="Ju_List"/>
    <w:basedOn w:val="Normale"/>
    <w:uiPriority w:val="28"/>
    <w:qFormat/>
    <w:rsid w:val="00700153"/>
    <w:pPr>
      <w:ind w:left="340" w:hanging="340"/>
    </w:pPr>
  </w:style>
  <w:style w:type="paragraph" w:customStyle="1" w:styleId="JuTitle">
    <w:name w:val="Ju_Title"/>
    <w:basedOn w:val="Normale"/>
    <w:next w:val="ECHRPara"/>
    <w:uiPriority w:val="3"/>
    <w:semiHidden/>
    <w:qFormat/>
    <w:rsid w:val="00700153"/>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00153"/>
    <w:pPr>
      <w:ind w:left="346" w:firstLine="0"/>
    </w:pPr>
  </w:style>
  <w:style w:type="paragraph" w:customStyle="1" w:styleId="OpiH1">
    <w:name w:val="Opi_H_1"/>
    <w:basedOn w:val="ECHRHeading2"/>
    <w:uiPriority w:val="42"/>
    <w:qFormat/>
    <w:rsid w:val="00700153"/>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700153"/>
    <w:rPr>
      <w:vertAlign w:val="superscript"/>
    </w:rPr>
  </w:style>
  <w:style w:type="paragraph" w:styleId="Testonotadichiusura">
    <w:name w:val="endnote text"/>
    <w:basedOn w:val="Normale"/>
    <w:link w:val="TestonotadichiusuraCarattere"/>
    <w:uiPriority w:val="99"/>
    <w:semiHidden/>
    <w:rsid w:val="00700153"/>
    <w:rPr>
      <w:sz w:val="20"/>
      <w:szCs w:val="20"/>
    </w:rPr>
  </w:style>
  <w:style w:type="character" w:customStyle="1" w:styleId="TestonotadichiusuraCarattere">
    <w:name w:val="Testo nota di chiusura Carattere"/>
    <w:basedOn w:val="Carpredefinitoparagrafo"/>
    <w:link w:val="Testonotadichiusura"/>
    <w:uiPriority w:val="99"/>
    <w:semiHidden/>
    <w:rsid w:val="00700153"/>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700153"/>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700153"/>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700153"/>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70015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0015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0015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0015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700153"/>
    <w:pPr>
      <w:tabs>
        <w:tab w:val="clear" w:pos="357"/>
      </w:tabs>
      <w:outlineLvl w:val="1"/>
    </w:pPr>
    <w:rPr>
      <w:b/>
    </w:rPr>
  </w:style>
  <w:style w:type="paragraph" w:customStyle="1" w:styleId="OpiHi">
    <w:name w:val="Opi_H_i"/>
    <w:basedOn w:val="ECHRHeading4"/>
    <w:uiPriority w:val="44"/>
    <w:qFormat/>
    <w:rsid w:val="00700153"/>
    <w:pPr>
      <w:ind w:left="1037" w:hanging="357"/>
      <w:outlineLvl w:val="4"/>
    </w:pPr>
    <w:rPr>
      <w:b w:val="0"/>
      <w:i/>
    </w:rPr>
  </w:style>
  <w:style w:type="paragraph" w:customStyle="1" w:styleId="OpiPara">
    <w:name w:val="Opi_Para"/>
    <w:basedOn w:val="ECHRPara"/>
    <w:uiPriority w:val="46"/>
    <w:qFormat/>
    <w:rsid w:val="00700153"/>
  </w:style>
  <w:style w:type="paragraph" w:customStyle="1" w:styleId="OpiParaSub">
    <w:name w:val="Opi_Para_Sub"/>
    <w:basedOn w:val="JuParaSub"/>
    <w:uiPriority w:val="47"/>
    <w:qFormat/>
    <w:rsid w:val="00700153"/>
  </w:style>
  <w:style w:type="paragraph" w:customStyle="1" w:styleId="OpiQuot">
    <w:name w:val="Opi_Quot"/>
    <w:basedOn w:val="ECHRParaQuote"/>
    <w:uiPriority w:val="48"/>
    <w:qFormat/>
    <w:rsid w:val="00700153"/>
  </w:style>
  <w:style w:type="paragraph" w:customStyle="1" w:styleId="OpiQuotSub">
    <w:name w:val="Opi_Quot_Sub"/>
    <w:basedOn w:val="JuQuotSub"/>
    <w:uiPriority w:val="49"/>
    <w:qFormat/>
    <w:rsid w:val="00700153"/>
  </w:style>
  <w:style w:type="paragraph" w:customStyle="1" w:styleId="OpiTranslation">
    <w:name w:val="Opi_Translation"/>
    <w:basedOn w:val="Normale"/>
    <w:next w:val="OpiPara"/>
    <w:uiPriority w:val="40"/>
    <w:qFormat/>
    <w:rsid w:val="00700153"/>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textcolumn">
    <w:name w:val="textcolumn"/>
    <w:basedOn w:val="Carpredefinitoparagrafo"/>
    <w:rsid w:val="00A10218"/>
  </w:style>
  <w:style w:type="paragraph" w:customStyle="1" w:styleId="ECHRParaSpaced">
    <w:name w:val="ECHR_Para_Spaced"/>
    <w:aliases w:val="Para_Spaced"/>
    <w:basedOn w:val="Normale"/>
    <w:uiPriority w:val="4"/>
    <w:rsid w:val="00493EB9"/>
    <w:pPr>
      <w:spacing w:before="120" w:after="120"/>
    </w:pPr>
    <w:rPr>
      <w:rFonts w:eastAsiaTheme="minorHAnsi"/>
      <w:sz w:val="22"/>
    </w:rPr>
  </w:style>
  <w:style w:type="character" w:customStyle="1" w:styleId="column">
    <w:name w:val="column"/>
    <w:basedOn w:val="Carpredefinitoparagrafo"/>
    <w:rsid w:val="00F61C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57"/>
    <w:lsdException w:name="footer" w:uiPriority="57"/>
    <w:lsdException w:name="caption" w:qFormat="1"/>
    <w:lsdException w:name="List Number" w:unhideWhenUsed="0"/>
    <w:lsdException w:name="List 4" w:unhideWhenUsed="0"/>
    <w:lsdException w:name="List 5" w:unhideWhenUsed="0"/>
    <w:lsdException w:name="Title" w:semiHidden="0" w:unhideWhenUsed="0" w:qFormat="1"/>
    <w:lsdException w:name="Default Paragraph Font" w:uiPriority="1"/>
    <w:lsdException w:name="Subtitle" w:unhideWhenUsed="0" w:qFormat="1"/>
    <w:lsdException w:name="Salutation" w:unhideWhenUsed="0"/>
    <w:lsdException w:name="Date" w:unhideWhenUsed="0"/>
    <w:lsdException w:name="Body Text First Indent"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e">
    <w:name w:val="Normal"/>
    <w:semiHidden/>
    <w:rsid w:val="00700153"/>
    <w:pPr>
      <w:jc w:val="both"/>
    </w:pPr>
    <w:rPr>
      <w:rFonts w:eastAsiaTheme="minorEastAsia"/>
      <w:sz w:val="24"/>
      <w:lang w:val="en-GB"/>
    </w:rPr>
  </w:style>
  <w:style w:type="paragraph" w:styleId="Titolo1">
    <w:name w:val="heading 1"/>
    <w:basedOn w:val="Normale"/>
    <w:next w:val="Normale"/>
    <w:link w:val="Titolo1Carattere"/>
    <w:uiPriority w:val="99"/>
    <w:semiHidden/>
    <w:rsid w:val="00700153"/>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700153"/>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700153"/>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700153"/>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700153"/>
    <w:pPr>
      <w:spacing w:before="200"/>
      <w:outlineLvl w:val="4"/>
    </w:pPr>
    <w:rPr>
      <w:rFonts w:asciiTheme="majorHAnsi" w:eastAsiaTheme="majorEastAsia" w:hAnsiTheme="majorHAnsi" w:cstheme="majorBidi"/>
      <w:b/>
      <w:bCs/>
      <w:color w:val="808080"/>
      <w:sz w:val="22"/>
      <w:lang w:val="en-US"/>
    </w:rPr>
  </w:style>
  <w:style w:type="paragraph" w:styleId="Titolo6">
    <w:name w:val="heading 6"/>
    <w:basedOn w:val="Normale"/>
    <w:next w:val="Normale"/>
    <w:link w:val="Titolo6Carattere"/>
    <w:uiPriority w:val="99"/>
    <w:semiHidden/>
    <w:rsid w:val="00700153"/>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700153"/>
    <w:pPr>
      <w:outlineLvl w:val="6"/>
    </w:pPr>
    <w:rPr>
      <w:rFonts w:asciiTheme="majorHAnsi" w:eastAsiaTheme="majorEastAsia" w:hAnsiTheme="majorHAnsi" w:cstheme="majorBidi"/>
      <w:i/>
      <w:iCs/>
      <w:sz w:val="22"/>
      <w:lang w:val="en-US" w:bidi="en-US"/>
    </w:rPr>
  </w:style>
  <w:style w:type="paragraph" w:styleId="Titolo8">
    <w:name w:val="heading 8"/>
    <w:basedOn w:val="Normale"/>
    <w:next w:val="Normale"/>
    <w:link w:val="Titolo8Carattere"/>
    <w:uiPriority w:val="99"/>
    <w:semiHidden/>
    <w:qFormat/>
    <w:rsid w:val="00700153"/>
    <w:pPr>
      <w:outlineLvl w:val="7"/>
    </w:pPr>
    <w:rPr>
      <w:rFonts w:asciiTheme="majorHAnsi" w:eastAsiaTheme="majorEastAsia" w:hAnsiTheme="majorHAnsi" w:cstheme="majorBidi"/>
      <w:sz w:val="20"/>
      <w:szCs w:val="20"/>
      <w:lang w:val="en-US" w:bidi="en-US"/>
    </w:rPr>
  </w:style>
  <w:style w:type="paragraph" w:styleId="Titolo9">
    <w:name w:val="heading 9"/>
    <w:basedOn w:val="Normale"/>
    <w:next w:val="Normale"/>
    <w:link w:val="Titolo9Carattere"/>
    <w:uiPriority w:val="99"/>
    <w:semiHidden/>
    <w:qFormat/>
    <w:rsid w:val="00700153"/>
    <w:pPr>
      <w:outlineLvl w:val="8"/>
    </w:pPr>
    <w:rPr>
      <w:rFonts w:asciiTheme="majorHAnsi" w:eastAsiaTheme="majorEastAsia" w:hAnsiTheme="majorHAnsi" w:cstheme="majorBidi"/>
      <w:i/>
      <w:iCs/>
      <w:spacing w:val="5"/>
      <w:sz w:val="20"/>
      <w:szCs w:val="20"/>
      <w:lang w:val="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7001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00153"/>
    <w:rPr>
      <w:rFonts w:ascii="Tahoma" w:eastAsiaTheme="minorEastAsia" w:hAnsi="Tahoma" w:cs="Tahoma"/>
      <w:sz w:val="16"/>
      <w:szCs w:val="16"/>
      <w:lang w:val="en-GB"/>
    </w:rPr>
  </w:style>
  <w:style w:type="character" w:styleId="Titolodellibro">
    <w:name w:val="Book Title"/>
    <w:uiPriority w:val="99"/>
    <w:semiHidden/>
    <w:qFormat/>
    <w:rsid w:val="00700153"/>
    <w:rPr>
      <w:i/>
      <w:iCs/>
      <w:smallCaps/>
      <w:spacing w:val="5"/>
    </w:rPr>
  </w:style>
  <w:style w:type="paragraph" w:customStyle="1" w:styleId="ECHRHeader">
    <w:name w:val="ECHR_Header"/>
    <w:aliases w:val="Ju_Header"/>
    <w:basedOn w:val="Intestazione"/>
    <w:uiPriority w:val="4"/>
    <w:qFormat/>
    <w:rsid w:val="00700153"/>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700153"/>
    <w:pPr>
      <w:jc w:val="left"/>
    </w:pPr>
    <w:rPr>
      <w:sz w:val="8"/>
    </w:rPr>
  </w:style>
  <w:style w:type="character" w:styleId="Enfasigrassetto">
    <w:name w:val="Strong"/>
    <w:uiPriority w:val="99"/>
    <w:semiHidden/>
    <w:qFormat/>
    <w:rsid w:val="00700153"/>
    <w:rPr>
      <w:b/>
      <w:bCs/>
    </w:rPr>
  </w:style>
  <w:style w:type="paragraph" w:styleId="Nessunaspaziatura">
    <w:name w:val="No Spacing"/>
    <w:basedOn w:val="Normale"/>
    <w:link w:val="NessunaspaziaturaCarattere"/>
    <w:semiHidden/>
    <w:qFormat/>
    <w:rsid w:val="00700153"/>
    <w:rPr>
      <w:sz w:val="22"/>
      <w:lang w:val="en-US"/>
    </w:rPr>
  </w:style>
  <w:style w:type="character" w:customStyle="1" w:styleId="NessunaspaziaturaCarattere">
    <w:name w:val="Nessuna spaziatura Carattere"/>
    <w:basedOn w:val="Carpredefinitoparagrafo"/>
    <w:link w:val="Nessunaspaziatura"/>
    <w:semiHidden/>
    <w:rsid w:val="00700153"/>
    <w:rPr>
      <w:rFonts w:eastAsiaTheme="minorEastAsia"/>
    </w:rPr>
  </w:style>
  <w:style w:type="paragraph" w:customStyle="1" w:styleId="ECHRFooterLine">
    <w:name w:val="ECHR_Footer_Line"/>
    <w:aliases w:val="Footer_Line"/>
    <w:basedOn w:val="Normale"/>
    <w:next w:val="ECHRFooter"/>
    <w:uiPriority w:val="57"/>
    <w:semiHidden/>
    <w:rsid w:val="00700153"/>
    <w:pPr>
      <w:pBdr>
        <w:top w:val="single" w:sz="6" w:space="1" w:color="5F5F5F"/>
      </w:pBdr>
      <w:tabs>
        <w:tab w:val="center" w:pos="4536"/>
        <w:tab w:val="right" w:pos="9696"/>
      </w:tabs>
      <w:ind w:left="-680" w:right="-680"/>
      <w:jc w:val="left"/>
    </w:pPr>
    <w:rPr>
      <w:color w:val="5F5F5F"/>
    </w:rPr>
  </w:style>
  <w:style w:type="paragraph" w:customStyle="1" w:styleId="DecHTitle">
    <w:name w:val="Dec_H_Title"/>
    <w:basedOn w:val="ECHRTitleCentre1"/>
    <w:uiPriority w:val="7"/>
    <w:semiHidden/>
    <w:qFormat/>
    <w:rsid w:val="00700153"/>
  </w:style>
  <w:style w:type="paragraph" w:customStyle="1" w:styleId="DecList">
    <w:name w:val="Dec_List"/>
    <w:basedOn w:val="Normale"/>
    <w:uiPriority w:val="9"/>
    <w:semiHidden/>
    <w:qFormat/>
    <w:rsid w:val="00700153"/>
    <w:pPr>
      <w:spacing w:before="240"/>
      <w:ind w:left="284"/>
    </w:pPr>
  </w:style>
  <w:style w:type="paragraph" w:customStyle="1" w:styleId="DummyStyle">
    <w:name w:val="Dummy_Style"/>
    <w:basedOn w:val="Normale"/>
    <w:semiHidden/>
    <w:qFormat/>
    <w:rsid w:val="00700153"/>
    <w:rPr>
      <w:color w:val="00B050"/>
    </w:rPr>
  </w:style>
  <w:style w:type="paragraph" w:customStyle="1" w:styleId="ECHRTitleCentre3">
    <w:name w:val="ECHR_Title_Centre_3"/>
    <w:aliases w:val="Ju_H_Article"/>
    <w:basedOn w:val="Normale"/>
    <w:next w:val="ECHRParaQuote"/>
    <w:uiPriority w:val="27"/>
    <w:qFormat/>
    <w:rsid w:val="00700153"/>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700153"/>
    <w:pPr>
      <w:keepNext/>
      <w:keepLines/>
      <w:spacing w:after="240"/>
      <w:jc w:val="center"/>
      <w:outlineLvl w:val="0"/>
    </w:pPr>
    <w:rPr>
      <w:rFonts w:asciiTheme="majorHAnsi" w:hAnsiTheme="majorHAnsi"/>
      <w:sz w:val="28"/>
    </w:rPr>
  </w:style>
  <w:style w:type="paragraph" w:customStyle="1" w:styleId="JuAppQuestion">
    <w:name w:val="Ju_App_Question"/>
    <w:basedOn w:val="Normale"/>
    <w:uiPriority w:val="5"/>
    <w:semiHidden/>
    <w:qFormat/>
    <w:rsid w:val="00700153"/>
    <w:pPr>
      <w:numPr>
        <w:numId w:val="28"/>
      </w:numPr>
      <w:jc w:val="left"/>
    </w:pPr>
    <w:rPr>
      <w:b/>
    </w:rPr>
  </w:style>
  <w:style w:type="paragraph" w:customStyle="1" w:styleId="JuCourt">
    <w:name w:val="Ju_Court"/>
    <w:basedOn w:val="Normale"/>
    <w:next w:val="Normale"/>
    <w:uiPriority w:val="16"/>
    <w:qFormat/>
    <w:rsid w:val="00700153"/>
    <w:pPr>
      <w:tabs>
        <w:tab w:val="left" w:pos="907"/>
        <w:tab w:val="left" w:pos="1701"/>
        <w:tab w:val="right" w:pos="7371"/>
      </w:tabs>
      <w:spacing w:before="240"/>
      <w:ind w:left="397" w:hanging="397"/>
      <w:jc w:val="left"/>
    </w:pPr>
    <w:rPr>
      <w:lang w:bidi="en-US"/>
    </w:rPr>
  </w:style>
  <w:style w:type="paragraph" w:customStyle="1" w:styleId="JuHeaderLandscape">
    <w:name w:val="Ju_Header_Landscape"/>
    <w:basedOn w:val="ECHRHeader"/>
    <w:uiPriority w:val="4"/>
    <w:qFormat/>
    <w:rsid w:val="00700153"/>
    <w:pPr>
      <w:tabs>
        <w:tab w:val="clear" w:pos="3686"/>
        <w:tab w:val="clear" w:pos="7371"/>
        <w:tab w:val="center" w:pos="6146"/>
        <w:tab w:val="right" w:pos="12293"/>
      </w:tabs>
    </w:pPr>
  </w:style>
  <w:style w:type="paragraph" w:customStyle="1" w:styleId="ECHRTitleCentre2">
    <w:name w:val="ECHR_Title_Centre_2"/>
    <w:aliases w:val="Dec_H_Case"/>
    <w:basedOn w:val="Normale"/>
    <w:next w:val="ECHRPara"/>
    <w:uiPriority w:val="8"/>
    <w:qFormat/>
    <w:rsid w:val="00700153"/>
    <w:pPr>
      <w:spacing w:after="240"/>
      <w:jc w:val="center"/>
      <w:outlineLvl w:val="0"/>
    </w:pPr>
    <w:rPr>
      <w:rFonts w:asciiTheme="majorHAnsi" w:hAnsiTheme="majorHAnsi"/>
    </w:rPr>
  </w:style>
  <w:style w:type="paragraph" w:customStyle="1" w:styleId="JuInitialled">
    <w:name w:val="Ju_Initialled"/>
    <w:basedOn w:val="Normale"/>
    <w:uiPriority w:val="31"/>
    <w:qFormat/>
    <w:rsid w:val="00700153"/>
    <w:pPr>
      <w:tabs>
        <w:tab w:val="center" w:pos="6407"/>
      </w:tabs>
      <w:spacing w:before="720"/>
      <w:jc w:val="right"/>
    </w:pPr>
  </w:style>
  <w:style w:type="paragraph" w:styleId="Titolo">
    <w:name w:val="Title"/>
    <w:basedOn w:val="Normale"/>
    <w:next w:val="Normale"/>
    <w:link w:val="TitoloCarattere"/>
    <w:uiPriority w:val="99"/>
    <w:semiHidden/>
    <w:qFormat/>
    <w:rsid w:val="00700153"/>
    <w:pPr>
      <w:pBdr>
        <w:bottom w:val="single" w:sz="4" w:space="1" w:color="auto"/>
      </w:pBdr>
      <w:contextualSpacing/>
    </w:pPr>
    <w:rPr>
      <w:rFonts w:asciiTheme="majorHAnsi" w:eastAsiaTheme="majorEastAsia" w:hAnsiTheme="majorHAnsi" w:cstheme="majorBidi"/>
      <w:spacing w:val="5"/>
      <w:sz w:val="52"/>
      <w:szCs w:val="52"/>
      <w:lang w:val="en-US" w:bidi="en-US"/>
    </w:rPr>
  </w:style>
  <w:style w:type="character" w:customStyle="1" w:styleId="TitoloCarattere">
    <w:name w:val="Titolo Carattere"/>
    <w:basedOn w:val="Carpredefinitoparagrafo"/>
    <w:link w:val="Titolo"/>
    <w:uiPriority w:val="99"/>
    <w:semiHidden/>
    <w:rsid w:val="00700153"/>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700153"/>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Titolo4"/>
    <w:next w:val="ECHRPara"/>
    <w:uiPriority w:val="22"/>
    <w:qFormat/>
    <w:rsid w:val="00700153"/>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700153"/>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700153"/>
    <w:pPr>
      <w:keepNext/>
      <w:keepLines/>
      <w:tabs>
        <w:tab w:val="left" w:pos="1372"/>
      </w:tabs>
      <w:spacing w:before="240" w:after="120" w:line="240" w:lineRule="auto"/>
      <w:ind w:left="1373" w:hanging="335"/>
    </w:pPr>
    <w:rPr>
      <w:b w:val="0"/>
      <w:i w:val="0"/>
      <w:color w:val="auto"/>
      <w:sz w:val="20"/>
    </w:rPr>
  </w:style>
  <w:style w:type="paragraph" w:customStyle="1" w:styleId="ECHRHeading7">
    <w:name w:val="ECHR_Heading_7"/>
    <w:aliases w:val="Ju_H_–"/>
    <w:basedOn w:val="Titolo7"/>
    <w:next w:val="ECHRPara"/>
    <w:uiPriority w:val="25"/>
    <w:qFormat/>
    <w:rsid w:val="00700153"/>
    <w:pPr>
      <w:keepNext/>
      <w:keepLines/>
      <w:spacing w:before="240" w:after="120"/>
      <w:ind w:left="1236"/>
    </w:pPr>
    <w:rPr>
      <w:sz w:val="20"/>
      <w:lang w:val="en-GB"/>
    </w:rPr>
  </w:style>
  <w:style w:type="paragraph" w:customStyle="1" w:styleId="JuListi">
    <w:name w:val="Ju_List_i"/>
    <w:basedOn w:val="Normale"/>
    <w:next w:val="JuLista"/>
    <w:uiPriority w:val="28"/>
    <w:qFormat/>
    <w:rsid w:val="00700153"/>
    <w:pPr>
      <w:ind w:left="794"/>
    </w:pPr>
  </w:style>
  <w:style w:type="character" w:customStyle="1" w:styleId="JUNAMES">
    <w:name w:val="JU_NAMES"/>
    <w:uiPriority w:val="17"/>
    <w:qFormat/>
    <w:rsid w:val="00700153"/>
    <w:rPr>
      <w:caps w:val="0"/>
      <w:smallCaps/>
    </w:rPr>
  </w:style>
  <w:style w:type="paragraph" w:customStyle="1" w:styleId="JuParaSub">
    <w:name w:val="Ju_Para_Sub"/>
    <w:basedOn w:val="ECHRPara"/>
    <w:uiPriority w:val="13"/>
    <w:qFormat/>
    <w:rsid w:val="00700153"/>
    <w:pPr>
      <w:ind w:left="284"/>
    </w:pPr>
  </w:style>
  <w:style w:type="paragraph" w:styleId="Intestazione">
    <w:name w:val="header"/>
    <w:basedOn w:val="Normale"/>
    <w:link w:val="IntestazioneCarattere"/>
    <w:uiPriority w:val="57"/>
    <w:semiHidden/>
    <w:rsid w:val="00700153"/>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700153"/>
    <w:rPr>
      <w:sz w:val="24"/>
      <w:lang w:val="en-GB"/>
    </w:rPr>
  </w:style>
  <w:style w:type="character" w:customStyle="1" w:styleId="Titolo1Carattere">
    <w:name w:val="Titolo 1 Carattere"/>
    <w:basedOn w:val="Carpredefinitoparagrafo"/>
    <w:link w:val="Titolo1"/>
    <w:uiPriority w:val="99"/>
    <w:semiHidden/>
    <w:rsid w:val="00700153"/>
    <w:rPr>
      <w:rFonts w:asciiTheme="majorHAnsi" w:eastAsiaTheme="majorEastAsia" w:hAnsiTheme="majorHAnsi" w:cstheme="majorBidi"/>
      <w:b/>
      <w:bCs/>
      <w:color w:val="333333"/>
      <w:sz w:val="28"/>
      <w:szCs w:val="28"/>
      <w:lang w:val="en-GB"/>
    </w:rPr>
  </w:style>
  <w:style w:type="paragraph" w:customStyle="1" w:styleId="ECHRHeading1">
    <w:name w:val="ECHR_Heading_1"/>
    <w:aliases w:val="Ju_H_I_Roman"/>
    <w:basedOn w:val="Titolo1"/>
    <w:next w:val="ECHRPara"/>
    <w:uiPriority w:val="19"/>
    <w:qFormat/>
    <w:rsid w:val="00700153"/>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700153"/>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700153"/>
    <w:rPr>
      <w:rFonts w:asciiTheme="majorHAnsi" w:eastAsiaTheme="majorEastAsia" w:hAnsiTheme="majorHAnsi" w:cstheme="majorBidi"/>
      <w:b/>
      <w:bCs/>
      <w:color w:val="4D4D4D"/>
      <w:sz w:val="26"/>
      <w:szCs w:val="26"/>
      <w:lang w:val="en-GB"/>
    </w:rPr>
  </w:style>
  <w:style w:type="paragraph" w:customStyle="1" w:styleId="JuQuotSub">
    <w:name w:val="Ju_Quot_Sub"/>
    <w:basedOn w:val="ECHRParaQuote"/>
    <w:uiPriority w:val="15"/>
    <w:qFormat/>
    <w:rsid w:val="00700153"/>
    <w:pPr>
      <w:ind w:left="567"/>
    </w:pPr>
  </w:style>
  <w:style w:type="paragraph" w:customStyle="1" w:styleId="ECHRDecisionBody">
    <w:name w:val="ECHR_Decision_Body"/>
    <w:aliases w:val="Ju_Judges"/>
    <w:basedOn w:val="Normale"/>
    <w:uiPriority w:val="11"/>
    <w:qFormat/>
    <w:rsid w:val="00700153"/>
    <w:pPr>
      <w:tabs>
        <w:tab w:val="left" w:pos="567"/>
        <w:tab w:val="left" w:pos="1134"/>
      </w:tabs>
      <w:jc w:val="left"/>
    </w:pPr>
  </w:style>
  <w:style w:type="character" w:customStyle="1" w:styleId="Titolo3Carattere">
    <w:name w:val="Titolo 3 Carattere"/>
    <w:basedOn w:val="Carpredefinitoparagrafo"/>
    <w:link w:val="Titolo3"/>
    <w:uiPriority w:val="99"/>
    <w:semiHidden/>
    <w:rsid w:val="00700153"/>
    <w:rPr>
      <w:rFonts w:asciiTheme="majorHAnsi" w:eastAsiaTheme="majorEastAsia" w:hAnsiTheme="majorHAnsi" w:cstheme="majorBidi"/>
      <w:b/>
      <w:bCs/>
      <w:color w:val="5F5F5F"/>
      <w:sz w:val="24"/>
      <w:lang w:val="en-GB"/>
    </w:rPr>
  </w:style>
  <w:style w:type="paragraph" w:customStyle="1" w:styleId="ECHRPara">
    <w:name w:val="ECHR_Para"/>
    <w:aliases w:val="Ju_Para"/>
    <w:basedOn w:val="Normale"/>
    <w:uiPriority w:val="12"/>
    <w:qFormat/>
    <w:rsid w:val="00700153"/>
    <w:pPr>
      <w:ind w:firstLine="284"/>
    </w:pPr>
  </w:style>
  <w:style w:type="character" w:customStyle="1" w:styleId="Titolo4Carattere">
    <w:name w:val="Titolo 4 Carattere"/>
    <w:basedOn w:val="Carpredefinitoparagrafo"/>
    <w:link w:val="Titolo4"/>
    <w:uiPriority w:val="99"/>
    <w:semiHidden/>
    <w:rsid w:val="00700153"/>
    <w:rPr>
      <w:rFonts w:asciiTheme="majorHAnsi" w:eastAsiaTheme="majorEastAsia" w:hAnsiTheme="majorHAnsi" w:cstheme="majorBidi"/>
      <w:b/>
      <w:bCs/>
      <w:i/>
      <w:iCs/>
      <w:color w:val="777777"/>
      <w:sz w:val="24"/>
      <w:lang w:val="en-GB"/>
    </w:rPr>
  </w:style>
  <w:style w:type="character" w:customStyle="1" w:styleId="Titolo5Carattere">
    <w:name w:val="Titolo 5 Carattere"/>
    <w:basedOn w:val="Carpredefinitoparagrafo"/>
    <w:link w:val="Titolo5"/>
    <w:uiPriority w:val="99"/>
    <w:semiHidden/>
    <w:rsid w:val="00700153"/>
    <w:rPr>
      <w:rFonts w:asciiTheme="majorHAnsi" w:eastAsiaTheme="majorEastAsia" w:hAnsiTheme="majorHAnsi" w:cstheme="majorBidi"/>
      <w:b/>
      <w:bCs/>
      <w:color w:val="808080"/>
    </w:rPr>
  </w:style>
  <w:style w:type="character" w:styleId="Enfasidelicata">
    <w:name w:val="Subtle Emphasis"/>
    <w:uiPriority w:val="99"/>
    <w:semiHidden/>
    <w:qFormat/>
    <w:rsid w:val="00700153"/>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700153"/>
    <w:pPr>
      <w:keepNext/>
      <w:keepLines/>
      <w:spacing w:before="720" w:after="240"/>
      <w:outlineLvl w:val="0"/>
    </w:pPr>
    <w:rPr>
      <w:rFonts w:asciiTheme="majorHAnsi" w:hAnsiTheme="majorHAnsi"/>
      <w:sz w:val="28"/>
    </w:rPr>
  </w:style>
  <w:style w:type="character" w:styleId="Enfasicorsivo">
    <w:name w:val="Emphasis"/>
    <w:uiPriority w:val="99"/>
    <w:semiHidden/>
    <w:qFormat/>
    <w:rsid w:val="00700153"/>
    <w:rPr>
      <w:b/>
      <w:bCs/>
      <w:i/>
      <w:iCs/>
      <w:spacing w:val="10"/>
      <w:bdr w:val="none" w:sz="0" w:space="0" w:color="auto"/>
      <w:shd w:val="clear" w:color="auto" w:fill="auto"/>
    </w:rPr>
  </w:style>
  <w:style w:type="paragraph" w:styleId="Pidipagina">
    <w:name w:val="footer"/>
    <w:basedOn w:val="Normale"/>
    <w:link w:val="PidipaginaCarattere"/>
    <w:uiPriority w:val="57"/>
    <w:semiHidden/>
    <w:rsid w:val="00700153"/>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700153"/>
    <w:rPr>
      <w:sz w:val="24"/>
      <w:lang w:val="en-GB"/>
    </w:rPr>
  </w:style>
  <w:style w:type="character" w:styleId="Rimandonotaapidipagina">
    <w:name w:val="footnote reference"/>
    <w:basedOn w:val="Carpredefinitoparagrafo"/>
    <w:uiPriority w:val="99"/>
    <w:semiHidden/>
    <w:rsid w:val="00700153"/>
    <w:rPr>
      <w:vertAlign w:val="superscript"/>
    </w:rPr>
  </w:style>
  <w:style w:type="paragraph" w:styleId="Testonotaapidipagina">
    <w:name w:val="footnote text"/>
    <w:basedOn w:val="Normale"/>
    <w:link w:val="TestonotaapidipaginaCarattere"/>
    <w:uiPriority w:val="99"/>
    <w:semiHidden/>
    <w:rsid w:val="00700153"/>
    <w:rPr>
      <w:sz w:val="20"/>
      <w:szCs w:val="20"/>
    </w:rPr>
  </w:style>
  <w:style w:type="character" w:customStyle="1" w:styleId="TestonotaapidipaginaCarattere">
    <w:name w:val="Testo nota a piè di pagina Carattere"/>
    <w:basedOn w:val="Carpredefinitoparagrafo"/>
    <w:link w:val="Testonotaapidipagina"/>
    <w:uiPriority w:val="99"/>
    <w:semiHidden/>
    <w:rsid w:val="00700153"/>
    <w:rPr>
      <w:rFonts w:eastAsiaTheme="minorEastAsia"/>
      <w:sz w:val="20"/>
      <w:szCs w:val="20"/>
      <w:lang w:val="en-GB"/>
    </w:rPr>
  </w:style>
  <w:style w:type="character" w:customStyle="1" w:styleId="Titolo6Carattere">
    <w:name w:val="Titolo 6 Carattere"/>
    <w:basedOn w:val="Carpredefinitoparagrafo"/>
    <w:link w:val="Titolo6"/>
    <w:uiPriority w:val="99"/>
    <w:semiHidden/>
    <w:rsid w:val="00700153"/>
    <w:rPr>
      <w:rFonts w:asciiTheme="majorHAnsi" w:eastAsiaTheme="majorEastAsia" w:hAnsiTheme="majorHAnsi" w:cstheme="majorBidi"/>
      <w:b/>
      <w:bCs/>
      <w:i/>
      <w:iCs/>
      <w:color w:val="7F7F7F" w:themeColor="text1" w:themeTint="80"/>
      <w:sz w:val="24"/>
      <w:lang w:val="en-GB" w:bidi="en-US"/>
    </w:rPr>
  </w:style>
  <w:style w:type="character" w:customStyle="1" w:styleId="Titolo7Carattere">
    <w:name w:val="Titolo 7 Carattere"/>
    <w:basedOn w:val="Carpredefinitoparagrafo"/>
    <w:link w:val="Titolo7"/>
    <w:uiPriority w:val="99"/>
    <w:semiHidden/>
    <w:rsid w:val="00700153"/>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700153"/>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700153"/>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700153"/>
    <w:rPr>
      <w:color w:val="0072BC" w:themeColor="hyperlink"/>
      <w:u w:val="single"/>
    </w:rPr>
  </w:style>
  <w:style w:type="character" w:styleId="Enfasiintensa">
    <w:name w:val="Intense Emphasis"/>
    <w:uiPriority w:val="99"/>
    <w:semiHidden/>
    <w:qFormat/>
    <w:rsid w:val="00700153"/>
    <w:rPr>
      <w:b/>
      <w:bCs/>
    </w:rPr>
  </w:style>
  <w:style w:type="paragraph" w:styleId="Citazioneintensa">
    <w:name w:val="Intense Quote"/>
    <w:basedOn w:val="Normale"/>
    <w:next w:val="Normale"/>
    <w:link w:val="CitazioneintensaCarattere"/>
    <w:uiPriority w:val="99"/>
    <w:semiHidden/>
    <w:qFormat/>
    <w:rsid w:val="00700153"/>
    <w:pPr>
      <w:pBdr>
        <w:bottom w:val="single" w:sz="4" w:space="1" w:color="auto"/>
      </w:pBdr>
      <w:spacing w:before="200" w:after="280"/>
      <w:ind w:left="1008" w:right="1152"/>
    </w:pPr>
    <w:rPr>
      <w:b/>
      <w:bCs/>
      <w:i/>
      <w:iCs/>
      <w:sz w:val="22"/>
      <w:lang w:val="en-US" w:bidi="en-US"/>
    </w:rPr>
  </w:style>
  <w:style w:type="character" w:customStyle="1" w:styleId="CitazioneintensaCarattere">
    <w:name w:val="Citazione intensa Carattere"/>
    <w:basedOn w:val="Carpredefinitoparagrafo"/>
    <w:link w:val="Citazioneintensa"/>
    <w:uiPriority w:val="99"/>
    <w:semiHidden/>
    <w:rsid w:val="00700153"/>
    <w:rPr>
      <w:rFonts w:eastAsiaTheme="minorEastAsia"/>
      <w:b/>
      <w:bCs/>
      <w:i/>
      <w:iCs/>
      <w:lang w:bidi="en-US"/>
    </w:rPr>
  </w:style>
  <w:style w:type="character" w:styleId="Riferimentointenso">
    <w:name w:val="Intense Reference"/>
    <w:uiPriority w:val="99"/>
    <w:semiHidden/>
    <w:qFormat/>
    <w:rsid w:val="00700153"/>
    <w:rPr>
      <w:smallCaps/>
      <w:spacing w:val="5"/>
      <w:u w:val="single"/>
    </w:rPr>
  </w:style>
  <w:style w:type="paragraph" w:styleId="Paragrafoelenco">
    <w:name w:val="List Paragraph"/>
    <w:basedOn w:val="Normale"/>
    <w:uiPriority w:val="99"/>
    <w:semiHidden/>
    <w:qFormat/>
    <w:rsid w:val="00700153"/>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700153"/>
    <w:pPr>
      <w:spacing w:before="200"/>
      <w:ind w:left="360" w:right="360"/>
    </w:pPr>
    <w:rPr>
      <w:i/>
      <w:iCs/>
      <w:sz w:val="22"/>
      <w:lang w:val="en-US" w:bidi="en-US"/>
    </w:rPr>
  </w:style>
  <w:style w:type="character" w:customStyle="1" w:styleId="CitazioneCarattere">
    <w:name w:val="Citazione Carattere"/>
    <w:basedOn w:val="Carpredefinitoparagrafo"/>
    <w:link w:val="Citazione"/>
    <w:uiPriority w:val="99"/>
    <w:semiHidden/>
    <w:rsid w:val="00700153"/>
    <w:rPr>
      <w:rFonts w:eastAsiaTheme="minorEastAsia"/>
      <w:i/>
      <w:iCs/>
      <w:lang w:bidi="en-US"/>
    </w:rPr>
  </w:style>
  <w:style w:type="character" w:styleId="Riferimentodelicato">
    <w:name w:val="Subtle Reference"/>
    <w:uiPriority w:val="99"/>
    <w:semiHidden/>
    <w:qFormat/>
    <w:rsid w:val="00700153"/>
    <w:rPr>
      <w:smallCaps/>
    </w:rPr>
  </w:style>
  <w:style w:type="table" w:styleId="Grigliatabella">
    <w:name w:val="Table Grid"/>
    <w:basedOn w:val="Tabellanormale"/>
    <w:uiPriority w:val="59"/>
    <w:semiHidden/>
    <w:rsid w:val="0070015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700153"/>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700153"/>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700153"/>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700153"/>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700153"/>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700153"/>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700153"/>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700153"/>
    <w:pPr>
      <w:spacing w:before="120" w:after="120"/>
      <w:ind w:left="425" w:firstLine="142"/>
    </w:pPr>
    <w:rPr>
      <w:sz w:val="20"/>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00153"/>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700153"/>
    <w:pPr>
      <w:tabs>
        <w:tab w:val="center" w:pos="851"/>
        <w:tab w:val="center" w:pos="6407"/>
      </w:tabs>
      <w:spacing w:before="720"/>
      <w:jc w:val="left"/>
    </w:pPr>
  </w:style>
  <w:style w:type="paragraph" w:customStyle="1" w:styleId="JuParaLast">
    <w:name w:val="Ju_Para_Last"/>
    <w:basedOn w:val="Normale"/>
    <w:next w:val="ECHRPara"/>
    <w:uiPriority w:val="30"/>
    <w:qFormat/>
    <w:rsid w:val="00700153"/>
    <w:pPr>
      <w:keepNext/>
      <w:keepLines/>
      <w:spacing w:before="240"/>
      <w:ind w:firstLine="284"/>
    </w:pPr>
  </w:style>
  <w:style w:type="paragraph" w:customStyle="1" w:styleId="JuCase">
    <w:name w:val="Ju_Case"/>
    <w:basedOn w:val="Normale"/>
    <w:next w:val="ECHRPara"/>
    <w:uiPriority w:val="10"/>
    <w:rsid w:val="00700153"/>
    <w:pPr>
      <w:ind w:firstLine="284"/>
    </w:pPr>
    <w:rPr>
      <w:b/>
    </w:rPr>
  </w:style>
  <w:style w:type="paragraph" w:customStyle="1" w:styleId="JuList">
    <w:name w:val="Ju_List"/>
    <w:basedOn w:val="Normale"/>
    <w:uiPriority w:val="28"/>
    <w:qFormat/>
    <w:rsid w:val="00700153"/>
    <w:pPr>
      <w:ind w:left="340" w:hanging="340"/>
    </w:pPr>
  </w:style>
  <w:style w:type="paragraph" w:customStyle="1" w:styleId="JuTitle">
    <w:name w:val="Ju_Title"/>
    <w:basedOn w:val="Normale"/>
    <w:next w:val="ECHRPara"/>
    <w:uiPriority w:val="3"/>
    <w:semiHidden/>
    <w:qFormat/>
    <w:rsid w:val="00700153"/>
    <w:pPr>
      <w:spacing w:before="720" w:after="240"/>
      <w:jc w:val="center"/>
      <w:outlineLvl w:val="0"/>
    </w:pPr>
    <w:rPr>
      <w:rFonts w:asciiTheme="majorHAnsi" w:hAnsiTheme="majorHAnsi"/>
      <w:b/>
      <w:caps/>
    </w:rPr>
  </w:style>
  <w:style w:type="character" w:styleId="Numeropagina">
    <w:name w:val="page number"/>
    <w:uiPriority w:val="99"/>
    <w:semiHidden/>
    <w:rsid w:val="00E77CB3"/>
    <w:rPr>
      <w:rFonts w:ascii="Times New Roman" w:hAnsi="Times New Roman" w:cs="Times New Roman"/>
      <w:sz w:val="18"/>
    </w:rPr>
  </w:style>
  <w:style w:type="paragraph" w:customStyle="1" w:styleId="JuLista">
    <w:name w:val="Ju_List_a"/>
    <w:basedOn w:val="JuList"/>
    <w:uiPriority w:val="28"/>
    <w:qFormat/>
    <w:rsid w:val="00700153"/>
    <w:pPr>
      <w:ind w:left="346" w:firstLine="0"/>
    </w:pPr>
  </w:style>
  <w:style w:type="paragraph" w:customStyle="1" w:styleId="OpiH1">
    <w:name w:val="Opi_H_1"/>
    <w:basedOn w:val="ECHRHeading2"/>
    <w:uiPriority w:val="42"/>
    <w:qFormat/>
    <w:rsid w:val="00700153"/>
    <w:pPr>
      <w:ind w:left="635" w:hanging="357"/>
      <w:outlineLvl w:val="2"/>
    </w:pPr>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basedOn w:val="Carpredefinitoparagrafo"/>
    <w:uiPriority w:val="99"/>
    <w:semiHidden/>
    <w:rsid w:val="00700153"/>
    <w:rPr>
      <w:vertAlign w:val="superscript"/>
    </w:rPr>
  </w:style>
  <w:style w:type="paragraph" w:styleId="Testonotadichiusura">
    <w:name w:val="endnote text"/>
    <w:basedOn w:val="Normale"/>
    <w:link w:val="TestonotadichiusuraCarattere"/>
    <w:uiPriority w:val="99"/>
    <w:semiHidden/>
    <w:rsid w:val="00700153"/>
    <w:rPr>
      <w:sz w:val="20"/>
      <w:szCs w:val="20"/>
    </w:rPr>
  </w:style>
  <w:style w:type="character" w:customStyle="1" w:styleId="TestonotadichiusuraCarattere">
    <w:name w:val="Testo nota di chiusura Carattere"/>
    <w:basedOn w:val="Carpredefinitoparagrafo"/>
    <w:link w:val="Testonotadichiusura"/>
    <w:uiPriority w:val="99"/>
    <w:semiHidden/>
    <w:rsid w:val="00700153"/>
    <w:rPr>
      <w:rFonts w:eastAsiaTheme="minorEastAsia"/>
      <w:sz w:val="20"/>
      <w:szCs w:val="20"/>
      <w:lang w:val="en-GB"/>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OpiHa">
    <w:name w:val="Opi_H_a"/>
    <w:basedOn w:val="ECHRHeading3"/>
    <w:uiPriority w:val="43"/>
    <w:qFormat/>
    <w:rsid w:val="00700153"/>
    <w:pPr>
      <w:ind w:left="833" w:hanging="357"/>
      <w:outlineLvl w:val="3"/>
    </w:pPr>
    <w:rPr>
      <w:b/>
      <w:i w:val="0"/>
      <w:sz w:val="20"/>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character" w:customStyle="1" w:styleId="JuITMark">
    <w:name w:val="Ju_ITMark"/>
    <w:basedOn w:val="Carpredefinitoparagrafo"/>
    <w:uiPriority w:val="38"/>
    <w:qFormat/>
    <w:rsid w:val="00700153"/>
    <w:rPr>
      <w:vanish w:val="0"/>
      <w:color w:val="auto"/>
      <w:sz w:val="14"/>
      <w:bdr w:val="none" w:sz="0" w:space="0" w:color="auto"/>
      <w:shd w:val="clear" w:color="auto" w:fill="BEE5FF" w:themeFill="background1" w:themeFillTint="33"/>
    </w:rPr>
  </w:style>
  <w:style w:type="paragraph" w:styleId="Sottotitolo">
    <w:name w:val="Subtitle"/>
    <w:basedOn w:val="Normale"/>
    <w:next w:val="Normale"/>
    <w:link w:val="SottotitoloCarattere"/>
    <w:uiPriority w:val="99"/>
    <w:semiHidden/>
    <w:qFormat/>
    <w:rsid w:val="00700153"/>
    <w:pPr>
      <w:spacing w:after="600"/>
    </w:pPr>
    <w:rPr>
      <w:rFonts w:asciiTheme="majorHAnsi" w:eastAsiaTheme="majorEastAsia" w:hAnsiTheme="majorHAnsi" w:cstheme="majorBidi"/>
      <w:i/>
      <w:iCs/>
      <w:spacing w:val="13"/>
      <w:szCs w:val="24"/>
      <w:lang w:val="en-US" w:bidi="en-US"/>
    </w:rPr>
  </w:style>
  <w:style w:type="character" w:customStyle="1" w:styleId="SottotitoloCarattere">
    <w:name w:val="Sottotitolo Carattere"/>
    <w:basedOn w:val="Carpredefinitoparagrafo"/>
    <w:link w:val="Sottotitolo"/>
    <w:uiPriority w:val="99"/>
    <w:semiHidden/>
    <w:rsid w:val="00700153"/>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700153"/>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agrigli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agrigli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agrigli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agrigli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grigli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aelenco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lenco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aelenco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aelenco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aelenco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aelenco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aelenco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700153"/>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700153"/>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OpiHA0">
    <w:name w:val="Opi_H_A"/>
    <w:basedOn w:val="ECHRHeading1"/>
    <w:next w:val="OpiPara"/>
    <w:uiPriority w:val="41"/>
    <w:qFormat/>
    <w:rsid w:val="00700153"/>
    <w:pPr>
      <w:tabs>
        <w:tab w:val="clear" w:pos="357"/>
      </w:tabs>
      <w:outlineLvl w:val="1"/>
    </w:pPr>
    <w:rPr>
      <w:b/>
    </w:rPr>
  </w:style>
  <w:style w:type="paragraph" w:customStyle="1" w:styleId="OpiHi">
    <w:name w:val="Opi_H_i"/>
    <w:basedOn w:val="ECHRHeading4"/>
    <w:uiPriority w:val="44"/>
    <w:qFormat/>
    <w:rsid w:val="00700153"/>
    <w:pPr>
      <w:ind w:left="1037" w:hanging="357"/>
      <w:outlineLvl w:val="4"/>
    </w:pPr>
    <w:rPr>
      <w:b w:val="0"/>
      <w:i/>
    </w:rPr>
  </w:style>
  <w:style w:type="paragraph" w:customStyle="1" w:styleId="OpiPara">
    <w:name w:val="Opi_Para"/>
    <w:basedOn w:val="ECHRPara"/>
    <w:uiPriority w:val="46"/>
    <w:qFormat/>
    <w:rsid w:val="00700153"/>
  </w:style>
  <w:style w:type="paragraph" w:customStyle="1" w:styleId="OpiParaSub">
    <w:name w:val="Opi_Para_Sub"/>
    <w:basedOn w:val="JuParaSub"/>
    <w:uiPriority w:val="47"/>
    <w:qFormat/>
    <w:rsid w:val="00700153"/>
  </w:style>
  <w:style w:type="paragraph" w:customStyle="1" w:styleId="OpiQuot">
    <w:name w:val="Opi_Quot"/>
    <w:basedOn w:val="ECHRParaQuote"/>
    <w:uiPriority w:val="48"/>
    <w:qFormat/>
    <w:rsid w:val="00700153"/>
  </w:style>
  <w:style w:type="paragraph" w:customStyle="1" w:styleId="OpiQuotSub">
    <w:name w:val="Opi_Quot_Sub"/>
    <w:basedOn w:val="JuQuotSub"/>
    <w:uiPriority w:val="49"/>
    <w:qFormat/>
    <w:rsid w:val="00700153"/>
  </w:style>
  <w:style w:type="paragraph" w:customStyle="1" w:styleId="OpiTranslation">
    <w:name w:val="Opi_Translation"/>
    <w:basedOn w:val="Normale"/>
    <w:next w:val="OpiPara"/>
    <w:uiPriority w:val="40"/>
    <w:qFormat/>
    <w:rsid w:val="00700153"/>
    <w:pPr>
      <w:jc w:val="center"/>
      <w:outlineLvl w:val="0"/>
    </w:pPr>
    <w:rPr>
      <w:i/>
    </w:rPr>
  </w:style>
  <w:style w:type="paragraph" w:customStyle="1" w:styleId="ECHRSpacer">
    <w:name w:val="ECHR_Spacer"/>
    <w:basedOn w:val="Normale"/>
    <w:uiPriority w:val="45"/>
    <w:rsid w:val="00AA755B"/>
    <w:pPr>
      <w:jc w:val="left"/>
    </w:pPr>
    <w:rPr>
      <w:rFonts w:eastAsiaTheme="minorHAnsi"/>
      <w:sz w:val="4"/>
    </w:rPr>
  </w:style>
  <w:style w:type="character" w:customStyle="1" w:styleId="textcolumn">
    <w:name w:val="textcolumn"/>
    <w:basedOn w:val="Carpredefinitoparagrafo"/>
    <w:rsid w:val="00A10218"/>
  </w:style>
  <w:style w:type="paragraph" w:customStyle="1" w:styleId="ECHRParaSpaced">
    <w:name w:val="ECHR_Para_Spaced"/>
    <w:aliases w:val="Para_Spaced"/>
    <w:basedOn w:val="Normale"/>
    <w:uiPriority w:val="4"/>
    <w:rsid w:val="00493EB9"/>
    <w:pPr>
      <w:spacing w:before="120" w:after="120"/>
    </w:pPr>
    <w:rPr>
      <w:rFonts w:eastAsiaTheme="minorHAnsi"/>
      <w:sz w:val="22"/>
    </w:rPr>
  </w:style>
  <w:style w:type="character" w:customStyle="1" w:styleId="column">
    <w:name w:val="column"/>
    <w:basedOn w:val="Carpredefinitoparagrafo"/>
    <w:rsid w:val="00F61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3167">
      <w:bodyDiv w:val="1"/>
      <w:marLeft w:val="0"/>
      <w:marRight w:val="0"/>
      <w:marTop w:val="0"/>
      <w:marBottom w:val="0"/>
      <w:divBdr>
        <w:top w:val="none" w:sz="0" w:space="0" w:color="auto"/>
        <w:left w:val="none" w:sz="0" w:space="0" w:color="auto"/>
        <w:bottom w:val="none" w:sz="0" w:space="0" w:color="auto"/>
        <w:right w:val="none" w:sz="0" w:space="0" w:color="auto"/>
      </w:divBdr>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883471372">
      <w:bodyDiv w:val="1"/>
      <w:marLeft w:val="0"/>
      <w:marRight w:val="0"/>
      <w:marTop w:val="0"/>
      <w:marBottom w:val="0"/>
      <w:divBdr>
        <w:top w:val="none" w:sz="0" w:space="0" w:color="auto"/>
        <w:left w:val="none" w:sz="0" w:space="0" w:color="auto"/>
        <w:bottom w:val="none" w:sz="0" w:space="0" w:color="auto"/>
        <w:right w:val="none" w:sz="0" w:space="0" w:color="auto"/>
      </w:divBdr>
      <w:divsChild>
        <w:div w:id="1339697761">
          <w:marLeft w:val="0"/>
          <w:marRight w:val="0"/>
          <w:marTop w:val="0"/>
          <w:marBottom w:val="0"/>
          <w:divBdr>
            <w:top w:val="none" w:sz="0" w:space="0" w:color="auto"/>
            <w:left w:val="none" w:sz="0" w:space="0" w:color="auto"/>
            <w:bottom w:val="none" w:sz="0" w:space="0" w:color="auto"/>
            <w:right w:val="none" w:sz="0" w:space="0" w:color="auto"/>
          </w:divBdr>
          <w:divsChild>
            <w:div w:id="1543635546">
              <w:marLeft w:val="0"/>
              <w:marRight w:val="0"/>
              <w:marTop w:val="0"/>
              <w:marBottom w:val="0"/>
              <w:divBdr>
                <w:top w:val="none" w:sz="0" w:space="0" w:color="auto"/>
                <w:left w:val="none" w:sz="0" w:space="0" w:color="auto"/>
                <w:bottom w:val="none" w:sz="0" w:space="0" w:color="auto"/>
                <w:right w:val="none" w:sz="0" w:space="0" w:color="auto"/>
              </w:divBdr>
              <w:divsChild>
                <w:div w:id="1038359783">
                  <w:marLeft w:val="0"/>
                  <w:marRight w:val="0"/>
                  <w:marTop w:val="0"/>
                  <w:marBottom w:val="0"/>
                  <w:divBdr>
                    <w:top w:val="none" w:sz="0" w:space="0" w:color="auto"/>
                    <w:left w:val="none" w:sz="0" w:space="0" w:color="auto"/>
                    <w:bottom w:val="none" w:sz="0" w:space="0" w:color="auto"/>
                    <w:right w:val="none" w:sz="0" w:space="0" w:color="auto"/>
                  </w:divBdr>
                  <w:divsChild>
                    <w:div w:id="1794714178">
                      <w:marLeft w:val="0"/>
                      <w:marRight w:val="0"/>
                      <w:marTop w:val="0"/>
                      <w:marBottom w:val="0"/>
                      <w:divBdr>
                        <w:top w:val="none" w:sz="0" w:space="0" w:color="auto"/>
                        <w:left w:val="none" w:sz="0" w:space="0" w:color="auto"/>
                        <w:bottom w:val="none" w:sz="0" w:space="0" w:color="auto"/>
                        <w:right w:val="none" w:sz="0" w:space="0" w:color="auto"/>
                      </w:divBdr>
                      <w:divsChild>
                        <w:div w:id="1977950934">
                          <w:marLeft w:val="0"/>
                          <w:marRight w:val="0"/>
                          <w:marTop w:val="0"/>
                          <w:marBottom w:val="0"/>
                          <w:divBdr>
                            <w:top w:val="none" w:sz="0" w:space="0" w:color="auto"/>
                            <w:left w:val="none" w:sz="0" w:space="0" w:color="auto"/>
                            <w:bottom w:val="none" w:sz="0" w:space="0" w:color="auto"/>
                            <w:right w:val="none" w:sz="0" w:space="0" w:color="auto"/>
                          </w:divBdr>
                          <w:divsChild>
                            <w:div w:id="3911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876273">
      <w:bodyDiv w:val="1"/>
      <w:marLeft w:val="0"/>
      <w:marRight w:val="0"/>
      <w:marTop w:val="0"/>
      <w:marBottom w:val="0"/>
      <w:divBdr>
        <w:top w:val="none" w:sz="0" w:space="0" w:color="auto"/>
        <w:left w:val="none" w:sz="0" w:space="0" w:color="auto"/>
        <w:bottom w:val="none" w:sz="0" w:space="0" w:color="auto"/>
        <w:right w:val="none" w:sz="0" w:space="0" w:color="auto"/>
      </w:divBdr>
      <w:divsChild>
        <w:div w:id="1805922430">
          <w:marLeft w:val="0"/>
          <w:marRight w:val="0"/>
          <w:marTop w:val="0"/>
          <w:marBottom w:val="0"/>
          <w:divBdr>
            <w:top w:val="none" w:sz="0" w:space="0" w:color="auto"/>
            <w:left w:val="none" w:sz="0" w:space="0" w:color="auto"/>
            <w:bottom w:val="none" w:sz="0" w:space="0" w:color="auto"/>
            <w:right w:val="none" w:sz="0" w:space="0" w:color="auto"/>
          </w:divBdr>
          <w:divsChild>
            <w:div w:id="1445029808">
              <w:marLeft w:val="0"/>
              <w:marRight w:val="0"/>
              <w:marTop w:val="0"/>
              <w:marBottom w:val="0"/>
              <w:divBdr>
                <w:top w:val="none" w:sz="0" w:space="0" w:color="auto"/>
                <w:left w:val="none" w:sz="0" w:space="0" w:color="auto"/>
                <w:bottom w:val="none" w:sz="0" w:space="0" w:color="auto"/>
                <w:right w:val="none" w:sz="0" w:space="0" w:color="auto"/>
              </w:divBdr>
              <w:divsChild>
                <w:div w:id="651494779">
                  <w:marLeft w:val="0"/>
                  <w:marRight w:val="0"/>
                  <w:marTop w:val="0"/>
                  <w:marBottom w:val="0"/>
                  <w:divBdr>
                    <w:top w:val="none" w:sz="0" w:space="0" w:color="auto"/>
                    <w:left w:val="none" w:sz="0" w:space="0" w:color="auto"/>
                    <w:bottom w:val="none" w:sz="0" w:space="0" w:color="auto"/>
                    <w:right w:val="none" w:sz="0" w:space="0" w:color="auto"/>
                  </w:divBdr>
                  <w:divsChild>
                    <w:div w:id="1045711638">
                      <w:marLeft w:val="0"/>
                      <w:marRight w:val="0"/>
                      <w:marTop w:val="0"/>
                      <w:marBottom w:val="0"/>
                      <w:divBdr>
                        <w:top w:val="none" w:sz="0" w:space="0" w:color="auto"/>
                        <w:left w:val="none" w:sz="0" w:space="0" w:color="auto"/>
                        <w:bottom w:val="none" w:sz="0" w:space="0" w:color="auto"/>
                        <w:right w:val="none" w:sz="0" w:space="0" w:color="auto"/>
                      </w:divBdr>
                      <w:divsChild>
                        <w:div w:id="1592396125">
                          <w:marLeft w:val="0"/>
                          <w:marRight w:val="0"/>
                          <w:marTop w:val="0"/>
                          <w:marBottom w:val="0"/>
                          <w:divBdr>
                            <w:top w:val="none" w:sz="0" w:space="0" w:color="auto"/>
                            <w:left w:val="none" w:sz="0" w:space="0" w:color="auto"/>
                            <w:bottom w:val="none" w:sz="0" w:space="0" w:color="auto"/>
                            <w:right w:val="none" w:sz="0" w:space="0" w:color="auto"/>
                          </w:divBdr>
                          <w:divsChild>
                            <w:div w:id="725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hudoc.echr.coe.int/eng"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3592-5AD2-4A09-950F-8D2A65D19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CE6BC1-0188-4166-B4DB-AEED8A31C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922141E-19C3-490B-A09E-9661A26A749D}">
  <ds:schemaRefs>
    <ds:schemaRef ds:uri="http://schemas.microsoft.com/sharepoint/v3/contenttype/forms"/>
  </ds:schemaRefs>
</ds:datastoreItem>
</file>

<file path=customXml/itemProps4.xml><?xml version="1.0" encoding="utf-8"?>
<ds:datastoreItem xmlns:ds="http://schemas.openxmlformats.org/officeDocument/2006/customXml" ds:itemID="{83BF9346-1263-402F-A473-25AD0FE4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2992</Words>
  <Characters>17055</Characters>
  <Application>Microsoft Office Word</Application>
  <DocSecurity>0</DocSecurity>
  <Lines>142</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2018-10-24T14:19:00Z</dcterms:created>
  <dcterms:modified xsi:type="dcterms:W3CDTF">2018-10-24T14:19:00Z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39186/11</vt:lpwstr>
  </property>
  <property fmtid="{D5CDD505-2E9C-101B-9397-08002B2CF9AE}" pid="4" name="CASEID">
    <vt:lpwstr>729518</vt:lpwstr>
  </property>
  <property fmtid="{D5CDD505-2E9C-101B-9397-08002B2CF9AE}" pid="5" name="ContentTypeId">
    <vt:lpwstr>0x010100558EB02BDB9E204AB350EDD385B68E10</vt:lpwstr>
  </property>
</Properties>
</file>