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9B1" w:rsidRPr="005F174B" w:rsidRDefault="00A639B1" w:rsidP="005F174B">
      <w:pPr>
        <w:jc w:val="center"/>
        <w:rPr>
          <w:lang w:val="fr-FR"/>
        </w:rPr>
      </w:pPr>
      <w:bookmarkStart w:id="0" w:name="_GoBack"/>
      <w:bookmarkEnd w:id="0"/>
    </w:p>
    <w:p w:rsidR="002D2C99" w:rsidRPr="005F174B" w:rsidRDefault="002D2C99" w:rsidP="005F174B">
      <w:pPr>
        <w:jc w:val="center"/>
        <w:rPr>
          <w:lang w:val="fr-FR"/>
        </w:rPr>
      </w:pPr>
    </w:p>
    <w:p w:rsidR="00DD699B" w:rsidRPr="005F174B" w:rsidRDefault="00DD699B" w:rsidP="005F174B">
      <w:pPr>
        <w:jc w:val="center"/>
        <w:rPr>
          <w:lang w:val="fr-FR"/>
        </w:rPr>
      </w:pPr>
    </w:p>
    <w:p w:rsidR="002D2C99" w:rsidRPr="005F174B" w:rsidRDefault="00A639B1" w:rsidP="005F174B">
      <w:pPr>
        <w:tabs>
          <w:tab w:val="left" w:pos="5529"/>
        </w:tabs>
        <w:jc w:val="center"/>
        <w:rPr>
          <w:lang w:val="fr-FR"/>
        </w:rPr>
      </w:pPr>
      <w:r w:rsidRPr="005F174B">
        <w:rPr>
          <w:lang w:val="fr-FR"/>
        </w:rPr>
        <w:t>PREMIÈRE SECTION</w:t>
      </w:r>
    </w:p>
    <w:p w:rsidR="002D2C99" w:rsidRPr="005F174B" w:rsidRDefault="002D2C99" w:rsidP="005F174B">
      <w:pPr>
        <w:jc w:val="center"/>
        <w:rPr>
          <w:lang w:val="fr-FR"/>
        </w:rPr>
      </w:pPr>
    </w:p>
    <w:p w:rsidR="004840F1" w:rsidRPr="005F174B" w:rsidRDefault="004840F1" w:rsidP="005F174B">
      <w:pPr>
        <w:jc w:val="center"/>
        <w:rPr>
          <w:lang w:val="fr-FR"/>
        </w:rPr>
      </w:pPr>
    </w:p>
    <w:p w:rsidR="00782886" w:rsidRPr="005F174B" w:rsidRDefault="00782886" w:rsidP="005F174B">
      <w:pPr>
        <w:jc w:val="center"/>
        <w:rPr>
          <w:lang w:val="fr-FR"/>
        </w:rPr>
      </w:pPr>
    </w:p>
    <w:p w:rsidR="00B6614D" w:rsidRPr="005F174B" w:rsidRDefault="00B6614D" w:rsidP="005F174B">
      <w:pPr>
        <w:jc w:val="center"/>
        <w:rPr>
          <w:lang w:val="fr-FR"/>
        </w:rPr>
      </w:pPr>
    </w:p>
    <w:p w:rsidR="00CA4473" w:rsidRPr="005F174B" w:rsidRDefault="00CA4473" w:rsidP="005F174B">
      <w:pPr>
        <w:jc w:val="center"/>
        <w:rPr>
          <w:lang w:val="fr-FR"/>
        </w:rPr>
      </w:pPr>
    </w:p>
    <w:p w:rsidR="002D2C99" w:rsidRPr="005F174B" w:rsidRDefault="002D2C99" w:rsidP="005F174B">
      <w:pPr>
        <w:jc w:val="center"/>
        <w:rPr>
          <w:lang w:val="fr-FR"/>
        </w:rPr>
      </w:pPr>
    </w:p>
    <w:p w:rsidR="002D2C99" w:rsidRPr="005F174B" w:rsidRDefault="002D2C99" w:rsidP="005F174B">
      <w:pPr>
        <w:jc w:val="center"/>
        <w:outlineLvl w:val="0"/>
        <w:rPr>
          <w:b/>
          <w:lang w:val="fr-FR"/>
        </w:rPr>
      </w:pPr>
      <w:r w:rsidRPr="005F174B">
        <w:rPr>
          <w:b/>
          <w:lang w:val="fr-FR"/>
        </w:rPr>
        <w:t xml:space="preserve">AFFAIRE </w:t>
      </w:r>
      <w:r w:rsidR="00A639B1" w:rsidRPr="005F174B">
        <w:rPr>
          <w:b/>
          <w:lang w:val="fr-FR"/>
        </w:rPr>
        <w:t>ARNABOLDI c. ITALIE</w:t>
      </w:r>
    </w:p>
    <w:p w:rsidR="002D2C99" w:rsidRPr="005F174B" w:rsidRDefault="002D2C99" w:rsidP="005F174B">
      <w:pPr>
        <w:jc w:val="center"/>
        <w:rPr>
          <w:lang w:val="fr-FR"/>
        </w:rPr>
      </w:pPr>
    </w:p>
    <w:p w:rsidR="002D2C99" w:rsidRPr="005F174B" w:rsidRDefault="002D2C99" w:rsidP="005F174B">
      <w:pPr>
        <w:jc w:val="center"/>
        <w:rPr>
          <w:i/>
          <w:lang w:val="fr-FR"/>
        </w:rPr>
      </w:pPr>
      <w:r w:rsidRPr="005F174B">
        <w:rPr>
          <w:i/>
          <w:lang w:val="fr-FR"/>
        </w:rPr>
        <w:t>(</w:t>
      </w:r>
      <w:r w:rsidR="00A639B1" w:rsidRPr="005F174B">
        <w:rPr>
          <w:i/>
          <w:lang w:val="fr-FR"/>
        </w:rPr>
        <w:t>Requête n</w:t>
      </w:r>
      <w:r w:rsidR="00A639B1" w:rsidRPr="005F174B">
        <w:rPr>
          <w:i/>
          <w:vertAlign w:val="superscript"/>
          <w:lang w:val="fr-FR"/>
        </w:rPr>
        <w:t>o</w:t>
      </w:r>
      <w:r w:rsidR="00956E5B" w:rsidRPr="005F174B">
        <w:rPr>
          <w:i/>
          <w:lang w:val="fr-FR"/>
        </w:rPr>
        <w:t xml:space="preserve"> </w:t>
      </w:r>
      <w:r w:rsidR="00A639B1" w:rsidRPr="005F174B">
        <w:rPr>
          <w:i/>
          <w:lang w:val="fr-FR"/>
        </w:rPr>
        <w:t>43422/07</w:t>
      </w:r>
      <w:r w:rsidRPr="005F174B">
        <w:rPr>
          <w:i/>
          <w:lang w:val="fr-FR"/>
        </w:rPr>
        <w:t>)</w:t>
      </w:r>
    </w:p>
    <w:p w:rsidR="002D2C99" w:rsidRPr="005F174B" w:rsidRDefault="002D2C99" w:rsidP="005F174B">
      <w:pPr>
        <w:jc w:val="center"/>
        <w:rPr>
          <w:lang w:val="fr-FR"/>
        </w:rPr>
      </w:pPr>
    </w:p>
    <w:p w:rsidR="002D2C99" w:rsidRPr="005F174B" w:rsidRDefault="002D2C99" w:rsidP="005F174B">
      <w:pPr>
        <w:jc w:val="center"/>
        <w:rPr>
          <w:lang w:val="fr-FR"/>
        </w:rPr>
      </w:pPr>
    </w:p>
    <w:p w:rsidR="00B6614D" w:rsidRPr="005F174B" w:rsidRDefault="00B6614D" w:rsidP="005F174B">
      <w:pPr>
        <w:jc w:val="center"/>
        <w:rPr>
          <w:lang w:val="fr-FR"/>
        </w:rPr>
      </w:pPr>
    </w:p>
    <w:p w:rsidR="002D2C99" w:rsidRPr="005F174B" w:rsidRDefault="002D2C99" w:rsidP="005F174B">
      <w:pPr>
        <w:jc w:val="center"/>
        <w:rPr>
          <w:lang w:val="fr-FR"/>
        </w:rPr>
      </w:pPr>
    </w:p>
    <w:p w:rsidR="002D2C99" w:rsidRPr="005F174B" w:rsidRDefault="002D2C99" w:rsidP="005F174B">
      <w:pPr>
        <w:jc w:val="center"/>
        <w:rPr>
          <w:lang w:val="fr-FR"/>
        </w:rPr>
      </w:pPr>
    </w:p>
    <w:p w:rsidR="002D2C99" w:rsidRPr="005F174B" w:rsidRDefault="002D2C99" w:rsidP="005F174B">
      <w:pPr>
        <w:jc w:val="center"/>
        <w:rPr>
          <w:lang w:val="fr-FR"/>
        </w:rPr>
      </w:pPr>
    </w:p>
    <w:p w:rsidR="002D2C99" w:rsidRPr="005F174B" w:rsidRDefault="002D2C99" w:rsidP="005F174B">
      <w:pPr>
        <w:jc w:val="center"/>
        <w:rPr>
          <w:lang w:val="fr-FR"/>
        </w:rPr>
      </w:pPr>
    </w:p>
    <w:p w:rsidR="002D2C99" w:rsidRPr="005F174B" w:rsidRDefault="002D2C99" w:rsidP="005F174B">
      <w:pPr>
        <w:jc w:val="center"/>
        <w:rPr>
          <w:lang w:val="fr-FR"/>
        </w:rPr>
      </w:pPr>
    </w:p>
    <w:p w:rsidR="002D2C99" w:rsidRPr="005F174B" w:rsidRDefault="002D2C99" w:rsidP="005F174B">
      <w:pPr>
        <w:jc w:val="center"/>
        <w:rPr>
          <w:lang w:val="fr-FR"/>
        </w:rPr>
      </w:pPr>
    </w:p>
    <w:p w:rsidR="005F174B" w:rsidRPr="005F174B" w:rsidRDefault="005F174B" w:rsidP="005F174B">
      <w:pPr>
        <w:jc w:val="center"/>
        <w:rPr>
          <w:lang w:val="fr-FR"/>
        </w:rPr>
      </w:pPr>
    </w:p>
    <w:p w:rsidR="005F174B" w:rsidRPr="005F174B" w:rsidRDefault="005F174B" w:rsidP="005F174B">
      <w:pPr>
        <w:jc w:val="center"/>
        <w:rPr>
          <w:lang w:val="fr-FR"/>
        </w:rPr>
      </w:pPr>
    </w:p>
    <w:p w:rsidR="00B6614D" w:rsidRPr="005F174B" w:rsidRDefault="00B6614D" w:rsidP="005F174B">
      <w:pPr>
        <w:jc w:val="center"/>
        <w:rPr>
          <w:lang w:val="fr-FR"/>
        </w:rPr>
      </w:pPr>
    </w:p>
    <w:p w:rsidR="002D2C99" w:rsidRPr="005F174B" w:rsidRDefault="002D2C99" w:rsidP="005F174B">
      <w:pPr>
        <w:jc w:val="center"/>
        <w:outlineLvl w:val="0"/>
        <w:rPr>
          <w:lang w:val="fr-FR"/>
        </w:rPr>
      </w:pPr>
      <w:r w:rsidRPr="005F174B">
        <w:rPr>
          <w:lang w:val="fr-FR"/>
        </w:rPr>
        <w:t>ARRÊT</w:t>
      </w:r>
    </w:p>
    <w:p w:rsidR="00437861" w:rsidRPr="005F174B" w:rsidRDefault="00437861" w:rsidP="005F174B">
      <w:pPr>
        <w:jc w:val="center"/>
        <w:rPr>
          <w:lang w:val="fr-FR"/>
        </w:rPr>
      </w:pPr>
    </w:p>
    <w:p w:rsidR="00437861" w:rsidRPr="005F174B" w:rsidRDefault="00437861" w:rsidP="005F174B">
      <w:pPr>
        <w:jc w:val="center"/>
        <w:rPr>
          <w:lang w:val="fr-FR"/>
        </w:rPr>
      </w:pPr>
    </w:p>
    <w:p w:rsidR="005F174B" w:rsidRPr="005F174B" w:rsidRDefault="005F174B" w:rsidP="005F174B">
      <w:pPr>
        <w:jc w:val="center"/>
        <w:rPr>
          <w:lang w:val="fr-FR"/>
        </w:rPr>
      </w:pPr>
    </w:p>
    <w:p w:rsidR="005F174B" w:rsidRPr="005F174B" w:rsidRDefault="005F174B" w:rsidP="005F174B">
      <w:pPr>
        <w:jc w:val="center"/>
        <w:rPr>
          <w:lang w:val="fr-FR"/>
        </w:rPr>
      </w:pPr>
    </w:p>
    <w:p w:rsidR="002D2C99" w:rsidRPr="005F174B" w:rsidRDefault="002D2C99" w:rsidP="005F174B">
      <w:pPr>
        <w:jc w:val="center"/>
        <w:outlineLvl w:val="0"/>
        <w:rPr>
          <w:lang w:val="fr-FR"/>
        </w:rPr>
      </w:pPr>
      <w:r w:rsidRPr="005F174B">
        <w:rPr>
          <w:lang w:val="fr-FR"/>
        </w:rPr>
        <w:t>STRASBOURG</w:t>
      </w:r>
    </w:p>
    <w:p w:rsidR="002D2C99" w:rsidRPr="005F174B" w:rsidRDefault="002D2C99" w:rsidP="005F174B">
      <w:pPr>
        <w:jc w:val="center"/>
        <w:rPr>
          <w:lang w:val="fr-FR"/>
        </w:rPr>
      </w:pPr>
    </w:p>
    <w:p w:rsidR="00EA2502" w:rsidRPr="005F174B" w:rsidRDefault="00A639B1" w:rsidP="005F174B">
      <w:pPr>
        <w:jc w:val="center"/>
        <w:rPr>
          <w:lang w:val="fr-FR"/>
        </w:rPr>
      </w:pPr>
      <w:r w:rsidRPr="005F174B">
        <w:rPr>
          <w:szCs w:val="24"/>
          <w:lang w:val="fr-FR"/>
        </w:rPr>
        <w:t>14 mars 2019</w:t>
      </w:r>
    </w:p>
    <w:p w:rsidR="002D2C99" w:rsidRPr="005F174B" w:rsidRDefault="002D2C99" w:rsidP="005F174B">
      <w:pPr>
        <w:jc w:val="center"/>
        <w:rPr>
          <w:lang w:val="fr-FR"/>
        </w:rPr>
      </w:pPr>
    </w:p>
    <w:p w:rsidR="00B6614D" w:rsidRPr="005F174B" w:rsidRDefault="00B6614D" w:rsidP="005F174B">
      <w:pPr>
        <w:jc w:val="center"/>
        <w:rPr>
          <w:i/>
          <w:sz w:val="22"/>
          <w:lang w:val="fr-FR"/>
        </w:rPr>
      </w:pPr>
    </w:p>
    <w:p w:rsidR="00437861" w:rsidRPr="005F174B" w:rsidRDefault="00437861" w:rsidP="005F174B">
      <w:pPr>
        <w:jc w:val="center"/>
        <w:rPr>
          <w:i/>
          <w:sz w:val="22"/>
          <w:lang w:val="fr-FR"/>
        </w:rPr>
      </w:pPr>
    </w:p>
    <w:p w:rsidR="002D2C99" w:rsidRPr="005F174B" w:rsidRDefault="002D2C99" w:rsidP="005F174B">
      <w:pPr>
        <w:jc w:val="left"/>
        <w:rPr>
          <w:i/>
          <w:lang w:val="fr-FR"/>
        </w:rPr>
      </w:pPr>
      <w:r w:rsidRPr="005F174B">
        <w:rPr>
          <w:i/>
          <w:sz w:val="22"/>
          <w:lang w:val="fr-FR"/>
        </w:rPr>
        <w:t>Cet arrêt</w:t>
      </w:r>
      <w:r w:rsidR="00A639B1" w:rsidRPr="005F174B">
        <w:rPr>
          <w:i/>
          <w:sz w:val="22"/>
          <w:lang w:val="fr-FR"/>
        </w:rPr>
        <w:t xml:space="preserve"> deviendra définitif dans les conditions définies à l</w:t>
      </w:r>
      <w:r w:rsidR="005F174B" w:rsidRPr="005F174B">
        <w:rPr>
          <w:i/>
          <w:sz w:val="22"/>
          <w:lang w:val="fr-FR"/>
        </w:rPr>
        <w:t>’</w:t>
      </w:r>
      <w:r w:rsidR="00A639B1" w:rsidRPr="005F174B">
        <w:rPr>
          <w:i/>
          <w:sz w:val="22"/>
          <w:lang w:val="fr-FR"/>
        </w:rPr>
        <w:t>article 44 § 2 de la Convention</w:t>
      </w:r>
      <w:r w:rsidRPr="005F174B">
        <w:rPr>
          <w:i/>
          <w:sz w:val="22"/>
          <w:lang w:val="fr-FR"/>
        </w:rPr>
        <w:t>. Il peut subir des retouches de forme.</w:t>
      </w:r>
    </w:p>
    <w:p w:rsidR="002D2C99" w:rsidRPr="005F174B" w:rsidRDefault="002D2C99" w:rsidP="005F174B">
      <w:pPr>
        <w:rPr>
          <w:lang w:val="fr-FR"/>
        </w:rPr>
        <w:sectPr w:rsidR="002D2C99" w:rsidRPr="005F174B" w:rsidSect="00F5432B">
          <w:headerReference w:type="default" r:id="rId12"/>
          <w:footerReference w:type="default" r:id="rId13"/>
          <w:footnotePr>
            <w:numRestart w:val="eachSect"/>
          </w:footnotePr>
          <w:pgSz w:w="11906" w:h="16838" w:code="9"/>
          <w:pgMar w:top="2274" w:right="2274" w:bottom="2274" w:left="2274" w:header="1701" w:footer="720" w:gutter="0"/>
          <w:pgNumType w:start="1"/>
          <w:cols w:space="720"/>
          <w:noEndnote/>
        </w:sectPr>
      </w:pPr>
    </w:p>
    <w:p w:rsidR="002D2C99" w:rsidRPr="005F174B" w:rsidRDefault="002D2C99" w:rsidP="005F174B">
      <w:pPr>
        <w:pStyle w:val="JuCase"/>
        <w:rPr>
          <w:lang w:val="fr-FR"/>
        </w:rPr>
      </w:pPr>
      <w:r w:rsidRPr="005F174B">
        <w:rPr>
          <w:lang w:val="fr-FR"/>
        </w:rPr>
        <w:lastRenderedPageBreak/>
        <w:t>En l</w:t>
      </w:r>
      <w:r w:rsidR="005F174B" w:rsidRPr="005F174B">
        <w:rPr>
          <w:lang w:val="fr-FR"/>
        </w:rPr>
        <w:t>’</w:t>
      </w:r>
      <w:r w:rsidRPr="005F174B">
        <w:rPr>
          <w:lang w:val="fr-FR"/>
        </w:rPr>
        <w:t xml:space="preserve">affaire </w:t>
      </w:r>
      <w:r w:rsidR="00A639B1" w:rsidRPr="005F174B">
        <w:rPr>
          <w:lang w:val="fr-FR"/>
        </w:rPr>
        <w:t>Arnaboldi c. Italie</w:t>
      </w:r>
      <w:r w:rsidRPr="005F174B">
        <w:rPr>
          <w:lang w:val="fr-FR"/>
        </w:rPr>
        <w:t>,</w:t>
      </w:r>
    </w:p>
    <w:p w:rsidR="00777C71" w:rsidRPr="005F174B" w:rsidRDefault="00777C71" w:rsidP="005F174B">
      <w:pPr>
        <w:pStyle w:val="ECHRPara"/>
        <w:rPr>
          <w:lang w:val="fr-FR"/>
        </w:rPr>
      </w:pPr>
      <w:r w:rsidRPr="005F174B">
        <w:rPr>
          <w:lang w:val="fr-FR"/>
        </w:rPr>
        <w:t>La Cour européenne des droits de l</w:t>
      </w:r>
      <w:r w:rsidR="005F174B" w:rsidRPr="005F174B">
        <w:rPr>
          <w:lang w:val="fr-FR"/>
        </w:rPr>
        <w:t>’</w:t>
      </w:r>
      <w:r w:rsidRPr="005F174B">
        <w:rPr>
          <w:lang w:val="fr-FR"/>
        </w:rPr>
        <w:t>homme (</w:t>
      </w:r>
      <w:r w:rsidR="00A639B1" w:rsidRPr="005F174B">
        <w:rPr>
          <w:lang w:val="fr-FR"/>
        </w:rPr>
        <w:t>première section</w:t>
      </w:r>
      <w:r w:rsidRPr="005F174B">
        <w:rPr>
          <w:lang w:val="fr-FR"/>
        </w:rPr>
        <w:t xml:space="preserve">), siégeant en </w:t>
      </w:r>
      <w:r w:rsidR="00A639B1" w:rsidRPr="005F174B">
        <w:rPr>
          <w:color w:val="000000"/>
          <w:lang w:val="fr-FR"/>
        </w:rPr>
        <w:t>une</w:t>
      </w:r>
      <w:r w:rsidR="00A639B1" w:rsidRPr="005F174B">
        <w:rPr>
          <w:lang w:val="fr-FR"/>
        </w:rPr>
        <w:t xml:space="preserve"> Chambre composée</w:t>
      </w:r>
      <w:r w:rsidRPr="005F174B">
        <w:rPr>
          <w:lang w:val="fr-FR"/>
        </w:rPr>
        <w:t xml:space="preserve"> de :</w:t>
      </w:r>
    </w:p>
    <w:p w:rsidR="00777C71" w:rsidRPr="005F174B" w:rsidRDefault="00437861" w:rsidP="005F174B">
      <w:pPr>
        <w:pStyle w:val="ECHRDecisionBody"/>
        <w:rPr>
          <w:lang w:val="fr-FR"/>
        </w:rPr>
      </w:pPr>
      <w:r w:rsidRPr="005F174B">
        <w:rPr>
          <w:lang w:val="fr-FR"/>
        </w:rPr>
        <w:tab/>
        <w:t>Linos-Alexandre Sicilianos,</w:t>
      </w:r>
      <w:r w:rsidRPr="005F174B">
        <w:rPr>
          <w:i/>
          <w:lang w:val="fr-FR"/>
        </w:rPr>
        <w:t xml:space="preserve"> président,</w:t>
      </w:r>
      <w:r w:rsidRPr="005F174B">
        <w:rPr>
          <w:i/>
          <w:lang w:val="fr-FR"/>
        </w:rPr>
        <w:br/>
      </w:r>
      <w:r w:rsidRPr="005F174B">
        <w:rPr>
          <w:lang w:val="fr-FR"/>
        </w:rPr>
        <w:tab/>
        <w:t>Ksenija Turković,</w:t>
      </w:r>
      <w:r w:rsidRPr="005F174B">
        <w:rPr>
          <w:i/>
          <w:lang w:val="fr-FR"/>
        </w:rPr>
        <w:br/>
      </w:r>
      <w:r w:rsidRPr="005F174B">
        <w:rPr>
          <w:lang w:val="fr-FR"/>
        </w:rPr>
        <w:tab/>
        <w:t>Guido Raimondi,</w:t>
      </w:r>
      <w:r w:rsidRPr="005F174B">
        <w:rPr>
          <w:i/>
          <w:lang w:val="fr-FR"/>
        </w:rPr>
        <w:br/>
      </w:r>
      <w:r w:rsidRPr="005F174B">
        <w:rPr>
          <w:lang w:val="fr-FR"/>
        </w:rPr>
        <w:tab/>
        <w:t>Armen Harutyunyan,</w:t>
      </w:r>
      <w:r w:rsidRPr="005F174B">
        <w:rPr>
          <w:i/>
          <w:lang w:val="fr-FR"/>
        </w:rPr>
        <w:br/>
      </w:r>
      <w:r w:rsidRPr="005F174B">
        <w:rPr>
          <w:lang w:val="fr-FR"/>
        </w:rPr>
        <w:tab/>
        <w:t>Pauliine Koskelo,</w:t>
      </w:r>
      <w:r w:rsidRPr="005F174B">
        <w:rPr>
          <w:i/>
          <w:lang w:val="fr-FR"/>
        </w:rPr>
        <w:br/>
      </w:r>
      <w:r w:rsidRPr="005F174B">
        <w:rPr>
          <w:lang w:val="fr-FR"/>
        </w:rPr>
        <w:tab/>
        <w:t>Tim Eicke,</w:t>
      </w:r>
      <w:r w:rsidRPr="005F174B">
        <w:rPr>
          <w:i/>
          <w:lang w:val="fr-FR"/>
        </w:rPr>
        <w:br/>
      </w:r>
      <w:r w:rsidRPr="005F174B">
        <w:rPr>
          <w:lang w:val="fr-FR"/>
        </w:rPr>
        <w:tab/>
        <w:t>Gilberto Felici,</w:t>
      </w:r>
      <w:r w:rsidRPr="005F174B">
        <w:rPr>
          <w:i/>
          <w:lang w:val="fr-FR"/>
        </w:rPr>
        <w:t xml:space="preserve"> juges,</w:t>
      </w:r>
      <w:r w:rsidRPr="005F174B">
        <w:rPr>
          <w:i/>
          <w:lang w:val="fr-FR"/>
        </w:rPr>
        <w:br/>
      </w:r>
      <w:r w:rsidR="00777C71" w:rsidRPr="005F174B">
        <w:rPr>
          <w:lang w:val="fr-FR"/>
        </w:rPr>
        <w:t xml:space="preserve">et de </w:t>
      </w:r>
      <w:r w:rsidR="00A639B1" w:rsidRPr="005F174B">
        <w:rPr>
          <w:lang w:val="fr-FR"/>
        </w:rPr>
        <w:t>Abel Campos</w:t>
      </w:r>
      <w:r w:rsidR="00777C71" w:rsidRPr="005F174B">
        <w:rPr>
          <w:lang w:val="fr-FR"/>
        </w:rPr>
        <w:t xml:space="preserve">, </w:t>
      </w:r>
      <w:r w:rsidR="00A639B1" w:rsidRPr="005F174B">
        <w:rPr>
          <w:i/>
          <w:lang w:val="fr-FR"/>
        </w:rPr>
        <w:t>greffier</w:t>
      </w:r>
      <w:r w:rsidR="00A639B1" w:rsidRPr="005F174B">
        <w:rPr>
          <w:iCs/>
          <w:lang w:val="fr-FR"/>
        </w:rPr>
        <w:t xml:space="preserve"> </w:t>
      </w:r>
      <w:r w:rsidR="00A639B1" w:rsidRPr="005F174B">
        <w:rPr>
          <w:i/>
          <w:iCs/>
          <w:lang w:val="fr-FR"/>
        </w:rPr>
        <w:t>d</w:t>
      </w:r>
      <w:r w:rsidR="00A639B1" w:rsidRPr="005F174B">
        <w:rPr>
          <w:i/>
          <w:lang w:val="fr-FR"/>
        </w:rPr>
        <w:t>e section</w:t>
      </w:r>
      <w:r w:rsidR="00777C71" w:rsidRPr="005F174B">
        <w:rPr>
          <w:lang w:val="fr-FR"/>
        </w:rPr>
        <w:t>,</w:t>
      </w:r>
    </w:p>
    <w:p w:rsidR="00777C71" w:rsidRPr="005F174B" w:rsidRDefault="00777C71" w:rsidP="005F174B">
      <w:pPr>
        <w:pStyle w:val="ECHRPara"/>
        <w:rPr>
          <w:lang w:val="fr-FR"/>
        </w:rPr>
      </w:pPr>
      <w:r w:rsidRPr="005F174B">
        <w:rPr>
          <w:lang w:val="fr-FR"/>
        </w:rPr>
        <w:t xml:space="preserve">Après en avoir délibéré en chambre du conseil le </w:t>
      </w:r>
      <w:r w:rsidR="00A639B1" w:rsidRPr="005F174B">
        <w:rPr>
          <w:szCs w:val="24"/>
          <w:lang w:val="fr-FR"/>
        </w:rPr>
        <w:t>5 février 2019</w:t>
      </w:r>
      <w:r w:rsidRPr="005F174B">
        <w:rPr>
          <w:lang w:val="fr-FR"/>
        </w:rPr>
        <w:t>,</w:t>
      </w:r>
    </w:p>
    <w:p w:rsidR="00777C71" w:rsidRPr="005F174B" w:rsidRDefault="00777C71" w:rsidP="005F174B">
      <w:pPr>
        <w:pStyle w:val="ECHRPara"/>
        <w:rPr>
          <w:lang w:val="fr-FR"/>
        </w:rPr>
      </w:pPr>
      <w:r w:rsidRPr="005F174B">
        <w:rPr>
          <w:lang w:val="fr-FR"/>
        </w:rPr>
        <w:t>Rend l</w:t>
      </w:r>
      <w:r w:rsidR="005F174B" w:rsidRPr="005F174B">
        <w:rPr>
          <w:lang w:val="fr-FR"/>
        </w:rPr>
        <w:t>’</w:t>
      </w:r>
      <w:r w:rsidRPr="005F174B">
        <w:rPr>
          <w:lang w:val="fr-FR"/>
        </w:rPr>
        <w:t>arrêt que voici, adopté à cette date :</w:t>
      </w:r>
    </w:p>
    <w:p w:rsidR="00A639B1" w:rsidRPr="005F174B" w:rsidRDefault="00A639B1" w:rsidP="005F174B">
      <w:pPr>
        <w:pStyle w:val="ECHRTitle1"/>
        <w:rPr>
          <w:lang w:val="fr-FR"/>
        </w:rPr>
      </w:pPr>
      <w:r w:rsidRPr="005F174B">
        <w:rPr>
          <w:lang w:val="fr-FR"/>
        </w:rPr>
        <w:t>PROCÉDURE</w:t>
      </w:r>
    </w:p>
    <w:p w:rsidR="00A639B1" w:rsidRPr="005F174B" w:rsidRDefault="00A639B1" w:rsidP="005F174B">
      <w:pPr>
        <w:pStyle w:val="ECHRPara"/>
        <w:rPr>
          <w:lang w:val="fr-FR"/>
        </w:rPr>
      </w:pPr>
      <w:r w:rsidRPr="005F174B">
        <w:rPr>
          <w:lang w:val="fr-FR"/>
        </w:rPr>
        <w:t>1.  À l</w:t>
      </w:r>
      <w:r w:rsidR="005F174B" w:rsidRPr="005F174B">
        <w:rPr>
          <w:lang w:val="fr-FR"/>
        </w:rPr>
        <w:t>’</w:t>
      </w:r>
      <w:r w:rsidRPr="005F174B">
        <w:rPr>
          <w:lang w:val="fr-FR"/>
        </w:rPr>
        <w:t>origine de l</w:t>
      </w:r>
      <w:r w:rsidR="005F174B" w:rsidRPr="005F174B">
        <w:rPr>
          <w:lang w:val="fr-FR"/>
        </w:rPr>
        <w:t>’</w:t>
      </w:r>
      <w:r w:rsidRPr="005F174B">
        <w:rPr>
          <w:lang w:val="fr-FR"/>
        </w:rPr>
        <w:t>affaire se trouve une requête (n</w:t>
      </w:r>
      <w:r w:rsidRPr="005F174B">
        <w:rPr>
          <w:vertAlign w:val="superscript"/>
          <w:lang w:val="fr-FR"/>
        </w:rPr>
        <w:t>o</w:t>
      </w:r>
      <w:r w:rsidRPr="005F174B">
        <w:rPr>
          <w:lang w:val="fr-FR"/>
        </w:rPr>
        <w:t xml:space="preserve"> 43422/07) dirigée contre la République italienne et dont un ressortissant de cet État, M. Franco Arnaboldi (« le requérant »), a saisi la Cour le 3 octobre 2007 en vertu de l</w:t>
      </w:r>
      <w:r w:rsidR="005F174B" w:rsidRPr="005F174B">
        <w:rPr>
          <w:lang w:val="fr-FR"/>
        </w:rPr>
        <w:t>’</w:t>
      </w:r>
      <w:r w:rsidRPr="005F174B">
        <w:rPr>
          <w:lang w:val="fr-FR"/>
        </w:rPr>
        <w:t>article 34 de la Convention de sauvegarde des droits de l</w:t>
      </w:r>
      <w:r w:rsidR="005F174B" w:rsidRPr="005F174B">
        <w:rPr>
          <w:lang w:val="fr-FR"/>
        </w:rPr>
        <w:t>’</w:t>
      </w:r>
      <w:r w:rsidRPr="005F174B">
        <w:rPr>
          <w:lang w:val="fr-FR"/>
        </w:rPr>
        <w:t>homme et des libertés fondamentales (« la Convention »).</w:t>
      </w:r>
    </w:p>
    <w:p w:rsidR="00A639B1" w:rsidRPr="005F174B" w:rsidRDefault="00A639B1" w:rsidP="005F174B">
      <w:pPr>
        <w:pStyle w:val="ECHRPara"/>
        <w:rPr>
          <w:lang w:val="fr-FR"/>
        </w:rPr>
      </w:pPr>
      <w:r w:rsidRPr="005F174B">
        <w:rPr>
          <w:lang w:val="fr-FR"/>
        </w:rPr>
        <w:t>2.  Le requérant a été représenté par M</w:t>
      </w:r>
      <w:r w:rsidRPr="005F174B">
        <w:rPr>
          <w:vertAlign w:val="superscript"/>
          <w:lang w:val="fr-FR"/>
        </w:rPr>
        <w:t>e</w:t>
      </w:r>
      <w:r w:rsidRPr="005F174B">
        <w:rPr>
          <w:lang w:val="fr-FR"/>
        </w:rPr>
        <w:t> M. De Stefano, avocat à Rome. Le gouvernement italien (« le Gouvernement ») a été représenté par son ancien agent, M</w:t>
      </w:r>
      <w:r w:rsidRPr="005F174B">
        <w:rPr>
          <w:vertAlign w:val="superscript"/>
          <w:lang w:val="fr-FR"/>
        </w:rPr>
        <w:t>me</w:t>
      </w:r>
      <w:r w:rsidRPr="005F174B">
        <w:rPr>
          <w:lang w:val="fr-FR"/>
        </w:rPr>
        <w:t xml:space="preserve"> E. Spatafora et ses anciens coagents, M. N. Lettieri et M</w:t>
      </w:r>
      <w:r w:rsidRPr="005F174B">
        <w:rPr>
          <w:vertAlign w:val="superscript"/>
          <w:lang w:val="fr-FR"/>
        </w:rPr>
        <w:t>me </w:t>
      </w:r>
      <w:r w:rsidRPr="005F174B">
        <w:rPr>
          <w:lang w:val="fr-FR"/>
        </w:rPr>
        <w:t>P. Accardo, et son coagent, M</w:t>
      </w:r>
      <w:r w:rsidRPr="005F174B">
        <w:rPr>
          <w:vertAlign w:val="superscript"/>
          <w:lang w:val="fr-FR"/>
        </w:rPr>
        <w:t>me</w:t>
      </w:r>
      <w:r w:rsidRPr="005F174B">
        <w:rPr>
          <w:lang w:val="fr-FR"/>
        </w:rPr>
        <w:t xml:space="preserve"> M. L.</w:t>
      </w:r>
      <w:r w:rsidRPr="005F174B">
        <w:rPr>
          <w:vertAlign w:val="superscript"/>
          <w:lang w:val="fr-FR"/>
        </w:rPr>
        <w:t xml:space="preserve"> </w:t>
      </w:r>
      <w:r w:rsidRPr="005F174B">
        <w:rPr>
          <w:lang w:val="fr-FR"/>
        </w:rPr>
        <w:t>Aversano.</w:t>
      </w:r>
    </w:p>
    <w:p w:rsidR="00A639B1" w:rsidRPr="005F174B" w:rsidRDefault="00A639B1" w:rsidP="005F174B">
      <w:pPr>
        <w:pStyle w:val="ECHRPara"/>
        <w:rPr>
          <w:lang w:val="fr-FR"/>
        </w:rPr>
      </w:pPr>
      <w:r w:rsidRPr="005F174B">
        <w:rPr>
          <w:lang w:val="fr-FR"/>
        </w:rPr>
        <w:t>3.  Le requérant se plaignait en particulier de l</w:t>
      </w:r>
      <w:r w:rsidR="005F174B" w:rsidRPr="005F174B">
        <w:rPr>
          <w:lang w:val="fr-FR"/>
        </w:rPr>
        <w:t>’</w:t>
      </w:r>
      <w:r w:rsidRPr="005F174B">
        <w:rPr>
          <w:lang w:val="fr-FR"/>
        </w:rPr>
        <w:t>impossibilité d</w:t>
      </w:r>
      <w:r w:rsidR="005F174B" w:rsidRPr="005F174B">
        <w:rPr>
          <w:lang w:val="fr-FR"/>
        </w:rPr>
        <w:t>’</w:t>
      </w:r>
      <w:r w:rsidRPr="005F174B">
        <w:rPr>
          <w:lang w:val="fr-FR"/>
        </w:rPr>
        <w:t>obtenir le paiement de l</w:t>
      </w:r>
      <w:r w:rsidR="005F174B" w:rsidRPr="005F174B">
        <w:rPr>
          <w:lang w:val="fr-FR"/>
        </w:rPr>
        <w:t>’</w:t>
      </w:r>
      <w:r w:rsidRPr="005F174B">
        <w:rPr>
          <w:lang w:val="fr-FR"/>
        </w:rPr>
        <w:t>indemnité d</w:t>
      </w:r>
      <w:r w:rsidR="005F174B" w:rsidRPr="005F174B">
        <w:rPr>
          <w:lang w:val="fr-FR"/>
        </w:rPr>
        <w:t>’</w:t>
      </w:r>
      <w:r w:rsidRPr="005F174B">
        <w:rPr>
          <w:lang w:val="fr-FR"/>
        </w:rPr>
        <w:t>expropriation qui lui avait été allouée.</w:t>
      </w:r>
    </w:p>
    <w:p w:rsidR="00A639B1" w:rsidRPr="005F174B" w:rsidRDefault="00A639B1" w:rsidP="005F174B">
      <w:pPr>
        <w:pStyle w:val="ECHRPara"/>
        <w:rPr>
          <w:szCs w:val="24"/>
          <w:lang w:val="fr-FR" w:eastAsia="en-GB"/>
        </w:rPr>
      </w:pPr>
      <w:r w:rsidRPr="005F174B">
        <w:rPr>
          <w:lang w:val="fr-FR"/>
        </w:rPr>
        <w:t xml:space="preserve">4.  Le </w:t>
      </w:r>
      <w:r w:rsidRPr="005F174B">
        <w:rPr>
          <w:szCs w:val="24"/>
          <w:lang w:val="fr-FR"/>
        </w:rPr>
        <w:t>26 janvier 2009</w:t>
      </w:r>
      <w:r w:rsidRPr="005F174B">
        <w:rPr>
          <w:lang w:val="fr-FR"/>
        </w:rPr>
        <w:t>, la requête a été communiquée au Gouvernement.</w:t>
      </w:r>
    </w:p>
    <w:p w:rsidR="00A639B1" w:rsidRPr="005F174B" w:rsidRDefault="00A639B1" w:rsidP="005F174B">
      <w:pPr>
        <w:pStyle w:val="ECHRTitle1"/>
        <w:tabs>
          <w:tab w:val="left" w:pos="5387"/>
        </w:tabs>
        <w:rPr>
          <w:lang w:val="fr-FR"/>
        </w:rPr>
      </w:pPr>
      <w:r w:rsidRPr="005F174B">
        <w:rPr>
          <w:lang w:val="fr-FR"/>
        </w:rPr>
        <w:t>EN FAIT</w:t>
      </w:r>
    </w:p>
    <w:p w:rsidR="00A639B1" w:rsidRPr="005F174B" w:rsidRDefault="00055C84" w:rsidP="005F174B">
      <w:pPr>
        <w:pStyle w:val="ECHRHeading1"/>
        <w:rPr>
          <w:lang w:val="fr-FR"/>
        </w:rPr>
      </w:pPr>
      <w:r w:rsidRPr="005F174B">
        <w:rPr>
          <w:lang w:val="fr-FR"/>
        </w:rPr>
        <w:t>I.  </w:t>
      </w:r>
      <w:r w:rsidR="00A639B1" w:rsidRPr="005F174B">
        <w:rPr>
          <w:lang w:val="fr-FR"/>
        </w:rPr>
        <w:t>LES CIRCONSTANCES DE L</w:t>
      </w:r>
      <w:r w:rsidR="005F174B" w:rsidRPr="005F174B">
        <w:rPr>
          <w:lang w:val="fr-FR"/>
        </w:rPr>
        <w:t>’</w:t>
      </w:r>
      <w:r w:rsidR="00A639B1" w:rsidRPr="005F174B">
        <w:rPr>
          <w:lang w:val="fr-FR"/>
        </w:rPr>
        <w:t>ESPÈCE</w:t>
      </w:r>
    </w:p>
    <w:p w:rsidR="00A639B1" w:rsidRPr="005F174B" w:rsidRDefault="00A639B1" w:rsidP="005F174B">
      <w:pPr>
        <w:pStyle w:val="ECHRPara"/>
        <w:rPr>
          <w:lang w:val="fr-FR"/>
        </w:rPr>
      </w:pPr>
      <w:r w:rsidRPr="005F174B">
        <w:rPr>
          <w:lang w:val="fr-FR"/>
        </w:rPr>
        <w:t>5.  Le requérant est né en 1941 et réside à Cecina.</w:t>
      </w:r>
    </w:p>
    <w:p w:rsidR="00A639B1" w:rsidRPr="005F174B" w:rsidRDefault="00DE5C4A" w:rsidP="005F174B">
      <w:pPr>
        <w:pStyle w:val="ECHRHeading2"/>
        <w:rPr>
          <w:lang w:val="fr-FR"/>
        </w:rPr>
      </w:pPr>
      <w:r w:rsidRPr="005F174B">
        <w:rPr>
          <w:lang w:val="fr-FR"/>
        </w:rPr>
        <w:t>A</w:t>
      </w:r>
      <w:r w:rsidR="00A639B1" w:rsidRPr="005F174B">
        <w:rPr>
          <w:lang w:val="fr-FR"/>
        </w:rPr>
        <w:t>.  Faits antérieurs à la communication de la requête</w:t>
      </w:r>
    </w:p>
    <w:p w:rsidR="00A639B1" w:rsidRPr="005F174B" w:rsidRDefault="00A639B1" w:rsidP="005F174B">
      <w:pPr>
        <w:pStyle w:val="ECHRPara"/>
        <w:rPr>
          <w:lang w:val="fr-FR"/>
        </w:rPr>
      </w:pPr>
      <w:r w:rsidRPr="005F174B">
        <w:rPr>
          <w:lang w:val="fr-FR"/>
        </w:rPr>
        <w:t>6.  Le requérant était propriétaire d</w:t>
      </w:r>
      <w:r w:rsidR="005F174B" w:rsidRPr="005F174B">
        <w:rPr>
          <w:lang w:val="fr-FR"/>
        </w:rPr>
        <w:t>’</w:t>
      </w:r>
      <w:r w:rsidRPr="005F174B">
        <w:rPr>
          <w:lang w:val="fr-FR"/>
        </w:rPr>
        <w:t>un terrain et responsable d</w:t>
      </w:r>
      <w:r w:rsidR="005F174B" w:rsidRPr="005F174B">
        <w:rPr>
          <w:lang w:val="fr-FR"/>
        </w:rPr>
        <w:t>’</w:t>
      </w:r>
      <w:r w:rsidRPr="005F174B">
        <w:rPr>
          <w:lang w:val="fr-FR"/>
        </w:rPr>
        <w:t>une entreprise agricole. Il avait bâti sur le terrain susmentionné son habitation principale ainsi qu</w:t>
      </w:r>
      <w:r w:rsidR="005F174B" w:rsidRPr="005F174B">
        <w:rPr>
          <w:lang w:val="fr-FR"/>
        </w:rPr>
        <w:t>’</w:t>
      </w:r>
      <w:r w:rsidRPr="005F174B">
        <w:rPr>
          <w:lang w:val="fr-FR"/>
        </w:rPr>
        <w:t>un entrepôt.</w:t>
      </w:r>
    </w:p>
    <w:p w:rsidR="00A639B1" w:rsidRPr="005F174B" w:rsidRDefault="00A639B1" w:rsidP="005F174B">
      <w:pPr>
        <w:pStyle w:val="ECHRPara"/>
        <w:rPr>
          <w:lang w:val="fr-FR"/>
        </w:rPr>
      </w:pPr>
      <w:r w:rsidRPr="005F174B">
        <w:rPr>
          <w:lang w:val="fr-FR"/>
        </w:rPr>
        <w:lastRenderedPageBreak/>
        <w:t>7.  Par un décret du 18 octobre 1980, le ministère des Travaux publics (</w:t>
      </w:r>
      <w:r w:rsidRPr="005F174B">
        <w:rPr>
          <w:i/>
          <w:lang w:val="fr-FR"/>
        </w:rPr>
        <w:t>Ministero dei lavori pubblici</w:t>
      </w:r>
      <w:r w:rsidRPr="005F174B">
        <w:rPr>
          <w:lang w:val="fr-FR"/>
        </w:rPr>
        <w:t>) approuva le projet de construction d</w:t>
      </w:r>
      <w:r w:rsidR="005F174B" w:rsidRPr="005F174B">
        <w:rPr>
          <w:lang w:val="fr-FR"/>
        </w:rPr>
        <w:t>’</w:t>
      </w:r>
      <w:r w:rsidRPr="005F174B">
        <w:rPr>
          <w:lang w:val="fr-FR"/>
        </w:rPr>
        <w:t>une route sur le terrain du requérant.</w:t>
      </w:r>
    </w:p>
    <w:p w:rsidR="00A639B1" w:rsidRPr="005F174B" w:rsidRDefault="00A639B1" w:rsidP="005F174B">
      <w:pPr>
        <w:pStyle w:val="ECHRPara"/>
        <w:rPr>
          <w:lang w:val="fr-FR"/>
        </w:rPr>
      </w:pPr>
      <w:r w:rsidRPr="005F174B">
        <w:rPr>
          <w:lang w:val="fr-FR"/>
        </w:rPr>
        <w:t>8.  Par un arrêté du 12 décembre 1980, le préfet de Livourne autorisa l</w:t>
      </w:r>
      <w:r w:rsidR="005F174B" w:rsidRPr="005F174B">
        <w:rPr>
          <w:lang w:val="fr-FR"/>
        </w:rPr>
        <w:t>’</w:t>
      </w:r>
      <w:r w:rsidRPr="005F174B">
        <w:rPr>
          <w:lang w:val="fr-FR"/>
        </w:rPr>
        <w:t>Entreprise nationale des ponts et chaussées (« l</w:t>
      </w:r>
      <w:r w:rsidR="005F174B" w:rsidRPr="005F174B">
        <w:rPr>
          <w:lang w:val="fr-FR"/>
        </w:rPr>
        <w:t>’</w:t>
      </w:r>
      <w:r w:rsidRPr="005F174B">
        <w:rPr>
          <w:lang w:val="fr-FR"/>
        </w:rPr>
        <w:t>ANAS ») à occuper d</w:t>
      </w:r>
      <w:r w:rsidR="005F174B" w:rsidRPr="005F174B">
        <w:rPr>
          <w:lang w:val="fr-FR"/>
        </w:rPr>
        <w:t>’</w:t>
      </w:r>
      <w:r w:rsidRPr="005F174B">
        <w:rPr>
          <w:lang w:val="fr-FR"/>
        </w:rPr>
        <w:t>urgence une partie du terrain du requérant, à savoir 23 840 m</w:t>
      </w:r>
      <w:r w:rsidRPr="005F174B">
        <w:rPr>
          <w:vertAlign w:val="superscript"/>
          <w:lang w:val="fr-FR"/>
        </w:rPr>
        <w:t>2</w:t>
      </w:r>
      <w:r w:rsidRPr="005F174B">
        <w:rPr>
          <w:lang w:val="fr-FR"/>
        </w:rPr>
        <w:t>, pour une période maximale de cinq ans. Par un deuxième arrêté du 25 mars 1981, il autorisa l</w:t>
      </w:r>
      <w:r w:rsidR="005F174B" w:rsidRPr="005F174B">
        <w:rPr>
          <w:lang w:val="fr-FR"/>
        </w:rPr>
        <w:t>’</w:t>
      </w:r>
      <w:r w:rsidRPr="005F174B">
        <w:rPr>
          <w:lang w:val="fr-FR"/>
        </w:rPr>
        <w:t>occupation d</w:t>
      </w:r>
      <w:r w:rsidR="005F174B" w:rsidRPr="005F174B">
        <w:rPr>
          <w:lang w:val="fr-FR"/>
        </w:rPr>
        <w:t>’</w:t>
      </w:r>
      <w:r w:rsidRPr="005F174B">
        <w:rPr>
          <w:lang w:val="fr-FR"/>
        </w:rPr>
        <w:t>urgence d</w:t>
      </w:r>
      <w:r w:rsidR="005F174B" w:rsidRPr="005F174B">
        <w:rPr>
          <w:lang w:val="fr-FR"/>
        </w:rPr>
        <w:t>’</w:t>
      </w:r>
      <w:r w:rsidRPr="005F174B">
        <w:rPr>
          <w:lang w:val="fr-FR"/>
        </w:rPr>
        <w:t>une autre partie du terrain du requérant, correspondant à 120 m</w:t>
      </w:r>
      <w:r w:rsidRPr="005F174B">
        <w:rPr>
          <w:vertAlign w:val="superscript"/>
          <w:lang w:val="fr-FR"/>
        </w:rPr>
        <w:t>2</w:t>
      </w:r>
      <w:r w:rsidRPr="005F174B">
        <w:rPr>
          <w:lang w:val="fr-FR"/>
        </w:rPr>
        <w:t>.</w:t>
      </w:r>
    </w:p>
    <w:p w:rsidR="00A639B1" w:rsidRPr="005F174B" w:rsidRDefault="00A639B1" w:rsidP="005F174B">
      <w:pPr>
        <w:pStyle w:val="ECHRPara"/>
        <w:rPr>
          <w:lang w:val="fr-FR"/>
        </w:rPr>
      </w:pPr>
      <w:r w:rsidRPr="005F174B">
        <w:rPr>
          <w:lang w:val="fr-FR"/>
        </w:rPr>
        <w:t>9.  Par les mêmes arrêtés, la société CIR S.p.A. fut déléguée pour agir au nom et pour le compte de l</w:t>
      </w:r>
      <w:r w:rsidR="005F174B" w:rsidRPr="005F174B">
        <w:rPr>
          <w:lang w:val="fr-FR"/>
        </w:rPr>
        <w:t>’</w:t>
      </w:r>
      <w:r w:rsidRPr="005F174B">
        <w:rPr>
          <w:lang w:val="fr-FR"/>
        </w:rPr>
        <w:t>ANAS pour occuper le terrain, construire la route et mener à bien la procédure d</w:t>
      </w:r>
      <w:r w:rsidR="005F174B" w:rsidRPr="005F174B">
        <w:rPr>
          <w:lang w:val="fr-FR"/>
        </w:rPr>
        <w:t>’</w:t>
      </w:r>
      <w:r w:rsidRPr="005F174B">
        <w:rPr>
          <w:lang w:val="fr-FR"/>
        </w:rPr>
        <w:t>expropriation.</w:t>
      </w:r>
    </w:p>
    <w:p w:rsidR="00A639B1" w:rsidRPr="005F174B" w:rsidRDefault="00A639B1" w:rsidP="005F174B">
      <w:pPr>
        <w:pStyle w:val="ECHRPara"/>
        <w:rPr>
          <w:lang w:val="fr-FR"/>
        </w:rPr>
      </w:pPr>
      <w:r w:rsidRPr="005F174B">
        <w:rPr>
          <w:lang w:val="fr-FR"/>
        </w:rPr>
        <w:t>10.  Ladite société procéda à l</w:t>
      </w:r>
      <w:r w:rsidR="005F174B" w:rsidRPr="005F174B">
        <w:rPr>
          <w:lang w:val="fr-FR"/>
        </w:rPr>
        <w:t>’</w:t>
      </w:r>
      <w:r w:rsidRPr="005F174B">
        <w:rPr>
          <w:lang w:val="fr-FR"/>
        </w:rPr>
        <w:t>occupation matérielle du terrain le 18</w:t>
      </w:r>
      <w:r w:rsidR="009B5CF7" w:rsidRPr="005F174B">
        <w:rPr>
          <w:lang w:val="fr-FR"/>
        </w:rPr>
        <w:t> </w:t>
      </w:r>
      <w:r w:rsidRPr="005F174B">
        <w:rPr>
          <w:lang w:val="fr-FR"/>
        </w:rPr>
        <w:t>mai</w:t>
      </w:r>
      <w:r w:rsidR="009B5CF7" w:rsidRPr="005F174B">
        <w:rPr>
          <w:lang w:val="fr-FR"/>
        </w:rPr>
        <w:t> </w:t>
      </w:r>
      <w:r w:rsidRPr="005F174B">
        <w:rPr>
          <w:lang w:val="fr-FR"/>
        </w:rPr>
        <w:t>1981 et entama les travaux de construction le 17 février 1983. À une date non précisée, elle fusionna avec la société Impresa Rizzi S.p.A., laquelle termina les travaux de construction de la route le 7 juillet 1984.</w:t>
      </w:r>
    </w:p>
    <w:p w:rsidR="00A639B1" w:rsidRPr="005F174B" w:rsidRDefault="00A639B1" w:rsidP="005F174B">
      <w:pPr>
        <w:pStyle w:val="ECHRPara"/>
        <w:rPr>
          <w:lang w:val="fr-FR"/>
        </w:rPr>
      </w:pPr>
      <w:r w:rsidRPr="005F174B">
        <w:rPr>
          <w:lang w:val="fr-FR"/>
        </w:rPr>
        <w:t>11.  Le 26 juin 1989, la société Impresa Rizzi S.p.A. fixa le montant de l</w:t>
      </w:r>
      <w:r w:rsidR="005F174B" w:rsidRPr="005F174B">
        <w:rPr>
          <w:lang w:val="fr-FR"/>
        </w:rPr>
        <w:t>’</w:t>
      </w:r>
      <w:r w:rsidRPr="005F174B">
        <w:rPr>
          <w:lang w:val="fr-FR"/>
        </w:rPr>
        <w:t>indemnité provisoire à accorder au propriétaire du terrain à 98 000 000 lires italiennes (ITL) (50 612,77 euros (EUR)). Le requérant refusa l</w:t>
      </w:r>
      <w:r w:rsidR="005F174B" w:rsidRPr="005F174B">
        <w:rPr>
          <w:lang w:val="fr-FR"/>
        </w:rPr>
        <w:t>’</w:t>
      </w:r>
      <w:r w:rsidRPr="005F174B">
        <w:rPr>
          <w:lang w:val="fr-FR"/>
        </w:rPr>
        <w:t>offre d</w:t>
      </w:r>
      <w:r w:rsidR="005F174B" w:rsidRPr="005F174B">
        <w:rPr>
          <w:lang w:val="fr-FR"/>
        </w:rPr>
        <w:t>’</w:t>
      </w:r>
      <w:r w:rsidRPr="005F174B">
        <w:rPr>
          <w:lang w:val="fr-FR"/>
        </w:rPr>
        <w:t>acompte, dont le montant fut ainsi versé à la Caisse des dépôts et prêts. Le 6 juillet 1989, le terrain du requérant fut exproprié.</w:t>
      </w:r>
    </w:p>
    <w:p w:rsidR="00A639B1" w:rsidRPr="005F174B" w:rsidRDefault="00A639B1" w:rsidP="005F174B">
      <w:pPr>
        <w:pStyle w:val="ECHRPara"/>
        <w:rPr>
          <w:lang w:val="fr-FR"/>
        </w:rPr>
      </w:pPr>
      <w:r w:rsidRPr="005F174B">
        <w:rPr>
          <w:lang w:val="fr-FR"/>
        </w:rPr>
        <w:t>12.  En juillet 1989, le requérant saisit le tribunal de Livourne d</w:t>
      </w:r>
      <w:r w:rsidR="005F174B" w:rsidRPr="005F174B">
        <w:rPr>
          <w:lang w:val="fr-FR"/>
        </w:rPr>
        <w:t>’</w:t>
      </w:r>
      <w:r w:rsidRPr="005F174B">
        <w:rPr>
          <w:lang w:val="fr-FR"/>
        </w:rPr>
        <w:t>une action en dommages-intérêts à l</w:t>
      </w:r>
      <w:r w:rsidR="005F174B" w:rsidRPr="005F174B">
        <w:rPr>
          <w:lang w:val="fr-FR"/>
        </w:rPr>
        <w:t>’</w:t>
      </w:r>
      <w:r w:rsidRPr="005F174B">
        <w:rPr>
          <w:lang w:val="fr-FR"/>
        </w:rPr>
        <w:t>encontre de la société Impresa Rizzi S.p.A. Il alléguait que l</w:t>
      </w:r>
      <w:r w:rsidR="005F174B" w:rsidRPr="005F174B">
        <w:rPr>
          <w:lang w:val="fr-FR"/>
        </w:rPr>
        <w:t>’</w:t>
      </w:r>
      <w:r w:rsidRPr="005F174B">
        <w:rPr>
          <w:lang w:val="fr-FR"/>
        </w:rPr>
        <w:t>occupation de son terrain était sans titre et demandait un dédommagement pour la perte de la propriété dudit terrain à la suite de la construction de la route, ainsi qu</w:t>
      </w:r>
      <w:r w:rsidR="005F174B" w:rsidRPr="005F174B">
        <w:rPr>
          <w:lang w:val="fr-FR"/>
        </w:rPr>
        <w:t>’</w:t>
      </w:r>
      <w:r w:rsidRPr="005F174B">
        <w:rPr>
          <w:lang w:val="fr-FR"/>
        </w:rPr>
        <w:t>une indemnité d</w:t>
      </w:r>
      <w:r w:rsidR="005F174B" w:rsidRPr="005F174B">
        <w:rPr>
          <w:lang w:val="fr-FR"/>
        </w:rPr>
        <w:t>’</w:t>
      </w:r>
      <w:r w:rsidRPr="005F174B">
        <w:rPr>
          <w:lang w:val="fr-FR"/>
        </w:rPr>
        <w:t>occupation. De plus, il arguait que le décret d</w:t>
      </w:r>
      <w:r w:rsidR="005F174B" w:rsidRPr="005F174B">
        <w:rPr>
          <w:lang w:val="fr-FR"/>
        </w:rPr>
        <w:t>’</w:t>
      </w:r>
      <w:r w:rsidRPr="005F174B">
        <w:rPr>
          <w:lang w:val="fr-FR"/>
        </w:rPr>
        <w:t>expropriation était tardif et réclamait un dédommagement pour les dégâts subis par son terrain à la suite des travaux de construction.</w:t>
      </w:r>
    </w:p>
    <w:p w:rsidR="00A639B1" w:rsidRPr="005F174B" w:rsidRDefault="00A639B1" w:rsidP="005F174B">
      <w:pPr>
        <w:pStyle w:val="ECHRPara"/>
        <w:rPr>
          <w:lang w:val="fr-FR"/>
        </w:rPr>
      </w:pPr>
      <w:r w:rsidRPr="005F174B">
        <w:rPr>
          <w:lang w:val="fr-FR"/>
        </w:rPr>
        <w:t>13.  Au cours du procès, la société Impresa Rizzi S.p.A. demanda l</w:t>
      </w:r>
      <w:r w:rsidR="005F174B" w:rsidRPr="005F174B">
        <w:rPr>
          <w:lang w:val="fr-FR"/>
        </w:rPr>
        <w:t>’</w:t>
      </w:r>
      <w:r w:rsidRPr="005F174B">
        <w:rPr>
          <w:lang w:val="fr-FR"/>
        </w:rPr>
        <w:t>extinction de la procédure au motif qu</w:t>
      </w:r>
      <w:r w:rsidR="005F174B" w:rsidRPr="005F174B">
        <w:rPr>
          <w:lang w:val="fr-FR"/>
        </w:rPr>
        <w:t>’</w:t>
      </w:r>
      <w:r w:rsidRPr="005F174B">
        <w:rPr>
          <w:lang w:val="fr-FR"/>
        </w:rPr>
        <w:t>elle avait fusionné avec la société SIPA S.r.l. le 27 février 1990. Le tribunal fit droit à la demande de la société Impresa Rizzi S.p.A.</w:t>
      </w:r>
    </w:p>
    <w:p w:rsidR="00A639B1" w:rsidRPr="005F174B" w:rsidRDefault="00A639B1" w:rsidP="005F174B">
      <w:pPr>
        <w:pStyle w:val="ECHRPara"/>
        <w:rPr>
          <w:lang w:val="fr-FR"/>
        </w:rPr>
      </w:pPr>
      <w:r w:rsidRPr="005F174B">
        <w:rPr>
          <w:lang w:val="fr-FR"/>
        </w:rPr>
        <w:t>14.  Le 18 juillet 1992, le requérant introduisit devant le tribunal de Livourne une nouvelle action en dommages-intérêts à l</w:t>
      </w:r>
      <w:r w:rsidR="005F174B" w:rsidRPr="005F174B">
        <w:rPr>
          <w:lang w:val="fr-FR"/>
        </w:rPr>
        <w:t>’</w:t>
      </w:r>
      <w:r w:rsidRPr="005F174B">
        <w:rPr>
          <w:lang w:val="fr-FR"/>
        </w:rPr>
        <w:t>encontre de la société SIPA S.r.l. Au cours du procès, le 7 novembre 2000, la société défenderesse demanda l</w:t>
      </w:r>
      <w:r w:rsidR="005F174B" w:rsidRPr="005F174B">
        <w:rPr>
          <w:lang w:val="fr-FR"/>
        </w:rPr>
        <w:t>’</w:t>
      </w:r>
      <w:r w:rsidRPr="005F174B">
        <w:rPr>
          <w:lang w:val="fr-FR"/>
        </w:rPr>
        <w:t>interruption de la procédure au motif qu</w:t>
      </w:r>
      <w:r w:rsidR="005F174B" w:rsidRPr="005F174B">
        <w:rPr>
          <w:lang w:val="fr-FR"/>
        </w:rPr>
        <w:t>’</w:t>
      </w:r>
      <w:r w:rsidRPr="005F174B">
        <w:rPr>
          <w:lang w:val="fr-FR"/>
        </w:rPr>
        <w:t>elle avait, en 1995, fusionné avec la société immobilière Padana Appalti S.p.A. Le tribunal rejeta cette demande.</w:t>
      </w:r>
    </w:p>
    <w:p w:rsidR="00A639B1" w:rsidRPr="005F174B" w:rsidRDefault="00A639B1" w:rsidP="005F174B">
      <w:pPr>
        <w:pStyle w:val="ECHRPara"/>
        <w:rPr>
          <w:lang w:val="fr-FR"/>
        </w:rPr>
      </w:pPr>
      <w:r w:rsidRPr="005F174B">
        <w:rPr>
          <w:lang w:val="fr-FR"/>
        </w:rPr>
        <w:t>15.  Par un jugement du 22 mars 2001, le tribunal de Livourne constata que le terrain avait été irréversiblement transformé par la construction de la route avant la prise du décret d</w:t>
      </w:r>
      <w:r w:rsidR="005F174B" w:rsidRPr="005F174B">
        <w:rPr>
          <w:lang w:val="fr-FR"/>
        </w:rPr>
        <w:t>’</w:t>
      </w:r>
      <w:r w:rsidRPr="005F174B">
        <w:rPr>
          <w:lang w:val="fr-FR"/>
        </w:rPr>
        <w:t>expropriation. Il note que, de ce fait, conformément au principe de l</w:t>
      </w:r>
      <w:r w:rsidR="005F174B" w:rsidRPr="005F174B">
        <w:rPr>
          <w:lang w:val="fr-FR"/>
        </w:rPr>
        <w:t>’</w:t>
      </w:r>
      <w:r w:rsidRPr="005F174B">
        <w:rPr>
          <w:lang w:val="fr-FR"/>
        </w:rPr>
        <w:t>expropriation indirecte (</w:t>
      </w:r>
      <w:r w:rsidRPr="005F174B">
        <w:rPr>
          <w:i/>
          <w:lang w:val="fr-FR"/>
        </w:rPr>
        <w:t>occupazione acquisitiva</w:t>
      </w:r>
      <w:r w:rsidRPr="005F174B">
        <w:rPr>
          <w:lang w:val="fr-FR"/>
        </w:rPr>
        <w:t>), le requérant avait été privé de son bien par l</w:t>
      </w:r>
      <w:r w:rsidR="005F174B" w:rsidRPr="005F174B">
        <w:rPr>
          <w:lang w:val="fr-FR"/>
        </w:rPr>
        <w:t>’</w:t>
      </w:r>
      <w:r w:rsidRPr="005F174B">
        <w:rPr>
          <w:lang w:val="fr-FR"/>
        </w:rPr>
        <w:t xml:space="preserve">effet de la </w:t>
      </w:r>
      <w:r w:rsidRPr="005F174B">
        <w:rPr>
          <w:lang w:val="fr-FR"/>
        </w:rPr>
        <w:lastRenderedPageBreak/>
        <w:t>transformation irréversible de celui-ci. À la lumière de ces considérations, le tribunal releva qu</w:t>
      </w:r>
      <w:r w:rsidR="005F174B" w:rsidRPr="005F174B">
        <w:rPr>
          <w:lang w:val="fr-FR"/>
        </w:rPr>
        <w:t>’</w:t>
      </w:r>
      <w:r w:rsidRPr="005F174B">
        <w:rPr>
          <w:lang w:val="fr-FR"/>
        </w:rPr>
        <w:t>une partie du terrain, à savoir 17 940 m</w:t>
      </w:r>
      <w:r w:rsidRPr="005F174B">
        <w:rPr>
          <w:vertAlign w:val="superscript"/>
          <w:lang w:val="fr-FR"/>
        </w:rPr>
        <w:t>2</w:t>
      </w:r>
      <w:r w:rsidRPr="005F174B">
        <w:rPr>
          <w:lang w:val="fr-FR"/>
        </w:rPr>
        <w:t>, était passée à l</w:t>
      </w:r>
      <w:r w:rsidR="005F174B" w:rsidRPr="005F174B">
        <w:rPr>
          <w:lang w:val="fr-FR"/>
        </w:rPr>
        <w:t>’</w:t>
      </w:r>
      <w:r w:rsidRPr="005F174B">
        <w:rPr>
          <w:lang w:val="fr-FR"/>
        </w:rPr>
        <w:t>administration par effet de l</w:t>
      </w:r>
      <w:r w:rsidR="005F174B" w:rsidRPr="005F174B">
        <w:rPr>
          <w:lang w:val="fr-FR"/>
        </w:rPr>
        <w:t>’</w:t>
      </w:r>
      <w:r w:rsidRPr="005F174B">
        <w:rPr>
          <w:lang w:val="fr-FR"/>
        </w:rPr>
        <w:t>expropriation indirecte, et condamna la société SIPA S.r.l. à payer au requérant la somme de 579 053 735 ITL (299 056 EUR) plus intérêts et réévaluation à partir du 1</w:t>
      </w:r>
      <w:r w:rsidRPr="005F174B">
        <w:rPr>
          <w:vertAlign w:val="superscript"/>
          <w:lang w:val="fr-FR"/>
        </w:rPr>
        <w:t>er</w:t>
      </w:r>
      <w:r w:rsidRPr="005F174B">
        <w:rPr>
          <w:lang w:val="fr-FR"/>
        </w:rPr>
        <w:t xml:space="preserve"> janvier 1982.</w:t>
      </w:r>
    </w:p>
    <w:p w:rsidR="00A639B1" w:rsidRPr="005F174B" w:rsidRDefault="00A639B1" w:rsidP="005F174B">
      <w:pPr>
        <w:pStyle w:val="ECHRPara"/>
        <w:rPr>
          <w:lang w:val="fr-FR"/>
        </w:rPr>
      </w:pPr>
      <w:r w:rsidRPr="005F174B">
        <w:rPr>
          <w:lang w:val="fr-FR"/>
        </w:rPr>
        <w:t>16.  Le 20 juin 2001, la société immobilière Padana Appalti S.p.A. interjeta appel de ce jugement, excipant entre autres qu</w:t>
      </w:r>
      <w:r w:rsidR="005F174B" w:rsidRPr="005F174B">
        <w:rPr>
          <w:lang w:val="fr-FR"/>
        </w:rPr>
        <w:t>’</w:t>
      </w:r>
      <w:r w:rsidRPr="005F174B">
        <w:rPr>
          <w:lang w:val="fr-FR"/>
        </w:rPr>
        <w:t>elle n</w:t>
      </w:r>
      <w:r w:rsidR="005F174B" w:rsidRPr="005F174B">
        <w:rPr>
          <w:lang w:val="fr-FR"/>
        </w:rPr>
        <w:t>’</w:t>
      </w:r>
      <w:r w:rsidRPr="005F174B">
        <w:rPr>
          <w:lang w:val="fr-FR"/>
        </w:rPr>
        <w:t>avait pas qualité pour agir. La cour d</w:t>
      </w:r>
      <w:r w:rsidR="005F174B" w:rsidRPr="005F174B">
        <w:rPr>
          <w:lang w:val="fr-FR"/>
        </w:rPr>
        <w:t>’</w:t>
      </w:r>
      <w:r w:rsidRPr="005F174B">
        <w:rPr>
          <w:lang w:val="fr-FR"/>
        </w:rPr>
        <w:t>appel ordonna une expertise visant à établir la valeur du terrain du requérant à la lumière de la loi n</w:t>
      </w:r>
      <w:r w:rsidRPr="005F174B">
        <w:rPr>
          <w:vertAlign w:val="superscript"/>
          <w:lang w:val="fr-FR"/>
        </w:rPr>
        <w:t>o </w:t>
      </w:r>
      <w:r w:rsidRPr="005F174B">
        <w:rPr>
          <w:lang w:val="fr-FR"/>
        </w:rPr>
        <w:t>662 de 1996, entre</w:t>
      </w:r>
      <w:r w:rsidR="009B5CF7" w:rsidRPr="005F174B">
        <w:rPr>
          <w:lang w:val="fr-FR"/>
        </w:rPr>
        <w:noBreakHyphen/>
      </w:r>
      <w:r w:rsidRPr="005F174B">
        <w:rPr>
          <w:lang w:val="fr-FR"/>
        </w:rPr>
        <w:t>temps entrée en vigueur.</w:t>
      </w:r>
    </w:p>
    <w:p w:rsidR="00A639B1" w:rsidRPr="005F174B" w:rsidRDefault="00A639B1" w:rsidP="005F174B">
      <w:pPr>
        <w:pStyle w:val="ECHRPara"/>
        <w:rPr>
          <w:lang w:val="fr-FR"/>
        </w:rPr>
      </w:pPr>
      <w:r w:rsidRPr="005F174B">
        <w:rPr>
          <w:lang w:val="fr-FR"/>
        </w:rPr>
        <w:t>17.  Le 8 octobre 2004, la société immobilière Padana Appalti S.p.A. informa la cour d</w:t>
      </w:r>
      <w:r w:rsidR="005F174B" w:rsidRPr="005F174B">
        <w:rPr>
          <w:lang w:val="fr-FR"/>
        </w:rPr>
        <w:t>’</w:t>
      </w:r>
      <w:r w:rsidRPr="005F174B">
        <w:rPr>
          <w:lang w:val="fr-FR"/>
        </w:rPr>
        <w:t>appel que, le 14 juin 2004, elle avait été placée en « administration extraordinaire » (</w:t>
      </w:r>
      <w:r w:rsidRPr="005F174B">
        <w:rPr>
          <w:i/>
          <w:lang w:val="fr-FR"/>
        </w:rPr>
        <w:t>amministrazione straordinaria</w:t>
      </w:r>
      <w:r w:rsidRPr="005F174B">
        <w:rPr>
          <w:lang w:val="fr-FR"/>
        </w:rPr>
        <w:t>) aux termes du décret législatif n</w:t>
      </w:r>
      <w:r w:rsidRPr="005F174B">
        <w:rPr>
          <w:vertAlign w:val="superscript"/>
          <w:lang w:val="fr-FR"/>
        </w:rPr>
        <w:t>o</w:t>
      </w:r>
      <w:r w:rsidRPr="005F174B">
        <w:rPr>
          <w:lang w:val="fr-FR"/>
        </w:rPr>
        <w:t xml:space="preserve"> 270 du 8 juillet 1999, et demanda l</w:t>
      </w:r>
      <w:r w:rsidR="005F174B" w:rsidRPr="005F174B">
        <w:rPr>
          <w:lang w:val="fr-FR"/>
        </w:rPr>
        <w:t>’</w:t>
      </w:r>
      <w:r w:rsidRPr="005F174B">
        <w:rPr>
          <w:lang w:val="fr-FR"/>
        </w:rPr>
        <w:t>interruption de la procédure. La cour d</w:t>
      </w:r>
      <w:r w:rsidR="005F174B" w:rsidRPr="005F174B">
        <w:rPr>
          <w:lang w:val="fr-FR"/>
        </w:rPr>
        <w:t>’</w:t>
      </w:r>
      <w:r w:rsidRPr="005F174B">
        <w:rPr>
          <w:lang w:val="fr-FR"/>
        </w:rPr>
        <w:t>appel fit droit à cette dernière demande. À une date non précisée, les commissaires liquidateurs de la société reprirent la procédure.</w:t>
      </w:r>
    </w:p>
    <w:p w:rsidR="00A639B1" w:rsidRPr="005F174B" w:rsidRDefault="00A639B1" w:rsidP="005F174B">
      <w:pPr>
        <w:pStyle w:val="ECHRPara"/>
        <w:rPr>
          <w:lang w:val="fr-FR"/>
        </w:rPr>
      </w:pPr>
      <w:r w:rsidRPr="005F174B">
        <w:rPr>
          <w:lang w:val="fr-FR"/>
        </w:rPr>
        <w:t>18.  Par un arrêt du 13 novembre 2007, se référant à l</w:t>
      </w:r>
      <w:r w:rsidR="005F174B" w:rsidRPr="005F174B">
        <w:rPr>
          <w:lang w:val="fr-FR"/>
        </w:rPr>
        <w:t>’</w:t>
      </w:r>
      <w:r w:rsidRPr="005F174B">
        <w:rPr>
          <w:lang w:val="fr-FR"/>
        </w:rPr>
        <w:t>arrêt de la Cour constitutionnelle n</w:t>
      </w:r>
      <w:r w:rsidRPr="005F174B">
        <w:rPr>
          <w:vertAlign w:val="superscript"/>
          <w:lang w:val="fr-FR"/>
        </w:rPr>
        <w:t>o</w:t>
      </w:r>
      <w:r w:rsidRPr="005F174B">
        <w:rPr>
          <w:lang w:val="fr-FR"/>
        </w:rPr>
        <w:t xml:space="preserve"> 348 du 22 octobre 2007 qui avait déclaré inconstitutionnel l</w:t>
      </w:r>
      <w:r w:rsidR="005F174B" w:rsidRPr="005F174B">
        <w:rPr>
          <w:lang w:val="fr-FR"/>
        </w:rPr>
        <w:t>’</w:t>
      </w:r>
      <w:r w:rsidRPr="005F174B">
        <w:rPr>
          <w:lang w:val="fr-FR"/>
        </w:rPr>
        <w:t>article 5 </w:t>
      </w:r>
      <w:r w:rsidRPr="005F174B">
        <w:rPr>
          <w:i/>
          <w:lang w:val="fr-FR"/>
        </w:rPr>
        <w:t>bis</w:t>
      </w:r>
      <w:r w:rsidRPr="005F174B">
        <w:rPr>
          <w:lang w:val="fr-FR"/>
        </w:rPr>
        <w:t xml:space="preserve"> du décret-loi n</w:t>
      </w:r>
      <w:r w:rsidRPr="005F174B">
        <w:rPr>
          <w:vertAlign w:val="superscript"/>
          <w:lang w:val="fr-FR"/>
        </w:rPr>
        <w:t>o</w:t>
      </w:r>
      <w:r w:rsidRPr="005F174B">
        <w:rPr>
          <w:lang w:val="fr-FR"/>
        </w:rPr>
        <w:t xml:space="preserve"> 333 du 11 juillet 1992 tel que modifié par la loi n</w:t>
      </w:r>
      <w:r w:rsidRPr="005F174B">
        <w:rPr>
          <w:vertAlign w:val="superscript"/>
          <w:lang w:val="fr-FR"/>
        </w:rPr>
        <w:t>o</w:t>
      </w:r>
      <w:r w:rsidRPr="005F174B">
        <w:rPr>
          <w:lang w:val="fr-FR"/>
        </w:rPr>
        <w:t xml:space="preserve"> 662 de 1996, la cour d</w:t>
      </w:r>
      <w:r w:rsidR="005F174B" w:rsidRPr="005F174B">
        <w:rPr>
          <w:lang w:val="fr-FR"/>
        </w:rPr>
        <w:t>’</w:t>
      </w:r>
      <w:r w:rsidRPr="005F174B">
        <w:rPr>
          <w:lang w:val="fr-FR"/>
        </w:rPr>
        <w:t>appel de Florence déclara que le requérant avait droit à un dédommagement correspondant à la valeur vénale du terrain illégitimement exproprié, telle qu</w:t>
      </w:r>
      <w:r w:rsidR="005F174B" w:rsidRPr="005F174B">
        <w:rPr>
          <w:lang w:val="fr-FR"/>
        </w:rPr>
        <w:t>’</w:t>
      </w:r>
      <w:r w:rsidRPr="005F174B">
        <w:rPr>
          <w:lang w:val="fr-FR"/>
        </w:rPr>
        <w:t>établie par l</w:t>
      </w:r>
      <w:r w:rsidR="005F174B" w:rsidRPr="005F174B">
        <w:rPr>
          <w:lang w:val="fr-FR"/>
        </w:rPr>
        <w:t>’</w:t>
      </w:r>
      <w:r w:rsidRPr="005F174B">
        <w:rPr>
          <w:lang w:val="fr-FR"/>
        </w:rPr>
        <w:t>expert, plus réévaluation et intérêts à partir de la date de transformation irréversible du terrain. Elle condamna notamment la société immobilière Padana Appalti S.p.A. à payer à l</w:t>
      </w:r>
      <w:r w:rsidR="005F174B" w:rsidRPr="005F174B">
        <w:rPr>
          <w:lang w:val="fr-FR"/>
        </w:rPr>
        <w:t>’</w:t>
      </w:r>
      <w:r w:rsidRPr="005F174B">
        <w:rPr>
          <w:lang w:val="fr-FR"/>
        </w:rPr>
        <w:t>intéressé 87 676,23 EUR à titre d</w:t>
      </w:r>
      <w:r w:rsidR="005F174B" w:rsidRPr="005F174B">
        <w:rPr>
          <w:lang w:val="fr-FR"/>
        </w:rPr>
        <w:t>’</w:t>
      </w:r>
      <w:r w:rsidRPr="005F174B">
        <w:rPr>
          <w:lang w:val="fr-FR"/>
        </w:rPr>
        <w:t>indemnité d</w:t>
      </w:r>
      <w:r w:rsidR="005F174B" w:rsidRPr="005F174B">
        <w:rPr>
          <w:lang w:val="fr-FR"/>
        </w:rPr>
        <w:t>’</w:t>
      </w:r>
      <w:r w:rsidRPr="005F174B">
        <w:rPr>
          <w:lang w:val="fr-FR"/>
        </w:rPr>
        <w:t>expropriation, 532 995,80 EUR pour la perte de valeur du restant de la propriété et 348,51 EUR à titre d</w:t>
      </w:r>
      <w:r w:rsidR="005F174B" w:rsidRPr="005F174B">
        <w:rPr>
          <w:lang w:val="fr-FR"/>
        </w:rPr>
        <w:t>’</w:t>
      </w:r>
      <w:r w:rsidRPr="005F174B">
        <w:rPr>
          <w:lang w:val="fr-FR"/>
        </w:rPr>
        <w:t>indemnité d</w:t>
      </w:r>
      <w:r w:rsidR="005F174B" w:rsidRPr="005F174B">
        <w:rPr>
          <w:lang w:val="fr-FR"/>
        </w:rPr>
        <w:t>’</w:t>
      </w:r>
      <w:r w:rsidRPr="005F174B">
        <w:rPr>
          <w:lang w:val="fr-FR"/>
        </w:rPr>
        <w:t>occupation, soit une somme totale de 621 020,54 EUR. La cour d</w:t>
      </w:r>
      <w:r w:rsidR="005F174B" w:rsidRPr="005F174B">
        <w:rPr>
          <w:lang w:val="fr-FR"/>
        </w:rPr>
        <w:t>’</w:t>
      </w:r>
      <w:r w:rsidRPr="005F174B">
        <w:rPr>
          <w:lang w:val="fr-FR"/>
        </w:rPr>
        <w:t>appel condamna en outre la société immobilière précitée à payer au requérant 32 801 EUR pour frais de procédure, soit une somme globale de 653 821,54 EUR.</w:t>
      </w:r>
    </w:p>
    <w:p w:rsidR="00A639B1" w:rsidRPr="005F174B" w:rsidRDefault="00A639B1" w:rsidP="005F174B">
      <w:pPr>
        <w:pStyle w:val="ECHRPara"/>
        <w:rPr>
          <w:lang w:val="fr-FR"/>
        </w:rPr>
      </w:pPr>
      <w:r w:rsidRPr="005F174B">
        <w:rPr>
          <w:lang w:val="fr-FR"/>
        </w:rPr>
        <w:t>19.  Concernant la responsabilité de la société défenderesse, la cour d</w:t>
      </w:r>
      <w:r w:rsidR="005F174B" w:rsidRPr="005F174B">
        <w:rPr>
          <w:lang w:val="fr-FR"/>
        </w:rPr>
        <w:t>’</w:t>
      </w:r>
      <w:r w:rsidRPr="005F174B">
        <w:rPr>
          <w:lang w:val="fr-FR"/>
        </w:rPr>
        <w:t>appel affirma que, celle-ci ayant été déléguée par l</w:t>
      </w:r>
      <w:r w:rsidR="005F174B" w:rsidRPr="005F174B">
        <w:rPr>
          <w:lang w:val="fr-FR"/>
        </w:rPr>
        <w:t>’</w:t>
      </w:r>
      <w:r w:rsidRPr="005F174B">
        <w:rPr>
          <w:lang w:val="fr-FR"/>
        </w:rPr>
        <w:t>administration pour agir en son nom et pour son compte dans la procédure d</w:t>
      </w:r>
      <w:r w:rsidR="005F174B" w:rsidRPr="005F174B">
        <w:rPr>
          <w:lang w:val="fr-FR"/>
        </w:rPr>
        <w:t>’</w:t>
      </w:r>
      <w:r w:rsidRPr="005F174B">
        <w:rPr>
          <w:lang w:val="fr-FR"/>
        </w:rPr>
        <w:t>expropriation, elle avait la qualité pour agir (« </w:t>
      </w:r>
      <w:r w:rsidRPr="005F174B">
        <w:rPr>
          <w:i/>
          <w:lang w:val="fr-FR"/>
        </w:rPr>
        <w:t>legittimazione passiva »</w:t>
      </w:r>
      <w:r w:rsidRPr="005F174B">
        <w:rPr>
          <w:lang w:val="fr-FR"/>
        </w:rPr>
        <w:t>) et était donc responsable du paiement des indemnités d</w:t>
      </w:r>
      <w:r w:rsidR="005F174B" w:rsidRPr="005F174B">
        <w:rPr>
          <w:lang w:val="fr-FR"/>
        </w:rPr>
        <w:t>’</w:t>
      </w:r>
      <w:r w:rsidRPr="005F174B">
        <w:rPr>
          <w:lang w:val="fr-FR"/>
        </w:rPr>
        <w:t>expropriation et d</w:t>
      </w:r>
      <w:r w:rsidR="005F174B" w:rsidRPr="005F174B">
        <w:rPr>
          <w:lang w:val="fr-FR"/>
        </w:rPr>
        <w:t>’</w:t>
      </w:r>
      <w:r w:rsidRPr="005F174B">
        <w:rPr>
          <w:lang w:val="fr-FR"/>
        </w:rPr>
        <w:t>occupation, conformément à la jurisprudence de la Cour de cassation.</w:t>
      </w:r>
    </w:p>
    <w:p w:rsidR="00A639B1" w:rsidRPr="005F174B" w:rsidRDefault="00E444BC" w:rsidP="005F174B">
      <w:pPr>
        <w:pStyle w:val="ECHRHeading2"/>
        <w:rPr>
          <w:lang w:val="fr-FR"/>
        </w:rPr>
      </w:pPr>
      <w:r w:rsidRPr="005F174B">
        <w:rPr>
          <w:lang w:val="fr-FR"/>
        </w:rPr>
        <w:t>B</w:t>
      </w:r>
      <w:r w:rsidR="00A639B1" w:rsidRPr="005F174B">
        <w:rPr>
          <w:lang w:val="fr-FR"/>
        </w:rPr>
        <w:t>.  Faits postérieurs à la communication de la requête</w:t>
      </w:r>
    </w:p>
    <w:p w:rsidR="00A639B1" w:rsidRPr="005F174B" w:rsidRDefault="00A639B1" w:rsidP="005F174B">
      <w:pPr>
        <w:pStyle w:val="ECHRPara"/>
        <w:rPr>
          <w:lang w:val="fr-FR"/>
        </w:rPr>
      </w:pPr>
      <w:r w:rsidRPr="005F174B">
        <w:rPr>
          <w:lang w:val="fr-FR"/>
        </w:rPr>
        <w:t>20.  À une date non précisée dans le dossier, le requérant se pourvut en cassation à l</w:t>
      </w:r>
      <w:r w:rsidR="005F174B" w:rsidRPr="005F174B">
        <w:rPr>
          <w:lang w:val="fr-FR"/>
        </w:rPr>
        <w:t>’</w:t>
      </w:r>
      <w:r w:rsidRPr="005F174B">
        <w:rPr>
          <w:lang w:val="fr-FR"/>
        </w:rPr>
        <w:t>encontre de l</w:t>
      </w:r>
      <w:r w:rsidR="005F174B" w:rsidRPr="005F174B">
        <w:rPr>
          <w:lang w:val="fr-FR"/>
        </w:rPr>
        <w:t>’</w:t>
      </w:r>
      <w:r w:rsidRPr="005F174B">
        <w:rPr>
          <w:lang w:val="fr-FR"/>
        </w:rPr>
        <w:t>arrêt du 13 novembre 2007. Il contestait notamment les critères d</w:t>
      </w:r>
      <w:r w:rsidR="005F174B" w:rsidRPr="005F174B">
        <w:rPr>
          <w:lang w:val="fr-FR"/>
        </w:rPr>
        <w:t>’</w:t>
      </w:r>
      <w:r w:rsidRPr="005F174B">
        <w:rPr>
          <w:lang w:val="fr-FR"/>
        </w:rPr>
        <w:t>estimation de la valeur de sa propriété utilisés par l</w:t>
      </w:r>
      <w:r w:rsidR="005F174B" w:rsidRPr="005F174B">
        <w:rPr>
          <w:lang w:val="fr-FR"/>
        </w:rPr>
        <w:t>’</w:t>
      </w:r>
      <w:r w:rsidRPr="005F174B">
        <w:rPr>
          <w:lang w:val="fr-FR"/>
        </w:rPr>
        <w:t xml:space="preserve">expert. Par un arrêt du 13 février 2014, la Cour de cassation débouta le </w:t>
      </w:r>
      <w:r w:rsidRPr="005F174B">
        <w:rPr>
          <w:lang w:val="fr-FR"/>
        </w:rPr>
        <w:lastRenderedPageBreak/>
        <w:t>requérant de son pourvoi au motif qu</w:t>
      </w:r>
      <w:r w:rsidR="005F174B" w:rsidRPr="005F174B">
        <w:rPr>
          <w:lang w:val="fr-FR"/>
        </w:rPr>
        <w:t>’</w:t>
      </w:r>
      <w:r w:rsidRPr="005F174B">
        <w:rPr>
          <w:lang w:val="fr-FR"/>
        </w:rPr>
        <w:t>il n</w:t>
      </w:r>
      <w:r w:rsidR="005F174B" w:rsidRPr="005F174B">
        <w:rPr>
          <w:lang w:val="fr-FR"/>
        </w:rPr>
        <w:t>’</w:t>
      </w:r>
      <w:r w:rsidRPr="005F174B">
        <w:rPr>
          <w:lang w:val="fr-FR"/>
        </w:rPr>
        <w:t>avait pas suffisamment étayé ses doléances et confirma les conclusions de la cour d</w:t>
      </w:r>
      <w:r w:rsidR="005F174B" w:rsidRPr="005F174B">
        <w:rPr>
          <w:lang w:val="fr-FR"/>
        </w:rPr>
        <w:t>’</w:t>
      </w:r>
      <w:r w:rsidRPr="005F174B">
        <w:rPr>
          <w:lang w:val="fr-FR"/>
        </w:rPr>
        <w:t>appel de Florence.</w:t>
      </w:r>
    </w:p>
    <w:p w:rsidR="00A639B1" w:rsidRPr="005F174B" w:rsidRDefault="00A639B1" w:rsidP="005F174B">
      <w:pPr>
        <w:pStyle w:val="ECHRPara"/>
        <w:rPr>
          <w:lang w:val="fr-FR"/>
        </w:rPr>
      </w:pPr>
      <w:r w:rsidRPr="005F174B">
        <w:rPr>
          <w:lang w:val="fr-FR"/>
        </w:rPr>
        <w:t>21.  Le 21 juillet 2008, le requérant sollicita auprès des commissaires liquidateurs de la société Padana Appalti S.p.A. le paiement de sa créance. Le 30 juillet 2008, ceux-ci l</w:t>
      </w:r>
      <w:r w:rsidR="005F174B" w:rsidRPr="005F174B">
        <w:rPr>
          <w:lang w:val="fr-FR"/>
        </w:rPr>
        <w:t>’</w:t>
      </w:r>
      <w:r w:rsidRPr="005F174B">
        <w:rPr>
          <w:lang w:val="fr-FR"/>
        </w:rPr>
        <w:t>invitèrent à se constituer dans la procédure d</w:t>
      </w:r>
      <w:r w:rsidR="005F174B" w:rsidRPr="005F174B">
        <w:rPr>
          <w:lang w:val="fr-FR"/>
        </w:rPr>
        <w:t>’</w:t>
      </w:r>
      <w:r w:rsidRPr="005F174B">
        <w:rPr>
          <w:lang w:val="fr-FR"/>
        </w:rPr>
        <w:t>administration extraordinaire tout en précisant que le patrimoine de la société précitée était constitué d</w:t>
      </w:r>
      <w:r w:rsidR="005F174B" w:rsidRPr="005F174B">
        <w:rPr>
          <w:lang w:val="fr-FR"/>
        </w:rPr>
        <w:t>’</w:t>
      </w:r>
      <w:r w:rsidRPr="005F174B">
        <w:rPr>
          <w:lang w:val="fr-FR"/>
        </w:rPr>
        <w:t>un immeuble d</w:t>
      </w:r>
      <w:r w:rsidR="005F174B" w:rsidRPr="005F174B">
        <w:rPr>
          <w:lang w:val="fr-FR"/>
        </w:rPr>
        <w:t>’</w:t>
      </w:r>
      <w:r w:rsidRPr="005F174B">
        <w:rPr>
          <w:lang w:val="fr-FR"/>
        </w:rPr>
        <w:t>une valeur de 169 000 EUR environ et que la masse des créances privilégiées déjà enregistrées s</w:t>
      </w:r>
      <w:r w:rsidR="005F174B" w:rsidRPr="005F174B">
        <w:rPr>
          <w:lang w:val="fr-FR"/>
        </w:rPr>
        <w:t>’</w:t>
      </w:r>
      <w:r w:rsidRPr="005F174B">
        <w:rPr>
          <w:lang w:val="fr-FR"/>
        </w:rPr>
        <w:t>élevait à 278 000 EUR environ.</w:t>
      </w:r>
    </w:p>
    <w:p w:rsidR="00A639B1" w:rsidRPr="005F174B" w:rsidRDefault="00A639B1" w:rsidP="005F174B">
      <w:pPr>
        <w:pStyle w:val="ECHRPara"/>
        <w:rPr>
          <w:lang w:val="fr-FR"/>
        </w:rPr>
      </w:pPr>
      <w:r w:rsidRPr="005F174B">
        <w:rPr>
          <w:lang w:val="fr-FR"/>
        </w:rPr>
        <w:t>22.  En 2010 et en 2011 respectivement, le requérant introduisit des recours devant le tribunal civil de Livourne et devant le tribunal administratif régional de Toscane tendant à obtenir la restitution de son terrain et/ou un dédommagement de la part de l</w:t>
      </w:r>
      <w:r w:rsidR="005F174B" w:rsidRPr="005F174B">
        <w:rPr>
          <w:lang w:val="fr-FR"/>
        </w:rPr>
        <w:t>’</w:t>
      </w:r>
      <w:r w:rsidRPr="005F174B">
        <w:rPr>
          <w:lang w:val="fr-FR"/>
        </w:rPr>
        <w:t>administration. Il se plaignait de l</w:t>
      </w:r>
      <w:r w:rsidR="005F174B" w:rsidRPr="005F174B">
        <w:rPr>
          <w:lang w:val="fr-FR"/>
        </w:rPr>
        <w:t>’</w:t>
      </w:r>
      <w:r w:rsidRPr="005F174B">
        <w:rPr>
          <w:lang w:val="fr-FR"/>
        </w:rPr>
        <w:t>impossibilité d</w:t>
      </w:r>
      <w:r w:rsidR="005F174B" w:rsidRPr="005F174B">
        <w:rPr>
          <w:lang w:val="fr-FR"/>
        </w:rPr>
        <w:t>’</w:t>
      </w:r>
      <w:r w:rsidRPr="005F174B">
        <w:rPr>
          <w:lang w:val="fr-FR"/>
        </w:rPr>
        <w:t>obtenir le paiement de l</w:t>
      </w:r>
      <w:r w:rsidR="005F174B" w:rsidRPr="005F174B">
        <w:rPr>
          <w:lang w:val="fr-FR"/>
        </w:rPr>
        <w:t>’</w:t>
      </w:r>
      <w:r w:rsidRPr="005F174B">
        <w:rPr>
          <w:lang w:val="fr-FR"/>
        </w:rPr>
        <w:t>indemnité d</w:t>
      </w:r>
      <w:r w:rsidR="005F174B" w:rsidRPr="005F174B">
        <w:rPr>
          <w:lang w:val="fr-FR"/>
        </w:rPr>
        <w:t>’</w:t>
      </w:r>
      <w:r w:rsidRPr="005F174B">
        <w:rPr>
          <w:lang w:val="fr-FR"/>
        </w:rPr>
        <w:t>expropriation de la part de la société Padana Appalti S.p.A. Ces recours furent rejetés par des jugements des 30 mai 2012 et 5 juillet 2014 respectivement, au motif que la reconnaissance par la cour d</w:t>
      </w:r>
      <w:r w:rsidR="005F174B" w:rsidRPr="005F174B">
        <w:rPr>
          <w:lang w:val="fr-FR"/>
        </w:rPr>
        <w:t>’</w:t>
      </w:r>
      <w:r w:rsidRPr="005F174B">
        <w:rPr>
          <w:lang w:val="fr-FR"/>
        </w:rPr>
        <w:t>appel de Florence d</w:t>
      </w:r>
      <w:r w:rsidR="005F174B" w:rsidRPr="005F174B">
        <w:rPr>
          <w:lang w:val="fr-FR"/>
        </w:rPr>
        <w:t>’</w:t>
      </w:r>
      <w:r w:rsidRPr="005F174B">
        <w:rPr>
          <w:lang w:val="fr-FR"/>
        </w:rPr>
        <w:t>un droit à être indemnisé pour la perte de propriété du terrain ne permettait pas d</w:t>
      </w:r>
      <w:r w:rsidR="005F174B" w:rsidRPr="005F174B">
        <w:rPr>
          <w:lang w:val="fr-FR"/>
        </w:rPr>
        <w:t>’</w:t>
      </w:r>
      <w:r w:rsidRPr="005F174B">
        <w:rPr>
          <w:lang w:val="fr-FR"/>
        </w:rPr>
        <w:t>accueillir une demande de restitution de propriété et, par ailleurs, que la condamnation à payer qui avait été prononcée à l</w:t>
      </w:r>
      <w:r w:rsidR="005F174B" w:rsidRPr="005F174B">
        <w:rPr>
          <w:lang w:val="fr-FR"/>
        </w:rPr>
        <w:t>’</w:t>
      </w:r>
      <w:r w:rsidRPr="005F174B">
        <w:rPr>
          <w:lang w:val="fr-FR"/>
        </w:rPr>
        <w:t>encontre de la société Padana Appalti S.p.A ne pouvait pas être mise à la charge de l</w:t>
      </w:r>
      <w:r w:rsidR="005F174B" w:rsidRPr="005F174B">
        <w:rPr>
          <w:lang w:val="fr-FR"/>
        </w:rPr>
        <w:t>’</w:t>
      </w:r>
      <w:r w:rsidRPr="005F174B">
        <w:rPr>
          <w:lang w:val="fr-FR"/>
        </w:rPr>
        <w:t>administration. Le requérant fut condamné à payer les frais de procédure.</w:t>
      </w:r>
    </w:p>
    <w:p w:rsidR="00A639B1" w:rsidRPr="005F174B" w:rsidRDefault="00A639B1" w:rsidP="005F174B">
      <w:pPr>
        <w:pStyle w:val="ECHRPara"/>
        <w:rPr>
          <w:lang w:val="fr-FR"/>
        </w:rPr>
      </w:pPr>
      <w:r w:rsidRPr="005F174B">
        <w:rPr>
          <w:lang w:val="fr-FR"/>
        </w:rPr>
        <w:t>23.  La procédure d</w:t>
      </w:r>
      <w:r w:rsidR="005F174B" w:rsidRPr="005F174B">
        <w:rPr>
          <w:lang w:val="fr-FR"/>
        </w:rPr>
        <w:t>’</w:t>
      </w:r>
      <w:r w:rsidRPr="005F174B">
        <w:rPr>
          <w:lang w:val="fr-FR"/>
        </w:rPr>
        <w:t>administration extraordinaire de la société immobilière Padana Appalti S.p.A. se clôtura le 28 septembre 2015 par la répartition de son actif, soit la somme globale de 54 341,82 EUR, entre une partie des créanciers privilégiés.</w:t>
      </w:r>
    </w:p>
    <w:p w:rsidR="00A639B1" w:rsidRPr="005F174B" w:rsidRDefault="00A639B1" w:rsidP="005F174B">
      <w:pPr>
        <w:pStyle w:val="ECHRPara"/>
        <w:rPr>
          <w:lang w:val="fr-FR"/>
        </w:rPr>
      </w:pPr>
      <w:r w:rsidRPr="005F174B">
        <w:rPr>
          <w:lang w:val="fr-FR"/>
        </w:rPr>
        <w:t>24.  Entre-temps, compte tenu de la mise en liquidation de la société immobilière Padana Appalti S.p.A., l</w:t>
      </w:r>
      <w:r w:rsidR="005F174B" w:rsidRPr="005F174B">
        <w:rPr>
          <w:lang w:val="fr-FR"/>
        </w:rPr>
        <w:t>’</w:t>
      </w:r>
      <w:r w:rsidRPr="005F174B">
        <w:rPr>
          <w:lang w:val="fr-FR"/>
        </w:rPr>
        <w:t>expert mandaté par le tribunal de Livourne, n</w:t>
      </w:r>
      <w:r w:rsidR="005F174B" w:rsidRPr="005F174B">
        <w:rPr>
          <w:lang w:val="fr-FR"/>
        </w:rPr>
        <w:t>’</w:t>
      </w:r>
      <w:r w:rsidRPr="005F174B">
        <w:rPr>
          <w:lang w:val="fr-FR"/>
        </w:rPr>
        <w:t>ayant pu obtenir le paiement de ses honoraires par ladite société, soit un montant de 11 928,44 EUR, entama, le 9 décembre 2005, une procédure exécutive à l</w:t>
      </w:r>
      <w:r w:rsidR="005F174B" w:rsidRPr="005F174B">
        <w:rPr>
          <w:lang w:val="fr-FR"/>
        </w:rPr>
        <w:t>’</w:t>
      </w:r>
      <w:r w:rsidRPr="005F174B">
        <w:rPr>
          <w:lang w:val="fr-FR"/>
        </w:rPr>
        <w:t>encontre du requérant qui était responsable solidaire pour le paiement des frais de procédure. Le requérant s</w:t>
      </w:r>
      <w:r w:rsidR="005F174B" w:rsidRPr="005F174B">
        <w:rPr>
          <w:lang w:val="fr-FR"/>
        </w:rPr>
        <w:t>’</w:t>
      </w:r>
      <w:r w:rsidRPr="005F174B">
        <w:rPr>
          <w:lang w:val="fr-FR"/>
        </w:rPr>
        <w:t>y opposa à plusieurs reprises.</w:t>
      </w:r>
    </w:p>
    <w:p w:rsidR="00A639B1" w:rsidRPr="005F174B" w:rsidRDefault="00A639B1" w:rsidP="005F174B">
      <w:pPr>
        <w:pStyle w:val="ECHRPara"/>
        <w:rPr>
          <w:lang w:val="fr-FR"/>
        </w:rPr>
      </w:pPr>
      <w:r w:rsidRPr="005F174B">
        <w:rPr>
          <w:lang w:val="fr-FR"/>
        </w:rPr>
        <w:t>25.  Dans le cadre de cette procédure d</w:t>
      </w:r>
      <w:r w:rsidR="005F174B" w:rsidRPr="005F174B">
        <w:rPr>
          <w:lang w:val="fr-FR"/>
        </w:rPr>
        <w:t>’</w:t>
      </w:r>
      <w:r w:rsidRPr="005F174B">
        <w:rPr>
          <w:lang w:val="fr-FR"/>
        </w:rPr>
        <w:t>exécution, l</w:t>
      </w:r>
      <w:r w:rsidR="005F174B" w:rsidRPr="005F174B">
        <w:rPr>
          <w:lang w:val="fr-FR"/>
        </w:rPr>
        <w:t>’</w:t>
      </w:r>
      <w:r w:rsidRPr="005F174B">
        <w:rPr>
          <w:lang w:val="fr-FR"/>
        </w:rPr>
        <w:t>habitation principale du requérant fit l</w:t>
      </w:r>
      <w:r w:rsidR="005F174B" w:rsidRPr="005F174B">
        <w:rPr>
          <w:lang w:val="fr-FR"/>
        </w:rPr>
        <w:t>’</w:t>
      </w:r>
      <w:r w:rsidRPr="005F174B">
        <w:rPr>
          <w:lang w:val="fr-FR"/>
        </w:rPr>
        <w:t>objet d</w:t>
      </w:r>
      <w:r w:rsidR="005F174B" w:rsidRPr="005F174B">
        <w:rPr>
          <w:lang w:val="fr-FR"/>
        </w:rPr>
        <w:t>’</w:t>
      </w:r>
      <w:r w:rsidRPr="005F174B">
        <w:rPr>
          <w:lang w:val="fr-FR"/>
        </w:rPr>
        <w:t>une saisie immobilière et fut vendue aux enchères le 28 mars 2018.</w:t>
      </w:r>
    </w:p>
    <w:p w:rsidR="00A639B1" w:rsidRPr="005F174B" w:rsidRDefault="00A639B1" w:rsidP="005F174B">
      <w:pPr>
        <w:pStyle w:val="ECHRHeading1"/>
        <w:rPr>
          <w:lang w:val="fr-FR"/>
        </w:rPr>
      </w:pPr>
      <w:r w:rsidRPr="005F174B">
        <w:rPr>
          <w:lang w:val="fr-FR"/>
        </w:rPr>
        <w:t>II.  LE DROIT INTERNE PERTINENT</w:t>
      </w:r>
    </w:p>
    <w:p w:rsidR="00A639B1" w:rsidRPr="005F174B" w:rsidRDefault="00A639B1" w:rsidP="005F174B">
      <w:pPr>
        <w:pStyle w:val="ECHRPara"/>
        <w:rPr>
          <w:lang w:val="fr-FR"/>
        </w:rPr>
      </w:pPr>
      <w:r w:rsidRPr="005F174B">
        <w:rPr>
          <w:lang w:val="fr-FR"/>
        </w:rPr>
        <w:t>26.  Par l</w:t>
      </w:r>
      <w:r w:rsidR="005F174B" w:rsidRPr="005F174B">
        <w:rPr>
          <w:lang w:val="fr-FR"/>
        </w:rPr>
        <w:t>’</w:t>
      </w:r>
      <w:r w:rsidRPr="005F174B">
        <w:rPr>
          <w:lang w:val="fr-FR"/>
        </w:rPr>
        <w:t>arrêt n</w:t>
      </w:r>
      <w:r w:rsidRPr="005F174B">
        <w:rPr>
          <w:vertAlign w:val="superscript"/>
          <w:lang w:val="fr-FR"/>
        </w:rPr>
        <w:t>o</w:t>
      </w:r>
      <w:r w:rsidRPr="005F174B">
        <w:rPr>
          <w:lang w:val="fr-FR"/>
        </w:rPr>
        <w:t xml:space="preserve"> 10922 du 20 octobre 1995, la Cour de cassation, statuant en chambres réunies, a affirmé qu</w:t>
      </w:r>
      <w:r w:rsidR="005F174B" w:rsidRPr="005F174B">
        <w:rPr>
          <w:lang w:val="fr-FR"/>
        </w:rPr>
        <w:t>’</w:t>
      </w:r>
      <w:r w:rsidRPr="005F174B">
        <w:rPr>
          <w:lang w:val="fr-FR"/>
        </w:rPr>
        <w:t>en cas de délégation des pouvoirs liés à l</w:t>
      </w:r>
      <w:r w:rsidR="005F174B" w:rsidRPr="005F174B">
        <w:rPr>
          <w:lang w:val="fr-FR"/>
        </w:rPr>
        <w:t>’</w:t>
      </w:r>
      <w:r w:rsidRPr="005F174B">
        <w:rPr>
          <w:lang w:val="fr-FR"/>
        </w:rPr>
        <w:t>expropriation et à la réalisation d</w:t>
      </w:r>
      <w:r w:rsidR="005F174B" w:rsidRPr="005F174B">
        <w:rPr>
          <w:lang w:val="fr-FR"/>
        </w:rPr>
        <w:t>’</w:t>
      </w:r>
      <w:r w:rsidRPr="005F174B">
        <w:rPr>
          <w:lang w:val="fr-FR"/>
        </w:rPr>
        <w:t>un ouvrage public, l</w:t>
      </w:r>
      <w:r w:rsidR="005F174B" w:rsidRPr="005F174B">
        <w:rPr>
          <w:lang w:val="fr-FR"/>
        </w:rPr>
        <w:t>’</w:t>
      </w:r>
      <w:r w:rsidRPr="005F174B">
        <w:rPr>
          <w:lang w:val="fr-FR"/>
        </w:rPr>
        <w:t>organe public déléguant est co-responsable de l</w:t>
      </w:r>
      <w:r w:rsidR="005F174B" w:rsidRPr="005F174B">
        <w:rPr>
          <w:lang w:val="fr-FR"/>
        </w:rPr>
        <w:t>’</w:t>
      </w:r>
      <w:r w:rsidRPr="005F174B">
        <w:rPr>
          <w:lang w:val="fr-FR"/>
        </w:rPr>
        <w:t>entité déléguée des dommages subis par le propriétaire exproprié. En effet, l</w:t>
      </w:r>
      <w:r w:rsidR="005F174B" w:rsidRPr="005F174B">
        <w:rPr>
          <w:lang w:val="fr-FR"/>
        </w:rPr>
        <w:t>’</w:t>
      </w:r>
      <w:r w:rsidRPr="005F174B">
        <w:rPr>
          <w:lang w:val="fr-FR"/>
        </w:rPr>
        <w:t>expropriation est effectuée par l</w:t>
      </w:r>
      <w:r w:rsidR="005F174B" w:rsidRPr="005F174B">
        <w:rPr>
          <w:lang w:val="fr-FR"/>
        </w:rPr>
        <w:t>’</w:t>
      </w:r>
      <w:r w:rsidRPr="005F174B">
        <w:rPr>
          <w:lang w:val="fr-FR"/>
        </w:rPr>
        <w:t xml:space="preserve">entité </w:t>
      </w:r>
      <w:r w:rsidRPr="005F174B">
        <w:rPr>
          <w:lang w:val="fr-FR"/>
        </w:rPr>
        <w:lastRenderedPageBreak/>
        <w:t>déléguée non seulement en nom et pour compte de l</w:t>
      </w:r>
      <w:r w:rsidR="005F174B" w:rsidRPr="005F174B">
        <w:rPr>
          <w:lang w:val="fr-FR"/>
        </w:rPr>
        <w:t>’</w:t>
      </w:r>
      <w:r w:rsidRPr="005F174B">
        <w:rPr>
          <w:lang w:val="fr-FR"/>
        </w:rPr>
        <w:t>autorité publique déléguant mais également en accord (« </w:t>
      </w:r>
      <w:r w:rsidRPr="005F174B">
        <w:rPr>
          <w:i/>
          <w:lang w:val="fr-FR"/>
        </w:rPr>
        <w:t>d</w:t>
      </w:r>
      <w:r w:rsidR="005F174B" w:rsidRPr="005F174B">
        <w:rPr>
          <w:i/>
          <w:lang w:val="fr-FR"/>
        </w:rPr>
        <w:t>’</w:t>
      </w:r>
      <w:r w:rsidRPr="005F174B">
        <w:rPr>
          <w:i/>
          <w:lang w:val="fr-FR"/>
        </w:rPr>
        <w:t>intesa »</w:t>
      </w:r>
      <w:r w:rsidRPr="005F174B">
        <w:rPr>
          <w:lang w:val="fr-FR"/>
        </w:rPr>
        <w:t>) avec celle-ci, laquelle détient un pouvoir de contrôle et de surveillance sur le déroulement de la procédure.</w:t>
      </w:r>
    </w:p>
    <w:p w:rsidR="00A639B1" w:rsidRPr="005F174B" w:rsidRDefault="00A639B1" w:rsidP="005F174B">
      <w:pPr>
        <w:pStyle w:val="ECHRTitle1"/>
        <w:rPr>
          <w:lang w:val="fr-FR"/>
        </w:rPr>
      </w:pPr>
      <w:r w:rsidRPr="005F174B">
        <w:rPr>
          <w:lang w:val="fr-FR"/>
        </w:rPr>
        <w:t>EN DROIT</w:t>
      </w:r>
    </w:p>
    <w:p w:rsidR="00A639B1" w:rsidRPr="005F174B" w:rsidRDefault="00A639B1" w:rsidP="005F174B">
      <w:pPr>
        <w:pStyle w:val="ECHRHeading1"/>
        <w:rPr>
          <w:lang w:val="fr-FR"/>
        </w:rPr>
      </w:pPr>
      <w:r w:rsidRPr="005F174B">
        <w:rPr>
          <w:lang w:val="fr-FR"/>
        </w:rPr>
        <w:t>I.  SUR LES VIOLATIONS ALLÉGUÉES DES ARTICLES 6 § 1 DE LA CONVENTION ET 1 DU PROTOCOLE N</w:t>
      </w:r>
      <w:r w:rsidRPr="005F174B">
        <w:rPr>
          <w:vertAlign w:val="superscript"/>
          <w:lang w:val="fr-FR"/>
        </w:rPr>
        <w:t>o </w:t>
      </w:r>
      <w:r w:rsidRPr="005F174B">
        <w:rPr>
          <w:lang w:val="fr-FR"/>
        </w:rPr>
        <w:t>1 À LA CONVENTION EN RAISON DE LA NON-EXÉCUTION DU JUGEMENT</w:t>
      </w:r>
    </w:p>
    <w:p w:rsidR="00A639B1" w:rsidRPr="005F174B" w:rsidRDefault="00A639B1" w:rsidP="005F174B">
      <w:pPr>
        <w:pStyle w:val="ECHRPara"/>
        <w:rPr>
          <w:lang w:val="fr-FR"/>
        </w:rPr>
      </w:pPr>
      <w:r w:rsidRPr="005F174B">
        <w:rPr>
          <w:lang w:val="fr-FR"/>
        </w:rPr>
        <w:t>27.  Le requérant se plaint de l</w:t>
      </w:r>
      <w:r w:rsidR="005F174B" w:rsidRPr="005F174B">
        <w:rPr>
          <w:lang w:val="fr-FR"/>
        </w:rPr>
        <w:t>’</w:t>
      </w:r>
      <w:r w:rsidRPr="005F174B">
        <w:rPr>
          <w:lang w:val="fr-FR"/>
        </w:rPr>
        <w:t>impossibilité d</w:t>
      </w:r>
      <w:r w:rsidR="005F174B" w:rsidRPr="005F174B">
        <w:rPr>
          <w:lang w:val="fr-FR"/>
        </w:rPr>
        <w:t>’</w:t>
      </w:r>
      <w:r w:rsidRPr="005F174B">
        <w:rPr>
          <w:lang w:val="fr-FR"/>
        </w:rPr>
        <w:t>obtenir le paiement de la somme qui lui a été allouée à titre de réparation par la cour d</w:t>
      </w:r>
      <w:r w:rsidR="005F174B" w:rsidRPr="005F174B">
        <w:rPr>
          <w:lang w:val="fr-FR"/>
        </w:rPr>
        <w:t>’</w:t>
      </w:r>
      <w:r w:rsidRPr="005F174B">
        <w:rPr>
          <w:lang w:val="fr-FR"/>
        </w:rPr>
        <w:t>appel de Florence. Il allègue une violation des articles 6 § 1 de la Convention et 1 du Protocole n</w:t>
      </w:r>
      <w:r w:rsidRPr="005F174B">
        <w:rPr>
          <w:vertAlign w:val="superscript"/>
          <w:lang w:val="fr-FR"/>
        </w:rPr>
        <w:t>o</w:t>
      </w:r>
      <w:r w:rsidRPr="005F174B">
        <w:rPr>
          <w:lang w:val="fr-FR"/>
        </w:rPr>
        <w:t xml:space="preserve"> 1 à la Convention, ainsi libellés dans leurs parties pertinentes en l</w:t>
      </w:r>
      <w:r w:rsidR="005F174B" w:rsidRPr="005F174B">
        <w:rPr>
          <w:lang w:val="fr-FR"/>
        </w:rPr>
        <w:t>’</w:t>
      </w:r>
      <w:r w:rsidRPr="005F174B">
        <w:rPr>
          <w:lang w:val="fr-FR"/>
        </w:rPr>
        <w:t>espèce :</w:t>
      </w:r>
    </w:p>
    <w:p w:rsidR="00A639B1" w:rsidRPr="005F174B" w:rsidRDefault="00A639B1" w:rsidP="005F174B">
      <w:pPr>
        <w:pStyle w:val="ECHRTitleCentre3"/>
        <w:rPr>
          <w:lang w:val="fr-FR"/>
        </w:rPr>
      </w:pPr>
      <w:r w:rsidRPr="005F174B">
        <w:rPr>
          <w:lang w:val="fr-FR"/>
        </w:rPr>
        <w:t>Article 6 § 1</w:t>
      </w:r>
    </w:p>
    <w:p w:rsidR="00A639B1" w:rsidRPr="005F174B" w:rsidRDefault="005F174B" w:rsidP="005F174B">
      <w:pPr>
        <w:pStyle w:val="ECHRParaQuote"/>
        <w:rPr>
          <w:lang w:val="fr-FR"/>
        </w:rPr>
      </w:pPr>
      <w:r w:rsidRPr="005F174B">
        <w:rPr>
          <w:lang w:val="fr-FR"/>
        </w:rPr>
        <w:t>« </w:t>
      </w:r>
      <w:r w:rsidR="00A639B1" w:rsidRPr="005F174B">
        <w:rPr>
          <w:lang w:val="fr-FR"/>
        </w:rPr>
        <w:t>Toute personne a droit à ce que sa cause soit entendue équitablement (...) par un tribunal (...), qui décidera (...) des contestations sur ses droits et obligations de caractère civil (...)</w:t>
      </w:r>
      <w:r w:rsidRPr="005F174B">
        <w:rPr>
          <w:lang w:val="fr-FR"/>
        </w:rPr>
        <w:t> </w:t>
      </w:r>
      <w:r w:rsidR="00A639B1" w:rsidRPr="005F174B">
        <w:rPr>
          <w:lang w:val="fr-FR"/>
        </w:rPr>
        <w:t>»</w:t>
      </w:r>
    </w:p>
    <w:p w:rsidR="00A639B1" w:rsidRPr="005F174B" w:rsidRDefault="00A639B1" w:rsidP="005F174B">
      <w:pPr>
        <w:pStyle w:val="ECHRTitleCentre3"/>
        <w:rPr>
          <w:lang w:val="fr-FR"/>
        </w:rPr>
      </w:pPr>
      <w:r w:rsidRPr="005F174B">
        <w:rPr>
          <w:lang w:val="fr-FR"/>
        </w:rPr>
        <w:t>Article 1 du Protocole n</w:t>
      </w:r>
      <w:r w:rsidRPr="005F174B">
        <w:rPr>
          <w:vertAlign w:val="superscript"/>
          <w:lang w:val="fr-FR"/>
        </w:rPr>
        <w:t>o</w:t>
      </w:r>
      <w:r w:rsidRPr="005F174B">
        <w:rPr>
          <w:lang w:val="fr-FR"/>
        </w:rPr>
        <w:t xml:space="preserve"> 1</w:t>
      </w:r>
    </w:p>
    <w:p w:rsidR="00A639B1" w:rsidRPr="005F174B" w:rsidRDefault="005F174B" w:rsidP="005F174B">
      <w:pPr>
        <w:pStyle w:val="ECHRParaQuote"/>
        <w:rPr>
          <w:lang w:val="fr-FR"/>
        </w:rPr>
      </w:pPr>
      <w:r w:rsidRPr="005F174B">
        <w:rPr>
          <w:lang w:val="fr-FR"/>
        </w:rPr>
        <w:t>« </w:t>
      </w:r>
      <w:r w:rsidR="00A639B1" w:rsidRPr="005F174B">
        <w:rPr>
          <w:lang w:val="fr-FR"/>
        </w:rPr>
        <w:t>Toute personne physique ou morale a droit au respect de ses biens. Nul ne peut être privé de sa propriété que pour cause d</w:t>
      </w:r>
      <w:r w:rsidRPr="005F174B">
        <w:rPr>
          <w:lang w:val="fr-FR"/>
        </w:rPr>
        <w:t>’</w:t>
      </w:r>
      <w:r w:rsidR="00A639B1" w:rsidRPr="005F174B">
        <w:rPr>
          <w:lang w:val="fr-FR"/>
        </w:rPr>
        <w:t>utilité publique et dans les conditions prévues par la loi et les principes généraux du droit international.</w:t>
      </w:r>
    </w:p>
    <w:p w:rsidR="00A639B1" w:rsidRPr="005F174B" w:rsidRDefault="00A639B1" w:rsidP="005F174B">
      <w:pPr>
        <w:pStyle w:val="ECHRParaQuote"/>
        <w:rPr>
          <w:lang w:val="fr-FR"/>
        </w:rPr>
      </w:pPr>
      <w:r w:rsidRPr="005F174B">
        <w:rPr>
          <w:lang w:val="fr-FR"/>
        </w:rPr>
        <w:t>Les dispositions précédentes ne portent pas atteinte au droit que possèdent les États de mettre en vigueur les lois qu</w:t>
      </w:r>
      <w:r w:rsidR="005F174B" w:rsidRPr="005F174B">
        <w:rPr>
          <w:lang w:val="fr-FR"/>
        </w:rPr>
        <w:t>’</w:t>
      </w:r>
      <w:r w:rsidRPr="005F174B">
        <w:rPr>
          <w:lang w:val="fr-FR"/>
        </w:rPr>
        <w:t>ils jugent nécessaires pour réglementer l</w:t>
      </w:r>
      <w:r w:rsidR="005F174B" w:rsidRPr="005F174B">
        <w:rPr>
          <w:lang w:val="fr-FR"/>
        </w:rPr>
        <w:t>’</w:t>
      </w:r>
      <w:r w:rsidRPr="005F174B">
        <w:rPr>
          <w:lang w:val="fr-FR"/>
        </w:rPr>
        <w:t>usage des biens conformément à l</w:t>
      </w:r>
      <w:r w:rsidR="005F174B" w:rsidRPr="005F174B">
        <w:rPr>
          <w:lang w:val="fr-FR"/>
        </w:rPr>
        <w:t>’</w:t>
      </w:r>
      <w:r w:rsidRPr="005F174B">
        <w:rPr>
          <w:lang w:val="fr-FR"/>
        </w:rPr>
        <w:t>intérêt général ou pour assurer le paiement des impôts ou d</w:t>
      </w:r>
      <w:r w:rsidR="005F174B" w:rsidRPr="005F174B">
        <w:rPr>
          <w:lang w:val="fr-FR"/>
        </w:rPr>
        <w:t>’</w:t>
      </w:r>
      <w:r w:rsidRPr="005F174B">
        <w:rPr>
          <w:lang w:val="fr-FR"/>
        </w:rPr>
        <w:t>autre</w:t>
      </w:r>
      <w:r w:rsidR="005F174B" w:rsidRPr="005F174B">
        <w:rPr>
          <w:lang w:val="fr-FR"/>
        </w:rPr>
        <w:t>s contributions ou des amendes. </w:t>
      </w:r>
      <w:r w:rsidRPr="005F174B">
        <w:rPr>
          <w:lang w:val="fr-FR"/>
        </w:rPr>
        <w:t>»</w:t>
      </w:r>
    </w:p>
    <w:p w:rsidR="00A639B1" w:rsidRPr="005F174B" w:rsidRDefault="00A639B1" w:rsidP="005F174B">
      <w:pPr>
        <w:pStyle w:val="ECHRPara"/>
        <w:rPr>
          <w:lang w:val="fr-FR"/>
        </w:rPr>
      </w:pPr>
      <w:r w:rsidRPr="005F174B">
        <w:rPr>
          <w:lang w:val="fr-FR"/>
        </w:rPr>
        <w:t>28.  Le requérant allègue que l</w:t>
      </w:r>
      <w:r w:rsidR="005F174B" w:rsidRPr="005F174B">
        <w:rPr>
          <w:lang w:val="fr-FR"/>
        </w:rPr>
        <w:t>’</w:t>
      </w:r>
      <w:r w:rsidRPr="005F174B">
        <w:rPr>
          <w:lang w:val="fr-FR"/>
        </w:rPr>
        <w:t>impossibilité d</w:t>
      </w:r>
      <w:r w:rsidR="005F174B" w:rsidRPr="005F174B">
        <w:rPr>
          <w:lang w:val="fr-FR"/>
        </w:rPr>
        <w:t>’</w:t>
      </w:r>
      <w:r w:rsidRPr="005F174B">
        <w:rPr>
          <w:lang w:val="fr-FR"/>
        </w:rPr>
        <w:t>obtenir l</w:t>
      </w:r>
      <w:r w:rsidR="005F174B" w:rsidRPr="005F174B">
        <w:rPr>
          <w:lang w:val="fr-FR"/>
        </w:rPr>
        <w:t>’</w:t>
      </w:r>
      <w:r w:rsidRPr="005F174B">
        <w:rPr>
          <w:lang w:val="fr-FR"/>
        </w:rPr>
        <w:t>exécution de l</w:t>
      </w:r>
      <w:r w:rsidR="005F174B" w:rsidRPr="005F174B">
        <w:rPr>
          <w:lang w:val="fr-FR"/>
        </w:rPr>
        <w:t>’</w:t>
      </w:r>
      <w:r w:rsidRPr="005F174B">
        <w:rPr>
          <w:lang w:val="fr-FR"/>
        </w:rPr>
        <w:t>arrêt rendu en sa faveur par la Cour d</w:t>
      </w:r>
      <w:r w:rsidR="005F174B" w:rsidRPr="005F174B">
        <w:rPr>
          <w:lang w:val="fr-FR"/>
        </w:rPr>
        <w:t>’</w:t>
      </w:r>
      <w:r w:rsidRPr="005F174B">
        <w:rPr>
          <w:lang w:val="fr-FR"/>
        </w:rPr>
        <w:t>appel de Florence a emporté violation de son droit d</w:t>
      </w:r>
      <w:r w:rsidR="005F174B" w:rsidRPr="005F174B">
        <w:rPr>
          <w:lang w:val="fr-FR"/>
        </w:rPr>
        <w:t>’</w:t>
      </w:r>
      <w:r w:rsidRPr="005F174B">
        <w:rPr>
          <w:lang w:val="fr-FR"/>
        </w:rPr>
        <w:t>accès à un tribunal et a porté atteinte à son droit au respect de ses biens.</w:t>
      </w:r>
    </w:p>
    <w:p w:rsidR="00A639B1" w:rsidRPr="005F174B" w:rsidRDefault="00A639B1" w:rsidP="005F174B">
      <w:pPr>
        <w:pStyle w:val="ECHRHeading2"/>
        <w:rPr>
          <w:lang w:val="fr-FR"/>
        </w:rPr>
      </w:pPr>
      <w:r w:rsidRPr="005F174B">
        <w:rPr>
          <w:lang w:val="fr-FR"/>
        </w:rPr>
        <w:t>A.  Sur la recevabilité</w:t>
      </w:r>
    </w:p>
    <w:p w:rsidR="00A639B1" w:rsidRPr="005F174B" w:rsidRDefault="00A639B1" w:rsidP="005F174B">
      <w:pPr>
        <w:pStyle w:val="ECHRHeading3"/>
        <w:rPr>
          <w:lang w:val="fr-FR"/>
        </w:rPr>
      </w:pPr>
      <w:r w:rsidRPr="005F174B">
        <w:rPr>
          <w:lang w:val="fr-FR"/>
        </w:rPr>
        <w:t>1.  Les observations des parties</w:t>
      </w:r>
    </w:p>
    <w:p w:rsidR="00A639B1" w:rsidRPr="005F174B" w:rsidRDefault="00A639B1" w:rsidP="005F174B">
      <w:pPr>
        <w:pStyle w:val="ECHRHeading4"/>
        <w:rPr>
          <w:lang w:val="fr-FR"/>
        </w:rPr>
      </w:pPr>
      <w:r w:rsidRPr="005F174B">
        <w:rPr>
          <w:lang w:val="fr-FR"/>
        </w:rPr>
        <w:t>a)  Le Gouvernement</w:t>
      </w:r>
    </w:p>
    <w:p w:rsidR="00A639B1" w:rsidRPr="005F174B" w:rsidRDefault="00A639B1" w:rsidP="005F174B">
      <w:pPr>
        <w:pStyle w:val="ECHRPara"/>
        <w:rPr>
          <w:lang w:val="fr-FR"/>
        </w:rPr>
      </w:pPr>
      <w:r w:rsidRPr="005F174B">
        <w:rPr>
          <w:lang w:val="fr-FR"/>
        </w:rPr>
        <w:t>29.  Le Gouvernement excipe tout d</w:t>
      </w:r>
      <w:r w:rsidR="005F174B" w:rsidRPr="005F174B">
        <w:rPr>
          <w:lang w:val="fr-FR"/>
        </w:rPr>
        <w:t>’</w:t>
      </w:r>
      <w:r w:rsidRPr="005F174B">
        <w:rPr>
          <w:lang w:val="fr-FR"/>
        </w:rPr>
        <w:t>abord du non-épuisement des voies de recours internes puisque le requérant a choisi d</w:t>
      </w:r>
      <w:r w:rsidR="005F174B" w:rsidRPr="005F174B">
        <w:rPr>
          <w:lang w:val="fr-FR"/>
        </w:rPr>
        <w:t>’</w:t>
      </w:r>
      <w:r w:rsidRPr="005F174B">
        <w:rPr>
          <w:lang w:val="fr-FR"/>
        </w:rPr>
        <w:t xml:space="preserve">assigner devant les </w:t>
      </w:r>
      <w:r w:rsidRPr="005F174B">
        <w:rPr>
          <w:lang w:val="fr-FR"/>
        </w:rPr>
        <w:lastRenderedPageBreak/>
        <w:t>juridictions nationales seulement la société privée qui avait été déléguée par l</w:t>
      </w:r>
      <w:r w:rsidR="005F174B" w:rsidRPr="005F174B">
        <w:rPr>
          <w:lang w:val="fr-FR"/>
        </w:rPr>
        <w:t>’</w:t>
      </w:r>
      <w:r w:rsidRPr="005F174B">
        <w:rPr>
          <w:lang w:val="fr-FR"/>
        </w:rPr>
        <w:t>ANAS pour occuper le terrain. Il soutient que le requérant a eu tort de ne pas formuler sa demande d</w:t>
      </w:r>
      <w:r w:rsidR="005F174B" w:rsidRPr="005F174B">
        <w:rPr>
          <w:lang w:val="fr-FR"/>
        </w:rPr>
        <w:t>’</w:t>
      </w:r>
      <w:r w:rsidRPr="005F174B">
        <w:rPr>
          <w:lang w:val="fr-FR"/>
        </w:rPr>
        <w:t>indemnisation également à l</w:t>
      </w:r>
      <w:r w:rsidR="005F174B" w:rsidRPr="005F174B">
        <w:rPr>
          <w:lang w:val="fr-FR"/>
        </w:rPr>
        <w:t>’</w:t>
      </w:r>
      <w:r w:rsidRPr="005F174B">
        <w:rPr>
          <w:lang w:val="fr-FR"/>
        </w:rPr>
        <w:t>encontre de cet organe public, lequel aurait pu être considéré comme responsable solidaire de la société en question et garantir le paiement effectif de la somme allouée par les juridictions.</w:t>
      </w:r>
    </w:p>
    <w:p w:rsidR="00A639B1" w:rsidRPr="005F174B" w:rsidRDefault="00A639B1" w:rsidP="005F174B">
      <w:pPr>
        <w:pStyle w:val="ECHRPara"/>
        <w:rPr>
          <w:lang w:val="fr-FR"/>
        </w:rPr>
      </w:pPr>
      <w:r w:rsidRPr="005F174B">
        <w:rPr>
          <w:lang w:val="fr-FR"/>
        </w:rPr>
        <w:t>30.  Le Gouvernement indique que le fait de déléguer la société CIR S.p.A. pour effectuer les activités liées à la construction de l</w:t>
      </w:r>
      <w:r w:rsidR="005F174B" w:rsidRPr="005F174B">
        <w:rPr>
          <w:lang w:val="fr-FR"/>
        </w:rPr>
        <w:t>’</w:t>
      </w:r>
      <w:r w:rsidRPr="005F174B">
        <w:rPr>
          <w:lang w:val="fr-FR"/>
        </w:rPr>
        <w:t>ouvrage public n</w:t>
      </w:r>
      <w:r w:rsidR="005F174B" w:rsidRPr="005F174B">
        <w:rPr>
          <w:lang w:val="fr-FR"/>
        </w:rPr>
        <w:t>’</w:t>
      </w:r>
      <w:r w:rsidRPr="005F174B">
        <w:rPr>
          <w:lang w:val="fr-FR"/>
        </w:rPr>
        <w:t>exemptait pas l</w:t>
      </w:r>
      <w:r w:rsidR="005F174B" w:rsidRPr="005F174B">
        <w:rPr>
          <w:lang w:val="fr-FR"/>
        </w:rPr>
        <w:t>’</w:t>
      </w:r>
      <w:r w:rsidRPr="005F174B">
        <w:rPr>
          <w:lang w:val="fr-FR"/>
        </w:rPr>
        <w:t>ANAS de toutes ses responsabilités. Il fait valoir que l</w:t>
      </w:r>
      <w:r w:rsidR="005F174B" w:rsidRPr="005F174B">
        <w:rPr>
          <w:lang w:val="fr-FR"/>
        </w:rPr>
        <w:t>’</w:t>
      </w:r>
      <w:r w:rsidRPr="005F174B">
        <w:rPr>
          <w:lang w:val="fr-FR"/>
        </w:rPr>
        <w:t>administration déléguant demeure responsable de veiller sur la régularité de la procédure d</w:t>
      </w:r>
      <w:r w:rsidR="005F174B" w:rsidRPr="005F174B">
        <w:rPr>
          <w:lang w:val="fr-FR"/>
        </w:rPr>
        <w:t>’</w:t>
      </w:r>
      <w:r w:rsidRPr="005F174B">
        <w:rPr>
          <w:lang w:val="fr-FR"/>
        </w:rPr>
        <w:t>expropriation et d</w:t>
      </w:r>
      <w:r w:rsidR="005F174B" w:rsidRPr="005F174B">
        <w:rPr>
          <w:lang w:val="fr-FR"/>
        </w:rPr>
        <w:t>’</w:t>
      </w:r>
      <w:r w:rsidRPr="005F174B">
        <w:rPr>
          <w:lang w:val="fr-FR"/>
        </w:rPr>
        <w:t>assurer, le cas échéant, le paiement du montant dû à titre d</w:t>
      </w:r>
      <w:r w:rsidR="005F174B" w:rsidRPr="005F174B">
        <w:rPr>
          <w:lang w:val="fr-FR"/>
        </w:rPr>
        <w:t>’</w:t>
      </w:r>
      <w:r w:rsidRPr="005F174B">
        <w:rPr>
          <w:lang w:val="fr-FR"/>
        </w:rPr>
        <w:t>indemnisation ou de dédommagement. À cet égard, il expose que, bien que de manière non univoque, une certaine jurisprudence en la matière reconnaissait déjà à l</w:t>
      </w:r>
      <w:r w:rsidR="005F174B" w:rsidRPr="005F174B">
        <w:rPr>
          <w:lang w:val="fr-FR"/>
        </w:rPr>
        <w:t>’</w:t>
      </w:r>
      <w:r w:rsidRPr="005F174B">
        <w:rPr>
          <w:lang w:val="fr-FR"/>
        </w:rPr>
        <w:t>époque de l</w:t>
      </w:r>
      <w:r w:rsidR="005F174B" w:rsidRPr="005F174B">
        <w:rPr>
          <w:lang w:val="fr-FR"/>
        </w:rPr>
        <w:t>’</w:t>
      </w:r>
      <w:r w:rsidRPr="005F174B">
        <w:rPr>
          <w:lang w:val="fr-FR"/>
        </w:rPr>
        <w:t>introduction de la demande d</w:t>
      </w:r>
      <w:r w:rsidR="005F174B" w:rsidRPr="005F174B">
        <w:rPr>
          <w:lang w:val="fr-FR"/>
        </w:rPr>
        <w:t>’</w:t>
      </w:r>
      <w:r w:rsidRPr="005F174B">
        <w:rPr>
          <w:lang w:val="fr-FR"/>
        </w:rPr>
        <w:t>indemnisation du requérant la responsabilité conjointe, dans ce type de situations, de l</w:t>
      </w:r>
      <w:r w:rsidR="005F174B" w:rsidRPr="005F174B">
        <w:rPr>
          <w:lang w:val="fr-FR"/>
        </w:rPr>
        <w:t>’</w:t>
      </w:r>
      <w:r w:rsidRPr="005F174B">
        <w:rPr>
          <w:lang w:val="fr-FR"/>
        </w:rPr>
        <w:t>organe délégant et de l</w:t>
      </w:r>
      <w:r w:rsidR="005F174B" w:rsidRPr="005F174B">
        <w:rPr>
          <w:lang w:val="fr-FR"/>
        </w:rPr>
        <w:t>’</w:t>
      </w:r>
      <w:r w:rsidRPr="005F174B">
        <w:rPr>
          <w:lang w:val="fr-FR"/>
        </w:rPr>
        <w:t>entreprise déléguée. Il ajoute que cette jurisprudence a ensuite été confirmée par l</w:t>
      </w:r>
      <w:r w:rsidR="005F174B" w:rsidRPr="005F174B">
        <w:rPr>
          <w:lang w:val="fr-FR"/>
        </w:rPr>
        <w:t>’</w:t>
      </w:r>
      <w:r w:rsidRPr="005F174B">
        <w:rPr>
          <w:lang w:val="fr-FR"/>
        </w:rPr>
        <w:t>arrêt des chambres réunies de la Cour de cassation n</w:t>
      </w:r>
      <w:r w:rsidRPr="005F174B">
        <w:rPr>
          <w:vertAlign w:val="superscript"/>
          <w:lang w:val="fr-FR"/>
        </w:rPr>
        <w:t>o</w:t>
      </w:r>
      <w:r w:rsidRPr="005F174B">
        <w:rPr>
          <w:lang w:val="fr-FR"/>
        </w:rPr>
        <w:t> 10922 de 1995. Il s</w:t>
      </w:r>
      <w:r w:rsidR="005F174B" w:rsidRPr="005F174B">
        <w:rPr>
          <w:lang w:val="fr-FR"/>
        </w:rPr>
        <w:t>’</w:t>
      </w:r>
      <w:r w:rsidRPr="005F174B">
        <w:rPr>
          <w:lang w:val="fr-FR"/>
        </w:rPr>
        <w:t>ensuit, selon lui, qu</w:t>
      </w:r>
      <w:r w:rsidR="005F174B" w:rsidRPr="005F174B">
        <w:rPr>
          <w:lang w:val="fr-FR"/>
        </w:rPr>
        <w:t>’</w:t>
      </w:r>
      <w:r w:rsidRPr="005F174B">
        <w:rPr>
          <w:lang w:val="fr-FR"/>
        </w:rPr>
        <w:t>un recours introduit à l</w:t>
      </w:r>
      <w:r w:rsidR="005F174B" w:rsidRPr="005F174B">
        <w:rPr>
          <w:lang w:val="fr-FR"/>
        </w:rPr>
        <w:t>’</w:t>
      </w:r>
      <w:r w:rsidRPr="005F174B">
        <w:rPr>
          <w:lang w:val="fr-FR"/>
        </w:rPr>
        <w:t>encontre de l</w:t>
      </w:r>
      <w:r w:rsidR="005F174B" w:rsidRPr="005F174B">
        <w:rPr>
          <w:lang w:val="fr-FR"/>
        </w:rPr>
        <w:t>’</w:t>
      </w:r>
      <w:r w:rsidRPr="005F174B">
        <w:rPr>
          <w:lang w:val="fr-FR"/>
        </w:rPr>
        <w:t>administration aurait pu permettre au requérant d</w:t>
      </w:r>
      <w:r w:rsidR="005F174B" w:rsidRPr="005F174B">
        <w:rPr>
          <w:lang w:val="fr-FR"/>
        </w:rPr>
        <w:t>’</w:t>
      </w:r>
      <w:r w:rsidRPr="005F174B">
        <w:rPr>
          <w:lang w:val="fr-FR"/>
        </w:rPr>
        <w:t>obtenir un redressement adéquat de son grief.</w:t>
      </w:r>
    </w:p>
    <w:p w:rsidR="00A639B1" w:rsidRPr="005F174B" w:rsidRDefault="00A639B1" w:rsidP="005F174B">
      <w:pPr>
        <w:pStyle w:val="ECHRPara"/>
        <w:rPr>
          <w:lang w:val="fr-FR"/>
        </w:rPr>
      </w:pPr>
      <w:r w:rsidRPr="005F174B">
        <w:rPr>
          <w:lang w:val="fr-FR"/>
        </w:rPr>
        <w:t>31.  Le Gouvernement estime que le non-paiement de la somme octroyée au requérant par la cour d</w:t>
      </w:r>
      <w:r w:rsidR="005F174B" w:rsidRPr="005F174B">
        <w:rPr>
          <w:lang w:val="fr-FR"/>
        </w:rPr>
        <w:t>’</w:t>
      </w:r>
      <w:r w:rsidRPr="005F174B">
        <w:rPr>
          <w:lang w:val="fr-FR"/>
        </w:rPr>
        <w:t>appel est la conséquence exclusive du manque de ressources financières du débiteur privé, lequel ne saurait être mis à la charge de l</w:t>
      </w:r>
      <w:r w:rsidR="005F174B" w:rsidRPr="005F174B">
        <w:rPr>
          <w:lang w:val="fr-FR"/>
        </w:rPr>
        <w:t>’</w:t>
      </w:r>
      <w:r w:rsidRPr="005F174B">
        <w:rPr>
          <w:lang w:val="fr-FR"/>
        </w:rPr>
        <w:t>État. De plus, selon lui, le requérant a omis de faire valoir ses prétentions dans le cadre de la procédure d</w:t>
      </w:r>
      <w:r w:rsidR="005F174B" w:rsidRPr="005F174B">
        <w:rPr>
          <w:lang w:val="fr-FR"/>
        </w:rPr>
        <w:t>’</w:t>
      </w:r>
      <w:r w:rsidRPr="005F174B">
        <w:rPr>
          <w:lang w:val="fr-FR"/>
        </w:rPr>
        <w:t>administration extraordinaire de la société. Le Gouvernement en déduit que la responsabilité de l</w:t>
      </w:r>
      <w:r w:rsidR="005F174B" w:rsidRPr="005F174B">
        <w:rPr>
          <w:lang w:val="fr-FR"/>
        </w:rPr>
        <w:t>’</w:t>
      </w:r>
      <w:r w:rsidRPr="005F174B">
        <w:rPr>
          <w:lang w:val="fr-FR"/>
        </w:rPr>
        <w:t>État n</w:t>
      </w:r>
      <w:r w:rsidR="005F174B" w:rsidRPr="005F174B">
        <w:rPr>
          <w:lang w:val="fr-FR"/>
        </w:rPr>
        <w:t>’</w:t>
      </w:r>
      <w:r w:rsidRPr="005F174B">
        <w:rPr>
          <w:lang w:val="fr-FR"/>
        </w:rPr>
        <w:t>est en aucune manière engagée en l</w:t>
      </w:r>
      <w:r w:rsidR="005F174B" w:rsidRPr="005F174B">
        <w:rPr>
          <w:lang w:val="fr-FR"/>
        </w:rPr>
        <w:t>’</w:t>
      </w:r>
      <w:r w:rsidRPr="005F174B">
        <w:rPr>
          <w:lang w:val="fr-FR"/>
        </w:rPr>
        <w:t>espèce et soulève à cet égard une exception d</w:t>
      </w:r>
      <w:r w:rsidR="005F174B" w:rsidRPr="005F174B">
        <w:rPr>
          <w:lang w:val="fr-FR"/>
        </w:rPr>
        <w:t>’</w:t>
      </w:r>
      <w:r w:rsidRPr="005F174B">
        <w:rPr>
          <w:lang w:val="fr-FR"/>
        </w:rPr>
        <w:t xml:space="preserve">incompatibilité </w:t>
      </w:r>
      <w:r w:rsidRPr="005F174B">
        <w:rPr>
          <w:i/>
          <w:lang w:val="fr-FR"/>
        </w:rPr>
        <w:t>ratione personae</w:t>
      </w:r>
      <w:r w:rsidRPr="005F174B">
        <w:rPr>
          <w:lang w:val="fr-FR"/>
        </w:rPr>
        <w:t>.</w:t>
      </w:r>
    </w:p>
    <w:p w:rsidR="00A639B1" w:rsidRPr="005F174B" w:rsidRDefault="00A639B1" w:rsidP="005F174B">
      <w:pPr>
        <w:pStyle w:val="ECHRHeading4"/>
        <w:rPr>
          <w:lang w:val="fr-FR"/>
        </w:rPr>
      </w:pPr>
      <w:r w:rsidRPr="005F174B">
        <w:rPr>
          <w:lang w:val="fr-FR"/>
        </w:rPr>
        <w:t>b)  Le requérant</w:t>
      </w:r>
    </w:p>
    <w:p w:rsidR="00A639B1" w:rsidRPr="005F174B" w:rsidRDefault="00A639B1" w:rsidP="005F174B">
      <w:pPr>
        <w:pStyle w:val="ECHRPara"/>
        <w:rPr>
          <w:lang w:val="fr-FR"/>
        </w:rPr>
      </w:pPr>
      <w:r w:rsidRPr="005F174B">
        <w:rPr>
          <w:lang w:val="fr-FR"/>
        </w:rPr>
        <w:t>32.  Le requérant allègue que la jurisprudence interne citée par le Gouvernement, établissant le principe de la responsabilité solidaire entre l</w:t>
      </w:r>
      <w:r w:rsidR="005F174B" w:rsidRPr="005F174B">
        <w:rPr>
          <w:lang w:val="fr-FR"/>
        </w:rPr>
        <w:t>’</w:t>
      </w:r>
      <w:r w:rsidRPr="005F174B">
        <w:rPr>
          <w:lang w:val="fr-FR"/>
        </w:rPr>
        <w:t>administration et l</w:t>
      </w:r>
      <w:r w:rsidR="005F174B" w:rsidRPr="005F174B">
        <w:rPr>
          <w:lang w:val="fr-FR"/>
        </w:rPr>
        <w:t>’</w:t>
      </w:r>
      <w:r w:rsidRPr="005F174B">
        <w:rPr>
          <w:lang w:val="fr-FR"/>
        </w:rPr>
        <w:t>entité privée déléguée par celle-ci pour procéder à l</w:t>
      </w:r>
      <w:r w:rsidR="005F174B" w:rsidRPr="005F174B">
        <w:rPr>
          <w:lang w:val="fr-FR"/>
        </w:rPr>
        <w:t>’</w:t>
      </w:r>
      <w:r w:rsidRPr="005F174B">
        <w:rPr>
          <w:lang w:val="fr-FR"/>
        </w:rPr>
        <w:t>expropriation, ne s</w:t>
      </w:r>
      <w:r w:rsidR="005F174B" w:rsidRPr="005F174B">
        <w:rPr>
          <w:lang w:val="fr-FR"/>
        </w:rPr>
        <w:t>’</w:t>
      </w:r>
      <w:r w:rsidRPr="005F174B">
        <w:rPr>
          <w:lang w:val="fr-FR"/>
        </w:rPr>
        <w:t>est consolidée qu</w:t>
      </w:r>
      <w:r w:rsidR="005F174B" w:rsidRPr="005F174B">
        <w:rPr>
          <w:lang w:val="fr-FR"/>
        </w:rPr>
        <w:t>’</w:t>
      </w:r>
      <w:r w:rsidRPr="005F174B">
        <w:rPr>
          <w:lang w:val="fr-FR"/>
        </w:rPr>
        <w:t>en 1995, soit postérieurement à l</w:t>
      </w:r>
      <w:r w:rsidR="005F174B" w:rsidRPr="005F174B">
        <w:rPr>
          <w:lang w:val="fr-FR"/>
        </w:rPr>
        <w:t>’</w:t>
      </w:r>
      <w:r w:rsidRPr="005F174B">
        <w:rPr>
          <w:lang w:val="fr-FR"/>
        </w:rPr>
        <w:t>introduction de son recours devant les juridictions civiles nationales. Il argue que, avant cette date, la jurisprudence majoritaire de la Cour de cassation considérait l</w:t>
      </w:r>
      <w:r w:rsidR="005F174B" w:rsidRPr="005F174B">
        <w:rPr>
          <w:lang w:val="fr-FR"/>
        </w:rPr>
        <w:t>’</w:t>
      </w:r>
      <w:r w:rsidRPr="005F174B">
        <w:rPr>
          <w:lang w:val="fr-FR"/>
        </w:rPr>
        <w:t>entreprise ou l</w:t>
      </w:r>
      <w:r w:rsidR="005F174B" w:rsidRPr="005F174B">
        <w:rPr>
          <w:lang w:val="fr-FR"/>
        </w:rPr>
        <w:t>’</w:t>
      </w:r>
      <w:r w:rsidRPr="005F174B">
        <w:rPr>
          <w:lang w:val="fr-FR"/>
        </w:rPr>
        <w:t>organe délégué par l</w:t>
      </w:r>
      <w:r w:rsidR="005F174B" w:rsidRPr="005F174B">
        <w:rPr>
          <w:lang w:val="fr-FR"/>
        </w:rPr>
        <w:t>’</w:t>
      </w:r>
      <w:r w:rsidRPr="005F174B">
        <w:rPr>
          <w:lang w:val="fr-FR"/>
        </w:rPr>
        <w:t>administration comme étant le seul responsable vis-à-vis de l</w:t>
      </w:r>
      <w:r w:rsidR="005F174B" w:rsidRPr="005F174B">
        <w:rPr>
          <w:lang w:val="fr-FR"/>
        </w:rPr>
        <w:t>’</w:t>
      </w:r>
      <w:r w:rsidRPr="005F174B">
        <w:rPr>
          <w:lang w:val="fr-FR"/>
        </w:rPr>
        <w:t>exproprié ainsi que le seul sujet ayant qualité pour agir dans la procédure d</w:t>
      </w:r>
      <w:r w:rsidR="005F174B" w:rsidRPr="005F174B">
        <w:rPr>
          <w:lang w:val="fr-FR"/>
        </w:rPr>
        <w:t>’</w:t>
      </w:r>
      <w:r w:rsidRPr="005F174B">
        <w:rPr>
          <w:lang w:val="fr-FR"/>
        </w:rPr>
        <w:t>expropriation. Compte tenu de cela, il estime s</w:t>
      </w:r>
      <w:r w:rsidR="005F174B" w:rsidRPr="005F174B">
        <w:rPr>
          <w:lang w:val="fr-FR"/>
        </w:rPr>
        <w:t>’</w:t>
      </w:r>
      <w:r w:rsidRPr="005F174B">
        <w:rPr>
          <w:lang w:val="fr-FR"/>
        </w:rPr>
        <w:t>être correctement prévalu des moyens offerts par le droit interne pour obtenir une réparation pour la violation alléguée de son droit de propriété.</w:t>
      </w:r>
    </w:p>
    <w:p w:rsidR="00A639B1" w:rsidRPr="005F174B" w:rsidRDefault="00A639B1" w:rsidP="005F174B">
      <w:pPr>
        <w:pStyle w:val="ECHRPara"/>
        <w:rPr>
          <w:lang w:val="fr-FR"/>
        </w:rPr>
      </w:pPr>
      <w:r w:rsidRPr="005F174B">
        <w:rPr>
          <w:lang w:val="fr-FR"/>
        </w:rPr>
        <w:t>33.  Le requérant considère que l</w:t>
      </w:r>
      <w:r w:rsidR="005F174B" w:rsidRPr="005F174B">
        <w:rPr>
          <w:lang w:val="fr-FR"/>
        </w:rPr>
        <w:t>’</w:t>
      </w:r>
      <w:r w:rsidRPr="005F174B">
        <w:rPr>
          <w:lang w:val="fr-FR"/>
        </w:rPr>
        <w:t>État doit être tenu pour responsable des violations qu</w:t>
      </w:r>
      <w:r w:rsidR="005F174B" w:rsidRPr="005F174B">
        <w:rPr>
          <w:lang w:val="fr-FR"/>
        </w:rPr>
        <w:t>’</w:t>
      </w:r>
      <w:r w:rsidRPr="005F174B">
        <w:rPr>
          <w:lang w:val="fr-FR"/>
        </w:rPr>
        <w:t>il allègue. Il expose avoir perdu tout espoir d</w:t>
      </w:r>
      <w:r w:rsidR="005F174B" w:rsidRPr="005F174B">
        <w:rPr>
          <w:lang w:val="fr-FR"/>
        </w:rPr>
        <w:t>’</w:t>
      </w:r>
      <w:r w:rsidRPr="005F174B">
        <w:rPr>
          <w:lang w:val="fr-FR"/>
        </w:rPr>
        <w:t xml:space="preserve">obtenir le </w:t>
      </w:r>
      <w:r w:rsidRPr="005F174B">
        <w:rPr>
          <w:lang w:val="fr-FR"/>
        </w:rPr>
        <w:lastRenderedPageBreak/>
        <w:t>paiement de l</w:t>
      </w:r>
      <w:r w:rsidR="005F174B" w:rsidRPr="005F174B">
        <w:rPr>
          <w:lang w:val="fr-FR"/>
        </w:rPr>
        <w:t>’</w:t>
      </w:r>
      <w:r w:rsidRPr="005F174B">
        <w:rPr>
          <w:lang w:val="fr-FR"/>
        </w:rPr>
        <w:t>indemnisation d</w:t>
      </w:r>
      <w:r w:rsidR="005F174B" w:rsidRPr="005F174B">
        <w:rPr>
          <w:lang w:val="fr-FR"/>
        </w:rPr>
        <w:t>’</w:t>
      </w:r>
      <w:r w:rsidRPr="005F174B">
        <w:rPr>
          <w:lang w:val="fr-FR"/>
        </w:rPr>
        <w:t>expropriation en raison de la faillite de la société Padana Appalti S.p.A. et, de plus, avoir dû supporter les conséquences néfastes considérables de l</w:t>
      </w:r>
      <w:r w:rsidR="005F174B" w:rsidRPr="005F174B">
        <w:rPr>
          <w:lang w:val="fr-FR"/>
        </w:rPr>
        <w:t>’</w:t>
      </w:r>
      <w:r w:rsidRPr="005F174B">
        <w:rPr>
          <w:lang w:val="fr-FR"/>
        </w:rPr>
        <w:t>insolvabilité de celle-ci, ce qui a, selon lui, conduit à son endettement et à la vente aux enchères de son habitation principale.</w:t>
      </w:r>
    </w:p>
    <w:p w:rsidR="00A639B1" w:rsidRPr="005F174B" w:rsidRDefault="00A639B1" w:rsidP="005F174B">
      <w:pPr>
        <w:pStyle w:val="ECHRPara"/>
        <w:rPr>
          <w:lang w:val="fr-FR"/>
        </w:rPr>
      </w:pPr>
      <w:r w:rsidRPr="005F174B">
        <w:rPr>
          <w:lang w:val="fr-FR"/>
        </w:rPr>
        <w:t>34.  Enfin, le requérant soutient que la procédure d</w:t>
      </w:r>
      <w:r w:rsidR="005F174B" w:rsidRPr="005F174B">
        <w:rPr>
          <w:lang w:val="fr-FR"/>
        </w:rPr>
        <w:t>’</w:t>
      </w:r>
      <w:r w:rsidRPr="005F174B">
        <w:rPr>
          <w:lang w:val="fr-FR"/>
        </w:rPr>
        <w:t>administration extraordinaire de la société Padana Appalti S.p.A. n</w:t>
      </w:r>
      <w:r w:rsidR="005F174B" w:rsidRPr="005F174B">
        <w:rPr>
          <w:lang w:val="fr-FR"/>
        </w:rPr>
        <w:t>’</w:t>
      </w:r>
      <w:r w:rsidRPr="005F174B">
        <w:rPr>
          <w:lang w:val="fr-FR"/>
        </w:rPr>
        <w:t>aurait pas constitué un remède effectif dans la mesure où le patrimoine de cette société était manifestement insuffisant pour satisfaire sa créance, qui n</w:t>
      </w:r>
      <w:r w:rsidR="005F174B" w:rsidRPr="005F174B">
        <w:rPr>
          <w:lang w:val="fr-FR"/>
        </w:rPr>
        <w:t>’</w:t>
      </w:r>
      <w:r w:rsidRPr="005F174B">
        <w:rPr>
          <w:lang w:val="fr-FR"/>
        </w:rPr>
        <w:t>était d</w:t>
      </w:r>
      <w:r w:rsidR="005F174B" w:rsidRPr="005F174B">
        <w:rPr>
          <w:lang w:val="fr-FR"/>
        </w:rPr>
        <w:t>’</w:t>
      </w:r>
      <w:r w:rsidRPr="005F174B">
        <w:rPr>
          <w:lang w:val="fr-FR"/>
        </w:rPr>
        <w:t>ailleurs pas privilégiée. Preuve en est, selon lui, que seule une partie des créanciers privilégiés de la société en question ont bénéficié de la répartition de l</w:t>
      </w:r>
      <w:r w:rsidR="005F174B" w:rsidRPr="005F174B">
        <w:rPr>
          <w:lang w:val="fr-FR"/>
        </w:rPr>
        <w:t>’</w:t>
      </w:r>
      <w:r w:rsidRPr="005F174B">
        <w:rPr>
          <w:lang w:val="fr-FR"/>
        </w:rPr>
        <w:t>actif de celle-ci.</w:t>
      </w:r>
    </w:p>
    <w:p w:rsidR="00A639B1" w:rsidRPr="005F174B" w:rsidRDefault="00A639B1" w:rsidP="005F174B">
      <w:pPr>
        <w:pStyle w:val="ECHRPara"/>
        <w:rPr>
          <w:lang w:val="fr-FR"/>
        </w:rPr>
      </w:pPr>
      <w:r w:rsidRPr="005F174B">
        <w:rPr>
          <w:lang w:val="fr-FR"/>
        </w:rPr>
        <w:t>35.  Le requérant expose que son terrain a été acquis au patrimoine public en 1981 sans que l</w:t>
      </w:r>
      <w:r w:rsidR="005F174B" w:rsidRPr="005F174B">
        <w:rPr>
          <w:lang w:val="fr-FR"/>
        </w:rPr>
        <w:t>’</w:t>
      </w:r>
      <w:r w:rsidRPr="005F174B">
        <w:rPr>
          <w:lang w:val="fr-FR"/>
        </w:rPr>
        <w:t>État ne répare le préjudice qu</w:t>
      </w:r>
      <w:r w:rsidR="005F174B" w:rsidRPr="005F174B">
        <w:rPr>
          <w:lang w:val="fr-FR"/>
        </w:rPr>
        <w:t>’</w:t>
      </w:r>
      <w:r w:rsidRPr="005F174B">
        <w:rPr>
          <w:lang w:val="fr-FR"/>
        </w:rPr>
        <w:t>il aurait subi.</w:t>
      </w:r>
    </w:p>
    <w:p w:rsidR="00A639B1" w:rsidRPr="005F174B" w:rsidRDefault="00A639B1" w:rsidP="005F174B">
      <w:pPr>
        <w:pStyle w:val="ECHRHeading3"/>
        <w:rPr>
          <w:lang w:val="fr-FR"/>
        </w:rPr>
      </w:pPr>
      <w:r w:rsidRPr="005F174B">
        <w:rPr>
          <w:lang w:val="fr-FR"/>
        </w:rPr>
        <w:t>2.  L</w:t>
      </w:r>
      <w:r w:rsidR="005F174B" w:rsidRPr="005F174B">
        <w:rPr>
          <w:lang w:val="fr-FR"/>
        </w:rPr>
        <w:t>’</w:t>
      </w:r>
      <w:r w:rsidRPr="005F174B">
        <w:rPr>
          <w:lang w:val="fr-FR"/>
        </w:rPr>
        <w:t>appréciation de la Cour</w:t>
      </w:r>
    </w:p>
    <w:p w:rsidR="00A639B1" w:rsidRPr="005F174B" w:rsidRDefault="00A639B1" w:rsidP="005F174B">
      <w:pPr>
        <w:pStyle w:val="ECHRHeading4"/>
        <w:rPr>
          <w:lang w:val="fr-FR"/>
        </w:rPr>
      </w:pPr>
      <w:r w:rsidRPr="005F174B">
        <w:rPr>
          <w:lang w:val="fr-FR"/>
        </w:rPr>
        <w:t>a)  Sur l</w:t>
      </w:r>
      <w:r w:rsidR="005F174B" w:rsidRPr="005F174B">
        <w:rPr>
          <w:lang w:val="fr-FR"/>
        </w:rPr>
        <w:t>’</w:t>
      </w:r>
      <w:r w:rsidRPr="005F174B">
        <w:rPr>
          <w:lang w:val="fr-FR"/>
        </w:rPr>
        <w:t xml:space="preserve">exception relative à la compatibilité </w:t>
      </w:r>
      <w:r w:rsidRPr="005F174B">
        <w:rPr>
          <w:i/>
          <w:lang w:val="fr-FR"/>
        </w:rPr>
        <w:t>ratione personae</w:t>
      </w:r>
    </w:p>
    <w:p w:rsidR="00A639B1" w:rsidRPr="005F174B" w:rsidRDefault="00A639B1" w:rsidP="005F174B">
      <w:pPr>
        <w:pStyle w:val="ECHRPara"/>
        <w:rPr>
          <w:lang w:val="fr-FR"/>
        </w:rPr>
      </w:pPr>
      <w:r w:rsidRPr="005F174B">
        <w:rPr>
          <w:lang w:val="fr-FR"/>
        </w:rPr>
        <w:t>36.  La Cour observe tout d</w:t>
      </w:r>
      <w:r w:rsidR="005F174B" w:rsidRPr="005F174B">
        <w:rPr>
          <w:lang w:val="fr-FR"/>
        </w:rPr>
        <w:t>’</w:t>
      </w:r>
      <w:r w:rsidRPr="005F174B">
        <w:rPr>
          <w:lang w:val="fr-FR"/>
        </w:rPr>
        <w:t>abord qu</w:t>
      </w:r>
      <w:r w:rsidR="005F174B" w:rsidRPr="005F174B">
        <w:rPr>
          <w:lang w:val="fr-FR"/>
        </w:rPr>
        <w:t>’</w:t>
      </w:r>
      <w:r w:rsidRPr="005F174B">
        <w:rPr>
          <w:lang w:val="fr-FR"/>
        </w:rPr>
        <w:t>il n</w:t>
      </w:r>
      <w:r w:rsidR="005F174B" w:rsidRPr="005F174B">
        <w:rPr>
          <w:lang w:val="fr-FR"/>
        </w:rPr>
        <w:t>’</w:t>
      </w:r>
      <w:r w:rsidRPr="005F174B">
        <w:rPr>
          <w:lang w:val="fr-FR"/>
        </w:rPr>
        <w:t>est pas contesté que le requérant a été privé de son terrain par effet de l</w:t>
      </w:r>
      <w:r w:rsidR="005F174B" w:rsidRPr="005F174B">
        <w:rPr>
          <w:lang w:val="fr-FR"/>
        </w:rPr>
        <w:t>’</w:t>
      </w:r>
      <w:r w:rsidRPr="005F174B">
        <w:rPr>
          <w:lang w:val="fr-FR"/>
        </w:rPr>
        <w:t>expropriation indirecte. Elle rappelle ensuite avoir déjà jugé que le mécanisme de l</w:t>
      </w:r>
      <w:r w:rsidR="005F174B" w:rsidRPr="005F174B">
        <w:rPr>
          <w:lang w:val="fr-FR"/>
        </w:rPr>
        <w:t>’</w:t>
      </w:r>
      <w:r w:rsidRPr="005F174B">
        <w:rPr>
          <w:lang w:val="fr-FR"/>
        </w:rPr>
        <w:t>expropriation indirecte permet à l</w:t>
      </w:r>
      <w:r w:rsidR="005F174B" w:rsidRPr="005F174B">
        <w:rPr>
          <w:lang w:val="fr-FR"/>
        </w:rPr>
        <w:t>’</w:t>
      </w:r>
      <w:r w:rsidRPr="005F174B">
        <w:rPr>
          <w:lang w:val="fr-FR"/>
        </w:rPr>
        <w:t>administration d</w:t>
      </w:r>
      <w:r w:rsidR="005F174B" w:rsidRPr="005F174B">
        <w:rPr>
          <w:lang w:val="fr-FR"/>
        </w:rPr>
        <w:t>’</w:t>
      </w:r>
      <w:r w:rsidRPr="005F174B">
        <w:rPr>
          <w:lang w:val="fr-FR"/>
        </w:rPr>
        <w:t>occuper un terrain et de le transformer irréversiblement, de telle sorte qu</w:t>
      </w:r>
      <w:r w:rsidR="005F174B" w:rsidRPr="005F174B">
        <w:rPr>
          <w:lang w:val="fr-FR"/>
        </w:rPr>
        <w:t>’</w:t>
      </w:r>
      <w:r w:rsidRPr="005F174B">
        <w:rPr>
          <w:lang w:val="fr-FR"/>
        </w:rPr>
        <w:t>il soit considéré comme acquis au patrimoine public, sans qu</w:t>
      </w:r>
      <w:r w:rsidR="005F174B" w:rsidRPr="005F174B">
        <w:rPr>
          <w:lang w:val="fr-FR"/>
        </w:rPr>
        <w:t>’</w:t>
      </w:r>
      <w:r w:rsidRPr="005F174B">
        <w:rPr>
          <w:lang w:val="fr-FR"/>
        </w:rPr>
        <w:t>en parallèle un acte formel déclarant le transfert de propriété ne soit adopté et sans verser d</w:t>
      </w:r>
      <w:r w:rsidR="005F174B" w:rsidRPr="005F174B">
        <w:rPr>
          <w:lang w:val="fr-FR"/>
        </w:rPr>
        <w:t>’</w:t>
      </w:r>
      <w:r w:rsidRPr="005F174B">
        <w:rPr>
          <w:lang w:val="fr-FR"/>
        </w:rPr>
        <w:t>indemnité en même temps (voir, parmi beaucoup d</w:t>
      </w:r>
      <w:r w:rsidR="005F174B" w:rsidRPr="005F174B">
        <w:rPr>
          <w:lang w:val="fr-FR"/>
        </w:rPr>
        <w:t>’</w:t>
      </w:r>
      <w:r w:rsidRPr="005F174B">
        <w:rPr>
          <w:lang w:val="fr-FR"/>
        </w:rPr>
        <w:t xml:space="preserve">autres, </w:t>
      </w:r>
      <w:r w:rsidRPr="005F174B">
        <w:rPr>
          <w:i/>
          <w:lang w:val="fr-FR"/>
        </w:rPr>
        <w:t>Belvedere Alberghiera S.r.l. c. Italie</w:t>
      </w:r>
      <w:r w:rsidRPr="005F174B">
        <w:rPr>
          <w:lang w:val="fr-FR"/>
        </w:rPr>
        <w:t>, n</w:t>
      </w:r>
      <w:r w:rsidRPr="005F174B">
        <w:rPr>
          <w:vertAlign w:val="superscript"/>
          <w:lang w:val="fr-FR"/>
        </w:rPr>
        <w:t>o</w:t>
      </w:r>
      <w:r w:rsidRPr="005F174B">
        <w:rPr>
          <w:lang w:val="fr-FR"/>
        </w:rPr>
        <w:t xml:space="preserve"> 31524/96, CEDH 2000-VI, </w:t>
      </w:r>
      <w:r w:rsidRPr="005F174B">
        <w:rPr>
          <w:i/>
          <w:lang w:val="fr-FR"/>
        </w:rPr>
        <w:t>Guiso-Gallisay c. Italie</w:t>
      </w:r>
      <w:r w:rsidRPr="005F174B">
        <w:rPr>
          <w:lang w:val="fr-FR"/>
        </w:rPr>
        <w:t>, n</w:t>
      </w:r>
      <w:r w:rsidRPr="005F174B">
        <w:rPr>
          <w:vertAlign w:val="superscript"/>
          <w:lang w:val="fr-FR"/>
        </w:rPr>
        <w:t>o</w:t>
      </w:r>
      <w:r w:rsidRPr="005F174B">
        <w:rPr>
          <w:lang w:val="fr-FR"/>
        </w:rPr>
        <w:t xml:space="preserve"> 58858/00, 8 décembre 2005, et </w:t>
      </w:r>
      <w:r w:rsidRPr="005F174B">
        <w:rPr>
          <w:i/>
          <w:lang w:val="fr-FR"/>
        </w:rPr>
        <w:t>Immobiliare Cerro S.A.S. c. Italie</w:t>
      </w:r>
      <w:r w:rsidRPr="005F174B">
        <w:rPr>
          <w:lang w:val="fr-FR"/>
        </w:rPr>
        <w:t>, n</w:t>
      </w:r>
      <w:r w:rsidRPr="005F174B">
        <w:rPr>
          <w:vertAlign w:val="superscript"/>
          <w:lang w:val="fr-FR"/>
        </w:rPr>
        <w:t>o</w:t>
      </w:r>
      <w:r w:rsidRPr="005F174B">
        <w:rPr>
          <w:lang w:val="fr-FR"/>
        </w:rPr>
        <w:t xml:space="preserve"> 35638/03, 23 février 2006).</w:t>
      </w:r>
    </w:p>
    <w:p w:rsidR="00A639B1" w:rsidRPr="005F174B" w:rsidRDefault="00A639B1" w:rsidP="005F174B">
      <w:pPr>
        <w:pStyle w:val="ECHRPara"/>
        <w:rPr>
          <w:lang w:val="fr-FR"/>
        </w:rPr>
      </w:pPr>
      <w:r w:rsidRPr="005F174B">
        <w:rPr>
          <w:lang w:val="fr-FR"/>
        </w:rPr>
        <w:t>37.  Elle note que, dans le cas d</w:t>
      </w:r>
      <w:r w:rsidR="005F174B" w:rsidRPr="005F174B">
        <w:rPr>
          <w:lang w:val="fr-FR"/>
        </w:rPr>
        <w:t>’</w:t>
      </w:r>
      <w:r w:rsidRPr="005F174B">
        <w:rPr>
          <w:lang w:val="fr-FR"/>
        </w:rPr>
        <w:t>espèce, l</w:t>
      </w:r>
      <w:r w:rsidR="005F174B" w:rsidRPr="005F174B">
        <w:rPr>
          <w:lang w:val="fr-FR"/>
        </w:rPr>
        <w:t>’</w:t>
      </w:r>
      <w:r w:rsidRPr="005F174B">
        <w:rPr>
          <w:lang w:val="fr-FR"/>
        </w:rPr>
        <w:t>administration a délégué une entreprise privée, la CIR S.p.A., pour effectuer les travaux de construction de l</w:t>
      </w:r>
      <w:r w:rsidR="005F174B" w:rsidRPr="005F174B">
        <w:rPr>
          <w:lang w:val="fr-FR"/>
        </w:rPr>
        <w:t>’</w:t>
      </w:r>
      <w:r w:rsidRPr="005F174B">
        <w:rPr>
          <w:lang w:val="fr-FR"/>
        </w:rPr>
        <w:t>ouvrage public et pour agir dans la procédure d</w:t>
      </w:r>
      <w:r w:rsidR="005F174B" w:rsidRPr="005F174B">
        <w:rPr>
          <w:lang w:val="fr-FR"/>
        </w:rPr>
        <w:t>’</w:t>
      </w:r>
      <w:r w:rsidRPr="005F174B">
        <w:rPr>
          <w:lang w:val="fr-FR"/>
        </w:rPr>
        <w:t>expropriation. C</w:t>
      </w:r>
      <w:r w:rsidR="005F174B" w:rsidRPr="005F174B">
        <w:rPr>
          <w:lang w:val="fr-FR"/>
        </w:rPr>
        <w:t>’</w:t>
      </w:r>
      <w:r w:rsidRPr="005F174B">
        <w:rPr>
          <w:lang w:val="fr-FR"/>
        </w:rPr>
        <w:t>est à l</w:t>
      </w:r>
      <w:r w:rsidR="005F174B" w:rsidRPr="005F174B">
        <w:rPr>
          <w:lang w:val="fr-FR"/>
        </w:rPr>
        <w:t>’</w:t>
      </w:r>
      <w:r w:rsidRPr="005F174B">
        <w:rPr>
          <w:lang w:val="fr-FR"/>
        </w:rPr>
        <w:t>encontre de ladite entreprise – ayant entre-temps fusionné avec la société Impresa Rizzi S.p.A. – et, dans un second temps, à l</w:t>
      </w:r>
      <w:r w:rsidR="005F174B" w:rsidRPr="005F174B">
        <w:rPr>
          <w:lang w:val="fr-FR"/>
        </w:rPr>
        <w:t>’</w:t>
      </w:r>
      <w:r w:rsidRPr="005F174B">
        <w:rPr>
          <w:lang w:val="fr-FR"/>
        </w:rPr>
        <w:t>encontre de la nouvelle société, Padana Appalti S.p.A., que le requérant a demandé et obtenu la reconnaissance d</w:t>
      </w:r>
      <w:r w:rsidR="005F174B" w:rsidRPr="005F174B">
        <w:rPr>
          <w:lang w:val="fr-FR"/>
        </w:rPr>
        <w:t>’</w:t>
      </w:r>
      <w:r w:rsidRPr="005F174B">
        <w:rPr>
          <w:lang w:val="fr-FR"/>
        </w:rPr>
        <w:t>une indemnisation. Cependant, celle-ci ne lui a jamais été versée en raison de la mise en liquidation de la société précitée.</w:t>
      </w:r>
    </w:p>
    <w:p w:rsidR="00A639B1" w:rsidRPr="005F174B" w:rsidRDefault="00A639B1" w:rsidP="005F174B">
      <w:pPr>
        <w:pStyle w:val="ECHRPara"/>
        <w:rPr>
          <w:lang w:val="fr-FR"/>
        </w:rPr>
      </w:pPr>
      <w:r w:rsidRPr="005F174B">
        <w:rPr>
          <w:lang w:val="fr-FR"/>
        </w:rPr>
        <w:t>38.  Le Gouvernement estime que la présente affaire relève d</w:t>
      </w:r>
      <w:r w:rsidR="005F174B" w:rsidRPr="005F174B">
        <w:rPr>
          <w:lang w:val="fr-FR"/>
        </w:rPr>
        <w:t>’</w:t>
      </w:r>
      <w:r w:rsidRPr="005F174B">
        <w:rPr>
          <w:lang w:val="fr-FR"/>
        </w:rPr>
        <w:t>un contentieux entre le requérant et une société privée insolvable et qu</w:t>
      </w:r>
      <w:r w:rsidR="005F174B" w:rsidRPr="005F174B">
        <w:rPr>
          <w:lang w:val="fr-FR"/>
        </w:rPr>
        <w:t>’</w:t>
      </w:r>
      <w:r w:rsidRPr="005F174B">
        <w:rPr>
          <w:lang w:val="fr-FR"/>
        </w:rPr>
        <w:t>elle n</w:t>
      </w:r>
      <w:r w:rsidR="005F174B" w:rsidRPr="005F174B">
        <w:rPr>
          <w:lang w:val="fr-FR"/>
        </w:rPr>
        <w:t>’</w:t>
      </w:r>
      <w:r w:rsidRPr="005F174B">
        <w:rPr>
          <w:lang w:val="fr-FR"/>
        </w:rPr>
        <w:t>engage en rien la responsabilité de l</w:t>
      </w:r>
      <w:r w:rsidR="005F174B" w:rsidRPr="005F174B">
        <w:rPr>
          <w:lang w:val="fr-FR"/>
        </w:rPr>
        <w:t>’</w:t>
      </w:r>
      <w:r w:rsidRPr="005F174B">
        <w:rPr>
          <w:lang w:val="fr-FR"/>
        </w:rPr>
        <w:t>État italien.</w:t>
      </w:r>
    </w:p>
    <w:p w:rsidR="00A639B1" w:rsidRPr="005F174B" w:rsidRDefault="00A639B1" w:rsidP="005F174B">
      <w:pPr>
        <w:pStyle w:val="ECHRPara"/>
        <w:rPr>
          <w:lang w:val="fr-FR"/>
        </w:rPr>
      </w:pPr>
      <w:r w:rsidRPr="005F174B">
        <w:rPr>
          <w:lang w:val="fr-FR"/>
        </w:rPr>
        <w:t>39.  La Cour rappelle que, s</w:t>
      </w:r>
      <w:r w:rsidR="005F174B" w:rsidRPr="005F174B">
        <w:rPr>
          <w:lang w:val="fr-FR"/>
        </w:rPr>
        <w:t>’</w:t>
      </w:r>
      <w:r w:rsidRPr="005F174B">
        <w:rPr>
          <w:lang w:val="fr-FR"/>
        </w:rPr>
        <w:t>il est vrai que l</w:t>
      </w:r>
      <w:r w:rsidR="005F174B" w:rsidRPr="005F174B">
        <w:rPr>
          <w:lang w:val="fr-FR"/>
        </w:rPr>
        <w:t>’</w:t>
      </w:r>
      <w:r w:rsidRPr="005F174B">
        <w:rPr>
          <w:lang w:val="fr-FR"/>
        </w:rPr>
        <w:t>insolvabilité d</w:t>
      </w:r>
      <w:r w:rsidR="005F174B" w:rsidRPr="005F174B">
        <w:rPr>
          <w:lang w:val="fr-FR"/>
        </w:rPr>
        <w:t>’</w:t>
      </w:r>
      <w:r w:rsidRPr="005F174B">
        <w:rPr>
          <w:lang w:val="fr-FR"/>
        </w:rPr>
        <w:t>une société privée ne peut pas entraîner une responsabilité de l</w:t>
      </w:r>
      <w:r w:rsidR="005F174B" w:rsidRPr="005F174B">
        <w:rPr>
          <w:lang w:val="fr-FR"/>
        </w:rPr>
        <w:t>’</w:t>
      </w:r>
      <w:r w:rsidRPr="005F174B">
        <w:rPr>
          <w:lang w:val="fr-FR"/>
        </w:rPr>
        <w:t>État au regard de la Convention et ses Protocoles (</w:t>
      </w:r>
      <w:r w:rsidRPr="005F174B">
        <w:rPr>
          <w:i/>
          <w:lang w:val="fr-FR"/>
        </w:rPr>
        <w:t>Shestakov c. Russie</w:t>
      </w:r>
      <w:r w:rsidRPr="005F174B">
        <w:rPr>
          <w:lang w:val="fr-FR"/>
        </w:rPr>
        <w:t xml:space="preserve"> (déc.), n</w:t>
      </w:r>
      <w:r w:rsidRPr="005F174B">
        <w:rPr>
          <w:vertAlign w:val="superscript"/>
          <w:lang w:val="fr-FR"/>
        </w:rPr>
        <w:t>o</w:t>
      </w:r>
      <w:r w:rsidRPr="005F174B">
        <w:rPr>
          <w:lang w:val="fr-FR"/>
        </w:rPr>
        <w:t xml:space="preserve"> 48757/99, 18 juin 2002), l</w:t>
      </w:r>
      <w:r w:rsidR="005F174B" w:rsidRPr="005F174B">
        <w:rPr>
          <w:lang w:val="fr-FR"/>
        </w:rPr>
        <w:t>’</w:t>
      </w:r>
      <w:r w:rsidRPr="005F174B">
        <w:rPr>
          <w:lang w:val="fr-FR"/>
        </w:rPr>
        <w:t>État ne saurait se soustraire à sa responsabilité en déléguant ses obligations à des organismes privés ou à des particuliers. En d</w:t>
      </w:r>
      <w:r w:rsidR="005F174B" w:rsidRPr="005F174B">
        <w:rPr>
          <w:lang w:val="fr-FR"/>
        </w:rPr>
        <w:t>’</w:t>
      </w:r>
      <w:r w:rsidRPr="005F174B">
        <w:rPr>
          <w:lang w:val="fr-FR"/>
        </w:rPr>
        <w:t xml:space="preserve">autres </w:t>
      </w:r>
      <w:r w:rsidRPr="005F174B">
        <w:rPr>
          <w:lang w:val="fr-FR"/>
        </w:rPr>
        <w:lastRenderedPageBreak/>
        <w:t>termes, le fait que l</w:t>
      </w:r>
      <w:r w:rsidR="005F174B" w:rsidRPr="005F174B">
        <w:rPr>
          <w:lang w:val="fr-FR"/>
        </w:rPr>
        <w:t>’</w:t>
      </w:r>
      <w:r w:rsidRPr="005F174B">
        <w:rPr>
          <w:lang w:val="fr-FR"/>
        </w:rPr>
        <w:t>État choisisse une forme de délégation selon laquelle certains de ses pouvoirs sont exercés par un autre organe ne suffit pas à trancher la question de sa responsabilité. Pour la Cour, l</w:t>
      </w:r>
      <w:r w:rsidR="005F174B" w:rsidRPr="005F174B">
        <w:rPr>
          <w:lang w:val="fr-FR"/>
        </w:rPr>
        <w:t>’</w:t>
      </w:r>
      <w:r w:rsidRPr="005F174B">
        <w:rPr>
          <w:lang w:val="fr-FR"/>
        </w:rPr>
        <w:t>exercice de pouvoirs étatiques ayant une influence sur des droits et libertés inscrits dans la Convention est susceptible de mettre en jeu la responsabilité de l</w:t>
      </w:r>
      <w:r w:rsidR="005F174B" w:rsidRPr="005F174B">
        <w:rPr>
          <w:lang w:val="fr-FR"/>
        </w:rPr>
        <w:t>’</w:t>
      </w:r>
      <w:r w:rsidRPr="005F174B">
        <w:rPr>
          <w:lang w:val="fr-FR"/>
        </w:rPr>
        <w:t>État, indépendamment de la forme sous laquelle ces pouvoirs se trouvent être exercés, fût-ce par une entité de droit privé (</w:t>
      </w:r>
      <w:r w:rsidRPr="005F174B">
        <w:rPr>
          <w:i/>
          <w:lang w:val="fr-FR"/>
        </w:rPr>
        <w:t>Costello-Roberts c.</w:t>
      </w:r>
      <w:r w:rsidR="000359B8" w:rsidRPr="005F174B">
        <w:rPr>
          <w:i/>
          <w:lang w:val="fr-FR"/>
        </w:rPr>
        <w:t> </w:t>
      </w:r>
      <w:r w:rsidRPr="005F174B">
        <w:rPr>
          <w:i/>
          <w:lang w:val="fr-FR"/>
        </w:rPr>
        <w:t>Royaume</w:t>
      </w:r>
      <w:r w:rsidR="000359B8" w:rsidRPr="005F174B">
        <w:rPr>
          <w:i/>
          <w:lang w:val="fr-FR"/>
        </w:rPr>
        <w:noBreakHyphen/>
      </w:r>
      <w:r w:rsidRPr="005F174B">
        <w:rPr>
          <w:i/>
          <w:lang w:val="fr-FR"/>
        </w:rPr>
        <w:t>Uni</w:t>
      </w:r>
      <w:r w:rsidRPr="005F174B">
        <w:rPr>
          <w:lang w:val="fr-FR"/>
        </w:rPr>
        <w:t>, 25 mars 1993, § 27, série A n</w:t>
      </w:r>
      <w:r w:rsidRPr="005F174B">
        <w:rPr>
          <w:vertAlign w:val="superscript"/>
          <w:lang w:val="fr-FR"/>
        </w:rPr>
        <w:t>o</w:t>
      </w:r>
      <w:r w:rsidRPr="005F174B">
        <w:rPr>
          <w:lang w:val="fr-FR"/>
        </w:rPr>
        <w:t xml:space="preserve"> 247</w:t>
      </w:r>
      <w:r w:rsidRPr="005F174B">
        <w:rPr>
          <w:lang w:val="fr-FR"/>
        </w:rPr>
        <w:noBreakHyphen/>
        <w:t xml:space="preserve">C, </w:t>
      </w:r>
      <w:r w:rsidRPr="005F174B">
        <w:rPr>
          <w:i/>
          <w:lang w:val="fr-FR"/>
        </w:rPr>
        <w:t xml:space="preserve">Wos c. Pologne </w:t>
      </w:r>
      <w:r w:rsidRPr="005F174B">
        <w:rPr>
          <w:lang w:val="fr-FR"/>
        </w:rPr>
        <w:t>(déc.), n</w:t>
      </w:r>
      <w:r w:rsidRPr="005F174B">
        <w:rPr>
          <w:vertAlign w:val="superscript"/>
          <w:lang w:val="fr-FR"/>
        </w:rPr>
        <w:t>o</w:t>
      </w:r>
      <w:r w:rsidRPr="005F174B">
        <w:rPr>
          <w:lang w:val="fr-FR"/>
        </w:rPr>
        <w:t> 22860/02, § 72, CEDH 2005</w:t>
      </w:r>
      <w:r w:rsidRPr="005F174B">
        <w:rPr>
          <w:lang w:val="fr-FR"/>
        </w:rPr>
        <w:noBreakHyphen/>
        <w:t xml:space="preserve">IV, </w:t>
      </w:r>
      <w:r w:rsidRPr="005F174B">
        <w:rPr>
          <w:i/>
          <w:lang w:val="fr-FR"/>
        </w:rPr>
        <w:t>Sychev c. Ukraine</w:t>
      </w:r>
      <w:r w:rsidRPr="005F174B">
        <w:rPr>
          <w:lang w:val="fr-FR"/>
        </w:rPr>
        <w:t>, n</w:t>
      </w:r>
      <w:r w:rsidRPr="005F174B">
        <w:rPr>
          <w:szCs w:val="24"/>
          <w:vertAlign w:val="superscript"/>
          <w:lang w:val="fr-FR"/>
        </w:rPr>
        <w:t>o</w:t>
      </w:r>
      <w:r w:rsidRPr="005F174B">
        <w:rPr>
          <w:lang w:val="fr-FR"/>
        </w:rPr>
        <w:t> 4773/02, §</w:t>
      </w:r>
      <w:r w:rsidR="000359B8" w:rsidRPr="005F174B">
        <w:rPr>
          <w:lang w:val="fr-FR"/>
        </w:rPr>
        <w:t> </w:t>
      </w:r>
      <w:r w:rsidRPr="005F174B">
        <w:rPr>
          <w:lang w:val="fr-FR"/>
        </w:rPr>
        <w:t xml:space="preserve">54, 11 octobre 2005, et </w:t>
      </w:r>
      <w:r w:rsidRPr="005F174B">
        <w:rPr>
          <w:i/>
          <w:lang w:val="fr-FR"/>
        </w:rPr>
        <w:t>Kotov c. Russie</w:t>
      </w:r>
      <w:r w:rsidRPr="005F174B">
        <w:rPr>
          <w:lang w:val="fr-FR"/>
        </w:rPr>
        <w:t xml:space="preserve"> [GC], n</w:t>
      </w:r>
      <w:r w:rsidRPr="005F174B">
        <w:rPr>
          <w:vertAlign w:val="superscript"/>
          <w:lang w:val="fr-FR"/>
        </w:rPr>
        <w:t>o</w:t>
      </w:r>
      <w:r w:rsidRPr="005F174B">
        <w:rPr>
          <w:lang w:val="fr-FR"/>
        </w:rPr>
        <w:t> 54522/00, § 92, 3</w:t>
      </w:r>
      <w:r w:rsidR="000359B8" w:rsidRPr="005F174B">
        <w:rPr>
          <w:lang w:val="fr-FR"/>
        </w:rPr>
        <w:t> </w:t>
      </w:r>
      <w:r w:rsidRPr="005F174B">
        <w:rPr>
          <w:lang w:val="fr-FR"/>
        </w:rPr>
        <w:t>avril</w:t>
      </w:r>
      <w:r w:rsidR="005F174B" w:rsidRPr="005F174B">
        <w:rPr>
          <w:lang w:val="fr-FR"/>
        </w:rPr>
        <w:t xml:space="preserve"> </w:t>
      </w:r>
      <w:r w:rsidRPr="005F174B">
        <w:rPr>
          <w:lang w:val="fr-FR"/>
        </w:rPr>
        <w:t>2012).</w:t>
      </w:r>
    </w:p>
    <w:p w:rsidR="00A639B1" w:rsidRPr="005F174B" w:rsidRDefault="00A639B1" w:rsidP="005F174B">
      <w:pPr>
        <w:pStyle w:val="ECHRPara"/>
        <w:rPr>
          <w:lang w:val="fr-FR"/>
        </w:rPr>
      </w:pPr>
      <w:r w:rsidRPr="005F174B">
        <w:rPr>
          <w:lang w:val="fr-FR"/>
        </w:rPr>
        <w:t>40.  En l</w:t>
      </w:r>
      <w:r w:rsidR="005F174B" w:rsidRPr="005F174B">
        <w:rPr>
          <w:lang w:val="fr-FR"/>
        </w:rPr>
        <w:t>’</w:t>
      </w:r>
      <w:r w:rsidRPr="005F174B">
        <w:rPr>
          <w:lang w:val="fr-FR"/>
        </w:rPr>
        <w:t>espèce, la Cour considère qu</w:t>
      </w:r>
      <w:r w:rsidR="005F174B" w:rsidRPr="005F174B">
        <w:rPr>
          <w:lang w:val="fr-FR"/>
        </w:rPr>
        <w:t>’</w:t>
      </w:r>
      <w:r w:rsidRPr="005F174B">
        <w:rPr>
          <w:lang w:val="fr-FR"/>
        </w:rPr>
        <w:t>il ne fait aucun doute que la société Padana Appalti SPA - tout comme les sociétés qui l</w:t>
      </w:r>
      <w:r w:rsidR="005F174B" w:rsidRPr="005F174B">
        <w:rPr>
          <w:lang w:val="fr-FR"/>
        </w:rPr>
        <w:t>’</w:t>
      </w:r>
      <w:r w:rsidRPr="005F174B">
        <w:rPr>
          <w:lang w:val="fr-FR"/>
        </w:rPr>
        <w:t>ont précédée dans la présente affaire - a été investie d</w:t>
      </w:r>
      <w:r w:rsidR="005F174B" w:rsidRPr="005F174B">
        <w:rPr>
          <w:lang w:val="fr-FR"/>
        </w:rPr>
        <w:t>’</w:t>
      </w:r>
      <w:r w:rsidRPr="005F174B">
        <w:rPr>
          <w:lang w:val="fr-FR"/>
        </w:rPr>
        <w:t>une mission de service public en étant déléguée de l</w:t>
      </w:r>
      <w:r w:rsidR="005F174B" w:rsidRPr="005F174B">
        <w:rPr>
          <w:lang w:val="fr-FR"/>
        </w:rPr>
        <w:t>’</w:t>
      </w:r>
      <w:r w:rsidRPr="005F174B">
        <w:rPr>
          <w:lang w:val="fr-FR"/>
        </w:rPr>
        <w:t>ensemble des pouvoirs liés à l</w:t>
      </w:r>
      <w:r w:rsidR="005F174B" w:rsidRPr="005F174B">
        <w:rPr>
          <w:lang w:val="fr-FR"/>
        </w:rPr>
        <w:t>’</w:t>
      </w:r>
      <w:r w:rsidRPr="005F174B">
        <w:rPr>
          <w:lang w:val="fr-FR"/>
        </w:rPr>
        <w:t>expropriation d</w:t>
      </w:r>
      <w:r w:rsidR="005F174B" w:rsidRPr="005F174B">
        <w:rPr>
          <w:lang w:val="fr-FR"/>
        </w:rPr>
        <w:t>’</w:t>
      </w:r>
      <w:r w:rsidRPr="005F174B">
        <w:rPr>
          <w:lang w:val="fr-FR"/>
        </w:rPr>
        <w:t>un terrain en vue de son acquisition au patrimoine public et à la construction d</w:t>
      </w:r>
      <w:r w:rsidR="005F174B" w:rsidRPr="005F174B">
        <w:rPr>
          <w:lang w:val="fr-FR"/>
        </w:rPr>
        <w:t>’</w:t>
      </w:r>
      <w:r w:rsidRPr="005F174B">
        <w:rPr>
          <w:lang w:val="fr-FR"/>
        </w:rPr>
        <w:t>un ouvrage public. Selon la Cour, le choix de recourir à la délégation de tels pouvoirs ne saurait soustraire l</w:t>
      </w:r>
      <w:r w:rsidR="005F174B" w:rsidRPr="005F174B">
        <w:rPr>
          <w:lang w:val="fr-FR"/>
        </w:rPr>
        <w:t>’</w:t>
      </w:r>
      <w:r w:rsidRPr="005F174B">
        <w:rPr>
          <w:lang w:val="fr-FR"/>
        </w:rPr>
        <w:t>État italien aux responsabilités qui auraient été les siennes s</w:t>
      </w:r>
      <w:r w:rsidR="005F174B" w:rsidRPr="005F174B">
        <w:rPr>
          <w:lang w:val="fr-FR"/>
        </w:rPr>
        <w:t>’</w:t>
      </w:r>
      <w:r w:rsidRPr="005F174B">
        <w:rPr>
          <w:lang w:val="fr-FR"/>
        </w:rPr>
        <w:t>il avait préféré s</w:t>
      </w:r>
      <w:r w:rsidR="005F174B" w:rsidRPr="005F174B">
        <w:rPr>
          <w:lang w:val="fr-FR"/>
        </w:rPr>
        <w:t>’</w:t>
      </w:r>
      <w:r w:rsidRPr="005F174B">
        <w:rPr>
          <w:lang w:val="fr-FR"/>
        </w:rPr>
        <w:t>acquitter de ces obligations lui-même, comme il aurait pu le faire. Elle constate d</w:t>
      </w:r>
      <w:r w:rsidR="005F174B" w:rsidRPr="005F174B">
        <w:rPr>
          <w:lang w:val="fr-FR"/>
        </w:rPr>
        <w:t>’</w:t>
      </w:r>
      <w:r w:rsidRPr="005F174B">
        <w:rPr>
          <w:lang w:val="fr-FR"/>
        </w:rPr>
        <w:t>ailleurs que le Gouvernement reconnaît au passage que la délégation administrative n</w:t>
      </w:r>
      <w:r w:rsidR="005F174B" w:rsidRPr="005F174B">
        <w:rPr>
          <w:lang w:val="fr-FR"/>
        </w:rPr>
        <w:t>’</w:t>
      </w:r>
      <w:r w:rsidRPr="005F174B">
        <w:rPr>
          <w:lang w:val="fr-FR"/>
        </w:rPr>
        <w:t>était pas, en l</w:t>
      </w:r>
      <w:r w:rsidR="005F174B" w:rsidRPr="005F174B">
        <w:rPr>
          <w:lang w:val="fr-FR"/>
        </w:rPr>
        <w:t>’</w:t>
      </w:r>
      <w:r w:rsidRPr="005F174B">
        <w:rPr>
          <w:lang w:val="fr-FR"/>
        </w:rPr>
        <w:t>espèce, de nature à dégager l</w:t>
      </w:r>
      <w:r w:rsidR="005F174B" w:rsidRPr="005F174B">
        <w:rPr>
          <w:lang w:val="fr-FR"/>
        </w:rPr>
        <w:t>’</w:t>
      </w:r>
      <w:r w:rsidRPr="005F174B">
        <w:rPr>
          <w:lang w:val="fr-FR"/>
        </w:rPr>
        <w:t>administration publique de ses responsabilités vis-à-vis du propriétaire exproprié (paragraphe 30 ci-dessus). De plus, la Cour observe avec intérêt que les chambres réunies de la Cour de cassation ont expressément affirmé le principe de la coresponsabilité de l</w:t>
      </w:r>
      <w:r w:rsidR="005F174B" w:rsidRPr="005F174B">
        <w:rPr>
          <w:lang w:val="fr-FR"/>
        </w:rPr>
        <w:t>’</w:t>
      </w:r>
      <w:r w:rsidRPr="005F174B">
        <w:rPr>
          <w:lang w:val="fr-FR"/>
        </w:rPr>
        <w:t>administration déléguant dans l</w:t>
      </w:r>
      <w:r w:rsidR="005F174B" w:rsidRPr="005F174B">
        <w:rPr>
          <w:lang w:val="fr-FR"/>
        </w:rPr>
        <w:t>’</w:t>
      </w:r>
      <w:r w:rsidRPr="005F174B">
        <w:rPr>
          <w:lang w:val="fr-FR"/>
        </w:rPr>
        <w:t>arrêt n</w:t>
      </w:r>
      <w:r w:rsidRPr="005F174B">
        <w:rPr>
          <w:vertAlign w:val="superscript"/>
          <w:lang w:val="fr-FR"/>
        </w:rPr>
        <w:t>o</w:t>
      </w:r>
      <w:r w:rsidRPr="005F174B">
        <w:rPr>
          <w:lang w:val="fr-FR"/>
        </w:rPr>
        <w:t xml:space="preserve"> 10922 du 20 octobre 1995 (voir</w:t>
      </w:r>
      <w:r w:rsidR="000359B8" w:rsidRPr="005F174B">
        <w:rPr>
          <w:lang w:val="fr-FR"/>
        </w:rPr>
        <w:t> </w:t>
      </w:r>
      <w:r w:rsidRPr="005F174B">
        <w:rPr>
          <w:lang w:val="fr-FR"/>
        </w:rPr>
        <w:t>paragraphe 26 ci-dessus).</w:t>
      </w:r>
    </w:p>
    <w:p w:rsidR="00A639B1" w:rsidRPr="005F174B" w:rsidRDefault="00A639B1" w:rsidP="005F174B">
      <w:pPr>
        <w:pStyle w:val="ECHRPara"/>
        <w:rPr>
          <w:lang w:val="fr-FR"/>
        </w:rPr>
      </w:pPr>
      <w:r w:rsidRPr="005F174B">
        <w:rPr>
          <w:lang w:val="fr-FR"/>
        </w:rPr>
        <w:t>41.  Il s</w:t>
      </w:r>
      <w:r w:rsidR="005F174B" w:rsidRPr="005F174B">
        <w:rPr>
          <w:lang w:val="fr-FR"/>
        </w:rPr>
        <w:t>’</w:t>
      </w:r>
      <w:r w:rsidRPr="005F174B">
        <w:rPr>
          <w:lang w:val="fr-FR"/>
        </w:rPr>
        <w:t>ensuit que l</w:t>
      </w:r>
      <w:r w:rsidR="005F174B" w:rsidRPr="005F174B">
        <w:rPr>
          <w:lang w:val="fr-FR"/>
        </w:rPr>
        <w:t>’</w:t>
      </w:r>
      <w:r w:rsidRPr="005F174B">
        <w:rPr>
          <w:lang w:val="fr-FR"/>
        </w:rPr>
        <w:t>État italien demeurait tenu d</w:t>
      </w:r>
      <w:r w:rsidR="005F174B" w:rsidRPr="005F174B">
        <w:rPr>
          <w:lang w:val="fr-FR"/>
        </w:rPr>
        <w:t>’</w:t>
      </w:r>
      <w:r w:rsidRPr="005F174B">
        <w:rPr>
          <w:lang w:val="fr-FR"/>
        </w:rPr>
        <w:t>exercer une surveillance et un contrôle tout au long de la procédure d</w:t>
      </w:r>
      <w:r w:rsidR="005F174B" w:rsidRPr="005F174B">
        <w:rPr>
          <w:lang w:val="fr-FR"/>
        </w:rPr>
        <w:t>’</w:t>
      </w:r>
      <w:r w:rsidRPr="005F174B">
        <w:rPr>
          <w:lang w:val="fr-FR"/>
        </w:rPr>
        <w:t>expropriation, y compris jusqu</w:t>
      </w:r>
      <w:r w:rsidR="005F174B" w:rsidRPr="005F174B">
        <w:rPr>
          <w:lang w:val="fr-FR"/>
        </w:rPr>
        <w:t>’</w:t>
      </w:r>
      <w:r w:rsidRPr="005F174B">
        <w:rPr>
          <w:lang w:val="fr-FR"/>
        </w:rPr>
        <w:t>au paiement de l</w:t>
      </w:r>
      <w:r w:rsidR="005F174B" w:rsidRPr="005F174B">
        <w:rPr>
          <w:lang w:val="fr-FR"/>
        </w:rPr>
        <w:t>’</w:t>
      </w:r>
      <w:r w:rsidRPr="005F174B">
        <w:rPr>
          <w:lang w:val="fr-FR"/>
        </w:rPr>
        <w:t>indemnité y relative, de sorte que sa responsabilité est engagée pour ne pas avoir pris les mesures nécessaires afin que les sommes accordées à titre de réparation pour l</w:t>
      </w:r>
      <w:r w:rsidR="005F174B" w:rsidRPr="005F174B">
        <w:rPr>
          <w:lang w:val="fr-FR"/>
        </w:rPr>
        <w:t>’</w:t>
      </w:r>
      <w:r w:rsidRPr="005F174B">
        <w:rPr>
          <w:lang w:val="fr-FR"/>
        </w:rPr>
        <w:t>expropriation soient effectivement versées au requérant. Il convient de rappeler à ce propos que la Convention vise à garantir des droits non pas théoriques ou illusoires, mais concrets et effectifs (voir, parmi d</w:t>
      </w:r>
      <w:r w:rsidR="005F174B" w:rsidRPr="005F174B">
        <w:rPr>
          <w:lang w:val="fr-FR"/>
        </w:rPr>
        <w:t>’</w:t>
      </w:r>
      <w:r w:rsidRPr="005F174B">
        <w:rPr>
          <w:lang w:val="fr-FR"/>
        </w:rPr>
        <w:t xml:space="preserve">autres, </w:t>
      </w:r>
      <w:r w:rsidRPr="005F174B">
        <w:rPr>
          <w:i/>
          <w:lang w:val="fr-FR"/>
        </w:rPr>
        <w:t>Matthews</w:t>
      </w:r>
      <w:r w:rsidR="005F174B" w:rsidRPr="005F174B">
        <w:rPr>
          <w:i/>
          <w:lang w:val="fr-FR"/>
        </w:rPr>
        <w:t xml:space="preserve"> </w:t>
      </w:r>
      <w:r w:rsidRPr="005F174B">
        <w:rPr>
          <w:i/>
          <w:lang w:val="fr-FR"/>
        </w:rPr>
        <w:t>c.</w:t>
      </w:r>
      <w:r w:rsidR="000359B8" w:rsidRPr="005F174B">
        <w:rPr>
          <w:i/>
          <w:lang w:val="fr-FR"/>
        </w:rPr>
        <w:t> </w:t>
      </w:r>
      <w:r w:rsidRPr="005F174B">
        <w:rPr>
          <w:i/>
          <w:lang w:val="fr-FR"/>
        </w:rPr>
        <w:t>Royaume-Uni</w:t>
      </w:r>
      <w:r w:rsidRPr="005F174B">
        <w:rPr>
          <w:lang w:val="fr-FR"/>
        </w:rPr>
        <w:t xml:space="preserve"> [GC], n</w:t>
      </w:r>
      <w:r w:rsidRPr="005F174B">
        <w:rPr>
          <w:vertAlign w:val="superscript"/>
          <w:lang w:val="fr-FR"/>
        </w:rPr>
        <w:t>o</w:t>
      </w:r>
      <w:r w:rsidR="005F174B" w:rsidRPr="005F174B">
        <w:rPr>
          <w:lang w:val="fr-FR"/>
        </w:rPr>
        <w:t xml:space="preserve"> </w:t>
      </w:r>
      <w:r w:rsidRPr="005F174B">
        <w:rPr>
          <w:lang w:val="fr-FR"/>
        </w:rPr>
        <w:t>24833/94, § 34, CEDH 1999-I).</w:t>
      </w:r>
    </w:p>
    <w:p w:rsidR="00A639B1" w:rsidRPr="005F174B" w:rsidRDefault="00A639B1" w:rsidP="005F174B">
      <w:pPr>
        <w:pStyle w:val="ECHRPara"/>
        <w:rPr>
          <w:lang w:val="fr-FR"/>
        </w:rPr>
      </w:pPr>
      <w:r w:rsidRPr="005F174B">
        <w:rPr>
          <w:lang w:val="fr-FR"/>
        </w:rPr>
        <w:t>42.  Il s</w:t>
      </w:r>
      <w:r w:rsidR="005F174B" w:rsidRPr="005F174B">
        <w:rPr>
          <w:lang w:val="fr-FR"/>
        </w:rPr>
        <w:t>’</w:t>
      </w:r>
      <w:r w:rsidRPr="005F174B">
        <w:rPr>
          <w:lang w:val="fr-FR"/>
        </w:rPr>
        <w:t xml:space="preserve">ensuit que cette partie de la requête ne saurait être déclarée incompatible </w:t>
      </w:r>
      <w:r w:rsidRPr="005F174B">
        <w:rPr>
          <w:i/>
          <w:lang w:val="fr-FR"/>
        </w:rPr>
        <w:t>ratione personae</w:t>
      </w:r>
      <w:r w:rsidRPr="005F174B">
        <w:rPr>
          <w:lang w:val="fr-FR"/>
        </w:rPr>
        <w:t xml:space="preserve"> avec les dispositions de la Convention et que l</w:t>
      </w:r>
      <w:r w:rsidR="005F174B" w:rsidRPr="005F174B">
        <w:rPr>
          <w:lang w:val="fr-FR"/>
        </w:rPr>
        <w:t>’</w:t>
      </w:r>
      <w:r w:rsidRPr="005F174B">
        <w:rPr>
          <w:lang w:val="fr-FR"/>
        </w:rPr>
        <w:t>exception soulevée par le Gouvernement de ce chef doit être écartée.</w:t>
      </w:r>
    </w:p>
    <w:p w:rsidR="00A639B1" w:rsidRPr="005F174B" w:rsidRDefault="00A639B1" w:rsidP="005F174B">
      <w:pPr>
        <w:pStyle w:val="ECHRHeading4"/>
        <w:rPr>
          <w:lang w:val="fr-FR"/>
        </w:rPr>
      </w:pPr>
      <w:r w:rsidRPr="005F174B">
        <w:rPr>
          <w:lang w:val="fr-FR"/>
        </w:rPr>
        <w:t>b)  Sur l</w:t>
      </w:r>
      <w:r w:rsidR="005F174B" w:rsidRPr="005F174B">
        <w:rPr>
          <w:lang w:val="fr-FR"/>
        </w:rPr>
        <w:t>’</w:t>
      </w:r>
      <w:r w:rsidRPr="005F174B">
        <w:rPr>
          <w:lang w:val="fr-FR"/>
        </w:rPr>
        <w:t>épuisement des voies de recours internes</w:t>
      </w:r>
    </w:p>
    <w:p w:rsidR="00A639B1" w:rsidRPr="005F174B" w:rsidRDefault="00A639B1" w:rsidP="005F174B">
      <w:pPr>
        <w:pStyle w:val="ECHRPara"/>
        <w:rPr>
          <w:bCs/>
          <w:lang w:val="fr-FR"/>
        </w:rPr>
      </w:pPr>
      <w:r w:rsidRPr="005F174B">
        <w:rPr>
          <w:lang w:val="fr-FR"/>
        </w:rPr>
        <w:t>43.  La Cour n</w:t>
      </w:r>
      <w:r w:rsidR="005F174B" w:rsidRPr="005F174B">
        <w:rPr>
          <w:lang w:val="fr-FR"/>
        </w:rPr>
        <w:t>’</w:t>
      </w:r>
      <w:r w:rsidRPr="005F174B">
        <w:rPr>
          <w:lang w:val="fr-FR"/>
        </w:rPr>
        <w:t>est pas convaincue par l</w:t>
      </w:r>
      <w:r w:rsidR="005F174B" w:rsidRPr="005F174B">
        <w:rPr>
          <w:lang w:val="fr-FR"/>
        </w:rPr>
        <w:t>’</w:t>
      </w:r>
      <w:r w:rsidRPr="005F174B">
        <w:rPr>
          <w:lang w:val="fr-FR"/>
        </w:rPr>
        <w:t>argument du Gouvernement selon lequel le requérant n</w:t>
      </w:r>
      <w:r w:rsidR="005F174B" w:rsidRPr="005F174B">
        <w:rPr>
          <w:lang w:val="fr-FR"/>
        </w:rPr>
        <w:t>’</w:t>
      </w:r>
      <w:r w:rsidRPr="005F174B">
        <w:rPr>
          <w:lang w:val="fr-FR"/>
        </w:rPr>
        <w:t>aurait pas correctement épuisé les voies de recours internes à sa disposition du fait de ne pas avoir assigné l</w:t>
      </w:r>
      <w:r w:rsidR="005F174B" w:rsidRPr="005F174B">
        <w:rPr>
          <w:lang w:val="fr-FR"/>
        </w:rPr>
        <w:t>’</w:t>
      </w:r>
      <w:r w:rsidRPr="005F174B">
        <w:rPr>
          <w:lang w:val="fr-FR"/>
        </w:rPr>
        <w:t xml:space="preserve">ANAS en </w:t>
      </w:r>
      <w:r w:rsidRPr="005F174B">
        <w:rPr>
          <w:lang w:val="fr-FR"/>
        </w:rPr>
        <w:lastRenderedPageBreak/>
        <w:t xml:space="preserve">justice. Elle observe à cet égard que selon </w:t>
      </w:r>
      <w:r w:rsidRPr="005F174B">
        <w:rPr>
          <w:bCs/>
          <w:lang w:val="fr-FR"/>
        </w:rPr>
        <w:t>la jurisprudence de la Cour de cassation indiquée par le requérant comme étant majoritaire</w:t>
      </w:r>
      <w:r w:rsidRPr="005F174B">
        <w:rPr>
          <w:lang w:val="fr-FR"/>
        </w:rPr>
        <w:t xml:space="preserve"> </w:t>
      </w:r>
      <w:r w:rsidRPr="005F174B">
        <w:rPr>
          <w:bCs/>
          <w:lang w:val="fr-FR"/>
        </w:rPr>
        <w:t>à l</w:t>
      </w:r>
      <w:r w:rsidR="005F174B" w:rsidRPr="005F174B">
        <w:rPr>
          <w:bCs/>
          <w:lang w:val="fr-FR"/>
        </w:rPr>
        <w:t>’</w:t>
      </w:r>
      <w:r w:rsidRPr="005F174B">
        <w:rPr>
          <w:bCs/>
          <w:lang w:val="fr-FR"/>
        </w:rPr>
        <w:t>époque de l</w:t>
      </w:r>
      <w:r w:rsidR="005F174B" w:rsidRPr="005F174B">
        <w:rPr>
          <w:bCs/>
          <w:lang w:val="fr-FR"/>
        </w:rPr>
        <w:t>’</w:t>
      </w:r>
      <w:r w:rsidRPr="005F174B">
        <w:rPr>
          <w:bCs/>
          <w:lang w:val="fr-FR"/>
        </w:rPr>
        <w:t>introduction de ses demandes d</w:t>
      </w:r>
      <w:r w:rsidR="005F174B" w:rsidRPr="005F174B">
        <w:rPr>
          <w:bCs/>
          <w:lang w:val="fr-FR"/>
        </w:rPr>
        <w:t>’</w:t>
      </w:r>
      <w:r w:rsidRPr="005F174B">
        <w:rPr>
          <w:bCs/>
          <w:lang w:val="fr-FR"/>
        </w:rPr>
        <w:t>indemnisation – ce qui n</w:t>
      </w:r>
      <w:r w:rsidR="005F174B" w:rsidRPr="005F174B">
        <w:rPr>
          <w:bCs/>
          <w:lang w:val="fr-FR"/>
        </w:rPr>
        <w:t>’</w:t>
      </w:r>
      <w:r w:rsidRPr="005F174B">
        <w:rPr>
          <w:bCs/>
          <w:lang w:val="fr-FR"/>
        </w:rPr>
        <w:t>a pas été contesté par le Gouvernement - l</w:t>
      </w:r>
      <w:r w:rsidR="005F174B" w:rsidRPr="005F174B">
        <w:rPr>
          <w:bCs/>
          <w:lang w:val="fr-FR"/>
        </w:rPr>
        <w:t>’</w:t>
      </w:r>
      <w:r w:rsidRPr="005F174B">
        <w:rPr>
          <w:bCs/>
          <w:lang w:val="fr-FR"/>
        </w:rPr>
        <w:t>organisme délégué par l</w:t>
      </w:r>
      <w:r w:rsidR="005F174B" w:rsidRPr="005F174B">
        <w:rPr>
          <w:bCs/>
          <w:lang w:val="fr-FR"/>
        </w:rPr>
        <w:t>’</w:t>
      </w:r>
      <w:r w:rsidRPr="005F174B">
        <w:rPr>
          <w:bCs/>
          <w:lang w:val="fr-FR"/>
        </w:rPr>
        <w:t>administration pour mener à bien une expropriation avait la qualité pour agir et était investi, par l</w:t>
      </w:r>
      <w:r w:rsidR="005F174B" w:rsidRPr="005F174B">
        <w:rPr>
          <w:bCs/>
          <w:lang w:val="fr-FR"/>
        </w:rPr>
        <w:t>’</w:t>
      </w:r>
      <w:r w:rsidRPr="005F174B">
        <w:rPr>
          <w:bCs/>
          <w:lang w:val="fr-FR"/>
        </w:rPr>
        <w:t>effet de la délégation administrative, de l</w:t>
      </w:r>
      <w:r w:rsidR="005F174B" w:rsidRPr="005F174B">
        <w:rPr>
          <w:bCs/>
          <w:lang w:val="fr-FR"/>
        </w:rPr>
        <w:t>’</w:t>
      </w:r>
      <w:r w:rsidRPr="005F174B">
        <w:rPr>
          <w:bCs/>
          <w:lang w:val="fr-FR"/>
        </w:rPr>
        <w:t>ensemble des pouvoirs et des obligations relatifs à la procédure d</w:t>
      </w:r>
      <w:r w:rsidR="005F174B" w:rsidRPr="005F174B">
        <w:rPr>
          <w:bCs/>
          <w:lang w:val="fr-FR"/>
        </w:rPr>
        <w:t>’</w:t>
      </w:r>
      <w:r w:rsidRPr="005F174B">
        <w:rPr>
          <w:bCs/>
          <w:lang w:val="fr-FR"/>
        </w:rPr>
        <w:t>expropriation.</w:t>
      </w:r>
    </w:p>
    <w:p w:rsidR="00A639B1" w:rsidRPr="005F174B" w:rsidRDefault="00A639B1" w:rsidP="005F174B">
      <w:pPr>
        <w:pStyle w:val="ECHRPara"/>
        <w:rPr>
          <w:bCs/>
          <w:lang w:val="fr-FR"/>
        </w:rPr>
      </w:pPr>
      <w:r w:rsidRPr="005F174B">
        <w:rPr>
          <w:bCs/>
          <w:lang w:val="fr-FR"/>
        </w:rPr>
        <w:t>44.  La Cour ne peut donc que partir de l</w:t>
      </w:r>
      <w:r w:rsidR="005F174B" w:rsidRPr="005F174B">
        <w:rPr>
          <w:bCs/>
          <w:lang w:val="fr-FR"/>
        </w:rPr>
        <w:t>’</w:t>
      </w:r>
      <w:r w:rsidRPr="005F174B">
        <w:rPr>
          <w:bCs/>
          <w:lang w:val="fr-FR"/>
        </w:rPr>
        <w:t>hypothèse que, bien que l</w:t>
      </w:r>
      <w:r w:rsidR="005F174B" w:rsidRPr="005F174B">
        <w:rPr>
          <w:bCs/>
          <w:lang w:val="fr-FR"/>
        </w:rPr>
        <w:t>’</w:t>
      </w:r>
      <w:r w:rsidRPr="005F174B">
        <w:rPr>
          <w:bCs/>
          <w:lang w:val="fr-FR"/>
        </w:rPr>
        <w:t>entreprise Padana Appalti S.p.A. s</w:t>
      </w:r>
      <w:r w:rsidR="005F174B" w:rsidRPr="005F174B">
        <w:rPr>
          <w:bCs/>
          <w:lang w:val="fr-FR"/>
        </w:rPr>
        <w:t>’</w:t>
      </w:r>
      <w:r w:rsidRPr="005F174B">
        <w:rPr>
          <w:bCs/>
          <w:lang w:val="fr-FR"/>
        </w:rPr>
        <w:t>était acquittée de ses obligations pour le compte de l</w:t>
      </w:r>
      <w:r w:rsidR="005F174B" w:rsidRPr="005F174B">
        <w:rPr>
          <w:bCs/>
          <w:lang w:val="fr-FR"/>
        </w:rPr>
        <w:t>’</w:t>
      </w:r>
      <w:r w:rsidRPr="005F174B">
        <w:rPr>
          <w:bCs/>
          <w:lang w:val="fr-FR"/>
        </w:rPr>
        <w:t>ANAS, c</w:t>
      </w:r>
      <w:r w:rsidR="005F174B" w:rsidRPr="005F174B">
        <w:rPr>
          <w:bCs/>
          <w:lang w:val="fr-FR"/>
        </w:rPr>
        <w:t>’</w:t>
      </w:r>
      <w:r w:rsidRPr="005F174B">
        <w:rPr>
          <w:bCs/>
          <w:lang w:val="fr-FR"/>
        </w:rPr>
        <w:t>était à l</w:t>
      </w:r>
      <w:r w:rsidR="005F174B" w:rsidRPr="005F174B">
        <w:rPr>
          <w:bCs/>
          <w:lang w:val="fr-FR"/>
        </w:rPr>
        <w:t>’</w:t>
      </w:r>
      <w:r w:rsidRPr="005F174B">
        <w:rPr>
          <w:bCs/>
          <w:lang w:val="fr-FR"/>
        </w:rPr>
        <w:t>encontre de ladite entreprise que le requérant devait saisir la justice pour faire valoir son droit à être indemnisé. Ce principe a d</w:t>
      </w:r>
      <w:r w:rsidR="005F174B" w:rsidRPr="005F174B">
        <w:rPr>
          <w:bCs/>
          <w:lang w:val="fr-FR"/>
        </w:rPr>
        <w:t>’</w:t>
      </w:r>
      <w:r w:rsidRPr="005F174B">
        <w:rPr>
          <w:bCs/>
          <w:lang w:val="fr-FR"/>
        </w:rPr>
        <w:t>ailleurs été affirmé par</w:t>
      </w:r>
      <w:r w:rsidRPr="005F174B">
        <w:rPr>
          <w:lang w:val="fr-FR"/>
        </w:rPr>
        <w:t xml:space="preserve"> </w:t>
      </w:r>
      <w:r w:rsidRPr="005F174B">
        <w:rPr>
          <w:bCs/>
          <w:lang w:val="fr-FR"/>
        </w:rPr>
        <w:t>la cour d</w:t>
      </w:r>
      <w:r w:rsidR="005F174B" w:rsidRPr="005F174B">
        <w:rPr>
          <w:bCs/>
          <w:lang w:val="fr-FR"/>
        </w:rPr>
        <w:t>’</w:t>
      </w:r>
      <w:r w:rsidRPr="005F174B">
        <w:rPr>
          <w:bCs/>
          <w:lang w:val="fr-FR"/>
        </w:rPr>
        <w:t>appel de Florence qui, en s</w:t>
      </w:r>
      <w:r w:rsidR="005F174B" w:rsidRPr="005F174B">
        <w:rPr>
          <w:bCs/>
          <w:lang w:val="fr-FR"/>
        </w:rPr>
        <w:t>’</w:t>
      </w:r>
      <w:r w:rsidRPr="005F174B">
        <w:rPr>
          <w:bCs/>
          <w:lang w:val="fr-FR"/>
        </w:rPr>
        <w:t>appuyant sur la jurisprudence de la Cour de cassation, a écarté l</w:t>
      </w:r>
      <w:r w:rsidR="005F174B" w:rsidRPr="005F174B">
        <w:rPr>
          <w:bCs/>
          <w:lang w:val="fr-FR"/>
        </w:rPr>
        <w:t>’</w:t>
      </w:r>
      <w:r w:rsidRPr="005F174B">
        <w:rPr>
          <w:bCs/>
          <w:lang w:val="fr-FR"/>
        </w:rPr>
        <w:t>exception tirée du défaut de qualité pour agir soulevée par l</w:t>
      </w:r>
      <w:r w:rsidR="005F174B" w:rsidRPr="005F174B">
        <w:rPr>
          <w:bCs/>
          <w:lang w:val="fr-FR"/>
        </w:rPr>
        <w:t>’</w:t>
      </w:r>
      <w:r w:rsidRPr="005F174B">
        <w:rPr>
          <w:bCs/>
          <w:lang w:val="fr-FR"/>
        </w:rPr>
        <w:t>entreprise Padana Appalti S.p.A (paragraphe 19 ci-dessus).</w:t>
      </w:r>
    </w:p>
    <w:p w:rsidR="00A639B1" w:rsidRPr="005F174B" w:rsidRDefault="00A639B1" w:rsidP="005F174B">
      <w:pPr>
        <w:pStyle w:val="ECHRPara"/>
        <w:rPr>
          <w:lang w:val="fr-FR"/>
        </w:rPr>
      </w:pPr>
      <w:r w:rsidRPr="005F174B">
        <w:rPr>
          <w:bCs/>
          <w:lang w:val="fr-FR"/>
        </w:rPr>
        <w:t>45.</w:t>
      </w:r>
      <w:r w:rsidRPr="005F174B">
        <w:rPr>
          <w:b/>
          <w:bCs/>
          <w:lang w:val="fr-FR"/>
        </w:rPr>
        <w:t>  </w:t>
      </w:r>
      <w:r w:rsidRPr="005F174B">
        <w:rPr>
          <w:bCs/>
          <w:lang w:val="fr-FR"/>
        </w:rPr>
        <w:t>Cela lui suffit pour conclure que</w:t>
      </w:r>
      <w:r w:rsidRPr="005F174B">
        <w:rPr>
          <w:lang w:val="fr-FR"/>
        </w:rPr>
        <w:t xml:space="preserve"> l</w:t>
      </w:r>
      <w:r w:rsidR="005F174B" w:rsidRPr="005F174B">
        <w:rPr>
          <w:lang w:val="fr-FR"/>
        </w:rPr>
        <w:t>’</w:t>
      </w:r>
      <w:r w:rsidRPr="005F174B">
        <w:rPr>
          <w:lang w:val="fr-FR"/>
        </w:rPr>
        <w:t>on ne saurait reprocher au requérant de ne pas avoir multiplié ses demandes d</w:t>
      </w:r>
      <w:r w:rsidR="005F174B" w:rsidRPr="005F174B">
        <w:rPr>
          <w:lang w:val="fr-FR"/>
        </w:rPr>
        <w:t>’</w:t>
      </w:r>
      <w:r w:rsidRPr="005F174B">
        <w:rPr>
          <w:lang w:val="fr-FR"/>
        </w:rPr>
        <w:t>indemnisation en les dirigeant également à l</w:t>
      </w:r>
      <w:r w:rsidR="005F174B" w:rsidRPr="005F174B">
        <w:rPr>
          <w:lang w:val="fr-FR"/>
        </w:rPr>
        <w:t>’</w:t>
      </w:r>
      <w:r w:rsidRPr="005F174B">
        <w:rPr>
          <w:lang w:val="fr-FR"/>
        </w:rPr>
        <w:t>encontre de l</w:t>
      </w:r>
      <w:r w:rsidR="005F174B" w:rsidRPr="005F174B">
        <w:rPr>
          <w:lang w:val="fr-FR"/>
        </w:rPr>
        <w:t>’</w:t>
      </w:r>
      <w:r w:rsidRPr="005F174B">
        <w:rPr>
          <w:lang w:val="fr-FR"/>
        </w:rPr>
        <w:t>ANAS.</w:t>
      </w:r>
    </w:p>
    <w:p w:rsidR="00A639B1" w:rsidRPr="005F174B" w:rsidRDefault="00A639B1" w:rsidP="005F174B">
      <w:pPr>
        <w:pStyle w:val="ECHRPara"/>
        <w:rPr>
          <w:lang w:val="fr-FR"/>
        </w:rPr>
      </w:pPr>
      <w:r w:rsidRPr="005F174B">
        <w:rPr>
          <w:lang w:val="fr-FR"/>
        </w:rPr>
        <w:t>46.  Quant à l</w:t>
      </w:r>
      <w:r w:rsidR="005F174B" w:rsidRPr="005F174B">
        <w:rPr>
          <w:lang w:val="fr-FR"/>
        </w:rPr>
        <w:t>’</w:t>
      </w:r>
      <w:r w:rsidRPr="005F174B">
        <w:rPr>
          <w:lang w:val="fr-FR"/>
        </w:rPr>
        <w:t>argument selon lequel le requérant aurait omis de prendre part à la procédure d</w:t>
      </w:r>
      <w:r w:rsidR="005F174B" w:rsidRPr="005F174B">
        <w:rPr>
          <w:lang w:val="fr-FR"/>
        </w:rPr>
        <w:t>’</w:t>
      </w:r>
      <w:r w:rsidRPr="005F174B">
        <w:rPr>
          <w:lang w:val="fr-FR"/>
        </w:rPr>
        <w:t>administration extraordinaire de la société Padana Appalti S.p.A., la Cour observe que le Gouvernement n</w:t>
      </w:r>
      <w:r w:rsidR="005F174B" w:rsidRPr="005F174B">
        <w:rPr>
          <w:lang w:val="fr-FR"/>
        </w:rPr>
        <w:t>’</w:t>
      </w:r>
      <w:r w:rsidRPr="005F174B">
        <w:rPr>
          <w:lang w:val="fr-FR"/>
        </w:rPr>
        <w:t>a pas démontré en quoi ladite procédure aurait constitué un remède efficace dans le cas d</w:t>
      </w:r>
      <w:r w:rsidR="005F174B" w:rsidRPr="005F174B">
        <w:rPr>
          <w:lang w:val="fr-FR"/>
        </w:rPr>
        <w:t>’</w:t>
      </w:r>
      <w:r w:rsidRPr="005F174B">
        <w:rPr>
          <w:lang w:val="fr-FR"/>
        </w:rPr>
        <w:t>espèce, permettant au requérant de percevoir son dû, compte tenu notamment du fait que le montant de l</w:t>
      </w:r>
      <w:r w:rsidR="005F174B" w:rsidRPr="005F174B">
        <w:rPr>
          <w:lang w:val="fr-FR"/>
        </w:rPr>
        <w:t>’</w:t>
      </w:r>
      <w:r w:rsidRPr="005F174B">
        <w:rPr>
          <w:lang w:val="fr-FR"/>
        </w:rPr>
        <w:t>actif de la société était largement insuffisant pour satisfaire la créance de l</w:t>
      </w:r>
      <w:r w:rsidR="005F174B" w:rsidRPr="005F174B">
        <w:rPr>
          <w:lang w:val="fr-FR"/>
        </w:rPr>
        <w:t>’</w:t>
      </w:r>
      <w:r w:rsidRPr="005F174B">
        <w:rPr>
          <w:lang w:val="fr-FR"/>
        </w:rPr>
        <w:t>intéressé (paragraphes 21 et 23 ci</w:t>
      </w:r>
      <w:r w:rsidR="000359B8" w:rsidRPr="005F174B">
        <w:rPr>
          <w:lang w:val="fr-FR"/>
        </w:rPr>
        <w:noBreakHyphen/>
      </w:r>
      <w:r w:rsidRPr="005F174B">
        <w:rPr>
          <w:lang w:val="fr-FR"/>
        </w:rPr>
        <w:t xml:space="preserve">dessus) (voir, </w:t>
      </w:r>
      <w:r w:rsidRPr="005F174B">
        <w:rPr>
          <w:i/>
          <w:lang w:val="fr-FR"/>
        </w:rPr>
        <w:t>mutatis mutandis</w:t>
      </w:r>
      <w:r w:rsidRPr="005F174B">
        <w:rPr>
          <w:lang w:val="fr-FR"/>
        </w:rPr>
        <w:t xml:space="preserve">, </w:t>
      </w:r>
      <w:r w:rsidRPr="005F174B">
        <w:rPr>
          <w:i/>
          <w:iCs/>
          <w:lang w:val="fr-FR"/>
        </w:rPr>
        <w:t>Boyadzhieva et Gloria International Limited EOOD c. Bulgarie</w:t>
      </w:r>
      <w:r w:rsidRPr="005F174B">
        <w:rPr>
          <w:lang w:val="fr-FR" w:eastAsia="en-GB"/>
        </w:rPr>
        <w:t>, n</w:t>
      </w:r>
      <w:r w:rsidRPr="005F174B">
        <w:rPr>
          <w:vertAlign w:val="superscript"/>
          <w:lang w:val="fr-FR" w:eastAsia="en-GB"/>
        </w:rPr>
        <w:t>os</w:t>
      </w:r>
      <w:r w:rsidRPr="005F174B">
        <w:rPr>
          <w:lang w:val="fr-FR"/>
        </w:rPr>
        <w:t xml:space="preserve"> 41299/09 et 11132/10</w:t>
      </w:r>
      <w:r w:rsidRPr="005F174B">
        <w:rPr>
          <w:lang w:val="fr-FR" w:eastAsia="en-GB"/>
        </w:rPr>
        <w:t xml:space="preserve">, </w:t>
      </w:r>
      <w:r w:rsidRPr="005F174B">
        <w:rPr>
          <w:lang w:val="fr-FR"/>
        </w:rPr>
        <w:t>§ 46, 5 juillet 2018).</w:t>
      </w:r>
    </w:p>
    <w:p w:rsidR="00A639B1" w:rsidRPr="005F174B" w:rsidRDefault="00A639B1" w:rsidP="005F174B">
      <w:pPr>
        <w:pStyle w:val="ECHRPara"/>
        <w:rPr>
          <w:lang w:val="fr-FR"/>
        </w:rPr>
      </w:pPr>
      <w:r w:rsidRPr="005F174B">
        <w:rPr>
          <w:lang w:val="fr-FR"/>
        </w:rPr>
        <w:t>47.  La Cour observe de plus que le requérant n</w:t>
      </w:r>
      <w:r w:rsidR="005F174B" w:rsidRPr="005F174B">
        <w:rPr>
          <w:lang w:val="fr-FR"/>
        </w:rPr>
        <w:t>’</w:t>
      </w:r>
      <w:r w:rsidRPr="005F174B">
        <w:rPr>
          <w:lang w:val="fr-FR"/>
        </w:rPr>
        <w:t>est pas resté inactif par ailleurs. En effet, il n</w:t>
      </w:r>
      <w:r w:rsidR="005F174B" w:rsidRPr="005F174B">
        <w:rPr>
          <w:lang w:val="fr-FR"/>
        </w:rPr>
        <w:t>’</w:t>
      </w:r>
      <w:r w:rsidRPr="005F174B">
        <w:rPr>
          <w:lang w:val="fr-FR"/>
        </w:rPr>
        <w:t>a pas cessé d</w:t>
      </w:r>
      <w:r w:rsidR="005F174B" w:rsidRPr="005F174B">
        <w:rPr>
          <w:lang w:val="fr-FR"/>
        </w:rPr>
        <w:t>’</w:t>
      </w:r>
      <w:r w:rsidRPr="005F174B">
        <w:rPr>
          <w:lang w:val="fr-FR"/>
        </w:rPr>
        <w:t>alléguer devant les autorités nationales l</w:t>
      </w:r>
      <w:r w:rsidR="005F174B" w:rsidRPr="005F174B">
        <w:rPr>
          <w:lang w:val="fr-FR"/>
        </w:rPr>
        <w:t>’</w:t>
      </w:r>
      <w:r w:rsidRPr="005F174B">
        <w:rPr>
          <w:lang w:val="fr-FR"/>
        </w:rPr>
        <w:t>impossibilité d</w:t>
      </w:r>
      <w:r w:rsidR="005F174B" w:rsidRPr="005F174B">
        <w:rPr>
          <w:lang w:val="fr-FR"/>
        </w:rPr>
        <w:t>’</w:t>
      </w:r>
      <w:r w:rsidRPr="005F174B">
        <w:rPr>
          <w:lang w:val="fr-FR"/>
        </w:rPr>
        <w:t>obtenir le paiement de sa créance par la société Padana Appalti S.p.A, dont l</w:t>
      </w:r>
      <w:r w:rsidR="005F174B" w:rsidRPr="005F174B">
        <w:rPr>
          <w:lang w:val="fr-FR"/>
        </w:rPr>
        <w:t>’</w:t>
      </w:r>
      <w:r w:rsidRPr="005F174B">
        <w:rPr>
          <w:lang w:val="fr-FR"/>
        </w:rPr>
        <w:t>état d</w:t>
      </w:r>
      <w:r w:rsidR="005F174B" w:rsidRPr="005F174B">
        <w:rPr>
          <w:lang w:val="fr-FR"/>
        </w:rPr>
        <w:t>’</w:t>
      </w:r>
      <w:r w:rsidRPr="005F174B">
        <w:rPr>
          <w:lang w:val="fr-FR"/>
        </w:rPr>
        <w:t>insolvabilité était d</w:t>
      </w:r>
      <w:r w:rsidR="005F174B" w:rsidRPr="005F174B">
        <w:rPr>
          <w:lang w:val="fr-FR"/>
        </w:rPr>
        <w:t>’</w:t>
      </w:r>
      <w:r w:rsidRPr="005F174B">
        <w:rPr>
          <w:lang w:val="fr-FR"/>
        </w:rPr>
        <w:t>ailleurs connu par les autorités depuis 2004, et de réclamer sans succès l</w:t>
      </w:r>
      <w:r w:rsidR="005F174B" w:rsidRPr="005F174B">
        <w:rPr>
          <w:lang w:val="fr-FR"/>
        </w:rPr>
        <w:t>’</w:t>
      </w:r>
      <w:r w:rsidRPr="005F174B">
        <w:rPr>
          <w:lang w:val="fr-FR"/>
        </w:rPr>
        <w:t>intervention de l</w:t>
      </w:r>
      <w:r w:rsidR="005F174B" w:rsidRPr="005F174B">
        <w:rPr>
          <w:lang w:val="fr-FR"/>
        </w:rPr>
        <w:t>’</w:t>
      </w:r>
      <w:r w:rsidRPr="005F174B">
        <w:rPr>
          <w:lang w:val="fr-FR"/>
        </w:rPr>
        <w:t>administration dans son cas (paragraphes 17, 21 et 22 ci-dessus). La Cour considère que, compte tenu des circonstances de l</w:t>
      </w:r>
      <w:r w:rsidR="005F174B" w:rsidRPr="005F174B">
        <w:rPr>
          <w:lang w:val="fr-FR"/>
        </w:rPr>
        <w:t>’</w:t>
      </w:r>
      <w:r w:rsidRPr="005F174B">
        <w:rPr>
          <w:lang w:val="fr-FR"/>
        </w:rPr>
        <w:t>espèce, l</w:t>
      </w:r>
      <w:r w:rsidR="005F174B" w:rsidRPr="005F174B">
        <w:rPr>
          <w:lang w:val="fr-FR"/>
        </w:rPr>
        <w:t>’</w:t>
      </w:r>
      <w:r w:rsidRPr="005F174B">
        <w:rPr>
          <w:lang w:val="fr-FR"/>
        </w:rPr>
        <w:t>obligation d</w:t>
      </w:r>
      <w:r w:rsidR="005F174B" w:rsidRPr="005F174B">
        <w:rPr>
          <w:lang w:val="fr-FR"/>
        </w:rPr>
        <w:t>’</w:t>
      </w:r>
      <w:r w:rsidRPr="005F174B">
        <w:rPr>
          <w:lang w:val="fr-FR"/>
        </w:rPr>
        <w:t>agir pesait sur les autorités, lesquelles auraient dû prendre les mesures nécessaires pour permettre le versement de la somme octroyée au requérant à titre d</w:t>
      </w:r>
      <w:r w:rsidR="005F174B" w:rsidRPr="005F174B">
        <w:rPr>
          <w:lang w:val="fr-FR"/>
        </w:rPr>
        <w:t>’</w:t>
      </w:r>
      <w:r w:rsidRPr="005F174B">
        <w:rPr>
          <w:lang w:val="fr-FR"/>
        </w:rPr>
        <w:t>indemnité d</w:t>
      </w:r>
      <w:r w:rsidR="005F174B" w:rsidRPr="005F174B">
        <w:rPr>
          <w:lang w:val="fr-FR"/>
        </w:rPr>
        <w:t>’</w:t>
      </w:r>
      <w:r w:rsidRPr="005F174B">
        <w:rPr>
          <w:lang w:val="fr-FR"/>
        </w:rPr>
        <w:t>expropriation.</w:t>
      </w:r>
    </w:p>
    <w:p w:rsidR="00A639B1" w:rsidRPr="005F174B" w:rsidRDefault="00A639B1" w:rsidP="005F174B">
      <w:pPr>
        <w:pStyle w:val="ECHRPara"/>
        <w:rPr>
          <w:lang w:val="fr-FR"/>
        </w:rPr>
      </w:pPr>
      <w:r w:rsidRPr="005F174B">
        <w:rPr>
          <w:lang w:val="fr-FR"/>
        </w:rPr>
        <w:t>48.  Eu égard à l</w:t>
      </w:r>
      <w:r w:rsidR="005F174B" w:rsidRPr="005F174B">
        <w:rPr>
          <w:lang w:val="fr-FR"/>
        </w:rPr>
        <w:t>’</w:t>
      </w:r>
      <w:r w:rsidRPr="005F174B">
        <w:rPr>
          <w:lang w:val="fr-FR"/>
        </w:rPr>
        <w:t>ensemble des considérations qui précèdent, il s</w:t>
      </w:r>
      <w:r w:rsidR="005F174B" w:rsidRPr="005F174B">
        <w:rPr>
          <w:lang w:val="fr-FR"/>
        </w:rPr>
        <w:t>’</w:t>
      </w:r>
      <w:r w:rsidRPr="005F174B">
        <w:rPr>
          <w:lang w:val="fr-FR"/>
        </w:rPr>
        <w:t>ensuit que l</w:t>
      </w:r>
      <w:r w:rsidR="005F174B" w:rsidRPr="005F174B">
        <w:rPr>
          <w:lang w:val="fr-FR"/>
        </w:rPr>
        <w:t>’</w:t>
      </w:r>
      <w:r w:rsidRPr="005F174B">
        <w:rPr>
          <w:lang w:val="fr-FR"/>
        </w:rPr>
        <w:t>exception du Gouvernement tirée du non-épuisement des voies de recours internes doit être rejetée. Constatant par ailleurs que cette partie de la requête n</w:t>
      </w:r>
      <w:r w:rsidR="005F174B" w:rsidRPr="005F174B">
        <w:rPr>
          <w:lang w:val="fr-FR"/>
        </w:rPr>
        <w:t>’</w:t>
      </w:r>
      <w:r w:rsidRPr="005F174B">
        <w:rPr>
          <w:lang w:val="fr-FR"/>
        </w:rPr>
        <w:t>est pas manifestement mal fondée au sens de l</w:t>
      </w:r>
      <w:r w:rsidR="005F174B" w:rsidRPr="005F174B">
        <w:rPr>
          <w:lang w:val="fr-FR"/>
        </w:rPr>
        <w:t>’</w:t>
      </w:r>
      <w:r w:rsidRPr="005F174B">
        <w:rPr>
          <w:lang w:val="fr-FR"/>
        </w:rPr>
        <w:t>article 35 § 3 a) de la Convention et qu</w:t>
      </w:r>
      <w:r w:rsidR="005F174B" w:rsidRPr="005F174B">
        <w:rPr>
          <w:lang w:val="fr-FR"/>
        </w:rPr>
        <w:t>’</w:t>
      </w:r>
      <w:r w:rsidRPr="005F174B">
        <w:rPr>
          <w:lang w:val="fr-FR"/>
        </w:rPr>
        <w:t>elle ne se heurte à aucun autre motif d</w:t>
      </w:r>
      <w:r w:rsidR="005F174B" w:rsidRPr="005F174B">
        <w:rPr>
          <w:lang w:val="fr-FR"/>
        </w:rPr>
        <w:t>’</w:t>
      </w:r>
      <w:r w:rsidRPr="005F174B">
        <w:rPr>
          <w:lang w:val="fr-FR"/>
        </w:rPr>
        <w:t>irrecevabilité, la Cour la déclare recevable.</w:t>
      </w:r>
    </w:p>
    <w:p w:rsidR="00A639B1" w:rsidRPr="005F174B" w:rsidRDefault="00A639B1" w:rsidP="005F174B">
      <w:pPr>
        <w:pStyle w:val="ECHRHeading2"/>
        <w:rPr>
          <w:lang w:val="fr-FR"/>
        </w:rPr>
      </w:pPr>
      <w:r w:rsidRPr="005F174B">
        <w:rPr>
          <w:lang w:val="fr-FR"/>
        </w:rPr>
        <w:lastRenderedPageBreak/>
        <w:t>B.  Sur le fond</w:t>
      </w:r>
    </w:p>
    <w:p w:rsidR="00A639B1" w:rsidRPr="005F174B" w:rsidRDefault="00A639B1" w:rsidP="005F174B">
      <w:pPr>
        <w:pStyle w:val="ECHRHeading3"/>
        <w:rPr>
          <w:lang w:val="fr-FR"/>
        </w:rPr>
      </w:pPr>
      <w:r w:rsidRPr="005F174B">
        <w:rPr>
          <w:lang w:val="fr-FR"/>
        </w:rPr>
        <w:t>1.  Sur la violation de l</w:t>
      </w:r>
      <w:r w:rsidR="005F174B" w:rsidRPr="005F174B">
        <w:rPr>
          <w:lang w:val="fr-FR"/>
        </w:rPr>
        <w:t>’</w:t>
      </w:r>
      <w:r w:rsidRPr="005F174B">
        <w:rPr>
          <w:lang w:val="fr-FR"/>
        </w:rPr>
        <w:t>article 6 § 1 de la Convention</w:t>
      </w:r>
    </w:p>
    <w:p w:rsidR="00A639B1" w:rsidRPr="005F174B" w:rsidRDefault="00A639B1" w:rsidP="005F174B">
      <w:pPr>
        <w:pStyle w:val="ECHRPara"/>
        <w:rPr>
          <w:lang w:val="fr-FR"/>
        </w:rPr>
      </w:pPr>
      <w:r w:rsidRPr="005F174B">
        <w:rPr>
          <w:lang w:val="fr-FR"/>
        </w:rPr>
        <w:t>49.  La Cour rappelle que l</w:t>
      </w:r>
      <w:r w:rsidR="005F174B" w:rsidRPr="005F174B">
        <w:rPr>
          <w:lang w:val="fr-FR"/>
        </w:rPr>
        <w:t>’</w:t>
      </w:r>
      <w:r w:rsidRPr="005F174B">
        <w:rPr>
          <w:lang w:val="fr-FR"/>
        </w:rPr>
        <w:t>article 6 § 1 de la Convention garantit à chacun le droit à ce qu</w:t>
      </w:r>
      <w:r w:rsidR="005F174B" w:rsidRPr="005F174B">
        <w:rPr>
          <w:lang w:val="fr-FR"/>
        </w:rPr>
        <w:t>’</w:t>
      </w:r>
      <w:r w:rsidRPr="005F174B">
        <w:rPr>
          <w:lang w:val="fr-FR"/>
        </w:rPr>
        <w:t>un tribunal connaisse de toute contestation relative à ses droits et obligations de caractère civil présentée devant une juridiction ou un tribunal. Il consacre de la sorte le « droit à un tribunal » dont le droit d</w:t>
      </w:r>
      <w:r w:rsidR="005F174B" w:rsidRPr="005F174B">
        <w:rPr>
          <w:lang w:val="fr-FR"/>
        </w:rPr>
        <w:t>’</w:t>
      </w:r>
      <w:r w:rsidRPr="005F174B">
        <w:rPr>
          <w:lang w:val="fr-FR"/>
        </w:rPr>
        <w:t>accès, à savoir le droit de saisir un tribunal en matière civile, constitue un aspect. Toutefois, ce droit serait illusoire si l</w:t>
      </w:r>
      <w:r w:rsidR="005F174B" w:rsidRPr="005F174B">
        <w:rPr>
          <w:lang w:val="fr-FR"/>
        </w:rPr>
        <w:t>’</w:t>
      </w:r>
      <w:r w:rsidRPr="005F174B">
        <w:rPr>
          <w:lang w:val="fr-FR"/>
        </w:rPr>
        <w:t>ordre juridique interne d</w:t>
      </w:r>
      <w:r w:rsidR="005F174B" w:rsidRPr="005F174B">
        <w:rPr>
          <w:lang w:val="fr-FR"/>
        </w:rPr>
        <w:t>’</w:t>
      </w:r>
      <w:r w:rsidRPr="005F174B">
        <w:rPr>
          <w:lang w:val="fr-FR"/>
        </w:rPr>
        <w:t>un État contractant permettait qu</w:t>
      </w:r>
      <w:r w:rsidR="005F174B" w:rsidRPr="005F174B">
        <w:rPr>
          <w:lang w:val="fr-FR"/>
        </w:rPr>
        <w:t>’</w:t>
      </w:r>
      <w:r w:rsidRPr="005F174B">
        <w:rPr>
          <w:lang w:val="fr-FR"/>
        </w:rPr>
        <w:t>une décision judiciaire définitive et obligatoire reste inopérante au détriment d</w:t>
      </w:r>
      <w:r w:rsidR="005F174B" w:rsidRPr="005F174B">
        <w:rPr>
          <w:lang w:val="fr-FR"/>
        </w:rPr>
        <w:t>’</w:t>
      </w:r>
      <w:r w:rsidRPr="005F174B">
        <w:rPr>
          <w:lang w:val="fr-FR"/>
        </w:rPr>
        <w:t>une partie. On ne comprendrait pas que l</w:t>
      </w:r>
      <w:r w:rsidR="005F174B" w:rsidRPr="005F174B">
        <w:rPr>
          <w:lang w:val="fr-FR"/>
        </w:rPr>
        <w:t>’</w:t>
      </w:r>
      <w:r w:rsidRPr="005F174B">
        <w:rPr>
          <w:lang w:val="fr-FR"/>
        </w:rPr>
        <w:t>article 6 § 1 décrive en détail les garanties de procédure – équité, publicité et célérité – accordées aux parties et qu</w:t>
      </w:r>
      <w:r w:rsidR="005F174B" w:rsidRPr="005F174B">
        <w:rPr>
          <w:lang w:val="fr-FR"/>
        </w:rPr>
        <w:t>’</w:t>
      </w:r>
      <w:r w:rsidRPr="005F174B">
        <w:rPr>
          <w:lang w:val="fr-FR"/>
        </w:rPr>
        <w:t>il ne protège pas la mise en œuvre des décisions judiciaires. Si cet article devait passer pour concerner exclusivement l</w:t>
      </w:r>
      <w:r w:rsidR="005F174B" w:rsidRPr="005F174B">
        <w:rPr>
          <w:lang w:val="fr-FR"/>
        </w:rPr>
        <w:t>’</w:t>
      </w:r>
      <w:r w:rsidRPr="005F174B">
        <w:rPr>
          <w:lang w:val="fr-FR"/>
        </w:rPr>
        <w:t>accès au juge et le déroulement de l</w:t>
      </w:r>
      <w:r w:rsidR="005F174B" w:rsidRPr="005F174B">
        <w:rPr>
          <w:lang w:val="fr-FR"/>
        </w:rPr>
        <w:t>’</w:t>
      </w:r>
      <w:r w:rsidRPr="005F174B">
        <w:rPr>
          <w:lang w:val="fr-FR"/>
        </w:rPr>
        <w:t>instance, cela risquerait de créer des situations incompatibles avec le principe de la prééminence du droit que les États contractants se sont engagés à respecter en ratifiant la Convention. L</w:t>
      </w:r>
      <w:r w:rsidR="005F174B" w:rsidRPr="005F174B">
        <w:rPr>
          <w:lang w:val="fr-FR"/>
        </w:rPr>
        <w:t>’</w:t>
      </w:r>
      <w:r w:rsidRPr="005F174B">
        <w:rPr>
          <w:lang w:val="fr-FR"/>
        </w:rPr>
        <w:t>exécution d</w:t>
      </w:r>
      <w:r w:rsidR="005F174B" w:rsidRPr="005F174B">
        <w:rPr>
          <w:lang w:val="fr-FR"/>
        </w:rPr>
        <w:t>’</w:t>
      </w:r>
      <w:r w:rsidRPr="005F174B">
        <w:rPr>
          <w:lang w:val="fr-FR"/>
        </w:rPr>
        <w:t>un jugement ou arrêt, de quelque juridiction que ce soit, doit donc être considérée comme faisant partie intégrante du « procès » au sens de l</w:t>
      </w:r>
      <w:r w:rsidR="005F174B" w:rsidRPr="005F174B">
        <w:rPr>
          <w:lang w:val="fr-FR"/>
        </w:rPr>
        <w:t>’</w:t>
      </w:r>
      <w:r w:rsidRPr="005F174B">
        <w:rPr>
          <w:lang w:val="fr-FR"/>
        </w:rPr>
        <w:t>article 6 de la Convention (</w:t>
      </w:r>
      <w:r w:rsidRPr="005F174B">
        <w:rPr>
          <w:i/>
          <w:lang w:val="fr-FR"/>
        </w:rPr>
        <w:t>Bourdov c. Russie</w:t>
      </w:r>
      <w:r w:rsidRPr="005F174B">
        <w:rPr>
          <w:lang w:val="fr-FR"/>
        </w:rPr>
        <w:t>, n</w:t>
      </w:r>
      <w:r w:rsidRPr="005F174B">
        <w:rPr>
          <w:vertAlign w:val="superscript"/>
          <w:lang w:val="fr-FR"/>
        </w:rPr>
        <w:t>o</w:t>
      </w:r>
      <w:r w:rsidRPr="005F174B">
        <w:rPr>
          <w:lang w:val="fr-FR"/>
        </w:rPr>
        <w:t> 59498/00, § 34, CEDH 2002-III).</w:t>
      </w:r>
    </w:p>
    <w:p w:rsidR="00A639B1" w:rsidRPr="005F174B" w:rsidRDefault="00A639B1" w:rsidP="005F174B">
      <w:pPr>
        <w:pStyle w:val="ECHRPara"/>
        <w:rPr>
          <w:lang w:val="fr-FR"/>
        </w:rPr>
      </w:pPr>
      <w:r w:rsidRPr="005F174B">
        <w:rPr>
          <w:lang w:val="fr-FR"/>
        </w:rPr>
        <w:t>50.  En l</w:t>
      </w:r>
      <w:r w:rsidR="005F174B" w:rsidRPr="005F174B">
        <w:rPr>
          <w:lang w:val="fr-FR"/>
        </w:rPr>
        <w:t>’</w:t>
      </w:r>
      <w:r w:rsidRPr="005F174B">
        <w:rPr>
          <w:lang w:val="fr-FR"/>
        </w:rPr>
        <w:t>occurrence, le requérant se plaint de l</w:t>
      </w:r>
      <w:r w:rsidR="005F174B" w:rsidRPr="005F174B">
        <w:rPr>
          <w:lang w:val="fr-FR"/>
        </w:rPr>
        <w:t>’</w:t>
      </w:r>
      <w:r w:rsidRPr="005F174B">
        <w:rPr>
          <w:lang w:val="fr-FR"/>
        </w:rPr>
        <w:t>impossibilité d</w:t>
      </w:r>
      <w:r w:rsidR="005F174B" w:rsidRPr="005F174B">
        <w:rPr>
          <w:lang w:val="fr-FR"/>
        </w:rPr>
        <w:t>’</w:t>
      </w:r>
      <w:r w:rsidRPr="005F174B">
        <w:rPr>
          <w:lang w:val="fr-FR"/>
        </w:rPr>
        <w:t>obtenir le paiement de l</w:t>
      </w:r>
      <w:r w:rsidR="005F174B" w:rsidRPr="005F174B">
        <w:rPr>
          <w:lang w:val="fr-FR"/>
        </w:rPr>
        <w:t>’</w:t>
      </w:r>
      <w:r w:rsidRPr="005F174B">
        <w:rPr>
          <w:lang w:val="fr-FR"/>
        </w:rPr>
        <w:t>indemnité octroyée par l</w:t>
      </w:r>
      <w:r w:rsidR="005F174B" w:rsidRPr="005F174B">
        <w:rPr>
          <w:lang w:val="fr-FR"/>
        </w:rPr>
        <w:t>’</w:t>
      </w:r>
      <w:r w:rsidRPr="005F174B">
        <w:rPr>
          <w:lang w:val="fr-FR"/>
        </w:rPr>
        <w:t>arrêt de la cour d</w:t>
      </w:r>
      <w:r w:rsidR="005F174B" w:rsidRPr="005F174B">
        <w:rPr>
          <w:lang w:val="fr-FR"/>
        </w:rPr>
        <w:t>’</w:t>
      </w:r>
      <w:r w:rsidRPr="005F174B">
        <w:rPr>
          <w:lang w:val="fr-FR"/>
        </w:rPr>
        <w:t>appel de Florence. La Cour observe qu</w:t>
      </w:r>
      <w:r w:rsidR="005F174B" w:rsidRPr="005F174B">
        <w:rPr>
          <w:lang w:val="fr-FR"/>
        </w:rPr>
        <w:t>’</w:t>
      </w:r>
      <w:r w:rsidRPr="005F174B">
        <w:rPr>
          <w:lang w:val="fr-FR"/>
        </w:rPr>
        <w:t>il ne fait aucun doute que ledit arrêt avait la force de la chose jugée et que le requérant a désormais perdu tout espoir d</w:t>
      </w:r>
      <w:r w:rsidR="005F174B" w:rsidRPr="005F174B">
        <w:rPr>
          <w:lang w:val="fr-FR"/>
        </w:rPr>
        <w:t>’</w:t>
      </w:r>
      <w:r w:rsidRPr="005F174B">
        <w:rPr>
          <w:lang w:val="fr-FR"/>
        </w:rPr>
        <w:t>en obtenir l</w:t>
      </w:r>
      <w:r w:rsidR="005F174B" w:rsidRPr="005F174B">
        <w:rPr>
          <w:lang w:val="fr-FR"/>
        </w:rPr>
        <w:t>’</w:t>
      </w:r>
      <w:r w:rsidRPr="005F174B">
        <w:rPr>
          <w:lang w:val="fr-FR"/>
        </w:rPr>
        <w:t>exécution en raison, notamment, de la mise en liquidation de la société condamnée au paiement de l</w:t>
      </w:r>
      <w:r w:rsidR="005F174B" w:rsidRPr="005F174B">
        <w:rPr>
          <w:lang w:val="fr-FR"/>
        </w:rPr>
        <w:t>’</w:t>
      </w:r>
      <w:r w:rsidRPr="005F174B">
        <w:rPr>
          <w:lang w:val="fr-FR"/>
        </w:rPr>
        <w:t>indemnité lui ayant été accordée.</w:t>
      </w:r>
    </w:p>
    <w:p w:rsidR="00A639B1" w:rsidRPr="005F174B" w:rsidRDefault="00A639B1" w:rsidP="005F174B">
      <w:pPr>
        <w:pStyle w:val="ECHRPara"/>
        <w:rPr>
          <w:bCs/>
          <w:lang w:val="fr-FR"/>
        </w:rPr>
      </w:pPr>
      <w:r w:rsidRPr="005F174B">
        <w:rPr>
          <w:lang w:val="fr-FR"/>
        </w:rPr>
        <w:t>51.  Certes, la cour d</w:t>
      </w:r>
      <w:r w:rsidR="005F174B" w:rsidRPr="005F174B">
        <w:rPr>
          <w:lang w:val="fr-FR"/>
        </w:rPr>
        <w:t>’</w:t>
      </w:r>
      <w:r w:rsidRPr="005F174B">
        <w:rPr>
          <w:lang w:val="fr-FR"/>
        </w:rPr>
        <w:t>appel a rendu son arrêt à l</w:t>
      </w:r>
      <w:r w:rsidR="005F174B" w:rsidRPr="005F174B">
        <w:rPr>
          <w:lang w:val="fr-FR"/>
        </w:rPr>
        <w:t>’</w:t>
      </w:r>
      <w:r w:rsidRPr="005F174B">
        <w:rPr>
          <w:lang w:val="fr-FR"/>
        </w:rPr>
        <w:t>encontre de</w:t>
      </w:r>
      <w:r w:rsidRPr="005F174B">
        <w:rPr>
          <w:bCs/>
          <w:lang w:val="fr-FR"/>
        </w:rPr>
        <w:t xml:space="preserve"> l</w:t>
      </w:r>
      <w:r w:rsidR="005F174B" w:rsidRPr="005F174B">
        <w:rPr>
          <w:bCs/>
          <w:lang w:val="fr-FR"/>
        </w:rPr>
        <w:t>’</w:t>
      </w:r>
      <w:r w:rsidRPr="005F174B">
        <w:rPr>
          <w:bCs/>
          <w:lang w:val="fr-FR"/>
        </w:rPr>
        <w:t>entreprise Padana Appalti S.p.A, laquelle avait la qualité pour agir en tant qu</w:t>
      </w:r>
      <w:r w:rsidR="005F174B" w:rsidRPr="005F174B">
        <w:rPr>
          <w:bCs/>
          <w:lang w:val="fr-FR"/>
        </w:rPr>
        <w:t>’</w:t>
      </w:r>
      <w:r w:rsidRPr="005F174B">
        <w:rPr>
          <w:bCs/>
          <w:lang w:val="fr-FR"/>
        </w:rPr>
        <w:t>organisme délégué par l</w:t>
      </w:r>
      <w:r w:rsidR="005F174B" w:rsidRPr="005F174B">
        <w:rPr>
          <w:bCs/>
          <w:lang w:val="fr-FR"/>
        </w:rPr>
        <w:t>’</w:t>
      </w:r>
      <w:r w:rsidRPr="005F174B">
        <w:rPr>
          <w:bCs/>
          <w:lang w:val="fr-FR"/>
        </w:rPr>
        <w:t>ANAS. Néanmoins, eu égard à la nature de la délégation administrative mise en place en l</w:t>
      </w:r>
      <w:r w:rsidR="005F174B" w:rsidRPr="005F174B">
        <w:rPr>
          <w:bCs/>
          <w:lang w:val="fr-FR"/>
        </w:rPr>
        <w:t>’</w:t>
      </w:r>
      <w:r w:rsidRPr="005F174B">
        <w:rPr>
          <w:bCs/>
          <w:lang w:val="fr-FR"/>
        </w:rPr>
        <w:t>espèce, il n</w:t>
      </w:r>
      <w:r w:rsidR="005F174B" w:rsidRPr="005F174B">
        <w:rPr>
          <w:bCs/>
          <w:lang w:val="fr-FR"/>
        </w:rPr>
        <w:t>’</w:t>
      </w:r>
      <w:r w:rsidRPr="005F174B">
        <w:rPr>
          <w:bCs/>
          <w:lang w:val="fr-FR"/>
        </w:rPr>
        <w:t>en reste pas moins que l</w:t>
      </w:r>
      <w:r w:rsidR="005F174B" w:rsidRPr="005F174B">
        <w:rPr>
          <w:bCs/>
          <w:lang w:val="fr-FR"/>
        </w:rPr>
        <w:t>’</w:t>
      </w:r>
      <w:r w:rsidRPr="005F174B">
        <w:rPr>
          <w:bCs/>
          <w:lang w:val="fr-FR"/>
        </w:rPr>
        <w:t>arrêt litigieux portait sur une obligation exercée au nom et pour le compte de l</w:t>
      </w:r>
      <w:r w:rsidR="005F174B" w:rsidRPr="005F174B">
        <w:rPr>
          <w:bCs/>
          <w:lang w:val="fr-FR"/>
        </w:rPr>
        <w:t>’</w:t>
      </w:r>
      <w:r w:rsidRPr="005F174B">
        <w:rPr>
          <w:bCs/>
          <w:lang w:val="fr-FR"/>
        </w:rPr>
        <w:t>ANAS, laquelle – comme il ressort de la jurisprudence des chambres réunies de la Cour de cassation et a été reconnu par le Gouvernement – demeurait responsable vis-à-vis du propriétaire exproprié pour le paiement de l</w:t>
      </w:r>
      <w:r w:rsidR="005F174B" w:rsidRPr="005F174B">
        <w:rPr>
          <w:bCs/>
          <w:lang w:val="fr-FR"/>
        </w:rPr>
        <w:t>’</w:t>
      </w:r>
      <w:r w:rsidRPr="005F174B">
        <w:rPr>
          <w:bCs/>
          <w:lang w:val="fr-FR"/>
        </w:rPr>
        <w:t>indemnisation (voir paragraphes 26 et 30 ci-dessus).</w:t>
      </w:r>
    </w:p>
    <w:p w:rsidR="00A639B1" w:rsidRPr="005F174B" w:rsidRDefault="00A639B1" w:rsidP="005F174B">
      <w:pPr>
        <w:pStyle w:val="ECHRPara"/>
        <w:rPr>
          <w:bCs/>
          <w:lang w:val="fr-FR"/>
        </w:rPr>
      </w:pPr>
      <w:r w:rsidRPr="005F174B">
        <w:rPr>
          <w:bCs/>
          <w:lang w:val="fr-FR"/>
        </w:rPr>
        <w:t>52.  La Cour rappelle sa jurisprudence selon laquelle une personne ayant obtenu un jugement contre l</w:t>
      </w:r>
      <w:r w:rsidR="005F174B" w:rsidRPr="005F174B">
        <w:rPr>
          <w:bCs/>
          <w:lang w:val="fr-FR"/>
        </w:rPr>
        <w:t>’</w:t>
      </w:r>
      <w:r w:rsidRPr="005F174B">
        <w:rPr>
          <w:bCs/>
          <w:lang w:val="fr-FR"/>
        </w:rPr>
        <w:t>État n</w:t>
      </w:r>
      <w:r w:rsidR="005F174B" w:rsidRPr="005F174B">
        <w:rPr>
          <w:bCs/>
          <w:lang w:val="fr-FR"/>
        </w:rPr>
        <w:t>’</w:t>
      </w:r>
      <w:r w:rsidRPr="005F174B">
        <w:rPr>
          <w:bCs/>
          <w:lang w:val="fr-FR"/>
        </w:rPr>
        <w:t>est pas tenu d</w:t>
      </w:r>
      <w:r w:rsidR="005F174B" w:rsidRPr="005F174B">
        <w:rPr>
          <w:bCs/>
          <w:lang w:val="fr-FR"/>
        </w:rPr>
        <w:t>’</w:t>
      </w:r>
      <w:r w:rsidRPr="005F174B">
        <w:rPr>
          <w:bCs/>
          <w:lang w:val="fr-FR"/>
        </w:rPr>
        <w:t>engager par la suite une procédure distincte pour en obtenir l</w:t>
      </w:r>
      <w:r w:rsidR="005F174B" w:rsidRPr="005F174B">
        <w:rPr>
          <w:bCs/>
          <w:lang w:val="fr-FR"/>
        </w:rPr>
        <w:t>’</w:t>
      </w:r>
      <w:r w:rsidRPr="005F174B">
        <w:rPr>
          <w:bCs/>
          <w:lang w:val="fr-FR"/>
        </w:rPr>
        <w:t>exécution (</w:t>
      </w:r>
      <w:r w:rsidRPr="005F174B">
        <w:rPr>
          <w:bCs/>
          <w:i/>
          <w:iCs/>
          <w:lang w:val="fr-FR"/>
        </w:rPr>
        <w:t>Sharxhi et</w:t>
      </w:r>
      <w:r w:rsidR="005F174B" w:rsidRPr="005F174B">
        <w:rPr>
          <w:bCs/>
          <w:i/>
          <w:iCs/>
          <w:lang w:val="fr-FR"/>
        </w:rPr>
        <w:t xml:space="preserve"> </w:t>
      </w:r>
      <w:r w:rsidRPr="005F174B">
        <w:rPr>
          <w:bCs/>
          <w:i/>
          <w:iCs/>
          <w:lang w:val="fr-FR"/>
        </w:rPr>
        <w:t>autres</w:t>
      </w:r>
      <w:r w:rsidR="005F174B" w:rsidRPr="005F174B">
        <w:rPr>
          <w:bCs/>
          <w:i/>
          <w:iCs/>
          <w:lang w:val="fr-FR"/>
        </w:rPr>
        <w:t xml:space="preserve"> </w:t>
      </w:r>
      <w:r w:rsidRPr="005F174B">
        <w:rPr>
          <w:bCs/>
          <w:i/>
          <w:iCs/>
          <w:lang w:val="fr-FR"/>
        </w:rPr>
        <w:t>c.</w:t>
      </w:r>
      <w:r w:rsidR="000359B8" w:rsidRPr="005F174B">
        <w:rPr>
          <w:bCs/>
          <w:i/>
          <w:iCs/>
          <w:lang w:val="fr-FR"/>
        </w:rPr>
        <w:t> </w:t>
      </w:r>
      <w:r w:rsidRPr="005F174B">
        <w:rPr>
          <w:bCs/>
          <w:i/>
          <w:iCs/>
          <w:lang w:val="fr-FR"/>
        </w:rPr>
        <w:t>Albanie</w:t>
      </w:r>
      <w:r w:rsidRPr="005F174B">
        <w:rPr>
          <w:bCs/>
          <w:lang w:val="fr-FR"/>
        </w:rPr>
        <w:t>, n</w:t>
      </w:r>
      <w:r w:rsidR="005F174B" w:rsidRPr="005F174B">
        <w:rPr>
          <w:bCs/>
          <w:vertAlign w:val="superscript"/>
          <w:lang w:val="fr-FR"/>
        </w:rPr>
        <w:t>o</w:t>
      </w:r>
      <w:r w:rsidRPr="005F174B">
        <w:rPr>
          <w:bCs/>
          <w:lang w:val="fr-FR"/>
        </w:rPr>
        <w:t> 10613/16, § 93, 11 janvier 2018). Elle considère que dans les circonstances de l</w:t>
      </w:r>
      <w:r w:rsidR="005F174B" w:rsidRPr="005F174B">
        <w:rPr>
          <w:bCs/>
          <w:lang w:val="fr-FR"/>
        </w:rPr>
        <w:t>’</w:t>
      </w:r>
      <w:r w:rsidRPr="005F174B">
        <w:rPr>
          <w:bCs/>
          <w:lang w:val="fr-FR"/>
        </w:rPr>
        <w:t>espèce il y a lieu d</w:t>
      </w:r>
      <w:r w:rsidR="005F174B" w:rsidRPr="005F174B">
        <w:rPr>
          <w:bCs/>
          <w:lang w:val="fr-FR"/>
        </w:rPr>
        <w:t>’</w:t>
      </w:r>
      <w:r w:rsidRPr="005F174B">
        <w:rPr>
          <w:bCs/>
          <w:lang w:val="fr-FR"/>
        </w:rPr>
        <w:t>appliquer un principe similaire. En effet, aux yeux de la Cour, l</w:t>
      </w:r>
      <w:r w:rsidR="005F174B" w:rsidRPr="005F174B">
        <w:rPr>
          <w:bCs/>
          <w:lang w:val="fr-FR"/>
        </w:rPr>
        <w:t>’</w:t>
      </w:r>
      <w:r w:rsidRPr="005F174B">
        <w:rPr>
          <w:bCs/>
          <w:lang w:val="fr-FR"/>
        </w:rPr>
        <w:t>on ne saurait accepter que l</w:t>
      </w:r>
      <w:r w:rsidR="005F174B" w:rsidRPr="005F174B">
        <w:rPr>
          <w:bCs/>
          <w:lang w:val="fr-FR"/>
        </w:rPr>
        <w:t>’</w:t>
      </w:r>
      <w:r w:rsidRPr="005F174B">
        <w:rPr>
          <w:bCs/>
          <w:lang w:val="fr-FR"/>
        </w:rPr>
        <w:t>Etat puisse refuser de se conformer à un jugement définitif prononcé à l</w:t>
      </w:r>
      <w:r w:rsidR="005F174B" w:rsidRPr="005F174B">
        <w:rPr>
          <w:bCs/>
          <w:lang w:val="fr-FR"/>
        </w:rPr>
        <w:t>’</w:t>
      </w:r>
      <w:r w:rsidRPr="005F174B">
        <w:rPr>
          <w:bCs/>
          <w:lang w:val="fr-FR"/>
        </w:rPr>
        <w:t>encontre d</w:t>
      </w:r>
      <w:r w:rsidR="005F174B" w:rsidRPr="005F174B">
        <w:rPr>
          <w:bCs/>
          <w:lang w:val="fr-FR"/>
        </w:rPr>
        <w:t>’</w:t>
      </w:r>
      <w:r w:rsidRPr="005F174B">
        <w:rPr>
          <w:bCs/>
          <w:lang w:val="fr-FR"/>
        </w:rPr>
        <w:t xml:space="preserve">une </w:t>
      </w:r>
      <w:r w:rsidRPr="005F174B">
        <w:rPr>
          <w:bCs/>
          <w:lang w:val="fr-FR"/>
        </w:rPr>
        <w:lastRenderedPageBreak/>
        <w:t>entreprise déléguée devenue insolvable, dès lors qu</w:t>
      </w:r>
      <w:r w:rsidR="005F174B" w:rsidRPr="005F174B">
        <w:rPr>
          <w:bCs/>
          <w:lang w:val="fr-FR"/>
        </w:rPr>
        <w:t>’</w:t>
      </w:r>
      <w:r w:rsidRPr="005F174B">
        <w:rPr>
          <w:bCs/>
          <w:lang w:val="fr-FR"/>
        </w:rPr>
        <w:t>il concerne une dette qui relève en définitive de la responsabilité de l</w:t>
      </w:r>
      <w:r w:rsidR="005F174B" w:rsidRPr="005F174B">
        <w:rPr>
          <w:bCs/>
          <w:lang w:val="fr-FR"/>
        </w:rPr>
        <w:t>’</w:t>
      </w:r>
      <w:r w:rsidRPr="005F174B">
        <w:rPr>
          <w:bCs/>
          <w:lang w:val="fr-FR"/>
        </w:rPr>
        <w:t>administration délégant.</w:t>
      </w:r>
    </w:p>
    <w:p w:rsidR="00A639B1" w:rsidRPr="005F174B" w:rsidRDefault="00A639B1" w:rsidP="005F174B">
      <w:pPr>
        <w:pStyle w:val="ECHRPara"/>
        <w:rPr>
          <w:lang w:val="fr-FR"/>
        </w:rPr>
      </w:pPr>
      <w:r w:rsidRPr="005F174B">
        <w:rPr>
          <w:lang w:val="fr-FR"/>
        </w:rPr>
        <w:t>53.  Par conséquent, eu égard au constat relatif à la mise en cause de la responsabilité de l</w:t>
      </w:r>
      <w:r w:rsidR="005F174B" w:rsidRPr="005F174B">
        <w:rPr>
          <w:lang w:val="fr-FR"/>
        </w:rPr>
        <w:t>’</w:t>
      </w:r>
      <w:r w:rsidRPr="005F174B">
        <w:rPr>
          <w:lang w:val="fr-FR"/>
        </w:rPr>
        <w:t>État pour les sommes dues au requérant en l</w:t>
      </w:r>
      <w:r w:rsidR="005F174B" w:rsidRPr="005F174B">
        <w:rPr>
          <w:lang w:val="fr-FR"/>
        </w:rPr>
        <w:t>’</w:t>
      </w:r>
      <w:r w:rsidRPr="005F174B">
        <w:rPr>
          <w:lang w:val="fr-FR"/>
        </w:rPr>
        <w:t>espèce (paragraphe 41 ci-dessus), la Cour considère que le refus des autorités de prendre les mesures nécessaires pour se conformer à l</w:t>
      </w:r>
      <w:r w:rsidR="005F174B" w:rsidRPr="005F174B">
        <w:rPr>
          <w:lang w:val="fr-FR"/>
        </w:rPr>
        <w:t>’</w:t>
      </w:r>
      <w:r w:rsidRPr="005F174B">
        <w:rPr>
          <w:lang w:val="fr-FR"/>
        </w:rPr>
        <w:t>arrêt de la cour d</w:t>
      </w:r>
      <w:r w:rsidR="005F174B" w:rsidRPr="005F174B">
        <w:rPr>
          <w:lang w:val="fr-FR"/>
        </w:rPr>
        <w:t>’</w:t>
      </w:r>
      <w:r w:rsidRPr="005F174B">
        <w:rPr>
          <w:lang w:val="fr-FR"/>
        </w:rPr>
        <w:t>appel de Florence a entravé le droit de l</w:t>
      </w:r>
      <w:r w:rsidR="005F174B" w:rsidRPr="005F174B">
        <w:rPr>
          <w:lang w:val="fr-FR"/>
        </w:rPr>
        <w:t>’</w:t>
      </w:r>
      <w:r w:rsidRPr="005F174B">
        <w:rPr>
          <w:lang w:val="fr-FR"/>
        </w:rPr>
        <w:t>intéressé à une protection judiciaire effective garanti par l</w:t>
      </w:r>
      <w:r w:rsidR="005F174B" w:rsidRPr="005F174B">
        <w:rPr>
          <w:lang w:val="fr-FR"/>
        </w:rPr>
        <w:t>’</w:t>
      </w:r>
      <w:r w:rsidRPr="005F174B">
        <w:rPr>
          <w:lang w:val="fr-FR"/>
        </w:rPr>
        <w:t>article 6 § 1 de la Convention et a privé les dispositions dudit article de tout effet utile.</w:t>
      </w:r>
    </w:p>
    <w:p w:rsidR="00A639B1" w:rsidRPr="005F174B" w:rsidRDefault="00A639B1" w:rsidP="005F174B">
      <w:pPr>
        <w:pStyle w:val="ECHRPara"/>
        <w:rPr>
          <w:lang w:val="fr-FR"/>
        </w:rPr>
      </w:pPr>
      <w:r w:rsidRPr="005F174B">
        <w:rPr>
          <w:lang w:val="fr-FR"/>
        </w:rPr>
        <w:t>54.  Dès lors, il y a eu violation de l</w:t>
      </w:r>
      <w:r w:rsidR="005F174B" w:rsidRPr="005F174B">
        <w:rPr>
          <w:lang w:val="fr-FR"/>
        </w:rPr>
        <w:t>’</w:t>
      </w:r>
      <w:r w:rsidRPr="005F174B">
        <w:rPr>
          <w:lang w:val="fr-FR"/>
        </w:rPr>
        <w:t>article 6 § 1 de la Convention.</w:t>
      </w:r>
    </w:p>
    <w:p w:rsidR="00A639B1" w:rsidRPr="005F174B" w:rsidRDefault="00A639B1" w:rsidP="005F174B">
      <w:pPr>
        <w:pStyle w:val="ECHRHeading3"/>
        <w:rPr>
          <w:lang w:val="fr-FR"/>
        </w:rPr>
      </w:pPr>
      <w:r w:rsidRPr="005F174B">
        <w:rPr>
          <w:lang w:val="fr-FR"/>
        </w:rPr>
        <w:t>2.  Sur la violation de l</w:t>
      </w:r>
      <w:r w:rsidR="005F174B" w:rsidRPr="005F174B">
        <w:rPr>
          <w:lang w:val="fr-FR"/>
        </w:rPr>
        <w:t>’</w:t>
      </w:r>
      <w:r w:rsidRPr="005F174B">
        <w:rPr>
          <w:lang w:val="fr-FR"/>
        </w:rPr>
        <w:t>article 1 du Protocole n</w:t>
      </w:r>
      <w:r w:rsidRPr="005F174B">
        <w:rPr>
          <w:vertAlign w:val="superscript"/>
          <w:lang w:val="fr-FR"/>
        </w:rPr>
        <w:t>o</w:t>
      </w:r>
      <w:r w:rsidRPr="005F174B">
        <w:rPr>
          <w:lang w:val="fr-FR"/>
        </w:rPr>
        <w:t xml:space="preserve"> 1 à la Convention</w:t>
      </w:r>
    </w:p>
    <w:p w:rsidR="00A639B1" w:rsidRPr="005F174B" w:rsidRDefault="00A639B1" w:rsidP="005F174B">
      <w:pPr>
        <w:pStyle w:val="ECHRPara"/>
        <w:rPr>
          <w:lang w:val="fr-FR"/>
        </w:rPr>
      </w:pPr>
      <w:r w:rsidRPr="005F174B">
        <w:rPr>
          <w:lang w:val="fr-FR"/>
        </w:rPr>
        <w:t>55.  La Cour rappelle qu</w:t>
      </w:r>
      <w:r w:rsidR="005F174B" w:rsidRPr="005F174B">
        <w:rPr>
          <w:lang w:val="fr-FR"/>
        </w:rPr>
        <w:t>’</w:t>
      </w:r>
      <w:r w:rsidRPr="005F174B">
        <w:rPr>
          <w:lang w:val="fr-FR"/>
        </w:rPr>
        <w:t>une « créance » peut constituer un « bien » au sens de l</w:t>
      </w:r>
      <w:r w:rsidR="005F174B" w:rsidRPr="005F174B">
        <w:rPr>
          <w:lang w:val="fr-FR"/>
        </w:rPr>
        <w:t>’</w:t>
      </w:r>
      <w:r w:rsidRPr="005F174B">
        <w:rPr>
          <w:lang w:val="fr-FR"/>
        </w:rPr>
        <w:t>article 1 du Protocole n</w:t>
      </w:r>
      <w:r w:rsidRPr="005F174B">
        <w:rPr>
          <w:vertAlign w:val="superscript"/>
          <w:lang w:val="fr-FR"/>
        </w:rPr>
        <w:t>o</w:t>
      </w:r>
      <w:r w:rsidRPr="005F174B">
        <w:rPr>
          <w:lang w:val="fr-FR"/>
        </w:rPr>
        <w:t xml:space="preserve"> 1 à la Convention si elle est suffisamment établie pour être exigible (</w:t>
      </w:r>
      <w:r w:rsidRPr="005F174B">
        <w:rPr>
          <w:i/>
          <w:lang w:val="fr-FR"/>
        </w:rPr>
        <w:t>Raffineries grecques Stran et Stratis Andreadis c. Grèce</w:t>
      </w:r>
      <w:r w:rsidRPr="005F174B">
        <w:rPr>
          <w:lang w:val="fr-FR"/>
        </w:rPr>
        <w:t>, 9 décembre 1994, série A n</w:t>
      </w:r>
      <w:r w:rsidRPr="005F174B">
        <w:rPr>
          <w:vertAlign w:val="superscript"/>
          <w:lang w:val="fr-FR"/>
        </w:rPr>
        <w:t>o</w:t>
      </w:r>
      <w:r w:rsidRPr="005F174B">
        <w:rPr>
          <w:lang w:val="fr-FR"/>
        </w:rPr>
        <w:t xml:space="preserve"> 301-B, p. 84, § 59).</w:t>
      </w:r>
    </w:p>
    <w:p w:rsidR="00A639B1" w:rsidRPr="005F174B" w:rsidRDefault="00A639B1" w:rsidP="005F174B">
      <w:pPr>
        <w:pStyle w:val="ECHRPara"/>
        <w:rPr>
          <w:lang w:val="fr-FR"/>
        </w:rPr>
      </w:pPr>
      <w:r w:rsidRPr="005F174B">
        <w:rPr>
          <w:lang w:val="fr-FR"/>
        </w:rPr>
        <w:t>56.  Elle estime que, en se dégageant de la responsabilité qui était la leur de prendre les mesures nécessaires pour permettre le versement effectif d</w:t>
      </w:r>
      <w:r w:rsidR="005F174B" w:rsidRPr="005F174B">
        <w:rPr>
          <w:lang w:val="fr-FR"/>
        </w:rPr>
        <w:t>’</w:t>
      </w:r>
      <w:r w:rsidRPr="005F174B">
        <w:rPr>
          <w:lang w:val="fr-FR"/>
        </w:rPr>
        <w:t>une créance définitive et exigible, les autorités ont porté atteinte au droit au respect des biens du requérant au sens de la première phrase du premier alinéa de l</w:t>
      </w:r>
      <w:r w:rsidR="005F174B" w:rsidRPr="005F174B">
        <w:rPr>
          <w:lang w:val="fr-FR"/>
        </w:rPr>
        <w:t>’</w:t>
      </w:r>
      <w:r w:rsidRPr="005F174B">
        <w:rPr>
          <w:lang w:val="fr-FR"/>
        </w:rPr>
        <w:t>article 1 du Protocole n</w:t>
      </w:r>
      <w:r w:rsidRPr="005F174B">
        <w:rPr>
          <w:vertAlign w:val="superscript"/>
          <w:lang w:val="fr-FR"/>
        </w:rPr>
        <w:t>o</w:t>
      </w:r>
      <w:r w:rsidRPr="005F174B">
        <w:rPr>
          <w:lang w:val="fr-FR"/>
        </w:rPr>
        <w:t xml:space="preserve"> 1 à la Convention. Selon elle, cette ingérence ne se fondait sur aucune justification valable ; elle était donc arbitraire et emportait violation du principe de la légalité.</w:t>
      </w:r>
    </w:p>
    <w:p w:rsidR="00A639B1" w:rsidRPr="005F174B" w:rsidRDefault="00A639B1" w:rsidP="005F174B">
      <w:pPr>
        <w:pStyle w:val="ECHRPara"/>
        <w:rPr>
          <w:lang w:val="fr-FR"/>
        </w:rPr>
      </w:pPr>
      <w:r w:rsidRPr="005F174B">
        <w:rPr>
          <w:lang w:val="fr-FR"/>
        </w:rPr>
        <w:t>57.  Partant, il y a eu violation de l</w:t>
      </w:r>
      <w:r w:rsidR="005F174B" w:rsidRPr="005F174B">
        <w:rPr>
          <w:lang w:val="fr-FR"/>
        </w:rPr>
        <w:t>’</w:t>
      </w:r>
      <w:r w:rsidRPr="005F174B">
        <w:rPr>
          <w:lang w:val="fr-FR"/>
        </w:rPr>
        <w:t>article 1 du Protocole n</w:t>
      </w:r>
      <w:r w:rsidRPr="005F174B">
        <w:rPr>
          <w:vertAlign w:val="superscript"/>
          <w:lang w:val="fr-FR"/>
        </w:rPr>
        <w:t>o</w:t>
      </w:r>
      <w:r w:rsidRPr="005F174B">
        <w:rPr>
          <w:lang w:val="fr-FR"/>
        </w:rPr>
        <w:t xml:space="preserve"> 1 à la Convention.</w:t>
      </w:r>
    </w:p>
    <w:p w:rsidR="00A639B1" w:rsidRPr="005F174B" w:rsidRDefault="00A639B1" w:rsidP="005F174B">
      <w:pPr>
        <w:pStyle w:val="ECHRHeading1"/>
        <w:rPr>
          <w:lang w:val="fr-FR"/>
        </w:rPr>
      </w:pPr>
      <w:r w:rsidRPr="005F174B">
        <w:rPr>
          <w:lang w:val="fr-FR"/>
        </w:rPr>
        <w:t>II.  SUR LA VIOLATION ALLÉGUÉE DE L</w:t>
      </w:r>
      <w:r w:rsidR="005F174B" w:rsidRPr="005F174B">
        <w:rPr>
          <w:lang w:val="fr-FR"/>
        </w:rPr>
        <w:t>’</w:t>
      </w:r>
      <w:r w:rsidRPr="005F174B">
        <w:rPr>
          <w:lang w:val="fr-FR"/>
        </w:rPr>
        <w:t>ARTICLE 1 DU PROTOCOLE N</w:t>
      </w:r>
      <w:r w:rsidRPr="005F174B">
        <w:rPr>
          <w:vertAlign w:val="superscript"/>
          <w:lang w:val="fr-FR"/>
        </w:rPr>
        <w:t>o </w:t>
      </w:r>
      <w:r w:rsidRPr="005F174B">
        <w:rPr>
          <w:lang w:val="fr-FR"/>
        </w:rPr>
        <w:t>1 À LA CONVENTION EN RAISON DE L</w:t>
      </w:r>
      <w:r w:rsidR="005F174B" w:rsidRPr="005F174B">
        <w:rPr>
          <w:lang w:val="fr-FR"/>
        </w:rPr>
        <w:t>’</w:t>
      </w:r>
      <w:r w:rsidRPr="005F174B">
        <w:rPr>
          <w:lang w:val="fr-FR"/>
        </w:rPr>
        <w:t>EXPROPRIATION DU TERRAIN</w:t>
      </w:r>
    </w:p>
    <w:p w:rsidR="00A639B1" w:rsidRPr="005F174B" w:rsidRDefault="00A639B1" w:rsidP="005F174B">
      <w:pPr>
        <w:pStyle w:val="ECHRPara"/>
        <w:rPr>
          <w:u w:val="double"/>
          <w:lang w:val="fr-FR"/>
        </w:rPr>
      </w:pPr>
      <w:r w:rsidRPr="005F174B">
        <w:rPr>
          <w:lang w:val="fr-FR"/>
        </w:rPr>
        <w:t>58.  Toujours sous l</w:t>
      </w:r>
      <w:r w:rsidR="005F174B" w:rsidRPr="005F174B">
        <w:rPr>
          <w:lang w:val="fr-FR"/>
        </w:rPr>
        <w:t>’</w:t>
      </w:r>
      <w:r w:rsidRPr="005F174B">
        <w:rPr>
          <w:lang w:val="fr-FR"/>
        </w:rPr>
        <w:t>angle de l</w:t>
      </w:r>
      <w:r w:rsidR="005F174B" w:rsidRPr="005F174B">
        <w:rPr>
          <w:lang w:val="fr-FR"/>
        </w:rPr>
        <w:t>’</w:t>
      </w:r>
      <w:r w:rsidRPr="005F174B">
        <w:rPr>
          <w:lang w:val="fr-FR"/>
        </w:rPr>
        <w:t>article 1 du Protocole n</w:t>
      </w:r>
      <w:r w:rsidRPr="005F174B">
        <w:rPr>
          <w:vertAlign w:val="superscript"/>
          <w:lang w:val="fr-FR"/>
        </w:rPr>
        <w:t>o</w:t>
      </w:r>
      <w:r w:rsidRPr="005F174B">
        <w:rPr>
          <w:lang w:val="fr-FR"/>
        </w:rPr>
        <w:t xml:space="preserve"> 1, le requérant allègue également avoir été privé de son terrain de manière incompatible avec son droit au respect de ses biens. Il se plaint notamment du caractère inadéquat de l</w:t>
      </w:r>
      <w:r w:rsidR="005F174B" w:rsidRPr="005F174B">
        <w:rPr>
          <w:lang w:val="fr-FR"/>
        </w:rPr>
        <w:t>’</w:t>
      </w:r>
      <w:r w:rsidRPr="005F174B">
        <w:rPr>
          <w:lang w:val="fr-FR"/>
        </w:rPr>
        <w:t>indemnisation accordée par la cour d</w:t>
      </w:r>
      <w:r w:rsidR="005F174B" w:rsidRPr="005F174B">
        <w:rPr>
          <w:lang w:val="fr-FR"/>
        </w:rPr>
        <w:t>’</w:t>
      </w:r>
      <w:r w:rsidRPr="005F174B">
        <w:rPr>
          <w:lang w:val="fr-FR"/>
        </w:rPr>
        <w:t>appel de Florence pour réparer le préjudice qu</w:t>
      </w:r>
      <w:r w:rsidR="005F174B" w:rsidRPr="005F174B">
        <w:rPr>
          <w:lang w:val="fr-FR"/>
        </w:rPr>
        <w:t>’</w:t>
      </w:r>
      <w:r w:rsidRPr="005F174B">
        <w:rPr>
          <w:lang w:val="fr-FR"/>
        </w:rPr>
        <w:t>il estime avoir subi.</w:t>
      </w:r>
    </w:p>
    <w:p w:rsidR="00A639B1" w:rsidRPr="005F174B" w:rsidRDefault="00A639B1" w:rsidP="005F174B">
      <w:pPr>
        <w:pStyle w:val="ECHRPara"/>
        <w:rPr>
          <w:lang w:val="fr-FR"/>
        </w:rPr>
      </w:pPr>
      <w:r w:rsidRPr="005F174B">
        <w:rPr>
          <w:lang w:val="fr-FR"/>
        </w:rPr>
        <w:t>59.  Le Gouvernement soutient que les juridictions nationales ont reconnu au requérant un dédommagement compatible avec la Convention, calculé sur la base de la valeur vénale du terrain en cause.</w:t>
      </w:r>
    </w:p>
    <w:p w:rsidR="00A639B1" w:rsidRPr="005F174B" w:rsidRDefault="00A639B1" w:rsidP="005F174B">
      <w:pPr>
        <w:pStyle w:val="ECHRPara"/>
        <w:rPr>
          <w:lang w:val="fr-FR"/>
        </w:rPr>
      </w:pPr>
      <w:r w:rsidRPr="005F174B">
        <w:rPr>
          <w:lang w:val="fr-FR"/>
        </w:rPr>
        <w:t>60.  La Cour observe que ce grief concerne le montant prétendument insuffisant de l</w:t>
      </w:r>
      <w:r w:rsidR="005F174B" w:rsidRPr="005F174B">
        <w:rPr>
          <w:lang w:val="fr-FR"/>
        </w:rPr>
        <w:t>’</w:t>
      </w:r>
      <w:r w:rsidRPr="005F174B">
        <w:rPr>
          <w:lang w:val="fr-FR"/>
        </w:rPr>
        <w:t>indemnisation d</w:t>
      </w:r>
      <w:r w:rsidR="005F174B" w:rsidRPr="005F174B">
        <w:rPr>
          <w:lang w:val="fr-FR"/>
        </w:rPr>
        <w:t>’</w:t>
      </w:r>
      <w:r w:rsidRPr="005F174B">
        <w:rPr>
          <w:lang w:val="fr-FR"/>
        </w:rPr>
        <w:t>expropriation calculé par les juridictions nationales. A cet égard, elle relève que par ses arrêts n</w:t>
      </w:r>
      <w:r w:rsidRPr="005F174B">
        <w:rPr>
          <w:vertAlign w:val="superscript"/>
          <w:lang w:val="fr-FR"/>
        </w:rPr>
        <w:t>os</w:t>
      </w:r>
      <w:r w:rsidRPr="005F174B">
        <w:rPr>
          <w:lang w:val="fr-FR"/>
        </w:rPr>
        <w:t xml:space="preserve"> 348 et 349, la Cour constitutionnelle italienne a déclaré l</w:t>
      </w:r>
      <w:r w:rsidR="005F174B" w:rsidRPr="005F174B">
        <w:rPr>
          <w:lang w:val="fr-FR"/>
        </w:rPr>
        <w:t>’</w:t>
      </w:r>
      <w:r w:rsidRPr="005F174B">
        <w:rPr>
          <w:lang w:val="fr-FR"/>
        </w:rPr>
        <w:t>inconstitutionnalité de l</w:t>
      </w:r>
      <w:r w:rsidR="005F174B" w:rsidRPr="005F174B">
        <w:rPr>
          <w:lang w:val="fr-FR"/>
        </w:rPr>
        <w:t>’</w:t>
      </w:r>
      <w:r w:rsidRPr="005F174B">
        <w:rPr>
          <w:lang w:val="fr-FR"/>
        </w:rPr>
        <w:t xml:space="preserve">article 5 </w:t>
      </w:r>
      <w:r w:rsidRPr="005F174B">
        <w:rPr>
          <w:i/>
          <w:lang w:val="fr-FR"/>
        </w:rPr>
        <w:t>bis</w:t>
      </w:r>
      <w:r w:rsidRPr="005F174B">
        <w:rPr>
          <w:lang w:val="fr-FR"/>
        </w:rPr>
        <w:t xml:space="preserve"> du décret-loi n</w:t>
      </w:r>
      <w:r w:rsidRPr="005F174B">
        <w:rPr>
          <w:vertAlign w:val="superscript"/>
          <w:lang w:val="fr-FR"/>
        </w:rPr>
        <w:t>o</w:t>
      </w:r>
      <w:r w:rsidRPr="005F174B">
        <w:rPr>
          <w:lang w:val="fr-FR"/>
        </w:rPr>
        <w:t xml:space="preserve"> 333 du 11 juillet 1992 modifié par la loi n</w:t>
      </w:r>
      <w:r w:rsidRPr="005F174B">
        <w:rPr>
          <w:vertAlign w:val="superscript"/>
          <w:lang w:val="fr-FR"/>
        </w:rPr>
        <w:t>o</w:t>
      </w:r>
      <w:r w:rsidRPr="005F174B">
        <w:rPr>
          <w:lang w:val="fr-FR"/>
        </w:rPr>
        <w:t xml:space="preserve"> 662 de 1996 en raison de la contrariété de cet article à l</w:t>
      </w:r>
      <w:r w:rsidR="005F174B" w:rsidRPr="005F174B">
        <w:rPr>
          <w:lang w:val="fr-FR"/>
        </w:rPr>
        <w:t>’</w:t>
      </w:r>
      <w:r w:rsidRPr="005F174B">
        <w:rPr>
          <w:lang w:val="fr-FR"/>
        </w:rPr>
        <w:t>article 1 du Protocole n</w:t>
      </w:r>
      <w:r w:rsidRPr="005F174B">
        <w:rPr>
          <w:vertAlign w:val="superscript"/>
          <w:lang w:val="fr-FR"/>
        </w:rPr>
        <w:t>o</w:t>
      </w:r>
      <w:r w:rsidRPr="005F174B">
        <w:rPr>
          <w:lang w:val="fr-FR"/>
        </w:rPr>
        <w:t xml:space="preserve"> 1 à la </w:t>
      </w:r>
      <w:r w:rsidRPr="005F174B">
        <w:rPr>
          <w:lang w:val="fr-FR"/>
        </w:rPr>
        <w:lastRenderedPageBreak/>
        <w:t>Convention tel qu</w:t>
      </w:r>
      <w:r w:rsidR="005F174B" w:rsidRPr="005F174B">
        <w:rPr>
          <w:lang w:val="fr-FR"/>
        </w:rPr>
        <w:t>’</w:t>
      </w:r>
      <w:r w:rsidRPr="005F174B">
        <w:rPr>
          <w:lang w:val="fr-FR"/>
        </w:rPr>
        <w:t>interprété par la jurisprudence de la Cour. Par la suite, il a été établi que les propriétaires expropriés doivent obtenir un dédommagement correspondant à la valeur entière du bien, aucune réduction n</w:t>
      </w:r>
      <w:r w:rsidR="005F174B" w:rsidRPr="005F174B">
        <w:rPr>
          <w:lang w:val="fr-FR"/>
        </w:rPr>
        <w:t>’</w:t>
      </w:r>
      <w:r w:rsidRPr="005F174B">
        <w:rPr>
          <w:lang w:val="fr-FR"/>
        </w:rPr>
        <w:t xml:space="preserve">étant plus admise (concernant le changement de législation intervenu à la suite des arrêts de la Cour constitutionnelle, voir </w:t>
      </w:r>
      <w:r w:rsidRPr="005F174B">
        <w:rPr>
          <w:i/>
          <w:lang w:val="fr-FR"/>
        </w:rPr>
        <w:t>Armando</w:t>
      </w:r>
      <w:r w:rsidR="000359B8" w:rsidRPr="005F174B">
        <w:rPr>
          <w:i/>
          <w:lang w:val="fr-FR"/>
        </w:rPr>
        <w:t> </w:t>
      </w:r>
      <w:r w:rsidRPr="005F174B">
        <w:rPr>
          <w:i/>
          <w:lang w:val="fr-FR"/>
        </w:rPr>
        <w:t>Iannelli c. Italie</w:t>
      </w:r>
      <w:r w:rsidRPr="005F174B">
        <w:rPr>
          <w:lang w:val="fr-FR"/>
        </w:rPr>
        <w:t>, §§ 23-27, n</w:t>
      </w:r>
      <w:r w:rsidRPr="005F174B">
        <w:rPr>
          <w:vertAlign w:val="superscript"/>
          <w:lang w:val="fr-FR"/>
        </w:rPr>
        <w:t>o</w:t>
      </w:r>
      <w:r w:rsidRPr="005F174B">
        <w:rPr>
          <w:lang w:val="fr-FR"/>
        </w:rPr>
        <w:t xml:space="preserve"> 24818/03, 12 février 2013).</w:t>
      </w:r>
    </w:p>
    <w:p w:rsidR="00A639B1" w:rsidRPr="005F174B" w:rsidRDefault="00A639B1" w:rsidP="005F174B">
      <w:pPr>
        <w:pStyle w:val="ECHRPara"/>
        <w:rPr>
          <w:lang w:val="fr-FR"/>
        </w:rPr>
      </w:pPr>
      <w:r w:rsidRPr="005F174B">
        <w:rPr>
          <w:lang w:val="fr-FR"/>
        </w:rPr>
        <w:t>61.  En appliquant ces principes, la cour d</w:t>
      </w:r>
      <w:r w:rsidR="005F174B" w:rsidRPr="005F174B">
        <w:rPr>
          <w:lang w:val="fr-FR"/>
        </w:rPr>
        <w:t>’</w:t>
      </w:r>
      <w:r w:rsidRPr="005F174B">
        <w:rPr>
          <w:lang w:val="fr-FR"/>
        </w:rPr>
        <w:t>appel de Florence a estimé que</w:t>
      </w:r>
      <w:r w:rsidR="00437861" w:rsidRPr="005F174B">
        <w:rPr>
          <w:lang w:val="fr-FR"/>
        </w:rPr>
        <w:t xml:space="preserve"> </w:t>
      </w:r>
      <w:r w:rsidRPr="005F174B">
        <w:rPr>
          <w:lang w:val="fr-FR"/>
        </w:rPr>
        <w:t>le requérant avait subi une violation de son droit de propriété du fait de l</w:t>
      </w:r>
      <w:r w:rsidR="005F174B" w:rsidRPr="005F174B">
        <w:rPr>
          <w:lang w:val="fr-FR"/>
        </w:rPr>
        <w:t>’</w:t>
      </w:r>
      <w:r w:rsidRPr="005F174B">
        <w:rPr>
          <w:lang w:val="fr-FR"/>
        </w:rPr>
        <w:t>expropriation indirecte de son terrain et a considéré que celui-ci avait droit à une indemnité correspondant à la valeur vénale du bien illégitimement exproprié, telle qu</w:t>
      </w:r>
      <w:r w:rsidR="005F174B" w:rsidRPr="005F174B">
        <w:rPr>
          <w:lang w:val="fr-FR"/>
        </w:rPr>
        <w:t>’</w:t>
      </w:r>
      <w:r w:rsidRPr="005F174B">
        <w:rPr>
          <w:lang w:val="fr-FR"/>
        </w:rPr>
        <w:t>établie par l</w:t>
      </w:r>
      <w:r w:rsidR="005F174B" w:rsidRPr="005F174B">
        <w:rPr>
          <w:lang w:val="fr-FR"/>
        </w:rPr>
        <w:t>’</w:t>
      </w:r>
      <w:r w:rsidRPr="005F174B">
        <w:rPr>
          <w:lang w:val="fr-FR"/>
        </w:rPr>
        <w:t>expertise ordonnée par la juridiction compétente au cours de la procédure interne, plus réévaluation et intérêts à partir de la date de la perte de la propriété, ainsi qu</w:t>
      </w:r>
      <w:r w:rsidR="005F174B" w:rsidRPr="005F174B">
        <w:rPr>
          <w:lang w:val="fr-FR"/>
        </w:rPr>
        <w:t>’</w:t>
      </w:r>
      <w:r w:rsidRPr="005F174B">
        <w:rPr>
          <w:lang w:val="fr-FR"/>
        </w:rPr>
        <w:t>à un dédommagement pour la perte de valeur du restant de sa propriété et une indemnité d</w:t>
      </w:r>
      <w:r w:rsidR="005F174B" w:rsidRPr="005F174B">
        <w:rPr>
          <w:lang w:val="fr-FR"/>
        </w:rPr>
        <w:t>’</w:t>
      </w:r>
      <w:r w:rsidRPr="005F174B">
        <w:rPr>
          <w:lang w:val="fr-FR"/>
        </w:rPr>
        <w:t>occupation pour la période d</w:t>
      </w:r>
      <w:r w:rsidR="005F174B" w:rsidRPr="005F174B">
        <w:rPr>
          <w:lang w:val="fr-FR"/>
        </w:rPr>
        <w:t>’</w:t>
      </w:r>
      <w:r w:rsidRPr="005F174B">
        <w:rPr>
          <w:lang w:val="fr-FR"/>
        </w:rPr>
        <w:t>occupation autorisée.</w:t>
      </w:r>
    </w:p>
    <w:p w:rsidR="00A639B1" w:rsidRPr="005F174B" w:rsidRDefault="00A639B1" w:rsidP="005F174B">
      <w:pPr>
        <w:pStyle w:val="ECHRPara"/>
        <w:rPr>
          <w:lang w:val="fr-FR"/>
        </w:rPr>
      </w:pPr>
      <w:r w:rsidRPr="005F174B">
        <w:rPr>
          <w:lang w:val="fr-FR"/>
        </w:rPr>
        <w:t>62.  La Cour considère que le montant de l</w:t>
      </w:r>
      <w:r w:rsidR="005F174B" w:rsidRPr="005F174B">
        <w:rPr>
          <w:lang w:val="fr-FR"/>
        </w:rPr>
        <w:t>’</w:t>
      </w:r>
      <w:r w:rsidR="002F5725" w:rsidRPr="005F174B">
        <w:rPr>
          <w:lang w:val="fr-FR"/>
        </w:rPr>
        <w:t>indemnisation calculé par la c</w:t>
      </w:r>
      <w:r w:rsidRPr="005F174B">
        <w:rPr>
          <w:lang w:val="fr-FR"/>
        </w:rPr>
        <w:t>our d</w:t>
      </w:r>
      <w:r w:rsidR="005F174B" w:rsidRPr="005F174B">
        <w:rPr>
          <w:lang w:val="fr-FR"/>
        </w:rPr>
        <w:t>’</w:t>
      </w:r>
      <w:r w:rsidRPr="005F174B">
        <w:rPr>
          <w:lang w:val="fr-FR"/>
        </w:rPr>
        <w:t>appel de Florence est conforme aux critères de calcul qu</w:t>
      </w:r>
      <w:r w:rsidR="005F174B" w:rsidRPr="005F174B">
        <w:rPr>
          <w:lang w:val="fr-FR"/>
        </w:rPr>
        <w:t>’</w:t>
      </w:r>
      <w:r w:rsidRPr="005F174B">
        <w:rPr>
          <w:lang w:val="fr-FR"/>
        </w:rPr>
        <w:t>elle a établis dans l</w:t>
      </w:r>
      <w:r w:rsidR="005F174B" w:rsidRPr="005F174B">
        <w:rPr>
          <w:lang w:val="fr-FR"/>
        </w:rPr>
        <w:t>’</w:t>
      </w:r>
      <w:r w:rsidRPr="005F174B">
        <w:rPr>
          <w:lang w:val="fr-FR"/>
        </w:rPr>
        <w:t xml:space="preserve">arrêt </w:t>
      </w:r>
      <w:r w:rsidRPr="005F174B">
        <w:rPr>
          <w:i/>
          <w:lang w:val="fr-FR"/>
        </w:rPr>
        <w:t>Guiso-Gallisay</w:t>
      </w:r>
      <w:r w:rsidRPr="005F174B">
        <w:rPr>
          <w:lang w:val="fr-FR"/>
        </w:rPr>
        <w:t xml:space="preserve"> (précité, § 105). Il s</w:t>
      </w:r>
      <w:r w:rsidR="005F174B" w:rsidRPr="005F174B">
        <w:rPr>
          <w:lang w:val="fr-FR"/>
        </w:rPr>
        <w:t>’</w:t>
      </w:r>
      <w:r w:rsidRPr="005F174B">
        <w:rPr>
          <w:lang w:val="fr-FR"/>
        </w:rPr>
        <w:t>ensuit que ce grief, dans la mesure où il concerne le montant de l</w:t>
      </w:r>
      <w:r w:rsidR="005F174B" w:rsidRPr="005F174B">
        <w:rPr>
          <w:lang w:val="fr-FR"/>
        </w:rPr>
        <w:t>’</w:t>
      </w:r>
      <w:r w:rsidRPr="005F174B">
        <w:rPr>
          <w:lang w:val="fr-FR"/>
        </w:rPr>
        <w:t>indemnisation, est manifestement mal fondé et doit être rejeté en application de l</w:t>
      </w:r>
      <w:r w:rsidR="005F174B" w:rsidRPr="005F174B">
        <w:rPr>
          <w:lang w:val="fr-FR"/>
        </w:rPr>
        <w:t>’</w:t>
      </w:r>
      <w:r w:rsidRPr="005F174B">
        <w:rPr>
          <w:lang w:val="fr-FR"/>
        </w:rPr>
        <w:t>article</w:t>
      </w:r>
      <w:r w:rsidR="000359B8" w:rsidRPr="005F174B">
        <w:rPr>
          <w:lang w:val="fr-FR"/>
        </w:rPr>
        <w:t> </w:t>
      </w:r>
      <w:r w:rsidRPr="005F174B">
        <w:rPr>
          <w:lang w:val="fr-FR"/>
        </w:rPr>
        <w:t>35</w:t>
      </w:r>
      <w:r w:rsidR="005F174B" w:rsidRPr="005F174B">
        <w:rPr>
          <w:lang w:val="fr-FR"/>
        </w:rPr>
        <w:t xml:space="preserve"> </w:t>
      </w:r>
      <w:r w:rsidRPr="005F174B">
        <w:rPr>
          <w:lang w:val="fr-FR"/>
        </w:rPr>
        <w:t>§§</w:t>
      </w:r>
      <w:r w:rsidR="000359B8" w:rsidRPr="005F174B">
        <w:rPr>
          <w:lang w:val="fr-FR"/>
        </w:rPr>
        <w:t> </w:t>
      </w:r>
      <w:r w:rsidRPr="005F174B">
        <w:rPr>
          <w:lang w:val="fr-FR"/>
        </w:rPr>
        <w:t>3 a) et 4 de la Convention.</w:t>
      </w:r>
    </w:p>
    <w:p w:rsidR="00A639B1" w:rsidRPr="005F174B" w:rsidRDefault="00A639B1" w:rsidP="005F174B">
      <w:pPr>
        <w:pStyle w:val="ECHRHeading1"/>
        <w:rPr>
          <w:lang w:val="fr-FR"/>
        </w:rPr>
      </w:pPr>
      <w:r w:rsidRPr="005F174B">
        <w:rPr>
          <w:lang w:val="fr-FR"/>
        </w:rPr>
        <w:t>III.  SUR LA VIOLATION ALLÉGUÉE DE L</w:t>
      </w:r>
      <w:r w:rsidR="005F174B" w:rsidRPr="005F174B">
        <w:rPr>
          <w:lang w:val="fr-FR"/>
        </w:rPr>
        <w:t>’</w:t>
      </w:r>
      <w:r w:rsidRPr="005F174B">
        <w:rPr>
          <w:lang w:val="fr-FR"/>
        </w:rPr>
        <w:t>ARTICLE 13 DE LA CONVENTION</w:t>
      </w:r>
    </w:p>
    <w:p w:rsidR="00A639B1" w:rsidRPr="005F174B" w:rsidRDefault="00A639B1" w:rsidP="005F174B">
      <w:pPr>
        <w:pStyle w:val="ECHRPara"/>
        <w:rPr>
          <w:lang w:val="fr-FR"/>
        </w:rPr>
      </w:pPr>
      <w:r w:rsidRPr="005F174B">
        <w:rPr>
          <w:lang w:val="fr-FR"/>
        </w:rPr>
        <w:t xml:space="preserve">63.  Le requérant se plaint également de ne pas </w:t>
      </w:r>
      <w:r w:rsidRPr="005F174B">
        <w:rPr>
          <w:rFonts w:ascii="Times New Roman" w:eastAsia="Times New Roman" w:hAnsi="Times New Roman" w:cs="Times New Roman"/>
          <w:color w:val="000000"/>
          <w:szCs w:val="24"/>
          <w:lang w:val="fr-FR" w:eastAsia="en-GB"/>
        </w:rPr>
        <w:t>disposer d</w:t>
      </w:r>
      <w:r w:rsidR="005F174B" w:rsidRPr="005F174B">
        <w:rPr>
          <w:rFonts w:ascii="Times New Roman" w:eastAsia="Times New Roman" w:hAnsi="Times New Roman" w:cs="Times New Roman"/>
          <w:color w:val="000000"/>
          <w:szCs w:val="24"/>
          <w:lang w:val="fr-FR" w:eastAsia="en-GB"/>
        </w:rPr>
        <w:t>’</w:t>
      </w:r>
      <w:r w:rsidRPr="005F174B">
        <w:rPr>
          <w:rFonts w:ascii="Times New Roman" w:eastAsia="Times New Roman" w:hAnsi="Times New Roman" w:cs="Times New Roman"/>
          <w:color w:val="000000"/>
          <w:szCs w:val="24"/>
          <w:lang w:val="fr-FR" w:eastAsia="en-GB"/>
        </w:rPr>
        <w:t>un recours effectif lui permettant de recouvrer sa créance</w:t>
      </w:r>
      <w:r w:rsidRPr="005F174B">
        <w:rPr>
          <w:lang w:val="fr-FR"/>
        </w:rPr>
        <w:t>. Il invoque l</w:t>
      </w:r>
      <w:r w:rsidR="005F174B" w:rsidRPr="005F174B">
        <w:rPr>
          <w:lang w:val="fr-FR"/>
        </w:rPr>
        <w:t>’</w:t>
      </w:r>
      <w:r w:rsidRPr="005F174B">
        <w:rPr>
          <w:lang w:val="fr-FR"/>
        </w:rPr>
        <w:t>article 13 de la Convention.</w:t>
      </w:r>
    </w:p>
    <w:p w:rsidR="00A639B1" w:rsidRPr="005F174B" w:rsidRDefault="00A639B1" w:rsidP="005F174B">
      <w:pPr>
        <w:pStyle w:val="ECHRPara"/>
        <w:rPr>
          <w:lang w:val="fr-FR"/>
        </w:rPr>
      </w:pPr>
      <w:r w:rsidRPr="005F174B">
        <w:rPr>
          <w:lang w:val="fr-FR"/>
        </w:rPr>
        <w:t>64.  La Cour relève que ce grief est lié à celui examiné sous l</w:t>
      </w:r>
      <w:r w:rsidR="005F174B" w:rsidRPr="005F174B">
        <w:rPr>
          <w:lang w:val="fr-FR"/>
        </w:rPr>
        <w:t>’</w:t>
      </w:r>
      <w:r w:rsidRPr="005F174B">
        <w:rPr>
          <w:lang w:val="fr-FR"/>
        </w:rPr>
        <w:t>angle de l</w:t>
      </w:r>
      <w:r w:rsidR="005F174B" w:rsidRPr="005F174B">
        <w:rPr>
          <w:lang w:val="fr-FR"/>
        </w:rPr>
        <w:t>’</w:t>
      </w:r>
      <w:r w:rsidRPr="005F174B">
        <w:rPr>
          <w:lang w:val="fr-FR"/>
        </w:rPr>
        <w:t>article 6 § 1 de la Convention et qu</w:t>
      </w:r>
      <w:r w:rsidR="005F174B" w:rsidRPr="005F174B">
        <w:rPr>
          <w:lang w:val="fr-FR"/>
        </w:rPr>
        <w:t>’</w:t>
      </w:r>
      <w:r w:rsidRPr="005F174B">
        <w:rPr>
          <w:lang w:val="fr-FR"/>
        </w:rPr>
        <w:t>il doit donc aussi être déclaré recevable. Eu égard au constat relatif à l</w:t>
      </w:r>
      <w:r w:rsidR="005F174B" w:rsidRPr="005F174B">
        <w:rPr>
          <w:lang w:val="fr-FR"/>
        </w:rPr>
        <w:t>’</w:t>
      </w:r>
      <w:r w:rsidRPr="005F174B">
        <w:rPr>
          <w:lang w:val="fr-FR"/>
        </w:rPr>
        <w:t>article 6 § 1 (paragraphe 54 ci</w:t>
      </w:r>
      <w:r w:rsidR="000359B8" w:rsidRPr="005F174B">
        <w:rPr>
          <w:lang w:val="fr-FR"/>
        </w:rPr>
        <w:noBreakHyphen/>
      </w:r>
      <w:r w:rsidRPr="005F174B">
        <w:rPr>
          <w:lang w:val="fr-FR"/>
        </w:rPr>
        <w:t>dessus), la Cour estime cependant qu</w:t>
      </w:r>
      <w:r w:rsidR="005F174B" w:rsidRPr="005F174B">
        <w:rPr>
          <w:lang w:val="fr-FR"/>
        </w:rPr>
        <w:t>’</w:t>
      </w:r>
      <w:r w:rsidRPr="005F174B">
        <w:rPr>
          <w:lang w:val="fr-FR"/>
        </w:rPr>
        <w:t>il n</w:t>
      </w:r>
      <w:r w:rsidR="005F174B" w:rsidRPr="005F174B">
        <w:rPr>
          <w:lang w:val="fr-FR"/>
        </w:rPr>
        <w:t>’</w:t>
      </w:r>
      <w:r w:rsidRPr="005F174B">
        <w:rPr>
          <w:lang w:val="fr-FR"/>
        </w:rPr>
        <w:t>y a pas lieu d</w:t>
      </w:r>
      <w:r w:rsidR="005F174B" w:rsidRPr="005F174B">
        <w:rPr>
          <w:lang w:val="fr-FR"/>
        </w:rPr>
        <w:t>’</w:t>
      </w:r>
      <w:r w:rsidRPr="005F174B">
        <w:rPr>
          <w:lang w:val="fr-FR"/>
        </w:rPr>
        <w:t>examiner s</w:t>
      </w:r>
      <w:r w:rsidR="005F174B" w:rsidRPr="005F174B">
        <w:rPr>
          <w:lang w:val="fr-FR"/>
        </w:rPr>
        <w:t>’</w:t>
      </w:r>
      <w:r w:rsidRPr="005F174B">
        <w:rPr>
          <w:lang w:val="fr-FR"/>
        </w:rPr>
        <w:t>il y a eu, en l</w:t>
      </w:r>
      <w:r w:rsidR="005F174B" w:rsidRPr="005F174B">
        <w:rPr>
          <w:lang w:val="fr-FR"/>
        </w:rPr>
        <w:t>’</w:t>
      </w:r>
      <w:r w:rsidRPr="005F174B">
        <w:rPr>
          <w:lang w:val="fr-FR"/>
        </w:rPr>
        <w:t>espèce, violation de cette disposition.</w:t>
      </w:r>
    </w:p>
    <w:p w:rsidR="00A639B1" w:rsidRPr="005F174B" w:rsidRDefault="00A639B1" w:rsidP="005F174B">
      <w:pPr>
        <w:pStyle w:val="ECHRHeading1"/>
        <w:rPr>
          <w:lang w:val="fr-FR"/>
        </w:rPr>
      </w:pPr>
      <w:r w:rsidRPr="005F174B">
        <w:rPr>
          <w:lang w:val="fr-FR"/>
        </w:rPr>
        <w:t>IV.  SUR L</w:t>
      </w:r>
      <w:r w:rsidR="005F174B" w:rsidRPr="005F174B">
        <w:rPr>
          <w:lang w:val="fr-FR"/>
        </w:rPr>
        <w:t>’</w:t>
      </w:r>
      <w:r w:rsidRPr="005F174B">
        <w:rPr>
          <w:lang w:val="fr-FR"/>
        </w:rPr>
        <w:t>APPLICATION DE L</w:t>
      </w:r>
      <w:r w:rsidR="005F174B" w:rsidRPr="005F174B">
        <w:rPr>
          <w:lang w:val="fr-FR"/>
        </w:rPr>
        <w:t>’</w:t>
      </w:r>
      <w:r w:rsidRPr="005F174B">
        <w:rPr>
          <w:lang w:val="fr-FR"/>
        </w:rPr>
        <w:t>ARTICLE 41 DE LA CONVENTION</w:t>
      </w:r>
    </w:p>
    <w:p w:rsidR="00A639B1" w:rsidRPr="005F174B" w:rsidRDefault="00A639B1" w:rsidP="005F174B">
      <w:pPr>
        <w:pStyle w:val="ECHRPara"/>
        <w:rPr>
          <w:lang w:val="fr-FR"/>
        </w:rPr>
      </w:pPr>
      <w:r w:rsidRPr="005F174B">
        <w:rPr>
          <w:lang w:val="fr-FR"/>
        </w:rPr>
        <w:t>65.  Aux termes de l</w:t>
      </w:r>
      <w:r w:rsidR="005F174B" w:rsidRPr="005F174B">
        <w:rPr>
          <w:lang w:val="fr-FR"/>
        </w:rPr>
        <w:t>’</w:t>
      </w:r>
      <w:r w:rsidRPr="005F174B">
        <w:rPr>
          <w:lang w:val="fr-FR"/>
        </w:rPr>
        <w:t>article 41 de la Convention,</w:t>
      </w:r>
    </w:p>
    <w:p w:rsidR="00A639B1" w:rsidRPr="005F174B" w:rsidRDefault="00A639B1" w:rsidP="005F174B">
      <w:pPr>
        <w:pStyle w:val="ECHRParaQuote"/>
        <w:keepNext/>
        <w:keepLines/>
        <w:rPr>
          <w:lang w:val="fr-FR"/>
        </w:rPr>
      </w:pPr>
      <w:r w:rsidRPr="005F174B">
        <w:rPr>
          <w:lang w:val="fr-FR"/>
        </w:rPr>
        <w:lastRenderedPageBreak/>
        <w:t>« Si la Cour déclare qu</w:t>
      </w:r>
      <w:r w:rsidR="005F174B" w:rsidRPr="005F174B">
        <w:rPr>
          <w:lang w:val="fr-FR"/>
        </w:rPr>
        <w:t>’</w:t>
      </w:r>
      <w:r w:rsidRPr="005F174B">
        <w:rPr>
          <w:lang w:val="fr-FR"/>
        </w:rPr>
        <w:t>il y a eu violation de la Convention ou de ses Protocoles, et si le droit interne de la Haute Partie contractante ne permet d</w:t>
      </w:r>
      <w:r w:rsidR="005F174B" w:rsidRPr="005F174B">
        <w:rPr>
          <w:lang w:val="fr-FR"/>
        </w:rPr>
        <w:t>’</w:t>
      </w:r>
      <w:r w:rsidRPr="005F174B">
        <w:rPr>
          <w:lang w:val="fr-FR"/>
        </w:rPr>
        <w:t>effacer qu</w:t>
      </w:r>
      <w:r w:rsidR="005F174B" w:rsidRPr="005F174B">
        <w:rPr>
          <w:lang w:val="fr-FR"/>
        </w:rPr>
        <w:t>’</w:t>
      </w:r>
      <w:r w:rsidRPr="005F174B">
        <w:rPr>
          <w:lang w:val="fr-FR"/>
        </w:rPr>
        <w:t>imparfaitement les conséquences de cette violation, la Cour accorde à la partie lésée, s</w:t>
      </w:r>
      <w:r w:rsidR="005F174B" w:rsidRPr="005F174B">
        <w:rPr>
          <w:lang w:val="fr-FR"/>
        </w:rPr>
        <w:t>’</w:t>
      </w:r>
      <w:r w:rsidRPr="005F174B">
        <w:rPr>
          <w:lang w:val="fr-FR"/>
        </w:rPr>
        <w:t>il y a lieu, une satisfaction équitable. »</w:t>
      </w:r>
    </w:p>
    <w:p w:rsidR="00A639B1" w:rsidRPr="005F174B" w:rsidRDefault="00A639B1" w:rsidP="005F174B">
      <w:pPr>
        <w:pStyle w:val="ECHRHeading2"/>
        <w:rPr>
          <w:lang w:val="fr-FR"/>
        </w:rPr>
      </w:pPr>
      <w:r w:rsidRPr="005F174B">
        <w:rPr>
          <w:lang w:val="fr-FR"/>
        </w:rPr>
        <w:t>A.  Dommage</w:t>
      </w:r>
    </w:p>
    <w:p w:rsidR="00A639B1" w:rsidRPr="005F174B" w:rsidRDefault="00A639B1" w:rsidP="005F174B">
      <w:pPr>
        <w:pStyle w:val="ECHRPara"/>
        <w:rPr>
          <w:lang w:val="fr-FR"/>
        </w:rPr>
      </w:pPr>
      <w:r w:rsidRPr="005F174B">
        <w:rPr>
          <w:lang w:val="fr-FR"/>
        </w:rPr>
        <w:t>66.  Dans ses demandes de satisfaction équitable du 13 juillet 2009, le requérant demande tout d</w:t>
      </w:r>
      <w:r w:rsidR="005F174B" w:rsidRPr="005F174B">
        <w:rPr>
          <w:lang w:val="fr-FR"/>
        </w:rPr>
        <w:t>’</w:t>
      </w:r>
      <w:r w:rsidRPr="005F174B">
        <w:rPr>
          <w:lang w:val="fr-FR"/>
        </w:rPr>
        <w:t>abord une réparation adéquate pour l</w:t>
      </w:r>
      <w:r w:rsidR="005F174B" w:rsidRPr="005F174B">
        <w:rPr>
          <w:lang w:val="fr-FR"/>
        </w:rPr>
        <w:t>’</w:t>
      </w:r>
      <w:r w:rsidRPr="005F174B">
        <w:rPr>
          <w:lang w:val="fr-FR"/>
        </w:rPr>
        <w:t>expropriation de son terrain. Il réclame à cet égard la restitution du terrain ou, à défaut, le remboursement de la valeur marchande actualisée de celui</w:t>
      </w:r>
      <w:r w:rsidR="000359B8" w:rsidRPr="005F174B">
        <w:rPr>
          <w:lang w:val="fr-FR"/>
        </w:rPr>
        <w:noBreakHyphen/>
      </w:r>
      <w:r w:rsidRPr="005F174B">
        <w:rPr>
          <w:lang w:val="fr-FR"/>
        </w:rPr>
        <w:t>ci, y compris de la valeur de l</w:t>
      </w:r>
      <w:r w:rsidR="005F174B" w:rsidRPr="005F174B">
        <w:rPr>
          <w:lang w:val="fr-FR"/>
        </w:rPr>
        <w:t>’</w:t>
      </w:r>
      <w:r w:rsidRPr="005F174B">
        <w:rPr>
          <w:lang w:val="fr-FR"/>
        </w:rPr>
        <w:t>entreprise agricole qui en faisait partie, soit un montant de 12 300 000 EUR. Il appuie sa demande sur les résultats d</w:t>
      </w:r>
      <w:r w:rsidR="005F174B" w:rsidRPr="005F174B">
        <w:rPr>
          <w:lang w:val="fr-FR"/>
        </w:rPr>
        <w:t>’</w:t>
      </w:r>
      <w:r w:rsidRPr="005F174B">
        <w:rPr>
          <w:lang w:val="fr-FR"/>
        </w:rPr>
        <w:t>une expertise réalisée à sa demande en 2008.</w:t>
      </w:r>
    </w:p>
    <w:p w:rsidR="00A639B1" w:rsidRPr="005F174B" w:rsidRDefault="00A639B1" w:rsidP="005F174B">
      <w:pPr>
        <w:pStyle w:val="ECHRPara"/>
        <w:rPr>
          <w:lang w:val="fr-FR"/>
        </w:rPr>
      </w:pPr>
      <w:r w:rsidRPr="005F174B">
        <w:rPr>
          <w:lang w:val="fr-FR"/>
        </w:rPr>
        <w:t>67.  À titre subsidiaire, le requérant demande à la Cour le versement de l</w:t>
      </w:r>
      <w:r w:rsidR="005F174B" w:rsidRPr="005F174B">
        <w:rPr>
          <w:lang w:val="fr-FR"/>
        </w:rPr>
        <w:t>’</w:t>
      </w:r>
      <w:r w:rsidRPr="005F174B">
        <w:rPr>
          <w:lang w:val="fr-FR"/>
        </w:rPr>
        <w:t>indemnisation d</w:t>
      </w:r>
      <w:r w:rsidR="005F174B" w:rsidRPr="005F174B">
        <w:rPr>
          <w:lang w:val="fr-FR"/>
        </w:rPr>
        <w:t>’</w:t>
      </w:r>
      <w:r w:rsidRPr="005F174B">
        <w:rPr>
          <w:lang w:val="fr-FR"/>
        </w:rPr>
        <w:t>expropriation reconnue par la cour d</w:t>
      </w:r>
      <w:r w:rsidR="005F174B" w:rsidRPr="005F174B">
        <w:rPr>
          <w:lang w:val="fr-FR"/>
        </w:rPr>
        <w:t>’</w:t>
      </w:r>
      <w:r w:rsidRPr="005F174B">
        <w:rPr>
          <w:lang w:val="fr-FR"/>
        </w:rPr>
        <w:t>appel de Florence, plus les intérêts légaux et la réévaluation à compter du 13 novembre 2007, date à laquelle sa créance a été déclarée exécutoire.</w:t>
      </w:r>
    </w:p>
    <w:p w:rsidR="00A639B1" w:rsidRPr="005F174B" w:rsidRDefault="009B5CF7" w:rsidP="005F174B">
      <w:pPr>
        <w:pStyle w:val="ECHRPara"/>
        <w:rPr>
          <w:lang w:val="fr-FR"/>
        </w:rPr>
      </w:pPr>
      <w:r w:rsidRPr="005F174B">
        <w:rPr>
          <w:lang w:val="fr-FR"/>
        </w:rPr>
        <w:t>68.  </w:t>
      </w:r>
      <w:r w:rsidR="00A639B1" w:rsidRPr="005F174B">
        <w:rPr>
          <w:lang w:val="fr-FR"/>
        </w:rPr>
        <w:t>Le requérant sollicite en outre 200 000 EUR pour dommage moral.</w:t>
      </w:r>
    </w:p>
    <w:p w:rsidR="00A639B1" w:rsidRPr="005F174B" w:rsidRDefault="00A639B1" w:rsidP="005F174B">
      <w:pPr>
        <w:pStyle w:val="ECHRPara"/>
        <w:rPr>
          <w:lang w:val="fr-FR"/>
        </w:rPr>
      </w:pPr>
      <w:r w:rsidRPr="005F174B">
        <w:rPr>
          <w:lang w:val="fr-FR"/>
        </w:rPr>
        <w:t>69.  Le 12 juin 2018, à la suite des développements de la procédure nationale, le requérant a intégré ses demandes de satisfaction équitable demandant en outre à la Cour l</w:t>
      </w:r>
      <w:r w:rsidR="005F174B" w:rsidRPr="005F174B">
        <w:rPr>
          <w:lang w:val="fr-FR"/>
        </w:rPr>
        <w:t>’</w:t>
      </w:r>
      <w:r w:rsidRPr="005F174B">
        <w:rPr>
          <w:lang w:val="fr-FR"/>
        </w:rPr>
        <w:t>allocation d</w:t>
      </w:r>
      <w:r w:rsidR="005F174B" w:rsidRPr="005F174B">
        <w:rPr>
          <w:lang w:val="fr-FR"/>
        </w:rPr>
        <w:t>’</w:t>
      </w:r>
      <w:r w:rsidRPr="005F174B">
        <w:rPr>
          <w:lang w:val="fr-FR"/>
        </w:rPr>
        <w:t>une somme de 465 836 EUR à titre de dédommagement matériel pour la vente aux enchères de son habitation principale, ainsi qu</w:t>
      </w:r>
      <w:r w:rsidR="005F174B" w:rsidRPr="005F174B">
        <w:rPr>
          <w:lang w:val="fr-FR"/>
        </w:rPr>
        <w:t>’</w:t>
      </w:r>
      <w:r w:rsidRPr="005F174B">
        <w:rPr>
          <w:lang w:val="fr-FR"/>
        </w:rPr>
        <w:t>une somme subsidiaire pour dommage moral.</w:t>
      </w:r>
    </w:p>
    <w:p w:rsidR="00A639B1" w:rsidRPr="005F174B" w:rsidRDefault="00A639B1" w:rsidP="005F174B">
      <w:pPr>
        <w:pStyle w:val="ECHRPara"/>
        <w:rPr>
          <w:lang w:val="fr-FR"/>
        </w:rPr>
      </w:pPr>
      <w:r w:rsidRPr="005F174B">
        <w:rPr>
          <w:lang w:val="fr-FR"/>
        </w:rPr>
        <w:t>70.  Le Gouvernement conteste les prétentions du requérant, qu</w:t>
      </w:r>
      <w:r w:rsidR="005F174B" w:rsidRPr="005F174B">
        <w:rPr>
          <w:lang w:val="fr-FR"/>
        </w:rPr>
        <w:t>’</w:t>
      </w:r>
      <w:r w:rsidRPr="005F174B">
        <w:rPr>
          <w:lang w:val="fr-FR"/>
        </w:rPr>
        <w:t>il considère comme étant soit exorbitantes soit injustifiées.</w:t>
      </w:r>
    </w:p>
    <w:p w:rsidR="00A639B1" w:rsidRPr="005F174B" w:rsidRDefault="00A639B1" w:rsidP="005F174B">
      <w:pPr>
        <w:pStyle w:val="ECHRPara"/>
        <w:rPr>
          <w:lang w:val="fr-FR"/>
        </w:rPr>
      </w:pPr>
      <w:r w:rsidRPr="005F174B">
        <w:rPr>
          <w:lang w:val="fr-FR"/>
        </w:rPr>
        <w:t>71.  La Cour rappelle qu</w:t>
      </w:r>
      <w:r w:rsidR="005F174B" w:rsidRPr="005F174B">
        <w:rPr>
          <w:lang w:val="fr-FR"/>
        </w:rPr>
        <w:t>’</w:t>
      </w:r>
      <w:r w:rsidRPr="005F174B">
        <w:rPr>
          <w:lang w:val="fr-FR"/>
        </w:rPr>
        <w:t>un arrêt constatant une violation entraîne pour l</w:t>
      </w:r>
      <w:r w:rsidR="005F174B" w:rsidRPr="005F174B">
        <w:rPr>
          <w:lang w:val="fr-FR"/>
        </w:rPr>
        <w:t>’</w:t>
      </w:r>
      <w:r w:rsidRPr="005F174B">
        <w:rPr>
          <w:lang w:val="fr-FR"/>
        </w:rPr>
        <w:t>État défendeur l</w:t>
      </w:r>
      <w:r w:rsidR="005F174B" w:rsidRPr="005F174B">
        <w:rPr>
          <w:lang w:val="fr-FR"/>
        </w:rPr>
        <w:t>’</w:t>
      </w:r>
      <w:r w:rsidRPr="005F174B">
        <w:rPr>
          <w:lang w:val="fr-FR"/>
        </w:rPr>
        <w:t>obligation juridique au regard de la Convention de mettre un terme à la violation et d</w:t>
      </w:r>
      <w:r w:rsidR="005F174B" w:rsidRPr="005F174B">
        <w:rPr>
          <w:lang w:val="fr-FR"/>
        </w:rPr>
        <w:t>’</w:t>
      </w:r>
      <w:r w:rsidRPr="005F174B">
        <w:rPr>
          <w:lang w:val="fr-FR"/>
        </w:rPr>
        <w:t>en effacer les conséquences de manière à rétablir autant que faire se peut la situation antérieure à cette violation (</w:t>
      </w:r>
      <w:r w:rsidRPr="005F174B">
        <w:rPr>
          <w:i/>
          <w:lang w:val="fr-FR"/>
        </w:rPr>
        <w:t>Metaxas</w:t>
      </w:r>
      <w:r w:rsidRPr="005F174B">
        <w:rPr>
          <w:lang w:val="fr-FR"/>
        </w:rPr>
        <w:t>,</w:t>
      </w:r>
      <w:r w:rsidR="005F174B" w:rsidRPr="005F174B">
        <w:rPr>
          <w:lang w:val="fr-FR"/>
        </w:rPr>
        <w:t xml:space="preserve"> </w:t>
      </w:r>
      <w:r w:rsidRPr="005F174B">
        <w:rPr>
          <w:lang w:val="fr-FR"/>
        </w:rPr>
        <w:t xml:space="preserve">précité, § 35, et </w:t>
      </w:r>
      <w:r w:rsidRPr="005F174B">
        <w:rPr>
          <w:i/>
          <w:lang w:val="fr-FR"/>
        </w:rPr>
        <w:t>Iatridis c. Grèce</w:t>
      </w:r>
      <w:r w:rsidRPr="005F174B">
        <w:rPr>
          <w:lang w:val="fr-FR"/>
        </w:rPr>
        <w:t xml:space="preserve"> (satisfaction équitable) [GC], n</w:t>
      </w:r>
      <w:r w:rsidRPr="005F174B">
        <w:rPr>
          <w:vertAlign w:val="superscript"/>
          <w:lang w:val="fr-FR"/>
        </w:rPr>
        <w:t>o</w:t>
      </w:r>
      <w:r w:rsidR="000359B8" w:rsidRPr="005F174B">
        <w:rPr>
          <w:vertAlign w:val="superscript"/>
          <w:lang w:val="fr-FR"/>
        </w:rPr>
        <w:t> </w:t>
      </w:r>
      <w:r w:rsidRPr="005F174B">
        <w:rPr>
          <w:lang w:val="fr-FR"/>
        </w:rPr>
        <w:t>31107/96, § 32, CEDH 2000-XI).</w:t>
      </w:r>
    </w:p>
    <w:p w:rsidR="00A639B1" w:rsidRPr="005F174B" w:rsidRDefault="00A639B1" w:rsidP="005F174B">
      <w:pPr>
        <w:pStyle w:val="ECHRPara"/>
        <w:rPr>
          <w:lang w:val="fr-FR"/>
        </w:rPr>
      </w:pPr>
      <w:r w:rsidRPr="005F174B">
        <w:rPr>
          <w:lang w:val="fr-FR"/>
        </w:rPr>
        <w:t>72.  En l</w:t>
      </w:r>
      <w:r w:rsidR="005F174B" w:rsidRPr="005F174B">
        <w:rPr>
          <w:lang w:val="fr-FR"/>
        </w:rPr>
        <w:t>’</w:t>
      </w:r>
      <w:r w:rsidRPr="005F174B">
        <w:rPr>
          <w:lang w:val="fr-FR"/>
        </w:rPr>
        <w:t>espèce, elle a conclu à la violation des articles 6 § 1 de la Convention et 1 du Protocole n</w:t>
      </w:r>
      <w:r w:rsidRPr="005F174B">
        <w:rPr>
          <w:vertAlign w:val="superscript"/>
          <w:lang w:val="fr-FR"/>
        </w:rPr>
        <w:t>o</w:t>
      </w:r>
      <w:r w:rsidRPr="005F174B">
        <w:rPr>
          <w:lang w:val="fr-FR"/>
        </w:rPr>
        <w:t xml:space="preserve"> 1 à la Convention en raison du refus des autorités nationales de prendre les mesures nécessaires pour garantir le paiement de la créance du requérant.</w:t>
      </w:r>
    </w:p>
    <w:p w:rsidR="00A639B1" w:rsidRPr="005F174B" w:rsidRDefault="00A639B1" w:rsidP="005F174B">
      <w:pPr>
        <w:pStyle w:val="ECHRPara"/>
        <w:rPr>
          <w:lang w:val="fr-FR"/>
        </w:rPr>
      </w:pPr>
      <w:r w:rsidRPr="005F174B">
        <w:rPr>
          <w:lang w:val="fr-FR"/>
        </w:rPr>
        <w:t>73.  Par conséquent, toute prétention du requérant concernant le calcul du montant de l</w:t>
      </w:r>
      <w:r w:rsidR="005F174B" w:rsidRPr="005F174B">
        <w:rPr>
          <w:lang w:val="fr-FR"/>
        </w:rPr>
        <w:t>’</w:t>
      </w:r>
      <w:r w:rsidRPr="005F174B">
        <w:rPr>
          <w:lang w:val="fr-FR"/>
        </w:rPr>
        <w:t>indemnité d</w:t>
      </w:r>
      <w:r w:rsidR="005F174B" w:rsidRPr="005F174B">
        <w:rPr>
          <w:lang w:val="fr-FR"/>
        </w:rPr>
        <w:t>’</w:t>
      </w:r>
      <w:r w:rsidRPr="005F174B">
        <w:rPr>
          <w:lang w:val="fr-FR"/>
        </w:rPr>
        <w:t>expropriation de son terrain (paragraphe 63 ci</w:t>
      </w:r>
      <w:r w:rsidR="000359B8" w:rsidRPr="005F174B">
        <w:rPr>
          <w:lang w:val="fr-FR"/>
        </w:rPr>
        <w:noBreakHyphen/>
      </w:r>
      <w:r w:rsidRPr="005F174B">
        <w:rPr>
          <w:lang w:val="fr-FR"/>
        </w:rPr>
        <w:t>dessus), n</w:t>
      </w:r>
      <w:r w:rsidR="005F174B" w:rsidRPr="005F174B">
        <w:rPr>
          <w:lang w:val="fr-FR"/>
        </w:rPr>
        <w:t>’</w:t>
      </w:r>
      <w:r w:rsidRPr="005F174B">
        <w:rPr>
          <w:lang w:val="fr-FR"/>
        </w:rPr>
        <w:t>entre pas en ligne de compte pour l</w:t>
      </w:r>
      <w:r w:rsidR="005F174B" w:rsidRPr="005F174B">
        <w:rPr>
          <w:lang w:val="fr-FR"/>
        </w:rPr>
        <w:t>’</w:t>
      </w:r>
      <w:r w:rsidRPr="005F174B">
        <w:rPr>
          <w:lang w:val="fr-FR"/>
        </w:rPr>
        <w:t>octroi d</w:t>
      </w:r>
      <w:r w:rsidR="005F174B" w:rsidRPr="005F174B">
        <w:rPr>
          <w:lang w:val="fr-FR"/>
        </w:rPr>
        <w:t>’</w:t>
      </w:r>
      <w:r w:rsidRPr="005F174B">
        <w:rPr>
          <w:lang w:val="fr-FR"/>
        </w:rPr>
        <w:t>une satisfaction équitable en l</w:t>
      </w:r>
      <w:r w:rsidR="005F174B" w:rsidRPr="005F174B">
        <w:rPr>
          <w:lang w:val="fr-FR"/>
        </w:rPr>
        <w:t>’</w:t>
      </w:r>
      <w:r w:rsidRPr="005F174B">
        <w:rPr>
          <w:lang w:val="fr-FR"/>
        </w:rPr>
        <w:t>espèce et doit être dès lors écartée. En outre, la Cour n</w:t>
      </w:r>
      <w:r w:rsidR="005F174B" w:rsidRPr="005F174B">
        <w:rPr>
          <w:lang w:val="fr-FR"/>
        </w:rPr>
        <w:t>’</w:t>
      </w:r>
      <w:r w:rsidRPr="005F174B">
        <w:rPr>
          <w:lang w:val="fr-FR"/>
        </w:rPr>
        <w:t>aperçoit pas de lien de causalité direct entre les violations constatées et la vente aux enchères de l</w:t>
      </w:r>
      <w:r w:rsidR="005F174B" w:rsidRPr="005F174B">
        <w:rPr>
          <w:lang w:val="fr-FR"/>
        </w:rPr>
        <w:t>’</w:t>
      </w:r>
      <w:r w:rsidRPr="005F174B">
        <w:rPr>
          <w:lang w:val="fr-FR"/>
        </w:rPr>
        <w:t>habitation du requérant. Elle rejette donc également les demandes de l</w:t>
      </w:r>
      <w:r w:rsidR="005F174B" w:rsidRPr="005F174B">
        <w:rPr>
          <w:lang w:val="fr-FR"/>
        </w:rPr>
        <w:t>’</w:t>
      </w:r>
      <w:r w:rsidRPr="005F174B">
        <w:rPr>
          <w:lang w:val="fr-FR"/>
        </w:rPr>
        <w:t>intéressé de ce chef.</w:t>
      </w:r>
    </w:p>
    <w:p w:rsidR="00A639B1" w:rsidRPr="005F174B" w:rsidRDefault="00A639B1" w:rsidP="005F174B">
      <w:pPr>
        <w:pStyle w:val="ECHRPara"/>
        <w:rPr>
          <w:lang w:val="fr-FR"/>
        </w:rPr>
      </w:pPr>
      <w:r w:rsidRPr="005F174B">
        <w:rPr>
          <w:lang w:val="fr-FR"/>
        </w:rPr>
        <w:t xml:space="preserve">74.  En revanche, la Cour estime que le requérant a subi un préjudice matériel certain en raison du non-paiement de la somme allouée par la cour </w:t>
      </w:r>
      <w:r w:rsidRPr="005F174B">
        <w:rPr>
          <w:lang w:val="fr-FR"/>
        </w:rPr>
        <w:lastRenderedPageBreak/>
        <w:t>d</w:t>
      </w:r>
      <w:r w:rsidR="005F174B" w:rsidRPr="005F174B">
        <w:rPr>
          <w:lang w:val="fr-FR"/>
        </w:rPr>
        <w:t>’</w:t>
      </w:r>
      <w:r w:rsidRPr="005F174B">
        <w:rPr>
          <w:lang w:val="fr-FR"/>
        </w:rPr>
        <w:t>appel de Florence, et décide qu</w:t>
      </w:r>
      <w:r w:rsidR="005F174B" w:rsidRPr="005F174B">
        <w:rPr>
          <w:lang w:val="fr-FR"/>
        </w:rPr>
        <w:t>’</w:t>
      </w:r>
      <w:r w:rsidRPr="005F174B">
        <w:rPr>
          <w:lang w:val="fr-FR"/>
        </w:rPr>
        <w:t>il y a lieu d</w:t>
      </w:r>
      <w:r w:rsidR="005F174B" w:rsidRPr="005F174B">
        <w:rPr>
          <w:lang w:val="fr-FR"/>
        </w:rPr>
        <w:t>’</w:t>
      </w:r>
      <w:r w:rsidRPr="005F174B">
        <w:rPr>
          <w:lang w:val="fr-FR"/>
        </w:rPr>
        <w:t>accorder à l</w:t>
      </w:r>
      <w:r w:rsidR="005F174B" w:rsidRPr="005F174B">
        <w:rPr>
          <w:lang w:val="fr-FR"/>
        </w:rPr>
        <w:t>’</w:t>
      </w:r>
      <w:r w:rsidRPr="005F174B">
        <w:rPr>
          <w:lang w:val="fr-FR"/>
        </w:rPr>
        <w:t>intéressé l</w:t>
      </w:r>
      <w:r w:rsidR="005F174B" w:rsidRPr="005F174B">
        <w:rPr>
          <w:lang w:val="fr-FR"/>
        </w:rPr>
        <w:t>’</w:t>
      </w:r>
      <w:r w:rsidRPr="005F174B">
        <w:rPr>
          <w:lang w:val="fr-FR"/>
        </w:rPr>
        <w:t>intégralité de ladite somme, soit 653 821,54 EUR (paragraphe 18 ci</w:t>
      </w:r>
      <w:r w:rsidR="000359B8" w:rsidRPr="005F174B">
        <w:rPr>
          <w:lang w:val="fr-FR"/>
        </w:rPr>
        <w:noBreakHyphen/>
      </w:r>
      <w:r w:rsidRPr="005F174B">
        <w:rPr>
          <w:lang w:val="fr-FR"/>
        </w:rPr>
        <w:t>dessus). Étant donné que le caractère adéquat d</w:t>
      </w:r>
      <w:r w:rsidR="005F174B" w:rsidRPr="005F174B">
        <w:rPr>
          <w:lang w:val="fr-FR"/>
        </w:rPr>
        <w:t>’</w:t>
      </w:r>
      <w:r w:rsidRPr="005F174B">
        <w:rPr>
          <w:lang w:val="fr-FR"/>
        </w:rPr>
        <w:t>un dédommagement diminuerait si le paiement de celui-ci faisait abstraction d</w:t>
      </w:r>
      <w:r w:rsidR="005F174B" w:rsidRPr="005F174B">
        <w:rPr>
          <w:lang w:val="fr-FR"/>
        </w:rPr>
        <w:t>’</w:t>
      </w:r>
      <w:r w:rsidRPr="005F174B">
        <w:rPr>
          <w:lang w:val="fr-FR"/>
        </w:rPr>
        <w:t>éléments susceptibles d</w:t>
      </w:r>
      <w:r w:rsidR="005F174B" w:rsidRPr="005F174B">
        <w:rPr>
          <w:lang w:val="fr-FR"/>
        </w:rPr>
        <w:t>’</w:t>
      </w:r>
      <w:r w:rsidRPr="005F174B">
        <w:rPr>
          <w:lang w:val="fr-FR"/>
        </w:rPr>
        <w:t>en réduire la valeur, tel l</w:t>
      </w:r>
      <w:r w:rsidR="005F174B" w:rsidRPr="005F174B">
        <w:rPr>
          <w:lang w:val="fr-FR"/>
        </w:rPr>
        <w:t>’</w:t>
      </w:r>
      <w:r w:rsidRPr="005F174B">
        <w:rPr>
          <w:lang w:val="fr-FR"/>
        </w:rPr>
        <w:t>écoulement d</w:t>
      </w:r>
      <w:r w:rsidR="005F174B" w:rsidRPr="005F174B">
        <w:rPr>
          <w:lang w:val="fr-FR"/>
        </w:rPr>
        <w:t>’</w:t>
      </w:r>
      <w:r w:rsidRPr="005F174B">
        <w:rPr>
          <w:lang w:val="fr-FR"/>
        </w:rPr>
        <w:t>un laps de temps que l</w:t>
      </w:r>
      <w:r w:rsidR="005F174B" w:rsidRPr="005F174B">
        <w:rPr>
          <w:lang w:val="fr-FR"/>
        </w:rPr>
        <w:t>’</w:t>
      </w:r>
      <w:r w:rsidRPr="005F174B">
        <w:rPr>
          <w:lang w:val="fr-FR"/>
        </w:rPr>
        <w:t>on ne saurait qualifier de raisonnable (</w:t>
      </w:r>
      <w:r w:rsidRPr="005F174B">
        <w:rPr>
          <w:i/>
          <w:lang w:val="fr-FR"/>
        </w:rPr>
        <w:t>Akkuş c. Turquie</w:t>
      </w:r>
      <w:r w:rsidRPr="005F174B">
        <w:rPr>
          <w:lang w:val="fr-FR"/>
        </w:rPr>
        <w:t xml:space="preserve">, 9 juillet 1997, </w:t>
      </w:r>
      <w:r w:rsidRPr="005F174B">
        <w:rPr>
          <w:i/>
          <w:lang w:val="fr-FR"/>
        </w:rPr>
        <w:t>Recueil des arrêts et décisions</w:t>
      </w:r>
      <w:r w:rsidRPr="005F174B">
        <w:rPr>
          <w:lang w:val="fr-FR"/>
        </w:rPr>
        <w:t xml:space="preserve"> 1997-IV, pp. 1309-1310, § 29), cette somme devra être actualisée et assortie d</w:t>
      </w:r>
      <w:r w:rsidR="005F174B" w:rsidRPr="005F174B">
        <w:rPr>
          <w:lang w:val="fr-FR"/>
        </w:rPr>
        <w:t>’</w:t>
      </w:r>
      <w:r w:rsidRPr="005F174B">
        <w:rPr>
          <w:lang w:val="fr-FR"/>
        </w:rPr>
        <w:t>intérêts légaux susceptibles de compenser, au moins en partie, le laps de temps qui s</w:t>
      </w:r>
      <w:r w:rsidR="005F174B" w:rsidRPr="005F174B">
        <w:rPr>
          <w:lang w:val="fr-FR"/>
        </w:rPr>
        <w:t>’</w:t>
      </w:r>
      <w:r w:rsidRPr="005F174B">
        <w:rPr>
          <w:lang w:val="fr-FR"/>
        </w:rPr>
        <w:t>est écoulé depuis novembre 2007, soit la date à laquelle la créance est devenue exécutoire.</w:t>
      </w:r>
    </w:p>
    <w:p w:rsidR="00A639B1" w:rsidRPr="005F174B" w:rsidRDefault="00A639B1" w:rsidP="005F174B">
      <w:pPr>
        <w:pStyle w:val="ECHRPara"/>
        <w:rPr>
          <w:lang w:val="fr-FR"/>
        </w:rPr>
      </w:pPr>
      <w:r w:rsidRPr="005F174B">
        <w:rPr>
          <w:lang w:val="fr-FR"/>
        </w:rPr>
        <w:t>75.  La Cour estime par ailleurs que le requérant a également subi un préjudice moral certain en raison des sentiments d</w:t>
      </w:r>
      <w:r w:rsidR="005F174B" w:rsidRPr="005F174B">
        <w:rPr>
          <w:lang w:val="fr-FR"/>
        </w:rPr>
        <w:t>’</w:t>
      </w:r>
      <w:r w:rsidRPr="005F174B">
        <w:rPr>
          <w:lang w:val="fr-FR"/>
        </w:rPr>
        <w:t>impuissance et de frustration provoqués par l</w:t>
      </w:r>
      <w:r w:rsidR="005F174B" w:rsidRPr="005F174B">
        <w:rPr>
          <w:lang w:val="fr-FR"/>
        </w:rPr>
        <w:t>’</w:t>
      </w:r>
      <w:r w:rsidRPr="005F174B">
        <w:rPr>
          <w:lang w:val="fr-FR"/>
        </w:rPr>
        <w:t>impossibilité de voir exécuter la décision rendue en sa faveur et que ce préjudice n</w:t>
      </w:r>
      <w:r w:rsidR="005F174B" w:rsidRPr="005F174B">
        <w:rPr>
          <w:lang w:val="fr-FR"/>
        </w:rPr>
        <w:t>’</w:t>
      </w:r>
      <w:r w:rsidRPr="005F174B">
        <w:rPr>
          <w:lang w:val="fr-FR"/>
        </w:rPr>
        <w:t>est pas suffisamment compensé par un constat de violation.</w:t>
      </w:r>
    </w:p>
    <w:p w:rsidR="00A639B1" w:rsidRPr="005F174B" w:rsidRDefault="00A639B1" w:rsidP="005F174B">
      <w:pPr>
        <w:pStyle w:val="ECHRPara"/>
        <w:rPr>
          <w:lang w:val="fr-FR"/>
        </w:rPr>
      </w:pPr>
      <w:r w:rsidRPr="005F174B">
        <w:rPr>
          <w:lang w:val="fr-FR"/>
        </w:rPr>
        <w:t>76.  Compte tenu de l</w:t>
      </w:r>
      <w:r w:rsidR="005F174B" w:rsidRPr="005F174B">
        <w:rPr>
          <w:lang w:val="fr-FR"/>
        </w:rPr>
        <w:t>’</w:t>
      </w:r>
      <w:r w:rsidRPr="005F174B">
        <w:rPr>
          <w:lang w:val="fr-FR"/>
        </w:rPr>
        <w:t>ensemble de ces éléments et statuant en équité, la Cour estime raisonnable d</w:t>
      </w:r>
      <w:r w:rsidR="005F174B" w:rsidRPr="005F174B">
        <w:rPr>
          <w:lang w:val="fr-FR"/>
        </w:rPr>
        <w:t>’</w:t>
      </w:r>
      <w:r w:rsidRPr="005F174B">
        <w:rPr>
          <w:lang w:val="fr-FR"/>
        </w:rPr>
        <w:t>accorder au requérant la somme globale de 880 000 EUR, tous préjudices confondus, plus tout montant pouvant être dû à titre d</w:t>
      </w:r>
      <w:r w:rsidR="005F174B" w:rsidRPr="005F174B">
        <w:rPr>
          <w:lang w:val="fr-FR"/>
        </w:rPr>
        <w:t>’</w:t>
      </w:r>
      <w:r w:rsidRPr="005F174B">
        <w:rPr>
          <w:lang w:val="fr-FR"/>
        </w:rPr>
        <w:t>impôt sur cette somme.</w:t>
      </w:r>
    </w:p>
    <w:p w:rsidR="00A639B1" w:rsidRPr="005F174B" w:rsidRDefault="00A639B1" w:rsidP="005F174B">
      <w:pPr>
        <w:pStyle w:val="ECHRHeading2"/>
        <w:rPr>
          <w:lang w:val="fr-FR"/>
        </w:rPr>
      </w:pPr>
      <w:r w:rsidRPr="005F174B">
        <w:rPr>
          <w:lang w:val="fr-FR"/>
        </w:rPr>
        <w:t>B.  Frais et dépens</w:t>
      </w:r>
    </w:p>
    <w:p w:rsidR="00A639B1" w:rsidRPr="005F174B" w:rsidRDefault="00A639B1" w:rsidP="005F174B">
      <w:pPr>
        <w:pStyle w:val="ECHRPara"/>
        <w:rPr>
          <w:lang w:val="fr-FR"/>
        </w:rPr>
      </w:pPr>
      <w:r w:rsidRPr="005F174B">
        <w:rPr>
          <w:lang w:val="fr-FR"/>
        </w:rPr>
        <w:t>77.  Le requérant demande également 85 274 EUR pour les frais et dépens engagés devant les juridictions internes ainsi qu</w:t>
      </w:r>
      <w:r w:rsidR="005F174B" w:rsidRPr="005F174B">
        <w:rPr>
          <w:lang w:val="fr-FR"/>
        </w:rPr>
        <w:t>’</w:t>
      </w:r>
      <w:r w:rsidRPr="005F174B">
        <w:rPr>
          <w:lang w:val="fr-FR"/>
        </w:rPr>
        <w:t>une somme équitable pour ceux engagés devant la Cour.</w:t>
      </w:r>
    </w:p>
    <w:p w:rsidR="00A639B1" w:rsidRPr="005F174B" w:rsidRDefault="00A639B1" w:rsidP="005F174B">
      <w:pPr>
        <w:pStyle w:val="ECHRPara"/>
        <w:rPr>
          <w:lang w:val="fr-FR"/>
        </w:rPr>
      </w:pPr>
      <w:r w:rsidRPr="005F174B">
        <w:rPr>
          <w:lang w:val="fr-FR"/>
        </w:rPr>
        <w:t>78.  Le Gouvernement considère que la demande du requérant relative aux frais que celui-ci dit avoir engagés pour les procédures nationales est exorbitante et non justifiée.</w:t>
      </w:r>
    </w:p>
    <w:p w:rsidR="00A639B1" w:rsidRPr="005F174B" w:rsidRDefault="00A639B1" w:rsidP="005F174B">
      <w:pPr>
        <w:pStyle w:val="ECHRPara"/>
        <w:rPr>
          <w:lang w:val="fr-FR"/>
        </w:rPr>
      </w:pPr>
      <w:r w:rsidRPr="005F174B">
        <w:rPr>
          <w:lang w:val="fr-FR"/>
        </w:rPr>
        <w:t>79.  Selon la jurisprudence de la Cour, un requérant ne peut obtenir le remboursement de ses frais et dépens que dans la mesure où se trouvent établis leur réalité, leur nécessité et le caractère raisonnable de leur taux. En l</w:t>
      </w:r>
      <w:r w:rsidR="005F174B" w:rsidRPr="005F174B">
        <w:rPr>
          <w:lang w:val="fr-FR"/>
        </w:rPr>
        <w:t>’</w:t>
      </w:r>
      <w:r w:rsidRPr="005F174B">
        <w:rPr>
          <w:lang w:val="fr-FR"/>
        </w:rPr>
        <w:t>espèce, compte tenu des documents dont elle dispose et de sa jurisprudence, la Cour estime raisonnable la somme de 8 000 EUR tous frais confondus et l</w:t>
      </w:r>
      <w:r w:rsidR="005F174B" w:rsidRPr="005F174B">
        <w:rPr>
          <w:lang w:val="fr-FR"/>
        </w:rPr>
        <w:t>’</w:t>
      </w:r>
      <w:r w:rsidRPr="005F174B">
        <w:rPr>
          <w:lang w:val="fr-FR"/>
        </w:rPr>
        <w:t>accorde au requérant.</w:t>
      </w:r>
    </w:p>
    <w:p w:rsidR="00A639B1" w:rsidRPr="005F174B" w:rsidRDefault="00A639B1" w:rsidP="005F174B">
      <w:pPr>
        <w:pStyle w:val="ECHRHeading2"/>
        <w:rPr>
          <w:lang w:val="fr-FR"/>
        </w:rPr>
      </w:pPr>
      <w:r w:rsidRPr="005F174B">
        <w:rPr>
          <w:lang w:val="fr-FR"/>
        </w:rPr>
        <w:t>C.  Intérêts moratoires</w:t>
      </w:r>
    </w:p>
    <w:p w:rsidR="00A639B1" w:rsidRPr="005F174B" w:rsidRDefault="00A639B1" w:rsidP="005F174B">
      <w:pPr>
        <w:pStyle w:val="ECHRPara"/>
        <w:rPr>
          <w:lang w:val="fr-FR"/>
        </w:rPr>
      </w:pPr>
      <w:r w:rsidRPr="005F174B">
        <w:rPr>
          <w:lang w:val="fr-FR"/>
        </w:rPr>
        <w:t>80.  La Cour juge approprié de calquer le taux des intérêts moratoires sur le taux d</w:t>
      </w:r>
      <w:r w:rsidR="005F174B" w:rsidRPr="005F174B">
        <w:rPr>
          <w:lang w:val="fr-FR"/>
        </w:rPr>
        <w:t>’</w:t>
      </w:r>
      <w:r w:rsidRPr="005F174B">
        <w:rPr>
          <w:lang w:val="fr-FR"/>
        </w:rPr>
        <w:t>intérêt de la facilité de prêt marginal de la Banque centrale européenne majoré de trois points de pourcentage.</w:t>
      </w:r>
    </w:p>
    <w:p w:rsidR="00A639B1" w:rsidRPr="005F174B" w:rsidRDefault="00A639B1" w:rsidP="005F174B">
      <w:pPr>
        <w:pStyle w:val="ECHRTitle1"/>
        <w:rPr>
          <w:lang w:val="fr-FR"/>
        </w:rPr>
      </w:pPr>
      <w:r w:rsidRPr="005F174B">
        <w:rPr>
          <w:lang w:val="fr-FR"/>
        </w:rPr>
        <w:lastRenderedPageBreak/>
        <w:t>PAR CES MOTIFS, LA COUR</w:t>
      </w:r>
    </w:p>
    <w:p w:rsidR="00A639B1" w:rsidRPr="005F174B" w:rsidRDefault="00A639B1" w:rsidP="005F174B">
      <w:pPr>
        <w:pStyle w:val="JuList"/>
        <w:rPr>
          <w:lang w:val="fr-FR"/>
        </w:rPr>
      </w:pPr>
      <w:r w:rsidRPr="005F174B">
        <w:rPr>
          <w:lang w:val="fr-FR"/>
        </w:rPr>
        <w:t>1.  </w:t>
      </w:r>
      <w:r w:rsidRPr="005F174B">
        <w:rPr>
          <w:i/>
          <w:lang w:val="fr-FR"/>
        </w:rPr>
        <w:t>Déclare</w:t>
      </w:r>
      <w:r w:rsidRPr="005F174B">
        <w:rPr>
          <w:lang w:val="fr-FR"/>
        </w:rPr>
        <w:t>, à la majorité, la requête recevable quant au grief tiré de l</w:t>
      </w:r>
      <w:r w:rsidR="005F174B" w:rsidRPr="005F174B">
        <w:rPr>
          <w:lang w:val="fr-FR"/>
        </w:rPr>
        <w:t>’</w:t>
      </w:r>
      <w:r w:rsidRPr="005F174B">
        <w:rPr>
          <w:lang w:val="fr-FR"/>
        </w:rPr>
        <w:t>article 6 § 1 de la Convention ;</w:t>
      </w:r>
    </w:p>
    <w:p w:rsidR="00A639B1" w:rsidRPr="005F174B" w:rsidRDefault="00A639B1" w:rsidP="005F174B">
      <w:pPr>
        <w:pStyle w:val="JuList"/>
        <w:rPr>
          <w:lang w:val="fr-FR"/>
        </w:rPr>
      </w:pPr>
    </w:p>
    <w:p w:rsidR="00A639B1" w:rsidRPr="005F174B" w:rsidRDefault="00A639B1" w:rsidP="005F174B">
      <w:pPr>
        <w:pStyle w:val="JuList"/>
        <w:rPr>
          <w:lang w:val="fr-FR"/>
        </w:rPr>
      </w:pPr>
      <w:r w:rsidRPr="005F174B">
        <w:rPr>
          <w:lang w:val="fr-FR"/>
        </w:rPr>
        <w:t>2.  </w:t>
      </w:r>
      <w:r w:rsidRPr="005F174B">
        <w:rPr>
          <w:i/>
          <w:lang w:val="fr-FR"/>
        </w:rPr>
        <w:t>Déclare</w:t>
      </w:r>
      <w:r w:rsidRPr="005F174B">
        <w:rPr>
          <w:lang w:val="fr-FR"/>
        </w:rPr>
        <w:t>, à l</w:t>
      </w:r>
      <w:r w:rsidR="005F174B" w:rsidRPr="005F174B">
        <w:rPr>
          <w:lang w:val="fr-FR"/>
        </w:rPr>
        <w:t>’</w:t>
      </w:r>
      <w:r w:rsidRPr="005F174B">
        <w:rPr>
          <w:lang w:val="fr-FR"/>
        </w:rPr>
        <w:t>unanimité, la requête recevable quant aux griefs tirés des articles 13 de la Convention et 1 du Protocole n</w:t>
      </w:r>
      <w:r w:rsidRPr="005F174B">
        <w:rPr>
          <w:vertAlign w:val="superscript"/>
          <w:lang w:val="fr-FR"/>
        </w:rPr>
        <w:t>o</w:t>
      </w:r>
      <w:r w:rsidRPr="005F174B">
        <w:rPr>
          <w:lang w:val="fr-FR"/>
        </w:rPr>
        <w:t>  1 à la Convention, en raison de l</w:t>
      </w:r>
      <w:r w:rsidR="005F174B" w:rsidRPr="005F174B">
        <w:rPr>
          <w:lang w:val="fr-FR"/>
        </w:rPr>
        <w:t>’</w:t>
      </w:r>
      <w:r w:rsidRPr="005F174B">
        <w:rPr>
          <w:lang w:val="fr-FR"/>
        </w:rPr>
        <w:t>impossibilité d</w:t>
      </w:r>
      <w:r w:rsidR="005F174B" w:rsidRPr="005F174B">
        <w:rPr>
          <w:lang w:val="fr-FR"/>
        </w:rPr>
        <w:t>’</w:t>
      </w:r>
      <w:r w:rsidRPr="005F174B">
        <w:rPr>
          <w:lang w:val="fr-FR"/>
        </w:rPr>
        <w:t>obtenir le paiement de la somme octroyée par la cour d</w:t>
      </w:r>
      <w:r w:rsidR="005F174B" w:rsidRPr="005F174B">
        <w:rPr>
          <w:lang w:val="fr-FR"/>
        </w:rPr>
        <w:t>’</w:t>
      </w:r>
      <w:r w:rsidRPr="005F174B">
        <w:rPr>
          <w:lang w:val="fr-FR"/>
        </w:rPr>
        <w:t>appel de Florence, et irrecevable pour le surplus ;</w:t>
      </w:r>
    </w:p>
    <w:p w:rsidR="00A639B1" w:rsidRPr="005F174B" w:rsidRDefault="00A639B1" w:rsidP="005F174B">
      <w:pPr>
        <w:pStyle w:val="JuList"/>
        <w:ind w:left="0" w:firstLine="0"/>
        <w:rPr>
          <w:lang w:val="fr-FR"/>
        </w:rPr>
      </w:pPr>
    </w:p>
    <w:p w:rsidR="00A639B1" w:rsidRPr="005F174B" w:rsidRDefault="00A639B1" w:rsidP="005F174B">
      <w:pPr>
        <w:pStyle w:val="JuList"/>
        <w:rPr>
          <w:lang w:val="fr-FR"/>
        </w:rPr>
      </w:pPr>
      <w:r w:rsidRPr="005F174B">
        <w:rPr>
          <w:lang w:val="fr-FR"/>
        </w:rPr>
        <w:t>3.  </w:t>
      </w:r>
      <w:r w:rsidRPr="005F174B">
        <w:rPr>
          <w:i/>
          <w:lang w:val="fr-FR"/>
        </w:rPr>
        <w:t>Dit</w:t>
      </w:r>
      <w:r w:rsidRPr="005F174B">
        <w:rPr>
          <w:lang w:val="fr-FR"/>
        </w:rPr>
        <w:t>, par cinq voix contre deux, qu</w:t>
      </w:r>
      <w:r w:rsidR="005F174B" w:rsidRPr="005F174B">
        <w:rPr>
          <w:lang w:val="fr-FR"/>
        </w:rPr>
        <w:t>’</w:t>
      </w:r>
      <w:r w:rsidRPr="005F174B">
        <w:rPr>
          <w:lang w:val="fr-FR"/>
        </w:rPr>
        <w:t>il y a eu violation de l</w:t>
      </w:r>
      <w:r w:rsidR="005F174B" w:rsidRPr="005F174B">
        <w:rPr>
          <w:lang w:val="fr-FR"/>
        </w:rPr>
        <w:t>’</w:t>
      </w:r>
      <w:r w:rsidRPr="005F174B">
        <w:rPr>
          <w:lang w:val="fr-FR"/>
        </w:rPr>
        <w:t>article 6 § 1 de la Convention ;</w:t>
      </w:r>
    </w:p>
    <w:p w:rsidR="00A639B1" w:rsidRPr="005F174B" w:rsidRDefault="00A639B1" w:rsidP="005F174B">
      <w:pPr>
        <w:pStyle w:val="JuList"/>
        <w:rPr>
          <w:lang w:val="fr-FR"/>
        </w:rPr>
      </w:pPr>
    </w:p>
    <w:p w:rsidR="00A639B1" w:rsidRPr="005F174B" w:rsidRDefault="00E444BC" w:rsidP="005F174B">
      <w:pPr>
        <w:pStyle w:val="JuList"/>
        <w:rPr>
          <w:lang w:val="fr-FR"/>
        </w:rPr>
      </w:pPr>
      <w:r w:rsidRPr="005F174B">
        <w:rPr>
          <w:lang w:val="fr-FR"/>
        </w:rPr>
        <w:t>4</w:t>
      </w:r>
      <w:r w:rsidR="00A639B1" w:rsidRPr="005F174B">
        <w:rPr>
          <w:lang w:val="fr-FR"/>
        </w:rPr>
        <w:t>.  </w:t>
      </w:r>
      <w:r w:rsidR="00A639B1" w:rsidRPr="005F174B">
        <w:rPr>
          <w:i/>
          <w:lang w:val="fr-FR"/>
        </w:rPr>
        <w:t>Dit</w:t>
      </w:r>
      <w:r w:rsidR="00A639B1" w:rsidRPr="005F174B">
        <w:rPr>
          <w:lang w:val="fr-FR"/>
        </w:rPr>
        <w:t>, à l</w:t>
      </w:r>
      <w:r w:rsidR="005F174B" w:rsidRPr="005F174B">
        <w:rPr>
          <w:lang w:val="fr-FR"/>
        </w:rPr>
        <w:t>’</w:t>
      </w:r>
      <w:r w:rsidR="00A639B1" w:rsidRPr="005F174B">
        <w:rPr>
          <w:lang w:val="fr-FR"/>
        </w:rPr>
        <w:t>unanimité, qu</w:t>
      </w:r>
      <w:r w:rsidR="005F174B" w:rsidRPr="005F174B">
        <w:rPr>
          <w:lang w:val="fr-FR"/>
        </w:rPr>
        <w:t>’</w:t>
      </w:r>
      <w:r w:rsidR="00A639B1" w:rsidRPr="005F174B">
        <w:rPr>
          <w:lang w:val="fr-FR"/>
        </w:rPr>
        <w:t>il y a eu violation de l</w:t>
      </w:r>
      <w:r w:rsidR="005F174B" w:rsidRPr="005F174B">
        <w:rPr>
          <w:lang w:val="fr-FR"/>
        </w:rPr>
        <w:t>’</w:t>
      </w:r>
      <w:r w:rsidR="00A639B1" w:rsidRPr="005F174B">
        <w:rPr>
          <w:lang w:val="fr-FR"/>
        </w:rPr>
        <w:t>article 1 du Protocole n</w:t>
      </w:r>
      <w:r w:rsidR="00A639B1" w:rsidRPr="005F174B">
        <w:rPr>
          <w:vertAlign w:val="superscript"/>
          <w:lang w:val="fr-FR"/>
        </w:rPr>
        <w:t>o</w:t>
      </w:r>
      <w:r w:rsidR="00A639B1" w:rsidRPr="005F174B">
        <w:rPr>
          <w:lang w:val="fr-FR"/>
        </w:rPr>
        <w:t xml:space="preserve"> 1 à la Convention ;</w:t>
      </w:r>
    </w:p>
    <w:p w:rsidR="00A639B1" w:rsidRPr="005F174B" w:rsidRDefault="00A639B1" w:rsidP="005F174B">
      <w:pPr>
        <w:pStyle w:val="JuList"/>
        <w:rPr>
          <w:lang w:val="fr-FR"/>
        </w:rPr>
      </w:pPr>
    </w:p>
    <w:p w:rsidR="00A639B1" w:rsidRPr="005F174B" w:rsidRDefault="00E444BC" w:rsidP="005F174B">
      <w:pPr>
        <w:pStyle w:val="JuList"/>
        <w:rPr>
          <w:lang w:val="fr-FR"/>
        </w:rPr>
      </w:pPr>
      <w:r w:rsidRPr="005F174B">
        <w:rPr>
          <w:lang w:val="fr-FR"/>
        </w:rPr>
        <w:t>5</w:t>
      </w:r>
      <w:r w:rsidR="00A639B1" w:rsidRPr="005F174B">
        <w:rPr>
          <w:lang w:val="fr-FR"/>
        </w:rPr>
        <w:t>.  </w:t>
      </w:r>
      <w:r w:rsidR="00A639B1" w:rsidRPr="005F174B">
        <w:rPr>
          <w:i/>
          <w:lang w:val="fr-FR"/>
        </w:rPr>
        <w:t>Dit</w:t>
      </w:r>
      <w:r w:rsidR="00A639B1" w:rsidRPr="005F174B">
        <w:rPr>
          <w:lang w:val="fr-FR"/>
        </w:rPr>
        <w:t>, à l</w:t>
      </w:r>
      <w:r w:rsidR="005F174B" w:rsidRPr="005F174B">
        <w:rPr>
          <w:lang w:val="fr-FR"/>
        </w:rPr>
        <w:t>’</w:t>
      </w:r>
      <w:r w:rsidR="00A639B1" w:rsidRPr="005F174B">
        <w:rPr>
          <w:lang w:val="fr-FR"/>
        </w:rPr>
        <w:t>unanimité, qu</w:t>
      </w:r>
      <w:r w:rsidR="005F174B" w:rsidRPr="005F174B">
        <w:rPr>
          <w:lang w:val="fr-FR"/>
        </w:rPr>
        <w:t>’</w:t>
      </w:r>
      <w:r w:rsidR="00A639B1" w:rsidRPr="005F174B">
        <w:rPr>
          <w:lang w:val="fr-FR"/>
        </w:rPr>
        <w:t>il n</w:t>
      </w:r>
      <w:r w:rsidR="005F174B" w:rsidRPr="005F174B">
        <w:rPr>
          <w:lang w:val="fr-FR"/>
        </w:rPr>
        <w:t>’</w:t>
      </w:r>
      <w:r w:rsidR="00A639B1" w:rsidRPr="005F174B">
        <w:rPr>
          <w:lang w:val="fr-FR"/>
        </w:rPr>
        <w:t>y a pas lieu d</w:t>
      </w:r>
      <w:r w:rsidR="005F174B" w:rsidRPr="005F174B">
        <w:rPr>
          <w:lang w:val="fr-FR"/>
        </w:rPr>
        <w:t>’</w:t>
      </w:r>
      <w:r w:rsidR="00A639B1" w:rsidRPr="005F174B">
        <w:rPr>
          <w:lang w:val="fr-FR"/>
        </w:rPr>
        <w:t>examiner le grief tiré de l</w:t>
      </w:r>
      <w:r w:rsidR="005F174B" w:rsidRPr="005F174B">
        <w:rPr>
          <w:lang w:val="fr-FR"/>
        </w:rPr>
        <w:t>’</w:t>
      </w:r>
      <w:r w:rsidR="00A639B1" w:rsidRPr="005F174B">
        <w:rPr>
          <w:lang w:val="fr-FR"/>
        </w:rPr>
        <w:t>article 13 de la Convention ;</w:t>
      </w:r>
    </w:p>
    <w:p w:rsidR="00A639B1" w:rsidRPr="005F174B" w:rsidRDefault="00A639B1" w:rsidP="005F174B">
      <w:pPr>
        <w:pStyle w:val="JuList"/>
        <w:rPr>
          <w:lang w:val="fr-FR"/>
        </w:rPr>
      </w:pPr>
    </w:p>
    <w:p w:rsidR="00A639B1" w:rsidRPr="005F174B" w:rsidRDefault="00E444BC" w:rsidP="005F174B">
      <w:pPr>
        <w:pStyle w:val="JuList"/>
        <w:rPr>
          <w:lang w:val="fr-FR"/>
        </w:rPr>
      </w:pPr>
      <w:r w:rsidRPr="005F174B">
        <w:rPr>
          <w:lang w:val="fr-FR"/>
        </w:rPr>
        <w:t>6</w:t>
      </w:r>
      <w:r w:rsidR="00A639B1" w:rsidRPr="005F174B">
        <w:rPr>
          <w:lang w:val="fr-FR"/>
        </w:rPr>
        <w:t>.  </w:t>
      </w:r>
      <w:r w:rsidR="00A639B1" w:rsidRPr="005F174B">
        <w:rPr>
          <w:i/>
          <w:lang w:val="fr-FR"/>
        </w:rPr>
        <w:t>Dit</w:t>
      </w:r>
      <w:r w:rsidR="00A639B1" w:rsidRPr="005F174B">
        <w:rPr>
          <w:lang w:val="fr-FR"/>
        </w:rPr>
        <w:t>, à l</w:t>
      </w:r>
      <w:r w:rsidR="005F174B" w:rsidRPr="005F174B">
        <w:rPr>
          <w:lang w:val="fr-FR"/>
        </w:rPr>
        <w:t>’</w:t>
      </w:r>
      <w:r w:rsidR="00A639B1" w:rsidRPr="005F174B">
        <w:rPr>
          <w:lang w:val="fr-FR"/>
        </w:rPr>
        <w:t>unanimité,</w:t>
      </w:r>
    </w:p>
    <w:p w:rsidR="00A639B1" w:rsidRPr="005F174B" w:rsidRDefault="00A639B1" w:rsidP="005F174B">
      <w:pPr>
        <w:pStyle w:val="JuLista"/>
        <w:rPr>
          <w:lang w:val="fr-FR"/>
        </w:rPr>
      </w:pPr>
      <w:r w:rsidRPr="005F174B">
        <w:rPr>
          <w:lang w:val="fr-FR"/>
        </w:rPr>
        <w:t>a)  que l</w:t>
      </w:r>
      <w:r w:rsidR="005F174B" w:rsidRPr="005F174B">
        <w:rPr>
          <w:lang w:val="fr-FR"/>
        </w:rPr>
        <w:t>’</w:t>
      </w:r>
      <w:r w:rsidRPr="005F174B">
        <w:rPr>
          <w:lang w:val="fr-FR"/>
        </w:rPr>
        <w:t>État défendeur doit verser au requérant, dans les trois mois à compter du jour où l</w:t>
      </w:r>
      <w:r w:rsidR="005F174B" w:rsidRPr="005F174B">
        <w:rPr>
          <w:lang w:val="fr-FR"/>
        </w:rPr>
        <w:t>’</w:t>
      </w:r>
      <w:r w:rsidRPr="005F174B">
        <w:rPr>
          <w:lang w:val="fr-FR"/>
        </w:rPr>
        <w:t>arrêt sera devenu définitif conformément à l</w:t>
      </w:r>
      <w:r w:rsidR="005F174B" w:rsidRPr="005F174B">
        <w:rPr>
          <w:lang w:val="fr-FR"/>
        </w:rPr>
        <w:t>’</w:t>
      </w:r>
      <w:r w:rsidRPr="005F174B">
        <w:rPr>
          <w:lang w:val="fr-FR"/>
        </w:rPr>
        <w:t>article 44 § 2 de la Convention, les sommes suivantes :</w:t>
      </w:r>
    </w:p>
    <w:p w:rsidR="00A639B1" w:rsidRPr="005F174B" w:rsidRDefault="00A639B1" w:rsidP="005F174B">
      <w:pPr>
        <w:pStyle w:val="JuListi"/>
        <w:rPr>
          <w:lang w:val="fr-FR" w:eastAsia="en-GB"/>
        </w:rPr>
      </w:pPr>
      <w:r w:rsidRPr="005F174B">
        <w:rPr>
          <w:lang w:val="fr-FR" w:eastAsia="en-GB"/>
        </w:rPr>
        <w:t>i.  </w:t>
      </w:r>
      <w:r w:rsidRPr="005F174B">
        <w:rPr>
          <w:lang w:val="fr-FR"/>
        </w:rPr>
        <w:t>880 000</w:t>
      </w:r>
      <w:r w:rsidRPr="005F174B">
        <w:rPr>
          <w:lang w:val="fr-FR" w:eastAsia="en-GB"/>
        </w:rPr>
        <w:t xml:space="preserve"> EUR (huit cent quatre-vingt mille euros), plus tout montant pouvant être dû à titre d</w:t>
      </w:r>
      <w:r w:rsidR="005F174B" w:rsidRPr="005F174B">
        <w:rPr>
          <w:lang w:val="fr-FR" w:eastAsia="en-GB"/>
        </w:rPr>
        <w:t>’</w:t>
      </w:r>
      <w:r w:rsidRPr="005F174B">
        <w:rPr>
          <w:lang w:val="fr-FR" w:eastAsia="en-GB"/>
        </w:rPr>
        <w:t>impôt, pour dommage matériel et moral ;</w:t>
      </w:r>
    </w:p>
    <w:p w:rsidR="00A639B1" w:rsidRPr="005F174B" w:rsidRDefault="00A639B1" w:rsidP="005F174B">
      <w:pPr>
        <w:pStyle w:val="JuListi"/>
        <w:rPr>
          <w:lang w:val="fr-FR" w:eastAsia="en-GB"/>
        </w:rPr>
      </w:pPr>
      <w:r w:rsidRPr="005F174B">
        <w:rPr>
          <w:lang w:val="fr-FR" w:eastAsia="en-GB"/>
        </w:rPr>
        <w:t xml:space="preserve">ii.  8 000 EUR (huit mille euros), plus tout montant pouvant être dû par </w:t>
      </w:r>
      <w:r w:rsidRPr="005F174B">
        <w:rPr>
          <w:lang w:val="fr-FR"/>
        </w:rPr>
        <w:t>le requérant</w:t>
      </w:r>
      <w:r w:rsidRPr="005F174B">
        <w:rPr>
          <w:lang w:val="fr-FR" w:eastAsia="en-GB"/>
        </w:rPr>
        <w:t xml:space="preserve"> à titre d</w:t>
      </w:r>
      <w:r w:rsidR="005F174B" w:rsidRPr="005F174B">
        <w:rPr>
          <w:lang w:val="fr-FR" w:eastAsia="en-GB"/>
        </w:rPr>
        <w:t>’</w:t>
      </w:r>
      <w:r w:rsidRPr="005F174B">
        <w:rPr>
          <w:lang w:val="fr-FR" w:eastAsia="en-GB"/>
        </w:rPr>
        <w:t>impôt, pour frais et dépens ;</w:t>
      </w:r>
    </w:p>
    <w:p w:rsidR="00A639B1" w:rsidRPr="005F174B" w:rsidRDefault="00A639B1" w:rsidP="005F174B">
      <w:pPr>
        <w:pStyle w:val="JuLista"/>
        <w:rPr>
          <w:lang w:val="fr-FR"/>
        </w:rPr>
      </w:pPr>
      <w:r w:rsidRPr="005F174B">
        <w:rPr>
          <w:lang w:val="fr-FR"/>
        </w:rPr>
        <w:t>b)  qu</w:t>
      </w:r>
      <w:r w:rsidR="005F174B" w:rsidRPr="005F174B">
        <w:rPr>
          <w:lang w:val="fr-FR"/>
        </w:rPr>
        <w:t>’</w:t>
      </w:r>
      <w:r w:rsidRPr="005F174B">
        <w:rPr>
          <w:lang w:val="fr-FR"/>
        </w:rPr>
        <w:t>à compter de l</w:t>
      </w:r>
      <w:r w:rsidR="005F174B" w:rsidRPr="005F174B">
        <w:rPr>
          <w:lang w:val="fr-FR"/>
        </w:rPr>
        <w:t>’</w:t>
      </w:r>
      <w:r w:rsidRPr="005F174B">
        <w:rPr>
          <w:lang w:val="fr-FR"/>
        </w:rPr>
        <w:t>expiration dudit délai et jusqu</w:t>
      </w:r>
      <w:r w:rsidR="005F174B" w:rsidRPr="005F174B">
        <w:rPr>
          <w:lang w:val="fr-FR"/>
        </w:rPr>
        <w:t>’</w:t>
      </w:r>
      <w:r w:rsidRPr="005F174B">
        <w:rPr>
          <w:lang w:val="fr-FR"/>
        </w:rPr>
        <w:t>au versement, ces montants seront à majorer d</w:t>
      </w:r>
      <w:r w:rsidR="005F174B" w:rsidRPr="005F174B">
        <w:rPr>
          <w:lang w:val="fr-FR"/>
        </w:rPr>
        <w:t>’</w:t>
      </w:r>
      <w:r w:rsidRPr="005F174B">
        <w:rPr>
          <w:lang w:val="fr-FR"/>
        </w:rPr>
        <w:t>un intérêt simple à un taux égal à celui de la facilité de prêt marginal de la Banque centrale européenne applicable pendant cette période, augmenté de trois points de pourcentage ;</w:t>
      </w:r>
    </w:p>
    <w:p w:rsidR="00A639B1" w:rsidRPr="005F174B" w:rsidRDefault="00A639B1" w:rsidP="005F174B">
      <w:pPr>
        <w:pStyle w:val="JuLista"/>
        <w:rPr>
          <w:lang w:val="fr-FR"/>
        </w:rPr>
      </w:pPr>
    </w:p>
    <w:p w:rsidR="00021956" w:rsidRPr="005F174B" w:rsidRDefault="00E444BC" w:rsidP="005F174B">
      <w:pPr>
        <w:pStyle w:val="ECHRPara"/>
        <w:ind w:firstLine="0"/>
        <w:rPr>
          <w:lang w:val="fr-FR"/>
        </w:rPr>
      </w:pPr>
      <w:r w:rsidRPr="005F174B">
        <w:rPr>
          <w:lang w:val="fr-FR"/>
        </w:rPr>
        <w:t>7</w:t>
      </w:r>
      <w:r w:rsidR="00A639B1" w:rsidRPr="005F174B">
        <w:rPr>
          <w:lang w:val="fr-FR"/>
        </w:rPr>
        <w:t>.  </w:t>
      </w:r>
      <w:r w:rsidR="00A639B1" w:rsidRPr="005F174B">
        <w:rPr>
          <w:i/>
          <w:lang w:val="fr-FR"/>
        </w:rPr>
        <w:t>Rejette</w:t>
      </w:r>
      <w:r w:rsidR="00A639B1" w:rsidRPr="005F174B">
        <w:rPr>
          <w:lang w:val="fr-FR"/>
        </w:rPr>
        <w:t>, à l</w:t>
      </w:r>
      <w:r w:rsidR="005F174B" w:rsidRPr="005F174B">
        <w:rPr>
          <w:lang w:val="fr-FR"/>
        </w:rPr>
        <w:t>’</w:t>
      </w:r>
      <w:r w:rsidR="00A639B1" w:rsidRPr="005F174B">
        <w:rPr>
          <w:lang w:val="fr-FR"/>
        </w:rPr>
        <w:t>unanimité, la demande de satisfaction équitable pour le surplus.</w:t>
      </w:r>
    </w:p>
    <w:p w:rsidR="00102FB2" w:rsidRPr="005F174B" w:rsidRDefault="00102FB2" w:rsidP="005F174B">
      <w:pPr>
        <w:pStyle w:val="JuParaLast"/>
        <w:keepNext w:val="0"/>
        <w:keepLines w:val="0"/>
        <w:rPr>
          <w:lang w:val="fr-FR"/>
        </w:rPr>
      </w:pPr>
      <w:r w:rsidRPr="005F174B">
        <w:rPr>
          <w:lang w:val="fr-FR"/>
        </w:rPr>
        <w:t xml:space="preserve">Fait en français, puis communiqué par écrit le </w:t>
      </w:r>
      <w:r w:rsidR="00A639B1" w:rsidRPr="005F174B">
        <w:rPr>
          <w:rFonts w:ascii="Times New Roman" w:hAnsi="Times New Roman" w:cs="Times New Roman"/>
          <w:lang w:val="fr-FR"/>
        </w:rPr>
        <w:t>14 mars 2019</w:t>
      </w:r>
      <w:r w:rsidRPr="005F174B">
        <w:rPr>
          <w:lang w:val="fr-FR"/>
        </w:rPr>
        <w:t>, en application de l</w:t>
      </w:r>
      <w:r w:rsidR="005F174B" w:rsidRPr="005F174B">
        <w:rPr>
          <w:lang w:val="fr-FR"/>
        </w:rPr>
        <w:t>’</w:t>
      </w:r>
      <w:r w:rsidRPr="005F174B">
        <w:rPr>
          <w:lang w:val="fr-FR"/>
        </w:rPr>
        <w:t>article 77 §§ 2 et 3 du règlement de la Cour.</w:t>
      </w:r>
    </w:p>
    <w:p w:rsidR="004D15F3" w:rsidRPr="005F174B" w:rsidRDefault="00A639B1" w:rsidP="005F174B">
      <w:pPr>
        <w:pStyle w:val="JuSigned"/>
        <w:tabs>
          <w:tab w:val="clear" w:pos="6407"/>
          <w:tab w:val="center" w:pos="6096"/>
        </w:tabs>
        <w:rPr>
          <w:szCs w:val="24"/>
          <w:lang w:val="fr-FR"/>
        </w:rPr>
      </w:pPr>
      <w:r w:rsidRPr="005F174B">
        <w:rPr>
          <w:lang w:val="fr-FR"/>
        </w:rPr>
        <w:tab/>
        <w:t>Abel Campos</w:t>
      </w:r>
      <w:r w:rsidR="00777C71" w:rsidRPr="005F174B">
        <w:rPr>
          <w:lang w:val="fr-FR"/>
        </w:rPr>
        <w:tab/>
      </w:r>
      <w:r w:rsidRPr="005F174B">
        <w:rPr>
          <w:szCs w:val="24"/>
          <w:lang w:val="fr-FR"/>
        </w:rPr>
        <w:t>Linos-Alexandre Sicilianos</w:t>
      </w:r>
      <w:r w:rsidR="00777C71" w:rsidRPr="005F174B">
        <w:rPr>
          <w:lang w:val="fr-FR"/>
        </w:rPr>
        <w:br/>
      </w:r>
      <w:r w:rsidR="00777C71" w:rsidRPr="005F174B">
        <w:rPr>
          <w:lang w:val="fr-FR"/>
        </w:rPr>
        <w:tab/>
      </w:r>
      <w:r w:rsidRPr="005F174B">
        <w:rPr>
          <w:lang w:val="fr-FR"/>
        </w:rPr>
        <w:t>Greffier</w:t>
      </w:r>
      <w:r w:rsidR="00777C71" w:rsidRPr="005F174B">
        <w:rPr>
          <w:lang w:val="fr-FR"/>
        </w:rPr>
        <w:tab/>
      </w:r>
      <w:r w:rsidRPr="005F174B">
        <w:rPr>
          <w:lang w:val="fr-FR"/>
        </w:rPr>
        <w:t>Président</w:t>
      </w:r>
    </w:p>
    <w:p w:rsidR="00A639B1" w:rsidRPr="005F174B" w:rsidRDefault="00A639B1" w:rsidP="005F174B">
      <w:pPr>
        <w:pStyle w:val="JuParaLast"/>
        <w:rPr>
          <w:lang w:val="fr-FR"/>
        </w:rPr>
      </w:pPr>
      <w:r w:rsidRPr="005F174B">
        <w:rPr>
          <w:lang w:val="fr-FR"/>
        </w:rPr>
        <w:lastRenderedPageBreak/>
        <w:t>Au présent arrêt se trouve joint, conformément aux articles 45 § 2 de la Convention et 74 § 2 du règlement, l</w:t>
      </w:r>
      <w:r w:rsidR="005F174B" w:rsidRPr="005F174B">
        <w:rPr>
          <w:lang w:val="fr-FR"/>
        </w:rPr>
        <w:t>’</w:t>
      </w:r>
      <w:r w:rsidRPr="005F174B">
        <w:rPr>
          <w:lang w:val="fr-FR"/>
        </w:rPr>
        <w:t>exposé</w:t>
      </w:r>
      <w:r w:rsidR="005A7779" w:rsidRPr="005F174B">
        <w:rPr>
          <w:lang w:val="fr-FR"/>
        </w:rPr>
        <w:t xml:space="preserve"> de l</w:t>
      </w:r>
      <w:r w:rsidR="005F174B" w:rsidRPr="005F174B">
        <w:rPr>
          <w:lang w:val="fr-FR"/>
        </w:rPr>
        <w:t>’</w:t>
      </w:r>
      <w:r w:rsidR="005A7779" w:rsidRPr="005F174B">
        <w:rPr>
          <w:lang w:val="fr-FR"/>
        </w:rPr>
        <w:t>opinion séparée des juges Eicke et Felici.</w:t>
      </w:r>
    </w:p>
    <w:p w:rsidR="005A7779" w:rsidRPr="005F174B" w:rsidRDefault="005A7779" w:rsidP="005F174B">
      <w:pPr>
        <w:pStyle w:val="ECHRPara"/>
        <w:rPr>
          <w:lang w:val="fr-FR"/>
        </w:rPr>
      </w:pPr>
    </w:p>
    <w:p w:rsidR="00A639B1" w:rsidRPr="005F174B" w:rsidRDefault="001A5754" w:rsidP="005F174B">
      <w:pPr>
        <w:pStyle w:val="JuInitialled"/>
      </w:pPr>
      <w:r w:rsidRPr="005F174B">
        <w:t>L</w:t>
      </w:r>
      <w:r w:rsidR="005A7779" w:rsidRPr="005F174B">
        <w:t>.</w:t>
      </w:r>
      <w:r w:rsidRPr="005F174B">
        <w:t>A</w:t>
      </w:r>
      <w:r w:rsidR="005A7779" w:rsidRPr="005F174B">
        <w:t>.</w:t>
      </w:r>
      <w:r w:rsidRPr="005F174B">
        <w:t>S</w:t>
      </w:r>
      <w:r w:rsidR="00A639B1" w:rsidRPr="005F174B">
        <w:br/>
      </w:r>
      <w:r w:rsidRPr="005F174B">
        <w:t>A</w:t>
      </w:r>
      <w:r w:rsidR="005A7779" w:rsidRPr="005F174B">
        <w:t>.</w:t>
      </w:r>
      <w:r w:rsidRPr="005F174B">
        <w:t>C</w:t>
      </w:r>
    </w:p>
    <w:p w:rsidR="004332E1" w:rsidRPr="005F174B" w:rsidRDefault="004332E1" w:rsidP="005F174B">
      <w:pPr>
        <w:pStyle w:val="JuInitialled"/>
      </w:pPr>
    </w:p>
    <w:p w:rsidR="004332E1" w:rsidRPr="005F174B" w:rsidRDefault="004332E1" w:rsidP="005F174B">
      <w:pPr>
        <w:pStyle w:val="JuInitialled"/>
      </w:pPr>
    </w:p>
    <w:p w:rsidR="00A639B1" w:rsidRPr="005F174B" w:rsidRDefault="00A639B1" w:rsidP="005F174B">
      <w:pPr>
        <w:pStyle w:val="JuParaLast"/>
        <w:sectPr w:rsidR="00A639B1" w:rsidRPr="005F174B" w:rsidSect="00054A5D">
          <w:headerReference w:type="even" r:id="rId14"/>
          <w:headerReference w:type="default" r:id="rId15"/>
          <w:footerReference w:type="even" r:id="rId16"/>
          <w:footerReference w:type="default" r:id="rId17"/>
          <w:footnotePr>
            <w:numRestart w:val="eachSect"/>
          </w:footnotePr>
          <w:pgSz w:w="11906" w:h="16838" w:code="9"/>
          <w:pgMar w:top="2274" w:right="2274" w:bottom="2274" w:left="2274" w:header="1701" w:footer="720" w:gutter="0"/>
          <w:pgNumType w:start="1"/>
          <w:cols w:space="720"/>
          <w:noEndnote/>
        </w:sectPr>
      </w:pPr>
    </w:p>
    <w:p w:rsidR="001A5754" w:rsidRPr="005F174B" w:rsidRDefault="001A5754" w:rsidP="005F174B">
      <w:pPr>
        <w:pStyle w:val="ECHRTitleCentre1"/>
        <w:rPr>
          <w:rFonts w:ascii="Times New Roman" w:eastAsia="Times New Roman" w:hAnsi="Times New Roman" w:cs="Times New Roman"/>
        </w:rPr>
      </w:pPr>
      <w:r w:rsidRPr="005F174B">
        <w:rPr>
          <w:rFonts w:ascii="Times New Roman" w:eastAsia="Times New Roman" w:hAnsi="Times New Roman" w:cs="Times New Roman"/>
        </w:rPr>
        <w:lastRenderedPageBreak/>
        <w:t>PARTLY CONCURRING, PARTLY DISSENTING OPINION OF JUDGES EICKE AND FELICI</w:t>
      </w:r>
    </w:p>
    <w:p w:rsidR="001A5754" w:rsidRPr="005F174B" w:rsidRDefault="005F174B" w:rsidP="005F174B">
      <w:pPr>
        <w:pStyle w:val="ECHRHeading2"/>
        <w:rPr>
          <w:rFonts w:eastAsia="Times New Roman"/>
        </w:rPr>
      </w:pPr>
      <w:r w:rsidRPr="005F174B">
        <w:rPr>
          <w:rFonts w:eastAsia="Times New Roman"/>
        </w:rPr>
        <w:t>A.  </w:t>
      </w:r>
      <w:r w:rsidR="001A5754" w:rsidRPr="005F174B">
        <w:rPr>
          <w:rFonts w:eastAsia="Times New Roman"/>
        </w:rPr>
        <w:t>Introduction</w:t>
      </w:r>
    </w:p>
    <w:p w:rsidR="001A5754" w:rsidRPr="005F174B" w:rsidRDefault="001A5754" w:rsidP="005F174B">
      <w:pPr>
        <w:pStyle w:val="OpiPara"/>
        <w:rPr>
          <w:rFonts w:eastAsia="Times New Roman"/>
        </w:rPr>
      </w:pPr>
      <w:r w:rsidRPr="005F174B">
        <w:rPr>
          <w:rFonts w:eastAsia="Times New Roman"/>
        </w:rPr>
        <w:fldChar w:fldCharType="begin"/>
      </w:r>
      <w:r w:rsidRPr="005F174B">
        <w:rPr>
          <w:rFonts w:eastAsia="Times New Roman"/>
        </w:rPr>
        <w:instrText xml:space="preserve"> SEQ level0 \*arabic </w:instrText>
      </w:r>
      <w:r w:rsidRPr="005F174B">
        <w:rPr>
          <w:rFonts w:eastAsia="Times New Roman"/>
        </w:rPr>
        <w:fldChar w:fldCharType="separate"/>
      </w:r>
      <w:r w:rsidR="005F174B" w:rsidRPr="005F174B">
        <w:rPr>
          <w:rFonts w:eastAsia="Times New Roman"/>
          <w:noProof/>
        </w:rPr>
        <w:t>1</w:t>
      </w:r>
      <w:r w:rsidRPr="005F174B">
        <w:rPr>
          <w:rFonts w:eastAsia="Times New Roman"/>
        </w:rPr>
        <w:fldChar w:fldCharType="end"/>
      </w:r>
      <w:r w:rsidRPr="005F174B">
        <w:rPr>
          <w:rFonts w:eastAsia="Times New Roman"/>
        </w:rPr>
        <w:t>.  While we share the majority</w:t>
      </w:r>
      <w:r w:rsidR="005F174B" w:rsidRPr="005F174B">
        <w:rPr>
          <w:rFonts w:eastAsia="Times New Roman"/>
        </w:rPr>
        <w:t>’</w:t>
      </w:r>
      <w:r w:rsidRPr="005F174B">
        <w:rPr>
          <w:rFonts w:eastAsia="Times New Roman"/>
        </w:rPr>
        <w:t>s conclusion that there has here been a clear breach of the applicant</w:t>
      </w:r>
      <w:r w:rsidR="005F174B" w:rsidRPr="005F174B">
        <w:rPr>
          <w:rFonts w:eastAsia="Times New Roman"/>
        </w:rPr>
        <w:t>’</w:t>
      </w:r>
      <w:r w:rsidRPr="005F174B">
        <w:rPr>
          <w:rFonts w:eastAsia="Times New Roman"/>
        </w:rPr>
        <w:t>s rights under Article 1 of the First Protocol to the Convention and Article 13 of the Convention in relation to the non-payment of compensation for the expropriation of his property, unfortunately we cannot agree either that there was in this case a breach of Article 6 of the Convention nor with the reasons for the finding of a breach of Article 1 of the First Protocol. We also agree that there has been no violation of Article 1 of the First Protocol in relation to the alleged inadequacy of the amount of compensation calculated by the Florence Court of Appeal.</w:t>
      </w:r>
    </w:p>
    <w:p w:rsidR="001A5754" w:rsidRPr="005F174B" w:rsidRDefault="001A5754" w:rsidP="005F174B">
      <w:pPr>
        <w:pStyle w:val="OpiPara"/>
        <w:rPr>
          <w:rFonts w:eastAsia="Times New Roman"/>
        </w:rPr>
      </w:pPr>
      <w:r w:rsidRPr="005F174B">
        <w:rPr>
          <w:rFonts w:eastAsia="Times New Roman"/>
        </w:rPr>
        <w:fldChar w:fldCharType="begin"/>
      </w:r>
      <w:r w:rsidRPr="005F174B">
        <w:rPr>
          <w:rFonts w:eastAsia="Times New Roman"/>
        </w:rPr>
        <w:instrText xml:space="preserve"> SEQ level0 \*arabic </w:instrText>
      </w:r>
      <w:r w:rsidRPr="005F174B">
        <w:rPr>
          <w:rFonts w:eastAsia="Times New Roman"/>
        </w:rPr>
        <w:fldChar w:fldCharType="separate"/>
      </w:r>
      <w:r w:rsidR="005F174B" w:rsidRPr="005F174B">
        <w:rPr>
          <w:rFonts w:eastAsia="Times New Roman"/>
          <w:noProof/>
        </w:rPr>
        <w:t>2</w:t>
      </w:r>
      <w:r w:rsidRPr="005F174B">
        <w:rPr>
          <w:rFonts w:eastAsia="Times New Roman"/>
        </w:rPr>
        <w:fldChar w:fldCharType="end"/>
      </w:r>
      <w:r w:rsidRPr="005F174B">
        <w:rPr>
          <w:rFonts w:eastAsia="Times New Roman"/>
        </w:rPr>
        <w:t>.  Before we set out briefly the reasons for our disagreement, it is important to note that it is particularly disappointing that the applicant, to this day, has not received any compensation for the acknowledged expropriation, carried out for and on behalf of the State (even if ultimately carried out by a private company expressly empowered by the State to undertake these acts), which took place in fact on 18 May 1981 (§ 10) and formally on 6 July 1989 (§ 11) and which was first recognised as an expropriation by the domestic courts by the first instance cour</w:t>
      </w:r>
      <w:r w:rsidR="004332E1" w:rsidRPr="005F174B">
        <w:rPr>
          <w:rFonts w:eastAsia="Times New Roman"/>
        </w:rPr>
        <w:t xml:space="preserve">t in Livorno on 22 March 2001. </w:t>
      </w:r>
      <w:r w:rsidRPr="005F174B">
        <w:rPr>
          <w:rFonts w:eastAsia="Times New Roman"/>
        </w:rPr>
        <w:t>That said we have to acknowledge that this Court has also not acted as swiftly as would have been desirable in resolving this case and establishing the international responsibility of the Italian State for the clear violation of the applicant</w:t>
      </w:r>
      <w:r w:rsidR="005F174B" w:rsidRPr="005F174B">
        <w:rPr>
          <w:rFonts w:eastAsia="Times New Roman"/>
        </w:rPr>
        <w:t>’</w:t>
      </w:r>
      <w:r w:rsidRPr="005F174B">
        <w:rPr>
          <w:rFonts w:eastAsia="Times New Roman"/>
        </w:rPr>
        <w:t>s rights under the Convention.</w:t>
      </w:r>
    </w:p>
    <w:p w:rsidR="001A5754" w:rsidRPr="005F174B" w:rsidRDefault="005F174B" w:rsidP="005F174B">
      <w:pPr>
        <w:pStyle w:val="ECHRHeading2"/>
        <w:rPr>
          <w:rFonts w:ascii="Times New Roman" w:eastAsia="Times New Roman" w:hAnsi="Times New Roman" w:cs="Times New Roman"/>
        </w:rPr>
      </w:pPr>
      <w:r w:rsidRPr="005F174B">
        <w:rPr>
          <w:rFonts w:eastAsia="Times New Roman"/>
        </w:rPr>
        <w:t>B.  </w:t>
      </w:r>
      <w:r w:rsidR="001A5754" w:rsidRPr="005F174B">
        <w:rPr>
          <w:rFonts w:eastAsia="Times New Roman"/>
        </w:rPr>
        <w:t>Article 6</w:t>
      </w:r>
    </w:p>
    <w:p w:rsidR="001A5754" w:rsidRPr="005F174B" w:rsidRDefault="001A5754" w:rsidP="005F174B">
      <w:pPr>
        <w:pStyle w:val="OpiPara"/>
        <w:rPr>
          <w:rFonts w:eastAsia="Times New Roman"/>
        </w:rPr>
      </w:pPr>
      <w:r w:rsidRPr="005F174B">
        <w:rPr>
          <w:rFonts w:eastAsia="Times New Roman"/>
        </w:rPr>
        <w:fldChar w:fldCharType="begin"/>
      </w:r>
      <w:r w:rsidRPr="005F174B">
        <w:rPr>
          <w:rFonts w:eastAsia="Times New Roman"/>
        </w:rPr>
        <w:instrText xml:space="preserve"> SEQ level0 \*arabic </w:instrText>
      </w:r>
      <w:r w:rsidRPr="005F174B">
        <w:rPr>
          <w:rFonts w:eastAsia="Times New Roman"/>
        </w:rPr>
        <w:fldChar w:fldCharType="separate"/>
      </w:r>
      <w:r w:rsidR="005F174B" w:rsidRPr="005F174B">
        <w:rPr>
          <w:rFonts w:eastAsia="Times New Roman"/>
          <w:noProof/>
        </w:rPr>
        <w:t>3</w:t>
      </w:r>
      <w:r w:rsidRPr="005F174B">
        <w:rPr>
          <w:rFonts w:eastAsia="Times New Roman"/>
        </w:rPr>
        <w:fldChar w:fldCharType="end"/>
      </w:r>
      <w:r w:rsidRPr="005F174B">
        <w:rPr>
          <w:rFonts w:eastAsia="Times New Roman"/>
        </w:rPr>
        <w:t>.  In § 52 of the judgment, the majority recall the Court</w:t>
      </w:r>
      <w:r w:rsidR="005F174B" w:rsidRPr="005F174B">
        <w:rPr>
          <w:rFonts w:eastAsia="Times New Roman"/>
        </w:rPr>
        <w:t>’</w:t>
      </w:r>
      <w:r w:rsidRPr="005F174B">
        <w:rPr>
          <w:rFonts w:eastAsia="Times New Roman"/>
        </w:rPr>
        <w:t>s consistent jurisprudence that a person who has obtained a judgment against the State at the end of legal proceedings should not be expected to bring separate enforcement proceedings (see e.g.</w:t>
      </w:r>
      <w:r w:rsidRPr="005F174B">
        <w:rPr>
          <w:rFonts w:eastAsia="Times New Roman"/>
          <w:lang w:val="en-US"/>
        </w:rPr>
        <w:t xml:space="preserve"> </w:t>
      </w:r>
      <w:r w:rsidRPr="005F174B">
        <w:rPr>
          <w:rFonts w:eastAsia="Times New Roman"/>
          <w:i/>
        </w:rPr>
        <w:t>Metaxas v. Greece</w:t>
      </w:r>
      <w:r w:rsidR="00CA34BC" w:rsidRPr="005F174B">
        <w:rPr>
          <w:rFonts w:eastAsia="Times New Roman"/>
        </w:rPr>
        <w:t>, no. 8415/02, § 19, 27 </w:t>
      </w:r>
      <w:r w:rsidRPr="005F174B">
        <w:rPr>
          <w:rFonts w:eastAsia="Times New Roman"/>
        </w:rPr>
        <w:t xml:space="preserve">May 2004, </w:t>
      </w:r>
      <w:r w:rsidRPr="005F174B">
        <w:rPr>
          <w:rFonts w:eastAsia="Times New Roman"/>
          <w:i/>
        </w:rPr>
        <w:t>Burdov v. Russia (no. 2)</w:t>
      </w:r>
      <w:r w:rsidRPr="005F174B">
        <w:rPr>
          <w:rFonts w:eastAsia="Times New Roman"/>
        </w:rPr>
        <w:t xml:space="preserve">, no. 33509/04, § 68, ECHR 2009 and </w:t>
      </w:r>
      <w:r w:rsidRPr="005F174B">
        <w:rPr>
          <w:rFonts w:eastAsia="Times New Roman"/>
          <w:i/>
          <w:iCs/>
        </w:rPr>
        <w:t>Sharxhi and Others v. Albania</w:t>
      </w:r>
      <w:r w:rsidRPr="005F174B">
        <w:rPr>
          <w:rFonts w:eastAsia="Times New Roman"/>
          <w:lang w:eastAsia="en-GB"/>
        </w:rPr>
        <w:t xml:space="preserve">, </w:t>
      </w:r>
      <w:r w:rsidRPr="005F174B">
        <w:rPr>
          <w:rFonts w:eastAsia="Times New Roman"/>
        </w:rPr>
        <w:t>no. 10613/16</w:t>
      </w:r>
      <w:r w:rsidRPr="005F174B">
        <w:rPr>
          <w:rFonts w:eastAsia="Times New Roman"/>
          <w:lang w:eastAsia="en-GB"/>
        </w:rPr>
        <w:t xml:space="preserve">, </w:t>
      </w:r>
      <w:r w:rsidRPr="005F174B">
        <w:rPr>
          <w:rFonts w:eastAsia="Times New Roman"/>
        </w:rPr>
        <w:t>§ 93, 11 January 2018)</w:t>
      </w:r>
      <w:r w:rsidR="00DE0420" w:rsidRPr="005F174B">
        <w:rPr>
          <w:rFonts w:eastAsia="Times New Roman"/>
        </w:rPr>
        <w:t xml:space="preserve">. </w:t>
      </w:r>
      <w:r w:rsidRPr="005F174B">
        <w:rPr>
          <w:rFonts w:eastAsia="Times New Roman"/>
        </w:rPr>
        <w:t>That is, of course, right and we completely agree but, and this is where we disagree with the majority, this applies only where there has been a “judgment against the State</w:t>
      </w:r>
      <w:r w:rsidR="00DE0420" w:rsidRPr="005F174B">
        <w:rPr>
          <w:rFonts w:eastAsia="Times New Roman"/>
        </w:rPr>
        <w:t>” as a matter of domestic law.</w:t>
      </w:r>
    </w:p>
    <w:p w:rsidR="00DD699B" w:rsidRPr="005F174B" w:rsidRDefault="001A5754" w:rsidP="005F174B">
      <w:pPr>
        <w:pStyle w:val="OpiPara"/>
        <w:rPr>
          <w:rFonts w:eastAsia="Times New Roman"/>
        </w:rPr>
      </w:pPr>
      <w:r w:rsidRPr="005F174B">
        <w:rPr>
          <w:rFonts w:eastAsia="Times New Roman"/>
        </w:rPr>
        <w:fldChar w:fldCharType="begin"/>
      </w:r>
      <w:r w:rsidRPr="005F174B">
        <w:rPr>
          <w:rFonts w:eastAsia="Times New Roman"/>
        </w:rPr>
        <w:instrText xml:space="preserve"> SEQ level0 \*arabic </w:instrText>
      </w:r>
      <w:r w:rsidRPr="005F174B">
        <w:rPr>
          <w:rFonts w:eastAsia="Times New Roman"/>
        </w:rPr>
        <w:fldChar w:fldCharType="separate"/>
      </w:r>
      <w:r w:rsidR="005F174B" w:rsidRPr="005F174B">
        <w:rPr>
          <w:rFonts w:eastAsia="Times New Roman"/>
          <w:noProof/>
        </w:rPr>
        <w:t>4</w:t>
      </w:r>
      <w:r w:rsidRPr="005F174B">
        <w:rPr>
          <w:rFonts w:eastAsia="Times New Roman"/>
        </w:rPr>
        <w:fldChar w:fldCharType="end"/>
      </w:r>
      <w:r w:rsidRPr="005F174B">
        <w:rPr>
          <w:rFonts w:eastAsia="Times New Roman"/>
        </w:rPr>
        <w:t>.  In the context of enforcement of judgments against the State, the Court</w:t>
      </w:r>
      <w:r w:rsidR="005F174B" w:rsidRPr="005F174B">
        <w:rPr>
          <w:rFonts w:eastAsia="Times New Roman"/>
        </w:rPr>
        <w:t>’</w:t>
      </w:r>
      <w:r w:rsidRPr="005F174B">
        <w:rPr>
          <w:rFonts w:eastAsia="Times New Roman"/>
        </w:rPr>
        <w:t>s case law, of course, also confirms that the requirement of the creditor</w:t>
      </w:r>
      <w:r w:rsidR="005F174B" w:rsidRPr="005F174B">
        <w:rPr>
          <w:rFonts w:eastAsia="Times New Roman"/>
        </w:rPr>
        <w:t>’</w:t>
      </w:r>
      <w:r w:rsidRPr="005F174B">
        <w:rPr>
          <w:rFonts w:eastAsia="Times New Roman"/>
        </w:rPr>
        <w:t xml:space="preserve">s cooperation must not go beyond what is strictly necessary and, in any event, does not relieve the authorities of their obligation under the </w:t>
      </w:r>
      <w:r w:rsidRPr="005F174B">
        <w:rPr>
          <w:rFonts w:eastAsia="Times New Roman"/>
        </w:rPr>
        <w:lastRenderedPageBreak/>
        <w:t xml:space="preserve">Convention to take timely action of their own motion, on the basis of the information available to them, with a view to honouring the judgment against the State (see </w:t>
      </w:r>
      <w:r w:rsidRPr="005F174B">
        <w:rPr>
          <w:rFonts w:eastAsia="Times New Roman"/>
          <w:i/>
        </w:rPr>
        <w:t>Akashev v. Russia</w:t>
      </w:r>
      <w:r w:rsidRPr="005F174B">
        <w:rPr>
          <w:rFonts w:eastAsia="Times New Roman"/>
        </w:rPr>
        <w:t>, no. 30616/05, § 22, 12 June 2008). The Court thus considers that the burden to ensure compliance with a judgment against the State lies primarily with the State authorities starting from the date on which the judgment becomes binding and enforceable (</w:t>
      </w:r>
      <w:r w:rsidRPr="005F174B">
        <w:rPr>
          <w:rFonts w:eastAsia="Times New Roman"/>
          <w:i/>
        </w:rPr>
        <w:t>Burdov v. Russia (no. 2)</w:t>
      </w:r>
      <w:r w:rsidRPr="005F174B">
        <w:rPr>
          <w:rFonts w:eastAsia="Times New Roman"/>
        </w:rPr>
        <w:t>, cited above, § 69).</w:t>
      </w:r>
    </w:p>
    <w:p w:rsidR="001A5754" w:rsidRPr="005F174B" w:rsidRDefault="001A5754" w:rsidP="005F174B">
      <w:pPr>
        <w:pStyle w:val="OpiPara"/>
        <w:rPr>
          <w:rFonts w:eastAsia="Times New Roman"/>
        </w:rPr>
      </w:pPr>
      <w:r w:rsidRPr="005F174B">
        <w:rPr>
          <w:rFonts w:eastAsia="Times New Roman"/>
        </w:rPr>
        <w:fldChar w:fldCharType="begin"/>
      </w:r>
      <w:r w:rsidRPr="005F174B">
        <w:rPr>
          <w:rFonts w:eastAsia="Times New Roman"/>
        </w:rPr>
        <w:instrText xml:space="preserve"> SEQ level0 \*arabic </w:instrText>
      </w:r>
      <w:r w:rsidRPr="005F174B">
        <w:rPr>
          <w:rFonts w:eastAsia="Times New Roman"/>
        </w:rPr>
        <w:fldChar w:fldCharType="separate"/>
      </w:r>
      <w:r w:rsidR="005F174B" w:rsidRPr="005F174B">
        <w:rPr>
          <w:rFonts w:eastAsia="Times New Roman"/>
          <w:noProof/>
        </w:rPr>
        <w:t>5</w:t>
      </w:r>
      <w:r w:rsidRPr="005F174B">
        <w:rPr>
          <w:rFonts w:eastAsia="Times New Roman"/>
        </w:rPr>
        <w:fldChar w:fldCharType="end"/>
      </w:r>
      <w:r w:rsidRPr="005F174B">
        <w:rPr>
          <w:rFonts w:eastAsia="Times New Roman"/>
        </w:rPr>
        <w:t xml:space="preserve">.  Finally, in this context, the Court has confirmed that it is not open to a State authority to cite the lack of funds or other resources as an excuse for not honouring a judgment debt (see </w:t>
      </w:r>
      <w:r w:rsidRPr="005F174B">
        <w:rPr>
          <w:rFonts w:eastAsia="Times New Roman"/>
          <w:i/>
        </w:rPr>
        <w:t xml:space="preserve">Burdov v. Russia, </w:t>
      </w:r>
      <w:r w:rsidRPr="005F174B">
        <w:rPr>
          <w:rFonts w:eastAsia="Times New Roman"/>
        </w:rPr>
        <w:t xml:space="preserve">no. 59498/00, § 35, ECHR 2002-II, </w:t>
      </w:r>
      <w:r w:rsidRPr="005F174B">
        <w:rPr>
          <w:rFonts w:eastAsia="Times New Roman"/>
          <w:i/>
        </w:rPr>
        <w:t>Kukalo v. Russia</w:t>
      </w:r>
      <w:r w:rsidRPr="005F174B">
        <w:rPr>
          <w:rFonts w:eastAsia="Times New Roman"/>
        </w:rPr>
        <w:t xml:space="preserve">, no. 63995/00, § 49, 3 November 2005 and </w:t>
      </w:r>
      <w:r w:rsidRPr="005F174B">
        <w:rPr>
          <w:rFonts w:eastAsia="Times New Roman"/>
          <w:i/>
        </w:rPr>
        <w:t>Burdov v. Russia (no. 2)</w:t>
      </w:r>
      <w:r w:rsidRPr="005F174B">
        <w:rPr>
          <w:rFonts w:eastAsia="Times New Roman"/>
        </w:rPr>
        <w:t>, cited above, § 70).</w:t>
      </w:r>
    </w:p>
    <w:p w:rsidR="001A5754" w:rsidRPr="005F174B" w:rsidRDefault="001A5754" w:rsidP="005F174B">
      <w:pPr>
        <w:pStyle w:val="OpiPara"/>
        <w:rPr>
          <w:rFonts w:eastAsia="Times New Roman"/>
        </w:rPr>
      </w:pPr>
      <w:r w:rsidRPr="005F174B">
        <w:rPr>
          <w:rFonts w:eastAsia="Times New Roman"/>
        </w:rPr>
        <w:fldChar w:fldCharType="begin"/>
      </w:r>
      <w:r w:rsidRPr="005F174B">
        <w:rPr>
          <w:rFonts w:eastAsia="Times New Roman"/>
        </w:rPr>
        <w:instrText xml:space="preserve"> SEQ level0 \*arabic </w:instrText>
      </w:r>
      <w:r w:rsidRPr="005F174B">
        <w:rPr>
          <w:rFonts w:eastAsia="Times New Roman"/>
        </w:rPr>
        <w:fldChar w:fldCharType="separate"/>
      </w:r>
      <w:r w:rsidR="005F174B" w:rsidRPr="005F174B">
        <w:rPr>
          <w:rFonts w:eastAsia="Times New Roman"/>
          <w:noProof/>
        </w:rPr>
        <w:t>6</w:t>
      </w:r>
      <w:r w:rsidRPr="005F174B">
        <w:rPr>
          <w:rFonts w:eastAsia="Times New Roman"/>
        </w:rPr>
        <w:fldChar w:fldCharType="end"/>
      </w:r>
      <w:r w:rsidRPr="005F174B">
        <w:rPr>
          <w:rFonts w:eastAsia="Times New Roman"/>
        </w:rPr>
        <w:t>.  As indicated above, the need for there to have been a “judgment against the State”, as a matter of domestic law, is, however, crucial in this context because the Court</w:t>
      </w:r>
      <w:r w:rsidR="005F174B" w:rsidRPr="005F174B">
        <w:rPr>
          <w:rFonts w:eastAsia="Times New Roman"/>
        </w:rPr>
        <w:t>’</w:t>
      </w:r>
      <w:r w:rsidRPr="005F174B">
        <w:rPr>
          <w:rFonts w:eastAsia="Times New Roman"/>
        </w:rPr>
        <w:t xml:space="preserve">s approach under Article 6 to the enforcement of judgments against private entities is very different (see </w:t>
      </w:r>
      <w:r w:rsidRPr="005F174B">
        <w:rPr>
          <w:rFonts w:eastAsia="Times New Roman"/>
          <w:i/>
        </w:rPr>
        <w:t>mutatis mutandis</w:t>
      </w:r>
      <w:r w:rsidRPr="005F174B">
        <w:rPr>
          <w:rFonts w:eastAsia="Times New Roman"/>
        </w:rPr>
        <w:t xml:space="preserve">, </w:t>
      </w:r>
      <w:r w:rsidRPr="005F174B">
        <w:rPr>
          <w:rFonts w:eastAsia="Times New Roman"/>
          <w:i/>
        </w:rPr>
        <w:t>Bozza v. Italy</w:t>
      </w:r>
      <w:r w:rsidRPr="005F174B">
        <w:rPr>
          <w:rFonts w:eastAsia="Times New Roman"/>
        </w:rPr>
        <w:t>, no. 17739/09, § 44, 14 September 2017).</w:t>
      </w:r>
    </w:p>
    <w:p w:rsidR="001A5754" w:rsidRPr="005F174B" w:rsidRDefault="001A5754" w:rsidP="005F174B">
      <w:pPr>
        <w:pStyle w:val="OpiPara"/>
        <w:rPr>
          <w:rFonts w:eastAsia="Times New Roman"/>
        </w:rPr>
      </w:pPr>
      <w:r w:rsidRPr="005F174B">
        <w:rPr>
          <w:rFonts w:eastAsia="Times New Roman"/>
        </w:rPr>
        <w:fldChar w:fldCharType="begin"/>
      </w:r>
      <w:r w:rsidRPr="005F174B">
        <w:rPr>
          <w:rFonts w:eastAsia="Times New Roman"/>
        </w:rPr>
        <w:instrText xml:space="preserve"> SEQ level0 \*arabic </w:instrText>
      </w:r>
      <w:r w:rsidRPr="005F174B">
        <w:rPr>
          <w:rFonts w:eastAsia="Times New Roman"/>
        </w:rPr>
        <w:fldChar w:fldCharType="separate"/>
      </w:r>
      <w:r w:rsidR="005F174B" w:rsidRPr="005F174B">
        <w:rPr>
          <w:rFonts w:eastAsia="Times New Roman"/>
          <w:noProof/>
        </w:rPr>
        <w:t>7</w:t>
      </w:r>
      <w:r w:rsidRPr="005F174B">
        <w:rPr>
          <w:rFonts w:eastAsia="Times New Roman"/>
        </w:rPr>
        <w:fldChar w:fldCharType="end"/>
      </w:r>
      <w:r w:rsidRPr="005F174B">
        <w:rPr>
          <w:rFonts w:eastAsia="Times New Roman"/>
        </w:rPr>
        <w:t>.  In this latter context, the Court has consistently held that State responsibility for the enforcement of a judgment against a private company extends no further than the involvement of State bodies in the enforcement procedures (</w:t>
      </w:r>
      <w:r w:rsidRPr="005F174B">
        <w:rPr>
          <w:rFonts w:eastAsia="Times New Roman"/>
          <w:i/>
        </w:rPr>
        <w:t>Fuklev v. Ukraine</w:t>
      </w:r>
      <w:r w:rsidRPr="005F174B">
        <w:rPr>
          <w:rFonts w:eastAsia="Times New Roman"/>
        </w:rPr>
        <w:t xml:space="preserve">, no. 71186/01, § 67 and §§ 90-11, 7 June 2005 and </w:t>
      </w:r>
      <w:r w:rsidRPr="005F174B">
        <w:rPr>
          <w:rFonts w:eastAsia="Times New Roman"/>
          <w:i/>
          <w:iCs/>
        </w:rPr>
        <w:t>Ciocodeică v. Romania</w:t>
      </w:r>
      <w:r w:rsidRPr="005F174B">
        <w:rPr>
          <w:rFonts w:eastAsia="Times New Roman"/>
          <w:lang w:eastAsia="en-GB"/>
        </w:rPr>
        <w:t xml:space="preserve">, no. </w:t>
      </w:r>
      <w:r w:rsidRPr="005F174B">
        <w:rPr>
          <w:rFonts w:eastAsia="Times New Roman"/>
        </w:rPr>
        <w:t>27413/09</w:t>
      </w:r>
      <w:r w:rsidRPr="005F174B">
        <w:rPr>
          <w:rFonts w:eastAsia="Times New Roman"/>
          <w:lang w:eastAsia="en-GB"/>
        </w:rPr>
        <w:t xml:space="preserve">, </w:t>
      </w:r>
      <w:r w:rsidRPr="005F174B">
        <w:rPr>
          <w:rFonts w:eastAsia="Times New Roman"/>
        </w:rPr>
        <w:t>§ 85, 16 January 2018). Once the enforcement procedures were closed by a court in accordance with the national legislation, the responsibility of the State ended (</w:t>
      </w:r>
      <w:r w:rsidR="00DE0420" w:rsidRPr="005F174B">
        <w:rPr>
          <w:rFonts w:eastAsia="Times New Roman"/>
          <w:i/>
        </w:rPr>
        <w:t>Shestakov v. </w:t>
      </w:r>
      <w:r w:rsidRPr="005F174B">
        <w:rPr>
          <w:rFonts w:eastAsia="Times New Roman"/>
          <w:i/>
        </w:rPr>
        <w:t>Russia</w:t>
      </w:r>
      <w:r w:rsidRPr="005F174B">
        <w:rPr>
          <w:rFonts w:eastAsia="Times New Roman"/>
        </w:rPr>
        <w:t xml:space="preserve"> (dec), no. 48757/99, 18 June 2002).</w:t>
      </w:r>
    </w:p>
    <w:p w:rsidR="001A5754" w:rsidRPr="005F174B" w:rsidRDefault="001A5754" w:rsidP="005F174B">
      <w:pPr>
        <w:pStyle w:val="OpiPara"/>
        <w:rPr>
          <w:rFonts w:eastAsia="Times New Roman"/>
        </w:rPr>
      </w:pPr>
      <w:r w:rsidRPr="005F174B">
        <w:rPr>
          <w:rFonts w:eastAsia="Times New Roman"/>
        </w:rPr>
        <w:fldChar w:fldCharType="begin"/>
      </w:r>
      <w:r w:rsidRPr="005F174B">
        <w:rPr>
          <w:rFonts w:eastAsia="Times New Roman"/>
        </w:rPr>
        <w:instrText xml:space="preserve"> SEQ level0 \*arabic </w:instrText>
      </w:r>
      <w:r w:rsidRPr="005F174B">
        <w:rPr>
          <w:rFonts w:eastAsia="Times New Roman"/>
        </w:rPr>
        <w:fldChar w:fldCharType="separate"/>
      </w:r>
      <w:r w:rsidR="005F174B" w:rsidRPr="005F174B">
        <w:rPr>
          <w:rFonts w:eastAsia="Times New Roman"/>
          <w:noProof/>
        </w:rPr>
        <w:t>8</w:t>
      </w:r>
      <w:r w:rsidRPr="005F174B">
        <w:rPr>
          <w:rFonts w:eastAsia="Times New Roman"/>
        </w:rPr>
        <w:fldChar w:fldCharType="end"/>
      </w:r>
      <w:r w:rsidRPr="005F174B">
        <w:rPr>
          <w:rFonts w:eastAsia="Times New Roman"/>
        </w:rPr>
        <w:t>.  Furthermore and of particular importance in the present case, the Court has further confirmed that where the debtor is a private individual, the responsibility of the State cannot be engaged on account of non-payment of an enforceable debt as a result of the insolvency of that “private” debtor (</w:t>
      </w:r>
      <w:r w:rsidRPr="005F174B">
        <w:rPr>
          <w:rFonts w:eastAsia="Times New Roman"/>
          <w:i/>
        </w:rPr>
        <w:t>Sanglier v. France</w:t>
      </w:r>
      <w:r w:rsidRPr="005F174B">
        <w:rPr>
          <w:rFonts w:eastAsia="Times New Roman"/>
        </w:rPr>
        <w:t xml:space="preserve">, no. 50342/99, § 39, 27 May 2003; </w:t>
      </w:r>
      <w:r w:rsidRPr="005F174B">
        <w:rPr>
          <w:rFonts w:eastAsia="Times New Roman"/>
          <w:i/>
        </w:rPr>
        <w:t>Ciprová v. the Czech Republic</w:t>
      </w:r>
      <w:r w:rsidRPr="005F174B">
        <w:rPr>
          <w:rFonts w:eastAsia="Times New Roman"/>
        </w:rPr>
        <w:t xml:space="preserve"> (dec.), no. 33273/03, 22 March 2005; </w:t>
      </w:r>
      <w:r w:rsidRPr="005F174B">
        <w:rPr>
          <w:rFonts w:eastAsia="Times New Roman"/>
          <w:i/>
        </w:rPr>
        <w:t>Cubanit v. Romania</w:t>
      </w:r>
      <w:r w:rsidRPr="005F174B">
        <w:rPr>
          <w:rFonts w:eastAsia="Times New Roman"/>
        </w:rPr>
        <w:t xml:space="preserve"> (dec.), no. 31510/02, 4 January 2007</w:t>
      </w:r>
      <w:r w:rsidR="00CA34BC" w:rsidRPr="005F174B">
        <w:rPr>
          <w:rFonts w:eastAsia="Times New Roman"/>
        </w:rPr>
        <w:t>;</w:t>
      </w:r>
      <w:r w:rsidRPr="005F174B">
        <w:rPr>
          <w:rFonts w:eastAsia="Times New Roman"/>
        </w:rPr>
        <w:t xml:space="preserve"> and </w:t>
      </w:r>
      <w:r w:rsidRPr="005F174B">
        <w:rPr>
          <w:rFonts w:eastAsia="Times New Roman"/>
          <w:i/>
        </w:rPr>
        <w:t>Bozza v. Italy</w:t>
      </w:r>
      <w:r w:rsidRPr="005F174B">
        <w:rPr>
          <w:rFonts w:eastAsia="Times New Roman"/>
        </w:rPr>
        <w:t>, cited above).</w:t>
      </w:r>
    </w:p>
    <w:p w:rsidR="00DD699B" w:rsidRPr="005F174B" w:rsidRDefault="001A5754" w:rsidP="005F174B">
      <w:pPr>
        <w:pStyle w:val="OpiPara"/>
        <w:rPr>
          <w:rFonts w:eastAsia="Times New Roman"/>
        </w:rPr>
      </w:pPr>
      <w:r w:rsidRPr="005F174B">
        <w:rPr>
          <w:rFonts w:eastAsia="Times New Roman"/>
        </w:rPr>
        <w:fldChar w:fldCharType="begin"/>
      </w:r>
      <w:r w:rsidRPr="005F174B">
        <w:rPr>
          <w:rFonts w:eastAsia="Times New Roman"/>
        </w:rPr>
        <w:instrText xml:space="preserve"> SEQ level0 \*arabic </w:instrText>
      </w:r>
      <w:r w:rsidRPr="005F174B">
        <w:rPr>
          <w:rFonts w:eastAsia="Times New Roman"/>
        </w:rPr>
        <w:fldChar w:fldCharType="separate"/>
      </w:r>
      <w:r w:rsidR="005F174B" w:rsidRPr="005F174B">
        <w:rPr>
          <w:rFonts w:eastAsia="Times New Roman"/>
          <w:noProof/>
        </w:rPr>
        <w:t>9</w:t>
      </w:r>
      <w:r w:rsidRPr="005F174B">
        <w:rPr>
          <w:rFonts w:eastAsia="Times New Roman"/>
        </w:rPr>
        <w:fldChar w:fldCharType="end"/>
      </w:r>
      <w:r w:rsidRPr="005F174B">
        <w:rPr>
          <w:rFonts w:eastAsia="Times New Roman"/>
        </w:rPr>
        <w:t xml:space="preserve">.  Applying these principles to the facts of the present case, we come to the conclusion that there is in fact, as a matter of Italian domestic law, no “judgment” against the State. On the basis of the evidence before the Court, it is clear that it was in proceedings against the private company, by then in the form of </w:t>
      </w:r>
      <w:r w:rsidRPr="005F174B">
        <w:rPr>
          <w:rFonts w:eastAsia="Times New Roman"/>
          <w:i/>
        </w:rPr>
        <w:t>Padana Appalti S.p.A.</w:t>
      </w:r>
      <w:r w:rsidRPr="005F174B">
        <w:rPr>
          <w:rFonts w:eastAsia="Times New Roman"/>
        </w:rPr>
        <w:t>, that the fir</w:t>
      </w:r>
      <w:r w:rsidR="00CA34BC" w:rsidRPr="005F174B">
        <w:rPr>
          <w:rFonts w:eastAsia="Times New Roman"/>
        </w:rPr>
        <w:t>st instance court in Livorno (§ </w:t>
      </w:r>
      <w:r w:rsidRPr="005F174B">
        <w:rPr>
          <w:rFonts w:eastAsia="Times New Roman"/>
        </w:rPr>
        <w:t>15) and later the Court of Appeal in Florence (§ 18) established that the private company was liable to pay the applicant compensation amounting to a total of EUR 621,020.54 in total (“</w:t>
      </w:r>
      <w:r w:rsidRPr="005F174B">
        <w:rPr>
          <w:rFonts w:eastAsia="Times New Roman"/>
          <w:i/>
        </w:rPr>
        <w:t>in accoglimento della domanda proposta da Franco Arnaboldi, condanna l</w:t>
      </w:r>
      <w:r w:rsidR="005F174B" w:rsidRPr="005F174B">
        <w:rPr>
          <w:rFonts w:eastAsia="Times New Roman"/>
          <w:i/>
        </w:rPr>
        <w:t>’</w:t>
      </w:r>
      <w:r w:rsidRPr="005F174B">
        <w:rPr>
          <w:rFonts w:eastAsia="Times New Roman"/>
          <w:i/>
        </w:rPr>
        <w:t>appellante al pagamento della somma di € 87,676.23 a titolo di risarcimento del danno per l</w:t>
      </w:r>
      <w:r w:rsidR="005F174B" w:rsidRPr="005F174B">
        <w:rPr>
          <w:rFonts w:eastAsia="Times New Roman"/>
          <w:i/>
        </w:rPr>
        <w:t>’</w:t>
      </w:r>
      <w:r w:rsidRPr="005F174B">
        <w:rPr>
          <w:rFonts w:eastAsia="Times New Roman"/>
          <w:i/>
        </w:rPr>
        <w:t xml:space="preserve">illegittima privazione del diritto di proprietà, € 532,995.80 a titolo di risarcimento del </w:t>
      </w:r>
      <w:r w:rsidRPr="005F174B">
        <w:rPr>
          <w:rFonts w:eastAsia="Times New Roman"/>
          <w:i/>
        </w:rPr>
        <w:lastRenderedPageBreak/>
        <w:t>danno arrecato alla residua proprietà dell</w:t>
      </w:r>
      <w:r w:rsidR="005F174B" w:rsidRPr="005F174B">
        <w:rPr>
          <w:rFonts w:eastAsia="Times New Roman"/>
          <w:i/>
        </w:rPr>
        <w:t>’</w:t>
      </w:r>
      <w:r w:rsidRPr="005F174B">
        <w:rPr>
          <w:rFonts w:eastAsia="Times New Roman"/>
          <w:i/>
        </w:rPr>
        <w:t>Arnaboldi, € 348.51 a titolo di indennizzo per l</w:t>
      </w:r>
      <w:r w:rsidR="005F174B" w:rsidRPr="005F174B">
        <w:rPr>
          <w:rFonts w:eastAsia="Times New Roman"/>
          <w:i/>
        </w:rPr>
        <w:t>’</w:t>
      </w:r>
      <w:r w:rsidRPr="005F174B">
        <w:rPr>
          <w:rFonts w:eastAsia="Times New Roman"/>
          <w:i/>
        </w:rPr>
        <w:t>espropriazione e per il periodo di occupazione legittima</w:t>
      </w:r>
      <w:r w:rsidRPr="005F174B">
        <w:rPr>
          <w:rFonts w:eastAsia="Times New Roman"/>
        </w:rPr>
        <w:t>”).</w:t>
      </w:r>
    </w:p>
    <w:p w:rsidR="00DD699B" w:rsidRPr="005F174B" w:rsidRDefault="001A5754" w:rsidP="005F174B">
      <w:pPr>
        <w:pStyle w:val="OpiPara"/>
        <w:rPr>
          <w:rFonts w:eastAsia="Times New Roman"/>
        </w:rPr>
      </w:pPr>
      <w:r w:rsidRPr="005F174B">
        <w:rPr>
          <w:rFonts w:eastAsia="Times New Roman"/>
        </w:rPr>
        <w:fldChar w:fldCharType="begin"/>
      </w:r>
      <w:r w:rsidRPr="005F174B">
        <w:rPr>
          <w:rFonts w:eastAsia="Times New Roman"/>
        </w:rPr>
        <w:instrText xml:space="preserve"> SEQ level0 \*arabic </w:instrText>
      </w:r>
      <w:r w:rsidRPr="005F174B">
        <w:rPr>
          <w:rFonts w:eastAsia="Times New Roman"/>
        </w:rPr>
        <w:fldChar w:fldCharType="separate"/>
      </w:r>
      <w:r w:rsidR="005F174B" w:rsidRPr="005F174B">
        <w:rPr>
          <w:rFonts w:eastAsia="Times New Roman"/>
          <w:noProof/>
        </w:rPr>
        <w:t>10</w:t>
      </w:r>
      <w:r w:rsidRPr="005F174B">
        <w:rPr>
          <w:rFonts w:eastAsia="Times New Roman"/>
        </w:rPr>
        <w:fldChar w:fldCharType="end"/>
      </w:r>
      <w:r w:rsidRPr="005F174B">
        <w:rPr>
          <w:rFonts w:eastAsia="Times New Roman"/>
        </w:rPr>
        <w:t xml:space="preserve">.  In fact, as the judgment records (§ 22), when in 2011 the applicant sought an order from the administrative court for the Toscana for compensation from the State, that application was rejected on the basis that the order against </w:t>
      </w:r>
      <w:r w:rsidRPr="005F174B">
        <w:rPr>
          <w:rFonts w:eastAsia="Times New Roman"/>
          <w:i/>
        </w:rPr>
        <w:t>Padana Appalti S.p.A.</w:t>
      </w:r>
      <w:r w:rsidRPr="005F174B">
        <w:rPr>
          <w:rFonts w:eastAsia="Times New Roman"/>
        </w:rPr>
        <w:t xml:space="preserve"> to pay compensation could not be charged against the State. It does not appear that the applicant sought to appeal against this decision; nor that he had previously sought to join the State to the civil proceedings against </w:t>
      </w:r>
      <w:r w:rsidRPr="005F174B">
        <w:rPr>
          <w:rFonts w:eastAsia="Times New Roman"/>
          <w:i/>
        </w:rPr>
        <w:t>Padana Appalti S.p.A.</w:t>
      </w:r>
      <w:r w:rsidRPr="005F174B">
        <w:rPr>
          <w:rFonts w:eastAsia="Times New Roman"/>
        </w:rPr>
        <w:t xml:space="preserve"> with a view to obtaining a judgment or an order (equally) enforceable against the State.</w:t>
      </w:r>
    </w:p>
    <w:p w:rsidR="001A5754" w:rsidRPr="005F174B" w:rsidRDefault="001A5754" w:rsidP="005F174B">
      <w:pPr>
        <w:pStyle w:val="OpiPara"/>
        <w:rPr>
          <w:rFonts w:eastAsia="Times New Roman"/>
        </w:rPr>
      </w:pPr>
      <w:r w:rsidRPr="005F174B">
        <w:rPr>
          <w:rFonts w:eastAsia="Times New Roman"/>
        </w:rPr>
        <w:fldChar w:fldCharType="begin"/>
      </w:r>
      <w:r w:rsidRPr="005F174B">
        <w:rPr>
          <w:rFonts w:eastAsia="Times New Roman"/>
        </w:rPr>
        <w:instrText xml:space="preserve"> SEQ level0 \*arabic </w:instrText>
      </w:r>
      <w:r w:rsidRPr="005F174B">
        <w:rPr>
          <w:rFonts w:eastAsia="Times New Roman"/>
        </w:rPr>
        <w:fldChar w:fldCharType="separate"/>
      </w:r>
      <w:r w:rsidR="005F174B" w:rsidRPr="005F174B">
        <w:rPr>
          <w:rFonts w:eastAsia="Times New Roman"/>
          <w:noProof/>
        </w:rPr>
        <w:t>11</w:t>
      </w:r>
      <w:r w:rsidRPr="005F174B">
        <w:rPr>
          <w:rFonts w:eastAsia="Times New Roman"/>
        </w:rPr>
        <w:fldChar w:fldCharType="end"/>
      </w:r>
      <w:r w:rsidRPr="005F174B">
        <w:rPr>
          <w:rFonts w:eastAsia="Times New Roman"/>
        </w:rPr>
        <w:t>.  That decision, however, fundamentally undermines the basis on which the majority seeks to build their finding of a violation of Article 6 as it confirms that (even if there may have been, as a matter of law, an abstract and concurrent liability of the State) there was, as a matter of domestic law, no “judgment” against the Italian State (in whatever emanation) in relation to which that State could be held responsible for its failure to execute.</w:t>
      </w:r>
    </w:p>
    <w:p w:rsidR="001A5754" w:rsidRPr="005F174B" w:rsidRDefault="001A5754" w:rsidP="005F174B">
      <w:pPr>
        <w:pStyle w:val="OpiPara"/>
        <w:rPr>
          <w:rFonts w:eastAsia="Times New Roman"/>
        </w:rPr>
      </w:pPr>
      <w:r w:rsidRPr="005F174B">
        <w:rPr>
          <w:rFonts w:eastAsia="Times New Roman"/>
        </w:rPr>
        <w:fldChar w:fldCharType="begin"/>
      </w:r>
      <w:r w:rsidRPr="005F174B">
        <w:rPr>
          <w:rFonts w:eastAsia="Times New Roman"/>
        </w:rPr>
        <w:instrText xml:space="preserve"> SEQ level0 \*arabic </w:instrText>
      </w:r>
      <w:r w:rsidRPr="005F174B">
        <w:rPr>
          <w:rFonts w:eastAsia="Times New Roman"/>
        </w:rPr>
        <w:fldChar w:fldCharType="separate"/>
      </w:r>
      <w:r w:rsidR="005F174B" w:rsidRPr="005F174B">
        <w:rPr>
          <w:rFonts w:eastAsia="Times New Roman"/>
          <w:noProof/>
        </w:rPr>
        <w:t>12</w:t>
      </w:r>
      <w:r w:rsidRPr="005F174B">
        <w:rPr>
          <w:rFonts w:eastAsia="Times New Roman"/>
        </w:rPr>
        <w:fldChar w:fldCharType="end"/>
      </w:r>
      <w:r w:rsidRPr="005F174B">
        <w:rPr>
          <w:rFonts w:eastAsia="Times New Roman"/>
        </w:rPr>
        <w:t>.  It was the fact that the private company, against whom there was a final judgment, was placed in receivership and did not have sufficient funds to satisfy the debt it owed to the applicant which led to the non-execution of the judgment of the Florence Court of Appeal. Applying the Court</w:t>
      </w:r>
      <w:r w:rsidR="005F174B" w:rsidRPr="005F174B">
        <w:rPr>
          <w:rFonts w:eastAsia="Times New Roman"/>
        </w:rPr>
        <w:t>’</w:t>
      </w:r>
      <w:r w:rsidRPr="005F174B">
        <w:rPr>
          <w:rFonts w:eastAsia="Times New Roman"/>
        </w:rPr>
        <w:t>s consistent case law, the responsibility of the Italian State under Article 6 of the Convention cannot, therefore, be engaged on account of this non-payment of an enforceable debt as a result of the insolvency of that “private” debtor.</w:t>
      </w:r>
    </w:p>
    <w:p w:rsidR="001A5754" w:rsidRPr="005F174B" w:rsidRDefault="005F174B" w:rsidP="005F174B">
      <w:pPr>
        <w:pStyle w:val="ECHRHeading2"/>
        <w:rPr>
          <w:rFonts w:eastAsia="Times New Roman"/>
        </w:rPr>
      </w:pPr>
      <w:r w:rsidRPr="005F174B">
        <w:rPr>
          <w:rFonts w:eastAsia="Times New Roman"/>
        </w:rPr>
        <w:t>C.  </w:t>
      </w:r>
      <w:r w:rsidR="001A5754" w:rsidRPr="005F174B">
        <w:rPr>
          <w:rFonts w:eastAsia="Times New Roman"/>
        </w:rPr>
        <w:t>Article 1 of the First Protocol</w:t>
      </w:r>
    </w:p>
    <w:p w:rsidR="001A5754" w:rsidRPr="005F174B" w:rsidRDefault="001A5754" w:rsidP="005F174B">
      <w:pPr>
        <w:pStyle w:val="OpiPara"/>
        <w:rPr>
          <w:rFonts w:eastAsia="Times New Roman"/>
        </w:rPr>
      </w:pPr>
      <w:r w:rsidRPr="005F174B">
        <w:rPr>
          <w:rFonts w:eastAsia="Times New Roman"/>
        </w:rPr>
        <w:fldChar w:fldCharType="begin"/>
      </w:r>
      <w:r w:rsidRPr="005F174B">
        <w:rPr>
          <w:rFonts w:eastAsia="Times New Roman"/>
        </w:rPr>
        <w:instrText xml:space="preserve"> SEQ level0 \*arabic </w:instrText>
      </w:r>
      <w:r w:rsidRPr="005F174B">
        <w:rPr>
          <w:rFonts w:eastAsia="Times New Roman"/>
        </w:rPr>
        <w:fldChar w:fldCharType="separate"/>
      </w:r>
      <w:r w:rsidR="005F174B" w:rsidRPr="005F174B">
        <w:rPr>
          <w:rFonts w:eastAsia="Times New Roman"/>
          <w:noProof/>
        </w:rPr>
        <w:t>13</w:t>
      </w:r>
      <w:r w:rsidRPr="005F174B">
        <w:rPr>
          <w:rFonts w:eastAsia="Times New Roman"/>
        </w:rPr>
        <w:fldChar w:fldCharType="end"/>
      </w:r>
      <w:r w:rsidRPr="005F174B">
        <w:rPr>
          <w:rFonts w:eastAsia="Times New Roman"/>
        </w:rPr>
        <w:t xml:space="preserve">.  Under Article 1 of the First Protocol, in reliance on the judgment in </w:t>
      </w:r>
      <w:r w:rsidRPr="005F174B">
        <w:rPr>
          <w:rFonts w:eastAsia="Times New Roman"/>
          <w:i/>
        </w:rPr>
        <w:t>Stran Greek Refineries and Stratis Andreadis v. Greece</w:t>
      </w:r>
      <w:r w:rsidRPr="005F174B">
        <w:rPr>
          <w:rFonts w:eastAsia="Times New Roman"/>
        </w:rPr>
        <w:t>, 9 December 1994, § 59, Series A no. 301</w:t>
      </w:r>
      <w:r w:rsidRPr="005F174B">
        <w:rPr>
          <w:rFonts w:eastAsia="Times New Roman"/>
        </w:rPr>
        <w:noBreakHyphen/>
        <w:t>B, the majority identify the relevant “possession” for the purposes of Article 1 of the First Protocol as being the judgment debt arising as a result of the judgment of the Florence Court of Appeal.</w:t>
      </w:r>
    </w:p>
    <w:p w:rsidR="001A5754" w:rsidRPr="005F174B" w:rsidRDefault="001A5754" w:rsidP="005F174B">
      <w:pPr>
        <w:pStyle w:val="OpiPara"/>
        <w:rPr>
          <w:rFonts w:eastAsia="Times New Roman"/>
        </w:rPr>
      </w:pPr>
      <w:r w:rsidRPr="005F174B">
        <w:rPr>
          <w:rFonts w:eastAsia="Times New Roman"/>
        </w:rPr>
        <w:fldChar w:fldCharType="begin"/>
      </w:r>
      <w:r w:rsidRPr="005F174B">
        <w:rPr>
          <w:rFonts w:eastAsia="Times New Roman"/>
        </w:rPr>
        <w:instrText xml:space="preserve"> SEQ level0 \*arabic </w:instrText>
      </w:r>
      <w:r w:rsidRPr="005F174B">
        <w:rPr>
          <w:rFonts w:eastAsia="Times New Roman"/>
        </w:rPr>
        <w:fldChar w:fldCharType="separate"/>
      </w:r>
      <w:r w:rsidR="005F174B" w:rsidRPr="005F174B">
        <w:rPr>
          <w:rFonts w:eastAsia="Times New Roman"/>
          <w:noProof/>
        </w:rPr>
        <w:t>14</w:t>
      </w:r>
      <w:r w:rsidRPr="005F174B">
        <w:rPr>
          <w:rFonts w:eastAsia="Times New Roman"/>
        </w:rPr>
        <w:fldChar w:fldCharType="end"/>
      </w:r>
      <w:r w:rsidRPr="005F174B">
        <w:rPr>
          <w:rFonts w:eastAsia="Times New Roman"/>
        </w:rPr>
        <w:t xml:space="preserve">.  However, in § 59 of </w:t>
      </w:r>
      <w:r w:rsidRPr="005F174B">
        <w:rPr>
          <w:rFonts w:eastAsia="Times New Roman"/>
          <w:i/>
        </w:rPr>
        <w:t>Stran Greek Refineries and Stratis Andreadis</w:t>
      </w:r>
      <w:r w:rsidRPr="005F174B">
        <w:rPr>
          <w:rFonts w:eastAsia="Times New Roman"/>
        </w:rPr>
        <w:t xml:space="preserve"> the Court makes clear that in order to determine whether the applicant had a “possession” for the purposes of Article 1 of the First Protocol, it is necessary to ascertain whether the domestic judgment had given rise to a debt against the State and in his favour that was sufficiently established to be enforceable.</w:t>
      </w:r>
    </w:p>
    <w:p w:rsidR="001A5754" w:rsidRPr="005F174B" w:rsidRDefault="001A5754" w:rsidP="005F174B">
      <w:pPr>
        <w:pStyle w:val="OpiPara"/>
        <w:rPr>
          <w:rFonts w:eastAsia="Times New Roman"/>
        </w:rPr>
      </w:pPr>
      <w:r w:rsidRPr="005F174B">
        <w:rPr>
          <w:rFonts w:eastAsia="Times New Roman"/>
        </w:rPr>
        <w:fldChar w:fldCharType="begin"/>
      </w:r>
      <w:r w:rsidRPr="005F174B">
        <w:rPr>
          <w:rFonts w:eastAsia="Times New Roman"/>
        </w:rPr>
        <w:instrText xml:space="preserve"> SEQ level0 \*arabic </w:instrText>
      </w:r>
      <w:r w:rsidRPr="005F174B">
        <w:rPr>
          <w:rFonts w:eastAsia="Times New Roman"/>
        </w:rPr>
        <w:fldChar w:fldCharType="separate"/>
      </w:r>
      <w:r w:rsidR="005F174B" w:rsidRPr="005F174B">
        <w:rPr>
          <w:rFonts w:eastAsia="Times New Roman"/>
          <w:noProof/>
        </w:rPr>
        <w:t>15</w:t>
      </w:r>
      <w:r w:rsidRPr="005F174B">
        <w:rPr>
          <w:rFonts w:eastAsia="Times New Roman"/>
        </w:rPr>
        <w:fldChar w:fldCharType="end"/>
      </w:r>
      <w:r w:rsidRPr="005F174B">
        <w:rPr>
          <w:rFonts w:eastAsia="Times New Roman"/>
        </w:rPr>
        <w:t>.  For the reasons set out above, it seems clear to us that there was no such enforceable judgment debt against the State capable of amounting to a “possession” for the purposes of Article 1 of the First Protocol.</w:t>
      </w:r>
    </w:p>
    <w:p w:rsidR="001A5754" w:rsidRPr="005F174B" w:rsidRDefault="001A5754" w:rsidP="005F174B">
      <w:pPr>
        <w:pStyle w:val="OpiPara"/>
        <w:rPr>
          <w:rFonts w:eastAsia="Times New Roman"/>
        </w:rPr>
      </w:pPr>
      <w:r w:rsidRPr="005F174B">
        <w:rPr>
          <w:rFonts w:eastAsia="Times New Roman"/>
        </w:rPr>
        <w:fldChar w:fldCharType="begin"/>
      </w:r>
      <w:r w:rsidRPr="005F174B">
        <w:rPr>
          <w:rFonts w:eastAsia="Times New Roman"/>
        </w:rPr>
        <w:instrText xml:space="preserve"> SEQ level0 \*arabic </w:instrText>
      </w:r>
      <w:r w:rsidRPr="005F174B">
        <w:rPr>
          <w:rFonts w:eastAsia="Times New Roman"/>
        </w:rPr>
        <w:fldChar w:fldCharType="separate"/>
      </w:r>
      <w:r w:rsidR="005F174B" w:rsidRPr="005F174B">
        <w:rPr>
          <w:rFonts w:eastAsia="Times New Roman"/>
          <w:noProof/>
        </w:rPr>
        <w:t>16</w:t>
      </w:r>
      <w:r w:rsidRPr="005F174B">
        <w:rPr>
          <w:rFonts w:eastAsia="Times New Roman"/>
        </w:rPr>
        <w:fldChar w:fldCharType="end"/>
      </w:r>
      <w:r w:rsidRPr="005F174B">
        <w:rPr>
          <w:rFonts w:eastAsia="Times New Roman"/>
        </w:rPr>
        <w:t>.  That said it is also clear that the applicant</w:t>
      </w:r>
      <w:r w:rsidR="005F174B" w:rsidRPr="005F174B">
        <w:rPr>
          <w:rFonts w:eastAsia="Times New Roman"/>
        </w:rPr>
        <w:t>’</w:t>
      </w:r>
      <w:r w:rsidRPr="005F174B">
        <w:rPr>
          <w:rFonts w:eastAsia="Times New Roman"/>
        </w:rPr>
        <w:t xml:space="preserve">s land in question did amount to a “possession” and that, as the domestic courts have confirmed, </w:t>
      </w:r>
      <w:r w:rsidRPr="005F174B">
        <w:rPr>
          <w:rFonts w:eastAsia="Times New Roman"/>
        </w:rPr>
        <w:lastRenderedPageBreak/>
        <w:t>the applicant was deprived of that possession (§ 15). As a consequence, Article 1 of the First Protocol is plainly engaged.</w:t>
      </w:r>
    </w:p>
    <w:p w:rsidR="001A5754" w:rsidRPr="005F174B" w:rsidRDefault="001A5754" w:rsidP="005F174B">
      <w:pPr>
        <w:pStyle w:val="OpiPara"/>
        <w:rPr>
          <w:rFonts w:eastAsia="Times New Roman"/>
        </w:rPr>
      </w:pPr>
      <w:r w:rsidRPr="005F174B">
        <w:rPr>
          <w:rFonts w:eastAsia="Times New Roman"/>
        </w:rPr>
        <w:fldChar w:fldCharType="begin"/>
      </w:r>
      <w:r w:rsidRPr="005F174B">
        <w:rPr>
          <w:rFonts w:eastAsia="Times New Roman"/>
        </w:rPr>
        <w:instrText xml:space="preserve"> SEQ level0 \*arabic </w:instrText>
      </w:r>
      <w:r w:rsidRPr="005F174B">
        <w:rPr>
          <w:rFonts w:eastAsia="Times New Roman"/>
        </w:rPr>
        <w:fldChar w:fldCharType="separate"/>
      </w:r>
      <w:r w:rsidR="005F174B" w:rsidRPr="005F174B">
        <w:rPr>
          <w:rFonts w:eastAsia="Times New Roman"/>
          <w:noProof/>
        </w:rPr>
        <w:t>17</w:t>
      </w:r>
      <w:r w:rsidRPr="005F174B">
        <w:rPr>
          <w:rFonts w:eastAsia="Times New Roman"/>
        </w:rPr>
        <w:fldChar w:fldCharType="end"/>
      </w:r>
      <w:r w:rsidRPr="005F174B">
        <w:rPr>
          <w:rFonts w:eastAsia="Times New Roman"/>
        </w:rPr>
        <w:t>.  As the Court has consistently held an interference with the peaceful enjoyment of possessions must strike a “fair balance” between the demands of the general interest of the community and the requirements of the protection of the individual</w:t>
      </w:r>
      <w:r w:rsidR="005F174B" w:rsidRPr="005F174B">
        <w:rPr>
          <w:rFonts w:eastAsia="Times New Roman"/>
        </w:rPr>
        <w:t>’</w:t>
      </w:r>
      <w:r w:rsidRPr="005F174B">
        <w:rPr>
          <w:rFonts w:eastAsia="Times New Roman"/>
        </w:rPr>
        <w:t>s fundamental rights. The concern to achieve this balance is reflected in the structure of Article 1 of the First Protocol as a whole, including therefore the second sentence, which is to be read in the light of the general principle enunciated in the first sentence. In particular, there must be a reasonable relationship of proportionality between the means employed and the aim sought to be realised by any measure depriving a person of his possessions. Compensation terms are material to the assessment whether the contested measure respects the requisite fair balance and, notably, whether it imposes a disproportionate burden on the applicants. In this connection, the taking of property without payment of an amount reasonably related to its value will normally constitute a disproportionate interference and a total lack of compensation can be considered justifiable under Article 1 of the First Protocol only in exceptional circumstances (</w:t>
      </w:r>
      <w:r w:rsidRPr="005F174B">
        <w:rPr>
          <w:rFonts w:eastAsia="Times New Roman"/>
          <w:i/>
          <w:lang w:val="en-US"/>
        </w:rPr>
        <w:t>The Holy Monasteries v. Greece</w:t>
      </w:r>
      <w:r w:rsidR="006C39FA" w:rsidRPr="005F174B">
        <w:rPr>
          <w:rFonts w:eastAsia="Times New Roman"/>
          <w:lang w:val="en-US"/>
        </w:rPr>
        <w:t>, judgment of 9 </w:t>
      </w:r>
      <w:r w:rsidRPr="005F174B">
        <w:rPr>
          <w:rFonts w:eastAsia="Times New Roman"/>
          <w:lang w:val="en-US"/>
        </w:rPr>
        <w:t xml:space="preserve">December 1994, Series A no. 301-A, pp. 34-35, §§ 70-71; </w:t>
      </w:r>
      <w:r w:rsidRPr="005F174B">
        <w:rPr>
          <w:rFonts w:eastAsia="Times New Roman"/>
          <w:i/>
          <w:lang w:val="en-US"/>
        </w:rPr>
        <w:t>Pressos Compania Naviera S.A. and Others v. Belgium</w:t>
      </w:r>
      <w:r w:rsidRPr="005F174B">
        <w:rPr>
          <w:rFonts w:eastAsia="Times New Roman"/>
          <w:lang w:val="en-US"/>
        </w:rPr>
        <w:t>, judgment of 20 November 1995, Series A no. 332, p. 23, § 38</w:t>
      </w:r>
      <w:r w:rsidR="00CA34BC" w:rsidRPr="005F174B">
        <w:rPr>
          <w:rFonts w:eastAsia="Times New Roman"/>
          <w:lang w:val="en-US"/>
        </w:rPr>
        <w:t>;</w:t>
      </w:r>
      <w:r w:rsidRPr="005F174B">
        <w:rPr>
          <w:rFonts w:eastAsia="Times New Roman"/>
          <w:lang w:val="en-US"/>
        </w:rPr>
        <w:t xml:space="preserve"> and </w:t>
      </w:r>
      <w:r w:rsidRPr="005F174B">
        <w:rPr>
          <w:rFonts w:eastAsia="Times New Roman"/>
          <w:i/>
        </w:rPr>
        <w:t>Pincová and Pinc v. the Czech Republic</w:t>
      </w:r>
      <w:r w:rsidRPr="005F174B">
        <w:rPr>
          <w:rFonts w:eastAsia="Times New Roman"/>
        </w:rPr>
        <w:t>, no. 36548/97, § 52, ECHR 2002</w:t>
      </w:r>
      <w:r w:rsidRPr="005F174B">
        <w:rPr>
          <w:rFonts w:eastAsia="Times New Roman"/>
        </w:rPr>
        <w:noBreakHyphen/>
        <w:t>VIII).</w:t>
      </w:r>
    </w:p>
    <w:p w:rsidR="00DD699B" w:rsidRPr="005F174B" w:rsidRDefault="001A5754" w:rsidP="005F174B">
      <w:pPr>
        <w:pStyle w:val="OpiPara"/>
        <w:rPr>
          <w:rFonts w:eastAsia="Times New Roman"/>
          <w:lang w:val="en-US"/>
        </w:rPr>
      </w:pPr>
      <w:r w:rsidRPr="005F174B">
        <w:rPr>
          <w:rFonts w:eastAsia="Times New Roman"/>
        </w:rPr>
        <w:fldChar w:fldCharType="begin"/>
      </w:r>
      <w:r w:rsidRPr="005F174B">
        <w:rPr>
          <w:rFonts w:eastAsia="Times New Roman"/>
        </w:rPr>
        <w:instrText xml:space="preserve"> SEQ level0 \*arabic </w:instrText>
      </w:r>
      <w:r w:rsidRPr="005F174B">
        <w:rPr>
          <w:rFonts w:eastAsia="Times New Roman"/>
        </w:rPr>
        <w:fldChar w:fldCharType="separate"/>
      </w:r>
      <w:r w:rsidR="005F174B" w:rsidRPr="005F174B">
        <w:rPr>
          <w:rFonts w:eastAsia="Times New Roman"/>
          <w:noProof/>
        </w:rPr>
        <w:t>18</w:t>
      </w:r>
      <w:r w:rsidRPr="005F174B">
        <w:rPr>
          <w:rFonts w:eastAsia="Times New Roman"/>
        </w:rPr>
        <w:fldChar w:fldCharType="end"/>
      </w:r>
      <w:r w:rsidRPr="005F174B">
        <w:rPr>
          <w:rFonts w:eastAsia="Times New Roman"/>
        </w:rPr>
        <w:t>.  In this case, the domestic courts have clearly identified the amount of compensation the applicant should have received and, for the reasons set out in §§ 58-62 of the judgment, it is not for u</w:t>
      </w:r>
      <w:r w:rsidR="006C39FA" w:rsidRPr="005F174B">
        <w:rPr>
          <w:rFonts w:eastAsia="Times New Roman"/>
        </w:rPr>
        <w:t xml:space="preserve">s to go behind those findings. </w:t>
      </w:r>
      <w:r w:rsidRPr="005F174B">
        <w:rPr>
          <w:rFonts w:eastAsia="Times New Roman"/>
        </w:rPr>
        <w:t xml:space="preserve">Furthermore, neither they nor the Italian government before this Court have identified any exceptional circumstances which would justify leaving the applicant without the compensation ordered and even less without any compensation at all. The applicant was therefore plainly left to </w:t>
      </w:r>
      <w:r w:rsidRPr="005F174B">
        <w:rPr>
          <w:rFonts w:eastAsia="Times New Roman"/>
          <w:lang w:val="en-US"/>
        </w:rPr>
        <w:t>bear an individual and excessive burden which has upset the fair balance that should be maintained between the demands of the general interest on the one hand and protection of the right to the peaceful enjoyment of possessions on the other.</w:t>
      </w:r>
    </w:p>
    <w:p w:rsidR="001A5754" w:rsidRPr="005F174B" w:rsidRDefault="001A5754" w:rsidP="005F174B">
      <w:pPr>
        <w:pStyle w:val="OpiPara"/>
        <w:rPr>
          <w:rFonts w:eastAsia="Times New Roman"/>
        </w:rPr>
      </w:pPr>
      <w:r w:rsidRPr="005F174B">
        <w:rPr>
          <w:rFonts w:eastAsia="Times New Roman"/>
          <w:lang w:val="en-US"/>
        </w:rPr>
        <w:fldChar w:fldCharType="begin"/>
      </w:r>
      <w:r w:rsidRPr="005F174B">
        <w:rPr>
          <w:rFonts w:eastAsia="Times New Roman"/>
          <w:lang w:val="en-US"/>
        </w:rPr>
        <w:instrText xml:space="preserve"> SEQ level0 \*arabic </w:instrText>
      </w:r>
      <w:r w:rsidRPr="005F174B">
        <w:rPr>
          <w:rFonts w:eastAsia="Times New Roman"/>
          <w:lang w:val="en-US"/>
        </w:rPr>
        <w:fldChar w:fldCharType="separate"/>
      </w:r>
      <w:r w:rsidR="005F174B" w:rsidRPr="005F174B">
        <w:rPr>
          <w:rFonts w:eastAsia="Times New Roman"/>
          <w:noProof/>
          <w:lang w:val="en-US"/>
        </w:rPr>
        <w:t>19</w:t>
      </w:r>
      <w:r w:rsidRPr="005F174B">
        <w:rPr>
          <w:rFonts w:eastAsia="Times New Roman"/>
          <w:lang w:val="en-US"/>
        </w:rPr>
        <w:fldChar w:fldCharType="end"/>
      </w:r>
      <w:r w:rsidRPr="005F174B">
        <w:rPr>
          <w:rFonts w:eastAsia="Times New Roman"/>
          <w:lang w:val="en-US"/>
        </w:rPr>
        <w:t>.  It is on this basis that we agree with the majority that there has therefore been a violation of Article 1 of the First Protocol to the Convention.</w:t>
      </w:r>
    </w:p>
    <w:sectPr w:rsidR="001A5754" w:rsidRPr="005F174B" w:rsidSect="00A639B1">
      <w:headerReference w:type="even" r:id="rId18"/>
      <w:headerReference w:type="default" r:id="rId19"/>
      <w:footnotePr>
        <w:numRestart w:val="eachSect"/>
      </w:footnotePr>
      <w:pgSz w:w="11906" w:h="16838" w:code="9"/>
      <w:pgMar w:top="2274" w:right="2274" w:bottom="2274" w:left="2274" w:header="1701"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336" w:rsidRPr="00EA4BD7" w:rsidRDefault="006E4336" w:rsidP="002D2C99">
      <w:pPr>
        <w:rPr>
          <w:lang w:val="fr-FR"/>
        </w:rPr>
      </w:pPr>
      <w:r w:rsidRPr="00EA4BD7">
        <w:rPr>
          <w:lang w:val="fr-FR"/>
        </w:rPr>
        <w:separator/>
      </w:r>
    </w:p>
  </w:endnote>
  <w:endnote w:type="continuationSeparator" w:id="0">
    <w:p w:rsidR="006E4336" w:rsidRPr="00EA4BD7" w:rsidRDefault="006E4336" w:rsidP="002D2C99">
      <w:pPr>
        <w:rPr>
          <w:lang w:val="fr-FR"/>
        </w:rPr>
      </w:pPr>
      <w:r w:rsidRPr="00EA4BD7">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CF7" w:rsidRPr="00150BFA" w:rsidRDefault="009B5CF7" w:rsidP="009B5CF7">
    <w:pPr>
      <w:jc w:val="center"/>
    </w:pPr>
    <w:r>
      <w:rPr>
        <w:noProof/>
        <w:lang w:val="it-IT" w:eastAsia="it-IT"/>
      </w:rPr>
      <w:drawing>
        <wp:inline distT="0" distB="0" distL="0" distR="0" wp14:anchorId="0C1F47B9" wp14:editId="270F3044">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B5CF7" w:rsidRPr="00EA4BD7" w:rsidRDefault="009B5CF7" w:rsidP="009B5CF7">
    <w:pPr>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CF7" w:rsidRDefault="009B5CF7" w:rsidP="009B5CF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CF7" w:rsidRDefault="009B5CF7" w:rsidP="009B5C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336" w:rsidRPr="00EA4BD7" w:rsidRDefault="006E4336" w:rsidP="002D2C99">
      <w:pPr>
        <w:rPr>
          <w:lang w:val="fr-FR"/>
        </w:rPr>
      </w:pPr>
      <w:r w:rsidRPr="00EA4BD7">
        <w:rPr>
          <w:lang w:val="fr-FR"/>
        </w:rPr>
        <w:separator/>
      </w:r>
    </w:p>
  </w:footnote>
  <w:footnote w:type="continuationSeparator" w:id="0">
    <w:p w:rsidR="006E4336" w:rsidRPr="00EA4BD7" w:rsidRDefault="006E4336" w:rsidP="002D2C99">
      <w:pPr>
        <w:rPr>
          <w:lang w:val="fr-FR"/>
        </w:rPr>
      </w:pPr>
      <w:r w:rsidRPr="00EA4BD7">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CF7" w:rsidRPr="00A45145" w:rsidRDefault="009B5CF7" w:rsidP="009B5CF7">
    <w:pPr>
      <w:jc w:val="center"/>
    </w:pPr>
    <w:r>
      <w:rPr>
        <w:noProof/>
        <w:lang w:val="it-IT" w:eastAsia="it-IT"/>
      </w:rPr>
      <w:drawing>
        <wp:inline distT="0" distB="0" distL="0" distR="0" wp14:anchorId="454861F5" wp14:editId="04E2CEAC">
          <wp:extent cx="2962275" cy="1219200"/>
          <wp:effectExtent l="0" t="0" r="9525" b="0"/>
          <wp:docPr id="4" name="Picture 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B5CF7" w:rsidRPr="00EA4BD7" w:rsidRDefault="009B5CF7" w:rsidP="00F5432B">
    <w:pPr>
      <w:jc w:val="cent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CF7" w:rsidRPr="00F5432B" w:rsidRDefault="009B5CF7" w:rsidP="00F5432B">
    <w:pPr>
      <w:pStyle w:val="ECHRHeader"/>
      <w:rPr>
        <w:lang w:val="fr-FR"/>
      </w:rPr>
    </w:pPr>
    <w:r>
      <w:rPr>
        <w:rStyle w:val="Numeropagina"/>
      </w:rPr>
      <w:fldChar w:fldCharType="begin"/>
    </w:r>
    <w:r>
      <w:rPr>
        <w:rStyle w:val="Numeropagina"/>
      </w:rPr>
      <w:instrText xml:space="preserve"> PAGE </w:instrText>
    </w:r>
    <w:r>
      <w:rPr>
        <w:rStyle w:val="Numeropagina"/>
      </w:rPr>
      <w:fldChar w:fldCharType="separate"/>
    </w:r>
    <w:r w:rsidR="002951FC">
      <w:rPr>
        <w:rStyle w:val="Numeropagina"/>
        <w:noProof/>
      </w:rPr>
      <w:t>16</w:t>
    </w:r>
    <w:r>
      <w:rPr>
        <w:rStyle w:val="Numeropagina"/>
      </w:rPr>
      <w:fldChar w:fldCharType="end"/>
    </w:r>
    <w:r w:rsidRPr="00C25A3E">
      <w:tab/>
      <w:t xml:space="preserve">ARRÊT </w:t>
    </w:r>
    <w:r>
      <w:t>ARNABOLDI c. ITALIE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CF7" w:rsidRPr="007100AD" w:rsidRDefault="009B5CF7" w:rsidP="00420F04">
    <w:pPr>
      <w:pStyle w:val="ECHRHeader"/>
    </w:pPr>
    <w:r>
      <w:tab/>
    </w:r>
    <w:r w:rsidRPr="00A7574A">
      <w:t xml:space="preserve">ARRÊT </w:t>
    </w:r>
    <w:r>
      <w:t>ARNABOLDI c. ITALIE</w:t>
    </w:r>
    <w:r w:rsidRPr="007100AD">
      <w:tab/>
    </w:r>
    <w:r>
      <w:rPr>
        <w:rStyle w:val="Numeropagina"/>
      </w:rPr>
      <w:fldChar w:fldCharType="begin"/>
    </w:r>
    <w:r>
      <w:rPr>
        <w:rStyle w:val="Numeropagina"/>
      </w:rPr>
      <w:instrText xml:space="preserve"> PAGE </w:instrText>
    </w:r>
    <w:r>
      <w:rPr>
        <w:rStyle w:val="Numeropagina"/>
      </w:rPr>
      <w:fldChar w:fldCharType="separate"/>
    </w:r>
    <w:r w:rsidR="002951FC">
      <w:rPr>
        <w:rStyle w:val="Numeropagina"/>
        <w:noProof/>
      </w:rPr>
      <w:t>15</w:t>
    </w:r>
    <w:r>
      <w:rPr>
        <w:rStyle w:val="Numeropagina"/>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CF7" w:rsidRPr="00F5432B" w:rsidRDefault="009B5CF7" w:rsidP="00A639B1">
    <w:pPr>
      <w:pStyle w:val="ECHRHeader"/>
      <w:tabs>
        <w:tab w:val="clear" w:pos="3686"/>
        <w:tab w:val="clear" w:pos="7371"/>
        <w:tab w:val="center" w:pos="3685"/>
      </w:tabs>
      <w:rPr>
        <w:lang w:val="fr-FR"/>
      </w:rPr>
    </w:pPr>
    <w:r>
      <w:rPr>
        <w:rStyle w:val="Numeropagina"/>
      </w:rPr>
      <w:fldChar w:fldCharType="begin"/>
    </w:r>
    <w:r w:rsidRPr="00A639B1">
      <w:rPr>
        <w:rStyle w:val="Numeropagina"/>
        <w:lang w:val="fr-FR"/>
      </w:rPr>
      <w:instrText xml:space="preserve"> PAGE </w:instrText>
    </w:r>
    <w:r>
      <w:rPr>
        <w:rStyle w:val="Numeropagina"/>
      </w:rPr>
      <w:fldChar w:fldCharType="separate"/>
    </w:r>
    <w:r w:rsidR="002951FC">
      <w:rPr>
        <w:rStyle w:val="Numeropagina"/>
        <w:noProof/>
        <w:lang w:val="fr-FR"/>
      </w:rPr>
      <w:t>20</w:t>
    </w:r>
    <w:r>
      <w:rPr>
        <w:rStyle w:val="Numeropagina"/>
      </w:rPr>
      <w:fldChar w:fldCharType="end"/>
    </w:r>
    <w:r w:rsidRPr="00A639B1">
      <w:rPr>
        <w:lang w:val="fr-FR"/>
      </w:rPr>
      <w:tab/>
    </w:r>
    <w:r w:rsidR="00055C84">
      <w:rPr>
        <w:lang w:val="fr-FR"/>
      </w:rPr>
      <w:t xml:space="preserve">ARRÊT ARNABOLDI c. ITALIE </w:t>
    </w:r>
    <w:r w:rsidR="004332E1">
      <w:rPr>
        <w:lang w:val="fr-FR"/>
      </w:rPr>
      <w:t>- OPINION SÉPARÉE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CF7" w:rsidRPr="00A639B1" w:rsidRDefault="009B5CF7" w:rsidP="00A639B1">
    <w:pPr>
      <w:pStyle w:val="ECHRHeader"/>
      <w:tabs>
        <w:tab w:val="clear" w:pos="3686"/>
        <w:tab w:val="clear" w:pos="7371"/>
        <w:tab w:val="center" w:pos="3685"/>
        <w:tab w:val="right" w:pos="7370"/>
      </w:tabs>
      <w:rPr>
        <w:lang w:val="fr-FR"/>
      </w:rPr>
    </w:pPr>
    <w:r>
      <w:tab/>
    </w:r>
    <w:r w:rsidR="004332E1">
      <w:rPr>
        <w:lang w:val="fr-FR"/>
      </w:rPr>
      <w:t>ARRÊT ARNABOLDI c. ITALIE - OPINION SÉPARÉE</w:t>
    </w:r>
    <w:r w:rsidRPr="00A639B1">
      <w:rPr>
        <w:lang w:val="fr-FR"/>
      </w:rPr>
      <w:tab/>
    </w:r>
    <w:r>
      <w:rPr>
        <w:rStyle w:val="Numeropagina"/>
      </w:rPr>
      <w:fldChar w:fldCharType="begin"/>
    </w:r>
    <w:r w:rsidRPr="00A639B1">
      <w:rPr>
        <w:rStyle w:val="Numeropagina"/>
        <w:lang w:val="fr-FR"/>
      </w:rPr>
      <w:instrText xml:space="preserve"> PAGE </w:instrText>
    </w:r>
    <w:r>
      <w:rPr>
        <w:rStyle w:val="Numeropagina"/>
      </w:rPr>
      <w:fldChar w:fldCharType="separate"/>
    </w:r>
    <w:r w:rsidR="002951FC">
      <w:rPr>
        <w:rStyle w:val="Numeropagina"/>
        <w:noProof/>
        <w:lang w:val="fr-FR"/>
      </w:rPr>
      <w:t>19</w:t>
    </w:r>
    <w:r>
      <w:rPr>
        <w:rStyle w:val="Numeropa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08B0C2"/>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3CF25AF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5B02EDC2"/>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1E60D70"/>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D2AA4F54"/>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99E2214A"/>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0DDCF244"/>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1804BE7E"/>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02A84908"/>
    <w:lvl w:ilvl="0">
      <w:start w:val="1"/>
      <w:numFmt w:val="decimal"/>
      <w:pStyle w:val="Numeroelenco"/>
      <w:lvlText w:val="%1."/>
      <w:lvlJc w:val="left"/>
      <w:pPr>
        <w:tabs>
          <w:tab w:val="num" w:pos="360"/>
        </w:tabs>
        <w:ind w:left="360" w:hanging="360"/>
      </w:pPr>
    </w:lvl>
  </w:abstractNum>
  <w:abstractNum w:abstractNumId="9">
    <w:nsid w:val="FFFFFF89"/>
    <w:multiLevelType w:val="singleLevel"/>
    <w:tmpl w:val="88CC5F40"/>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17363396"/>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F4B36E4"/>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0201130"/>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4">
    <w:nsid w:val="5B4233A6"/>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0152ADB"/>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2"/>
  </w:num>
  <w:num w:numId="2">
    <w:abstractNumId w:val="1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1"/>
  </w:num>
  <w:num w:numId="6">
    <w:abstractNumId w:val="13"/>
  </w:num>
  <w:num w:numId="7">
    <w:abstractNumId w:val="11"/>
  </w:num>
  <w:num w:numId="8">
    <w:abstractNumId w:val="7"/>
  </w:num>
  <w:num w:numId="9">
    <w:abstractNumId w:val="15"/>
  </w:num>
  <w:num w:numId="10">
    <w:abstractNumId w:val="14"/>
  </w:num>
  <w:num w:numId="11">
    <w:abstractNumId w:val="10"/>
  </w:num>
  <w:num w:numId="12">
    <w:abstractNumId w:val="9"/>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6"/>
  </w:num>
  <w:num w:numId="23">
    <w:abstractNumId w:val="16"/>
  </w:num>
  <w:num w:numId="24">
    <w:abstractNumId w:val="16"/>
  </w:num>
  <w:num w:numId="25">
    <w:abstractNumId w:val="16"/>
  </w:num>
  <w:num w:numId="26">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A639B1"/>
    <w:rsid w:val="000041F8"/>
    <w:rsid w:val="000042A8"/>
    <w:rsid w:val="00004308"/>
    <w:rsid w:val="00005BF0"/>
    <w:rsid w:val="00007154"/>
    <w:rsid w:val="000103AE"/>
    <w:rsid w:val="00011D69"/>
    <w:rsid w:val="00012AD3"/>
    <w:rsid w:val="00015C2D"/>
    <w:rsid w:val="00015F00"/>
    <w:rsid w:val="00021956"/>
    <w:rsid w:val="00022C1D"/>
    <w:rsid w:val="00034987"/>
    <w:rsid w:val="000359B8"/>
    <w:rsid w:val="000448F1"/>
    <w:rsid w:val="00054A5D"/>
    <w:rsid w:val="00055C84"/>
    <w:rsid w:val="000602DF"/>
    <w:rsid w:val="00061B05"/>
    <w:rsid w:val="000632D5"/>
    <w:rsid w:val="000644EE"/>
    <w:rsid w:val="000925AD"/>
    <w:rsid w:val="00093335"/>
    <w:rsid w:val="000958F9"/>
    <w:rsid w:val="000A24EB"/>
    <w:rsid w:val="000B6923"/>
    <w:rsid w:val="000C5F3C"/>
    <w:rsid w:val="000C6DCC"/>
    <w:rsid w:val="000D47AA"/>
    <w:rsid w:val="000D721F"/>
    <w:rsid w:val="000E069B"/>
    <w:rsid w:val="000E0E82"/>
    <w:rsid w:val="000E1DC5"/>
    <w:rsid w:val="000E223F"/>
    <w:rsid w:val="000E7D45"/>
    <w:rsid w:val="000F7851"/>
    <w:rsid w:val="001022BE"/>
    <w:rsid w:val="00102FB2"/>
    <w:rsid w:val="00104E23"/>
    <w:rsid w:val="00111B0C"/>
    <w:rsid w:val="00120410"/>
    <w:rsid w:val="00120D6C"/>
    <w:rsid w:val="001257EC"/>
    <w:rsid w:val="00127B42"/>
    <w:rsid w:val="00133D33"/>
    <w:rsid w:val="00134D64"/>
    <w:rsid w:val="00135A30"/>
    <w:rsid w:val="0013612C"/>
    <w:rsid w:val="00137FF6"/>
    <w:rsid w:val="00141650"/>
    <w:rsid w:val="00162A12"/>
    <w:rsid w:val="00166530"/>
    <w:rsid w:val="001832BD"/>
    <w:rsid w:val="001943B5"/>
    <w:rsid w:val="00195134"/>
    <w:rsid w:val="001A145B"/>
    <w:rsid w:val="001A3D28"/>
    <w:rsid w:val="001A5754"/>
    <w:rsid w:val="001A674C"/>
    <w:rsid w:val="001B3B24"/>
    <w:rsid w:val="001C0F98"/>
    <w:rsid w:val="001C2A42"/>
    <w:rsid w:val="001D63ED"/>
    <w:rsid w:val="001D6B54"/>
    <w:rsid w:val="001D7348"/>
    <w:rsid w:val="001D7526"/>
    <w:rsid w:val="001E035B"/>
    <w:rsid w:val="001E0961"/>
    <w:rsid w:val="001E3EAE"/>
    <w:rsid w:val="001E6F32"/>
    <w:rsid w:val="001F2145"/>
    <w:rsid w:val="001F6262"/>
    <w:rsid w:val="001F67B0"/>
    <w:rsid w:val="001F7B3D"/>
    <w:rsid w:val="00205F9F"/>
    <w:rsid w:val="00210338"/>
    <w:rsid w:val="002115FC"/>
    <w:rsid w:val="0021423C"/>
    <w:rsid w:val="002258CD"/>
    <w:rsid w:val="00230D00"/>
    <w:rsid w:val="00231DF7"/>
    <w:rsid w:val="00231FD1"/>
    <w:rsid w:val="002339E0"/>
    <w:rsid w:val="00233CF8"/>
    <w:rsid w:val="0023575D"/>
    <w:rsid w:val="00237148"/>
    <w:rsid w:val="0023766D"/>
    <w:rsid w:val="0024222D"/>
    <w:rsid w:val="00244B0E"/>
    <w:rsid w:val="00244F6C"/>
    <w:rsid w:val="002532C5"/>
    <w:rsid w:val="00260C03"/>
    <w:rsid w:val="0026540E"/>
    <w:rsid w:val="00275123"/>
    <w:rsid w:val="00282240"/>
    <w:rsid w:val="002948AD"/>
    <w:rsid w:val="002951FC"/>
    <w:rsid w:val="002A01CC"/>
    <w:rsid w:val="002A61B1"/>
    <w:rsid w:val="002A663C"/>
    <w:rsid w:val="002B444B"/>
    <w:rsid w:val="002B5887"/>
    <w:rsid w:val="002C0E27"/>
    <w:rsid w:val="002C3040"/>
    <w:rsid w:val="002D022D"/>
    <w:rsid w:val="002D24BB"/>
    <w:rsid w:val="002D2C99"/>
    <w:rsid w:val="002F2AF7"/>
    <w:rsid w:val="002F5725"/>
    <w:rsid w:val="002F7E1C"/>
    <w:rsid w:val="00301A75"/>
    <w:rsid w:val="00302F70"/>
    <w:rsid w:val="0030336F"/>
    <w:rsid w:val="0030375E"/>
    <w:rsid w:val="00312A30"/>
    <w:rsid w:val="00320F72"/>
    <w:rsid w:val="0032463E"/>
    <w:rsid w:val="00326224"/>
    <w:rsid w:val="00336456"/>
    <w:rsid w:val="00337EE4"/>
    <w:rsid w:val="00340FFD"/>
    <w:rsid w:val="003506B1"/>
    <w:rsid w:val="00352FB1"/>
    <w:rsid w:val="00356AC7"/>
    <w:rsid w:val="003609FA"/>
    <w:rsid w:val="003710C8"/>
    <w:rsid w:val="003750BE"/>
    <w:rsid w:val="00387B9D"/>
    <w:rsid w:val="0039364F"/>
    <w:rsid w:val="00396686"/>
    <w:rsid w:val="0039778E"/>
    <w:rsid w:val="003B336E"/>
    <w:rsid w:val="003B4941"/>
    <w:rsid w:val="003C5714"/>
    <w:rsid w:val="003C6B9F"/>
    <w:rsid w:val="003C6E2A"/>
    <w:rsid w:val="003D0299"/>
    <w:rsid w:val="003E65E2"/>
    <w:rsid w:val="003E6D80"/>
    <w:rsid w:val="003E748D"/>
    <w:rsid w:val="003F05FA"/>
    <w:rsid w:val="003F244A"/>
    <w:rsid w:val="003F30B8"/>
    <w:rsid w:val="003F4C45"/>
    <w:rsid w:val="003F5F7B"/>
    <w:rsid w:val="003F7D64"/>
    <w:rsid w:val="00414300"/>
    <w:rsid w:val="00420F04"/>
    <w:rsid w:val="00425C67"/>
    <w:rsid w:val="00427E7A"/>
    <w:rsid w:val="004332E1"/>
    <w:rsid w:val="00436C49"/>
    <w:rsid w:val="00437861"/>
    <w:rsid w:val="00445366"/>
    <w:rsid w:val="00447F5B"/>
    <w:rsid w:val="00461DB0"/>
    <w:rsid w:val="00463926"/>
    <w:rsid w:val="00464C9A"/>
    <w:rsid w:val="00474F3D"/>
    <w:rsid w:val="00477E3A"/>
    <w:rsid w:val="00483E5F"/>
    <w:rsid w:val="004840F1"/>
    <w:rsid w:val="00485FF9"/>
    <w:rsid w:val="004907F0"/>
    <w:rsid w:val="0049140B"/>
    <w:rsid w:val="004923A5"/>
    <w:rsid w:val="00493C5C"/>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36D5"/>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574A"/>
    <w:rsid w:val="005A1B9B"/>
    <w:rsid w:val="005A6751"/>
    <w:rsid w:val="005A7779"/>
    <w:rsid w:val="005B092E"/>
    <w:rsid w:val="005B152C"/>
    <w:rsid w:val="005B1EE0"/>
    <w:rsid w:val="005B2B24"/>
    <w:rsid w:val="005B4425"/>
    <w:rsid w:val="005B4B94"/>
    <w:rsid w:val="005C1AAD"/>
    <w:rsid w:val="005C3EE8"/>
    <w:rsid w:val="005D34F9"/>
    <w:rsid w:val="005D4190"/>
    <w:rsid w:val="005D67A3"/>
    <w:rsid w:val="005E2988"/>
    <w:rsid w:val="005E3085"/>
    <w:rsid w:val="005F174B"/>
    <w:rsid w:val="005F3858"/>
    <w:rsid w:val="005F51E1"/>
    <w:rsid w:val="00611C80"/>
    <w:rsid w:val="0061712A"/>
    <w:rsid w:val="00620692"/>
    <w:rsid w:val="006242CA"/>
    <w:rsid w:val="00627507"/>
    <w:rsid w:val="00633717"/>
    <w:rsid w:val="006344E1"/>
    <w:rsid w:val="0064121C"/>
    <w:rsid w:val="006545C4"/>
    <w:rsid w:val="00661971"/>
    <w:rsid w:val="00661CE8"/>
    <w:rsid w:val="00661D89"/>
    <w:rsid w:val="006623D9"/>
    <w:rsid w:val="0066550C"/>
    <w:rsid w:val="006716F2"/>
    <w:rsid w:val="00682BF2"/>
    <w:rsid w:val="006859CE"/>
    <w:rsid w:val="00691270"/>
    <w:rsid w:val="00694BA8"/>
    <w:rsid w:val="006A037C"/>
    <w:rsid w:val="006A36F4"/>
    <w:rsid w:val="006A406F"/>
    <w:rsid w:val="006A5D3A"/>
    <w:rsid w:val="006C23D4"/>
    <w:rsid w:val="006C39FA"/>
    <w:rsid w:val="006C7BB0"/>
    <w:rsid w:val="006D3237"/>
    <w:rsid w:val="006E2E37"/>
    <w:rsid w:val="006E3CF1"/>
    <w:rsid w:val="006E4336"/>
    <w:rsid w:val="006E7E80"/>
    <w:rsid w:val="006F48CA"/>
    <w:rsid w:val="006F64DD"/>
    <w:rsid w:val="00715127"/>
    <w:rsid w:val="00715E8E"/>
    <w:rsid w:val="00723580"/>
    <w:rsid w:val="00723755"/>
    <w:rsid w:val="0073136C"/>
    <w:rsid w:val="00731F0F"/>
    <w:rsid w:val="00733250"/>
    <w:rsid w:val="00741404"/>
    <w:rsid w:val="007449E5"/>
    <w:rsid w:val="00747FF0"/>
    <w:rsid w:val="0075103A"/>
    <w:rsid w:val="00764D4E"/>
    <w:rsid w:val="00765A1F"/>
    <w:rsid w:val="00770328"/>
    <w:rsid w:val="00775B6D"/>
    <w:rsid w:val="00776D68"/>
    <w:rsid w:val="00777C71"/>
    <w:rsid w:val="00782886"/>
    <w:rsid w:val="007850EE"/>
    <w:rsid w:val="00785B95"/>
    <w:rsid w:val="00790E96"/>
    <w:rsid w:val="00793366"/>
    <w:rsid w:val="007A017C"/>
    <w:rsid w:val="007A716F"/>
    <w:rsid w:val="007B270A"/>
    <w:rsid w:val="007C0695"/>
    <w:rsid w:val="007C419A"/>
    <w:rsid w:val="007C4CC8"/>
    <w:rsid w:val="007C5426"/>
    <w:rsid w:val="007C5798"/>
    <w:rsid w:val="007D4832"/>
    <w:rsid w:val="007E21B2"/>
    <w:rsid w:val="007E2C4E"/>
    <w:rsid w:val="007F17A4"/>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65378"/>
    <w:rsid w:val="008713A1"/>
    <w:rsid w:val="008754AB"/>
    <w:rsid w:val="008802A9"/>
    <w:rsid w:val="0088060C"/>
    <w:rsid w:val="00893576"/>
    <w:rsid w:val="00893E73"/>
    <w:rsid w:val="008B02DC"/>
    <w:rsid w:val="008B57CE"/>
    <w:rsid w:val="008C26DE"/>
    <w:rsid w:val="008D2225"/>
    <w:rsid w:val="008D4752"/>
    <w:rsid w:val="008E271C"/>
    <w:rsid w:val="008E418E"/>
    <w:rsid w:val="008E5BC6"/>
    <w:rsid w:val="008E6A25"/>
    <w:rsid w:val="008F5193"/>
    <w:rsid w:val="008F55F5"/>
    <w:rsid w:val="009013A7"/>
    <w:rsid w:val="009017FB"/>
    <w:rsid w:val="009017FC"/>
    <w:rsid w:val="00902299"/>
    <w:rsid w:val="0090506B"/>
    <w:rsid w:val="009050C9"/>
    <w:rsid w:val="009066FC"/>
    <w:rsid w:val="009067D7"/>
    <w:rsid w:val="009140A3"/>
    <w:rsid w:val="009144A2"/>
    <w:rsid w:val="0091510C"/>
    <w:rsid w:val="009259AC"/>
    <w:rsid w:val="00926F38"/>
    <w:rsid w:val="00934301"/>
    <w:rsid w:val="00936CD1"/>
    <w:rsid w:val="00941747"/>
    <w:rsid w:val="00941C1A"/>
    <w:rsid w:val="00941EFB"/>
    <w:rsid w:val="00947AFB"/>
    <w:rsid w:val="00951D7D"/>
    <w:rsid w:val="00956E5B"/>
    <w:rsid w:val="009630C7"/>
    <w:rsid w:val="0096503F"/>
    <w:rsid w:val="00972B55"/>
    <w:rsid w:val="009743B7"/>
    <w:rsid w:val="0098228B"/>
    <w:rsid w:val="009828DA"/>
    <w:rsid w:val="00984352"/>
    <w:rsid w:val="00985BAB"/>
    <w:rsid w:val="009B1B5F"/>
    <w:rsid w:val="009B5CF7"/>
    <w:rsid w:val="009B6673"/>
    <w:rsid w:val="009C191B"/>
    <w:rsid w:val="009C2BD6"/>
    <w:rsid w:val="009E1F32"/>
    <w:rsid w:val="009E776C"/>
    <w:rsid w:val="009F65DC"/>
    <w:rsid w:val="00A071D1"/>
    <w:rsid w:val="00A1726E"/>
    <w:rsid w:val="00A204CF"/>
    <w:rsid w:val="00A23D49"/>
    <w:rsid w:val="00A242AC"/>
    <w:rsid w:val="00A27004"/>
    <w:rsid w:val="00A30C29"/>
    <w:rsid w:val="00A34DD6"/>
    <w:rsid w:val="00A36819"/>
    <w:rsid w:val="00A36989"/>
    <w:rsid w:val="00A43628"/>
    <w:rsid w:val="00A54192"/>
    <w:rsid w:val="00A6035E"/>
    <w:rsid w:val="00A6144C"/>
    <w:rsid w:val="00A639B1"/>
    <w:rsid w:val="00A66617"/>
    <w:rsid w:val="00A671F8"/>
    <w:rsid w:val="00A673A4"/>
    <w:rsid w:val="00A724AE"/>
    <w:rsid w:val="00A73329"/>
    <w:rsid w:val="00A77041"/>
    <w:rsid w:val="00A82359"/>
    <w:rsid w:val="00A865D2"/>
    <w:rsid w:val="00A94C20"/>
    <w:rsid w:val="00AA227F"/>
    <w:rsid w:val="00AA3BC7"/>
    <w:rsid w:val="00AA754A"/>
    <w:rsid w:val="00AB099E"/>
    <w:rsid w:val="00AB4328"/>
    <w:rsid w:val="00AC3ABA"/>
    <w:rsid w:val="00AD4891"/>
    <w:rsid w:val="00AE0A2E"/>
    <w:rsid w:val="00AE354C"/>
    <w:rsid w:val="00AF4B07"/>
    <w:rsid w:val="00AF5653"/>
    <w:rsid w:val="00AF6186"/>
    <w:rsid w:val="00AF7A3A"/>
    <w:rsid w:val="00B023C5"/>
    <w:rsid w:val="00B160DB"/>
    <w:rsid w:val="00B20836"/>
    <w:rsid w:val="00B235BB"/>
    <w:rsid w:val="00B26274"/>
    <w:rsid w:val="00B27A44"/>
    <w:rsid w:val="00B30BBF"/>
    <w:rsid w:val="00B33C03"/>
    <w:rsid w:val="00B36632"/>
    <w:rsid w:val="00B44E56"/>
    <w:rsid w:val="00B46543"/>
    <w:rsid w:val="00B47D33"/>
    <w:rsid w:val="00B52BE0"/>
    <w:rsid w:val="00B54133"/>
    <w:rsid w:val="00B55B08"/>
    <w:rsid w:val="00B6614D"/>
    <w:rsid w:val="00B701ED"/>
    <w:rsid w:val="00B8086C"/>
    <w:rsid w:val="00B861B4"/>
    <w:rsid w:val="00B86DFE"/>
    <w:rsid w:val="00B90990"/>
    <w:rsid w:val="00B922FF"/>
    <w:rsid w:val="00B9281E"/>
    <w:rsid w:val="00B93925"/>
    <w:rsid w:val="00B95187"/>
    <w:rsid w:val="00BA2D55"/>
    <w:rsid w:val="00BA71B1"/>
    <w:rsid w:val="00BB0637"/>
    <w:rsid w:val="00BB1838"/>
    <w:rsid w:val="00BB345F"/>
    <w:rsid w:val="00BB68EA"/>
    <w:rsid w:val="00BC1C27"/>
    <w:rsid w:val="00BC6BBF"/>
    <w:rsid w:val="00BC6E2D"/>
    <w:rsid w:val="00BD1572"/>
    <w:rsid w:val="00BE14E3"/>
    <w:rsid w:val="00BE3774"/>
    <w:rsid w:val="00BE41E5"/>
    <w:rsid w:val="00BF4109"/>
    <w:rsid w:val="00BF4CC3"/>
    <w:rsid w:val="00C054C7"/>
    <w:rsid w:val="00C057B5"/>
    <w:rsid w:val="00C1029D"/>
    <w:rsid w:val="00C22687"/>
    <w:rsid w:val="00C25A3E"/>
    <w:rsid w:val="00C32E4D"/>
    <w:rsid w:val="00C333A0"/>
    <w:rsid w:val="00C36408"/>
    <w:rsid w:val="00C36A81"/>
    <w:rsid w:val="00C41226"/>
    <w:rsid w:val="00C41974"/>
    <w:rsid w:val="00C41981"/>
    <w:rsid w:val="00C535F5"/>
    <w:rsid w:val="00C53F4A"/>
    <w:rsid w:val="00C54125"/>
    <w:rsid w:val="00C55B54"/>
    <w:rsid w:val="00C6098E"/>
    <w:rsid w:val="00C6152C"/>
    <w:rsid w:val="00C73539"/>
    <w:rsid w:val="00C74810"/>
    <w:rsid w:val="00C9017A"/>
    <w:rsid w:val="00C90D68"/>
    <w:rsid w:val="00C939FE"/>
    <w:rsid w:val="00CA34BC"/>
    <w:rsid w:val="00CA4473"/>
    <w:rsid w:val="00CA4BDA"/>
    <w:rsid w:val="00CB1F66"/>
    <w:rsid w:val="00CB25E5"/>
    <w:rsid w:val="00CB2951"/>
    <w:rsid w:val="00CD282B"/>
    <w:rsid w:val="00CD4C35"/>
    <w:rsid w:val="00CD7369"/>
    <w:rsid w:val="00CE0A42"/>
    <w:rsid w:val="00CE0B0E"/>
    <w:rsid w:val="00CE3831"/>
    <w:rsid w:val="00D00ABB"/>
    <w:rsid w:val="00D02EEC"/>
    <w:rsid w:val="00D03551"/>
    <w:rsid w:val="00D06A63"/>
    <w:rsid w:val="00D07E0E"/>
    <w:rsid w:val="00D11478"/>
    <w:rsid w:val="00D15ED0"/>
    <w:rsid w:val="00D20A92"/>
    <w:rsid w:val="00D21B3E"/>
    <w:rsid w:val="00D21FED"/>
    <w:rsid w:val="00D24251"/>
    <w:rsid w:val="00D2526B"/>
    <w:rsid w:val="00D343E2"/>
    <w:rsid w:val="00D361A2"/>
    <w:rsid w:val="00D37417"/>
    <w:rsid w:val="00D44C2E"/>
    <w:rsid w:val="00D45414"/>
    <w:rsid w:val="00D47891"/>
    <w:rsid w:val="00D566BD"/>
    <w:rsid w:val="00D57A4D"/>
    <w:rsid w:val="00D60AA7"/>
    <w:rsid w:val="00D6435F"/>
    <w:rsid w:val="00D75E28"/>
    <w:rsid w:val="00D772C2"/>
    <w:rsid w:val="00D8008E"/>
    <w:rsid w:val="00D82C45"/>
    <w:rsid w:val="00D908A8"/>
    <w:rsid w:val="00D977B6"/>
    <w:rsid w:val="00DA4A31"/>
    <w:rsid w:val="00DA7B04"/>
    <w:rsid w:val="00DA7FF4"/>
    <w:rsid w:val="00DB36C2"/>
    <w:rsid w:val="00DC169B"/>
    <w:rsid w:val="00DC2AB9"/>
    <w:rsid w:val="00DC63F0"/>
    <w:rsid w:val="00DD699B"/>
    <w:rsid w:val="00DD6EE5"/>
    <w:rsid w:val="00DE0420"/>
    <w:rsid w:val="00DE386C"/>
    <w:rsid w:val="00DE4D35"/>
    <w:rsid w:val="00DE5C4A"/>
    <w:rsid w:val="00DF098B"/>
    <w:rsid w:val="00DF11C4"/>
    <w:rsid w:val="00DF1EFB"/>
    <w:rsid w:val="00DF210C"/>
    <w:rsid w:val="00DF4B6A"/>
    <w:rsid w:val="00E02C09"/>
    <w:rsid w:val="00E04D59"/>
    <w:rsid w:val="00E07DA1"/>
    <w:rsid w:val="00E123CB"/>
    <w:rsid w:val="00E20E13"/>
    <w:rsid w:val="00E21DBC"/>
    <w:rsid w:val="00E275D7"/>
    <w:rsid w:val="00E27DBE"/>
    <w:rsid w:val="00E32AB1"/>
    <w:rsid w:val="00E36C71"/>
    <w:rsid w:val="00E37CB1"/>
    <w:rsid w:val="00E40404"/>
    <w:rsid w:val="00E444BC"/>
    <w:rsid w:val="00E459C6"/>
    <w:rsid w:val="00E47589"/>
    <w:rsid w:val="00E64915"/>
    <w:rsid w:val="00E661D4"/>
    <w:rsid w:val="00E70091"/>
    <w:rsid w:val="00E720F5"/>
    <w:rsid w:val="00E73BDC"/>
    <w:rsid w:val="00E76D47"/>
    <w:rsid w:val="00E849F7"/>
    <w:rsid w:val="00E90302"/>
    <w:rsid w:val="00E97396"/>
    <w:rsid w:val="00EA185E"/>
    <w:rsid w:val="00EA2502"/>
    <w:rsid w:val="00EA4BD7"/>
    <w:rsid w:val="00EA592A"/>
    <w:rsid w:val="00EB14E4"/>
    <w:rsid w:val="00EB32A5"/>
    <w:rsid w:val="00EB34ED"/>
    <w:rsid w:val="00EB7BE0"/>
    <w:rsid w:val="00EC315E"/>
    <w:rsid w:val="00EC3F18"/>
    <w:rsid w:val="00EC69C0"/>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5432B"/>
    <w:rsid w:val="00F552A0"/>
    <w:rsid w:val="00F56A6F"/>
    <w:rsid w:val="00F5709C"/>
    <w:rsid w:val="00F64EF1"/>
    <w:rsid w:val="00F8765F"/>
    <w:rsid w:val="00F90767"/>
    <w:rsid w:val="00F9289A"/>
    <w:rsid w:val="00FA685B"/>
    <w:rsid w:val="00FB0C01"/>
    <w:rsid w:val="00FC18F2"/>
    <w:rsid w:val="00FC39E5"/>
    <w:rsid w:val="00FC3A78"/>
    <w:rsid w:val="00FD1005"/>
    <w:rsid w:val="00FD6C75"/>
    <w:rsid w:val="00FE71B3"/>
    <w:rsid w:val="00FF094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annotation reference" w:uiPriority="0"/>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437861"/>
    <w:pPr>
      <w:jc w:val="both"/>
    </w:pPr>
    <w:rPr>
      <w:rFonts w:eastAsiaTheme="minorEastAsia"/>
      <w:sz w:val="24"/>
      <w:lang w:val="en-GB"/>
    </w:rPr>
  </w:style>
  <w:style w:type="paragraph" w:styleId="Titolo1">
    <w:name w:val="heading 1"/>
    <w:basedOn w:val="Normale"/>
    <w:next w:val="Normale"/>
    <w:link w:val="Titolo1Carattere"/>
    <w:uiPriority w:val="99"/>
    <w:semiHidden/>
    <w:rsid w:val="00437861"/>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437861"/>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437861"/>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437861"/>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437861"/>
    <w:pPr>
      <w:spacing w:before="200"/>
      <w:outlineLvl w:val="4"/>
    </w:pPr>
    <w:rPr>
      <w:rFonts w:asciiTheme="majorHAnsi" w:eastAsiaTheme="majorEastAsia" w:hAnsiTheme="majorHAnsi" w:cstheme="majorBidi"/>
      <w:b/>
      <w:bCs/>
      <w:color w:val="808080"/>
      <w:sz w:val="22"/>
      <w:lang w:val="en-US"/>
    </w:rPr>
  </w:style>
  <w:style w:type="paragraph" w:styleId="Titolo6">
    <w:name w:val="heading 6"/>
    <w:basedOn w:val="Normale"/>
    <w:next w:val="Normale"/>
    <w:link w:val="Titolo6Carattere"/>
    <w:uiPriority w:val="99"/>
    <w:semiHidden/>
    <w:rsid w:val="00437861"/>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437861"/>
    <w:pPr>
      <w:outlineLvl w:val="6"/>
    </w:pPr>
    <w:rPr>
      <w:rFonts w:asciiTheme="majorHAnsi" w:eastAsiaTheme="majorEastAsia" w:hAnsiTheme="majorHAnsi" w:cstheme="majorBidi"/>
      <w:i/>
      <w:iCs/>
      <w:sz w:val="22"/>
      <w:lang w:val="en-US" w:bidi="en-US"/>
    </w:rPr>
  </w:style>
  <w:style w:type="paragraph" w:styleId="Titolo8">
    <w:name w:val="heading 8"/>
    <w:basedOn w:val="Normale"/>
    <w:next w:val="Normale"/>
    <w:link w:val="Titolo8Carattere"/>
    <w:uiPriority w:val="99"/>
    <w:semiHidden/>
    <w:qFormat/>
    <w:rsid w:val="00437861"/>
    <w:pPr>
      <w:outlineLvl w:val="7"/>
    </w:pPr>
    <w:rPr>
      <w:rFonts w:asciiTheme="majorHAnsi" w:eastAsiaTheme="majorEastAsia" w:hAnsiTheme="majorHAnsi" w:cstheme="majorBidi"/>
      <w:sz w:val="20"/>
      <w:szCs w:val="20"/>
      <w:lang w:val="en-US" w:bidi="en-US"/>
    </w:rPr>
  </w:style>
  <w:style w:type="paragraph" w:styleId="Titolo9">
    <w:name w:val="heading 9"/>
    <w:basedOn w:val="Normale"/>
    <w:next w:val="Normale"/>
    <w:link w:val="Titolo9Carattere"/>
    <w:uiPriority w:val="99"/>
    <w:semiHidden/>
    <w:qFormat/>
    <w:rsid w:val="00437861"/>
    <w:pPr>
      <w:outlineLvl w:val="8"/>
    </w:pPr>
    <w:rPr>
      <w:rFonts w:asciiTheme="majorHAnsi" w:eastAsiaTheme="majorEastAsia" w:hAnsiTheme="majorHAnsi" w:cstheme="majorBidi"/>
      <w:i/>
      <w:iCs/>
      <w:spacing w:val="5"/>
      <w:sz w:val="20"/>
      <w:szCs w:val="20"/>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43786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7861"/>
    <w:rPr>
      <w:rFonts w:ascii="Tahoma" w:eastAsiaTheme="minorEastAsia" w:hAnsi="Tahoma" w:cs="Tahoma"/>
      <w:sz w:val="16"/>
      <w:szCs w:val="16"/>
      <w:lang w:val="en-GB"/>
    </w:rPr>
  </w:style>
  <w:style w:type="character" w:styleId="Titolodellibro">
    <w:name w:val="Book Title"/>
    <w:uiPriority w:val="99"/>
    <w:semiHidden/>
    <w:qFormat/>
    <w:rsid w:val="00437861"/>
    <w:rPr>
      <w:i/>
      <w:iCs/>
      <w:smallCaps/>
      <w:spacing w:val="5"/>
    </w:rPr>
  </w:style>
  <w:style w:type="paragraph" w:customStyle="1" w:styleId="ECHRHeader">
    <w:name w:val="ECHR_Header"/>
    <w:aliases w:val="Ju_Header"/>
    <w:basedOn w:val="Intestazione"/>
    <w:uiPriority w:val="4"/>
    <w:qFormat/>
    <w:rsid w:val="00437861"/>
    <w:pPr>
      <w:tabs>
        <w:tab w:val="clear" w:pos="4536"/>
        <w:tab w:val="clear" w:pos="9072"/>
        <w:tab w:val="center" w:pos="3686"/>
        <w:tab w:val="right" w:pos="7371"/>
      </w:tabs>
      <w:jc w:val="left"/>
    </w:pPr>
    <w:rPr>
      <w:sz w:val="18"/>
    </w:rPr>
  </w:style>
  <w:style w:type="paragraph" w:customStyle="1" w:styleId="DecHTitle">
    <w:name w:val="Dec_H_Title"/>
    <w:basedOn w:val="ECHRTitleCentre1"/>
    <w:uiPriority w:val="7"/>
    <w:semiHidden/>
    <w:qFormat/>
    <w:rsid w:val="00437861"/>
  </w:style>
  <w:style w:type="character" w:styleId="Enfasigrassetto">
    <w:name w:val="Strong"/>
    <w:uiPriority w:val="99"/>
    <w:semiHidden/>
    <w:qFormat/>
    <w:rsid w:val="00437861"/>
    <w:rPr>
      <w:b/>
      <w:bCs/>
    </w:rPr>
  </w:style>
  <w:style w:type="paragraph" w:styleId="Nessunaspaziatura">
    <w:name w:val="No Spacing"/>
    <w:basedOn w:val="Normale"/>
    <w:link w:val="NessunaspaziaturaCarattere"/>
    <w:semiHidden/>
    <w:qFormat/>
    <w:rsid w:val="00437861"/>
    <w:rPr>
      <w:sz w:val="22"/>
      <w:lang w:val="en-US"/>
    </w:rPr>
  </w:style>
  <w:style w:type="character" w:customStyle="1" w:styleId="NessunaspaziaturaCarattere">
    <w:name w:val="Nessuna spaziatura Carattere"/>
    <w:basedOn w:val="Carpredefinitoparagrafo"/>
    <w:link w:val="Nessunaspaziatura"/>
    <w:semiHidden/>
    <w:rsid w:val="00437861"/>
    <w:rPr>
      <w:rFonts w:eastAsiaTheme="minorEastAsia"/>
    </w:rPr>
  </w:style>
  <w:style w:type="paragraph" w:customStyle="1" w:styleId="ECHRParaQuote">
    <w:name w:val="ECHR_Para_Quote"/>
    <w:aliases w:val="Ju_Quot"/>
    <w:basedOn w:val="Normale"/>
    <w:uiPriority w:val="14"/>
    <w:qFormat/>
    <w:rsid w:val="00437861"/>
    <w:pPr>
      <w:spacing w:before="120" w:after="120"/>
      <w:ind w:left="425" w:firstLine="142"/>
    </w:pPr>
    <w:rPr>
      <w:sz w:val="20"/>
    </w:rPr>
  </w:style>
  <w:style w:type="paragraph" w:customStyle="1" w:styleId="DecList">
    <w:name w:val="Dec_List"/>
    <w:basedOn w:val="Normale"/>
    <w:uiPriority w:val="9"/>
    <w:semiHidden/>
    <w:qFormat/>
    <w:rsid w:val="00437861"/>
    <w:pPr>
      <w:spacing w:before="240"/>
      <w:ind w:left="284"/>
    </w:pPr>
  </w:style>
  <w:style w:type="paragraph" w:customStyle="1" w:styleId="DummyStyle">
    <w:name w:val="Dummy_Style"/>
    <w:basedOn w:val="Normale"/>
    <w:semiHidden/>
    <w:qFormat/>
    <w:rsid w:val="00437861"/>
    <w:rPr>
      <w:color w:val="00B050"/>
    </w:rPr>
  </w:style>
  <w:style w:type="paragraph" w:customStyle="1" w:styleId="JuAppQuestion">
    <w:name w:val="Ju_App_Question"/>
    <w:basedOn w:val="Normale"/>
    <w:uiPriority w:val="5"/>
    <w:semiHidden/>
    <w:qFormat/>
    <w:rsid w:val="00437861"/>
    <w:pPr>
      <w:numPr>
        <w:numId w:val="26"/>
      </w:numPr>
      <w:jc w:val="left"/>
    </w:pPr>
    <w:rPr>
      <w:b/>
    </w:rPr>
  </w:style>
  <w:style w:type="paragraph" w:customStyle="1" w:styleId="JuCourt">
    <w:name w:val="Ju_Court"/>
    <w:basedOn w:val="Normale"/>
    <w:next w:val="Normale"/>
    <w:uiPriority w:val="16"/>
    <w:qFormat/>
    <w:rsid w:val="00437861"/>
    <w:pPr>
      <w:tabs>
        <w:tab w:val="left" w:pos="907"/>
        <w:tab w:val="left" w:pos="1701"/>
        <w:tab w:val="right" w:pos="7371"/>
      </w:tabs>
      <w:spacing w:before="240"/>
      <w:ind w:left="397" w:hanging="397"/>
      <w:jc w:val="left"/>
    </w:pPr>
    <w:rPr>
      <w:lang w:bidi="en-US"/>
    </w:rPr>
  </w:style>
  <w:style w:type="paragraph" w:customStyle="1" w:styleId="ECHRTitleCentre3">
    <w:name w:val="ECHR_Title_Centre_3"/>
    <w:aliases w:val="Ju_H_Article"/>
    <w:basedOn w:val="Normale"/>
    <w:next w:val="ECHRParaQuote"/>
    <w:uiPriority w:val="27"/>
    <w:qFormat/>
    <w:rsid w:val="00437861"/>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437861"/>
    <w:pPr>
      <w:keepNext/>
      <w:keepLines/>
      <w:spacing w:after="240"/>
      <w:jc w:val="center"/>
      <w:outlineLvl w:val="0"/>
    </w:pPr>
    <w:rPr>
      <w:rFonts w:asciiTheme="majorHAnsi" w:hAnsiTheme="majorHAnsi"/>
      <w:sz w:val="28"/>
    </w:rPr>
  </w:style>
  <w:style w:type="character" w:customStyle="1" w:styleId="JUNAMES">
    <w:name w:val="JU_NAMES"/>
    <w:uiPriority w:val="17"/>
    <w:qFormat/>
    <w:rsid w:val="00437861"/>
    <w:rPr>
      <w:caps w:val="0"/>
      <w:smallCaps/>
    </w:rPr>
  </w:style>
  <w:style w:type="paragraph" w:customStyle="1" w:styleId="ECHRTitle1">
    <w:name w:val="ECHR_Title_1"/>
    <w:aliases w:val="Ju_H_Head"/>
    <w:basedOn w:val="Normale"/>
    <w:next w:val="ECHRPara"/>
    <w:uiPriority w:val="18"/>
    <w:qFormat/>
    <w:rsid w:val="00437861"/>
    <w:pPr>
      <w:keepNext/>
      <w:keepLines/>
      <w:spacing w:before="720" w:after="240"/>
      <w:outlineLvl w:val="0"/>
    </w:pPr>
    <w:rPr>
      <w:rFonts w:asciiTheme="majorHAnsi" w:hAnsiTheme="majorHAnsi"/>
      <w:sz w:val="28"/>
    </w:rPr>
  </w:style>
  <w:style w:type="paragraph" w:customStyle="1" w:styleId="JuInitialled">
    <w:name w:val="Ju_Initialled"/>
    <w:basedOn w:val="Normale"/>
    <w:uiPriority w:val="31"/>
    <w:qFormat/>
    <w:rsid w:val="00437861"/>
    <w:pPr>
      <w:tabs>
        <w:tab w:val="center" w:pos="6407"/>
      </w:tabs>
      <w:spacing w:before="720"/>
      <w:jc w:val="right"/>
    </w:pPr>
  </w:style>
  <w:style w:type="paragraph" w:customStyle="1" w:styleId="JuSigned">
    <w:name w:val="Ju_Signed"/>
    <w:basedOn w:val="Normale"/>
    <w:next w:val="JuParaLast"/>
    <w:uiPriority w:val="32"/>
    <w:qFormat/>
    <w:rsid w:val="00437861"/>
    <w:pPr>
      <w:tabs>
        <w:tab w:val="center" w:pos="851"/>
        <w:tab w:val="center" w:pos="6407"/>
      </w:tabs>
      <w:spacing w:before="720"/>
      <w:jc w:val="left"/>
    </w:pPr>
  </w:style>
  <w:style w:type="paragraph" w:styleId="Titolo">
    <w:name w:val="Title"/>
    <w:basedOn w:val="Normale"/>
    <w:next w:val="Normale"/>
    <w:link w:val="TitoloCarattere"/>
    <w:uiPriority w:val="99"/>
    <w:semiHidden/>
    <w:qFormat/>
    <w:rsid w:val="00437861"/>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oloCarattere">
    <w:name w:val="Titolo Carattere"/>
    <w:basedOn w:val="Carpredefinitoparagrafo"/>
    <w:link w:val="Titolo"/>
    <w:uiPriority w:val="99"/>
    <w:semiHidden/>
    <w:rsid w:val="00437861"/>
    <w:rPr>
      <w:rFonts w:asciiTheme="majorHAnsi" w:eastAsiaTheme="majorEastAsia" w:hAnsiTheme="majorHAnsi" w:cstheme="majorBidi"/>
      <w:spacing w:val="5"/>
      <w:sz w:val="52"/>
      <w:szCs w:val="52"/>
      <w:lang w:bidi="en-US"/>
    </w:rPr>
  </w:style>
  <w:style w:type="paragraph" w:customStyle="1" w:styleId="JuParaSub">
    <w:name w:val="Ju_Para_Sub"/>
    <w:basedOn w:val="ECHRPara"/>
    <w:uiPriority w:val="13"/>
    <w:qFormat/>
    <w:rsid w:val="00437861"/>
    <w:pPr>
      <w:ind w:left="284"/>
    </w:pPr>
  </w:style>
  <w:style w:type="paragraph" w:customStyle="1" w:styleId="JuQuotSub">
    <w:name w:val="Ju_Quot_Sub"/>
    <w:basedOn w:val="ECHRParaQuote"/>
    <w:uiPriority w:val="15"/>
    <w:qFormat/>
    <w:rsid w:val="00437861"/>
    <w:pPr>
      <w:ind w:left="567"/>
    </w:pPr>
  </w:style>
  <w:style w:type="character" w:customStyle="1" w:styleId="JuITMark">
    <w:name w:val="Ju_ITMark"/>
    <w:basedOn w:val="Carpredefinitoparagrafo"/>
    <w:uiPriority w:val="38"/>
    <w:qFormat/>
    <w:rsid w:val="00437861"/>
    <w:rPr>
      <w:vanish w:val="0"/>
      <w:color w:val="auto"/>
      <w:sz w:val="14"/>
      <w:bdr w:val="none" w:sz="0" w:space="0" w:color="auto"/>
      <w:shd w:val="clear" w:color="auto" w:fill="BEE5FF" w:themeFill="background1" w:themeFillTint="33"/>
    </w:rPr>
  </w:style>
  <w:style w:type="paragraph" w:customStyle="1" w:styleId="JuTitle">
    <w:name w:val="Ju_Title"/>
    <w:basedOn w:val="Normale"/>
    <w:next w:val="ECHRPara"/>
    <w:uiPriority w:val="3"/>
    <w:semiHidden/>
    <w:qFormat/>
    <w:rsid w:val="00437861"/>
    <w:pPr>
      <w:spacing w:before="720" w:after="240"/>
      <w:jc w:val="center"/>
      <w:outlineLvl w:val="0"/>
    </w:pPr>
    <w:rPr>
      <w:rFonts w:asciiTheme="majorHAnsi" w:hAnsiTheme="majorHAnsi"/>
      <w:b/>
      <w:caps/>
    </w:rPr>
  </w:style>
  <w:style w:type="paragraph" w:customStyle="1" w:styleId="OpiH1">
    <w:name w:val="Opi_H_1"/>
    <w:basedOn w:val="ECHRHeading2"/>
    <w:uiPriority w:val="42"/>
    <w:qFormat/>
    <w:rsid w:val="00437861"/>
    <w:pPr>
      <w:ind w:left="635" w:hanging="357"/>
      <w:outlineLvl w:val="2"/>
    </w:pPr>
  </w:style>
  <w:style w:type="paragraph" w:customStyle="1" w:styleId="ECHRHeading1">
    <w:name w:val="ECHR_Heading_1"/>
    <w:aliases w:val="Ju_H_I_Roman"/>
    <w:basedOn w:val="Titolo1"/>
    <w:next w:val="ECHRPara"/>
    <w:uiPriority w:val="19"/>
    <w:qFormat/>
    <w:rsid w:val="00437861"/>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437861"/>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ECHRPara"/>
    <w:uiPriority w:val="21"/>
    <w:qFormat/>
    <w:rsid w:val="00437861"/>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57"/>
    <w:semiHidden/>
    <w:rsid w:val="00437861"/>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437861"/>
    <w:rPr>
      <w:sz w:val="24"/>
      <w:lang w:val="en-GB"/>
    </w:rPr>
  </w:style>
  <w:style w:type="character" w:customStyle="1" w:styleId="Titolo1Carattere">
    <w:name w:val="Titolo 1 Carattere"/>
    <w:basedOn w:val="Carpredefinitoparagrafo"/>
    <w:link w:val="Titolo1"/>
    <w:uiPriority w:val="99"/>
    <w:semiHidden/>
    <w:rsid w:val="00437861"/>
    <w:rPr>
      <w:rFonts w:asciiTheme="majorHAnsi" w:eastAsiaTheme="majorEastAsia" w:hAnsiTheme="majorHAnsi" w:cstheme="majorBidi"/>
      <w:b/>
      <w:bCs/>
      <w:color w:val="333333"/>
      <w:sz w:val="28"/>
      <w:szCs w:val="28"/>
      <w:lang w:val="en-GB"/>
    </w:rPr>
  </w:style>
  <w:style w:type="paragraph" w:customStyle="1" w:styleId="ECHRHeading4">
    <w:name w:val="ECHR_Heading_4"/>
    <w:aliases w:val="Ju_H_a"/>
    <w:basedOn w:val="Titolo4"/>
    <w:next w:val="ECHRPara"/>
    <w:uiPriority w:val="22"/>
    <w:qFormat/>
    <w:rsid w:val="00437861"/>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437861"/>
    <w:pPr>
      <w:keepNext/>
      <w:keepLines/>
      <w:tabs>
        <w:tab w:val="left" w:pos="1191"/>
      </w:tabs>
      <w:spacing w:before="240" w:after="120"/>
      <w:ind w:left="1190" w:hanging="357"/>
    </w:pPr>
    <w:rPr>
      <w:b w:val="0"/>
      <w:i/>
      <w:color w:val="auto"/>
      <w:sz w:val="20"/>
      <w:lang w:val="en-GB"/>
    </w:rPr>
  </w:style>
  <w:style w:type="character" w:customStyle="1" w:styleId="Titolo2Carattere">
    <w:name w:val="Titolo 2 Carattere"/>
    <w:basedOn w:val="Carpredefinitoparagrafo"/>
    <w:link w:val="Titolo2"/>
    <w:uiPriority w:val="99"/>
    <w:semiHidden/>
    <w:rsid w:val="00437861"/>
    <w:rPr>
      <w:rFonts w:asciiTheme="majorHAnsi" w:eastAsiaTheme="majorEastAsia" w:hAnsiTheme="majorHAnsi" w:cstheme="majorBidi"/>
      <w:b/>
      <w:bCs/>
      <w:color w:val="4D4D4D"/>
      <w:sz w:val="26"/>
      <w:szCs w:val="26"/>
      <w:lang w:val="en-GB"/>
    </w:rPr>
  </w:style>
  <w:style w:type="paragraph" w:customStyle="1" w:styleId="ECHRHeading6">
    <w:name w:val="ECHR_Heading_6"/>
    <w:aliases w:val="Ju_H_alpha"/>
    <w:basedOn w:val="Titolo6"/>
    <w:next w:val="ECHRPara"/>
    <w:uiPriority w:val="24"/>
    <w:qFormat/>
    <w:rsid w:val="00437861"/>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437861"/>
    <w:pPr>
      <w:keepNext/>
      <w:keepLines/>
      <w:spacing w:before="240" w:after="120"/>
      <w:ind w:left="1236"/>
    </w:pPr>
    <w:rPr>
      <w:sz w:val="20"/>
      <w:lang w:val="en-GB"/>
    </w:rPr>
  </w:style>
  <w:style w:type="character" w:customStyle="1" w:styleId="Titolo3Carattere">
    <w:name w:val="Titolo 3 Carattere"/>
    <w:basedOn w:val="Carpredefinitoparagrafo"/>
    <w:link w:val="Titolo3"/>
    <w:uiPriority w:val="99"/>
    <w:semiHidden/>
    <w:rsid w:val="00437861"/>
    <w:rPr>
      <w:rFonts w:asciiTheme="majorHAnsi" w:eastAsiaTheme="majorEastAsia" w:hAnsiTheme="majorHAnsi" w:cstheme="majorBidi"/>
      <w:b/>
      <w:bCs/>
      <w:color w:val="5F5F5F"/>
      <w:sz w:val="24"/>
      <w:lang w:val="en-GB"/>
    </w:rPr>
  </w:style>
  <w:style w:type="paragraph" w:customStyle="1" w:styleId="JuParaLast">
    <w:name w:val="Ju_Para_Last"/>
    <w:basedOn w:val="Normale"/>
    <w:next w:val="ECHRPara"/>
    <w:uiPriority w:val="30"/>
    <w:qFormat/>
    <w:rsid w:val="00437861"/>
    <w:pPr>
      <w:keepNext/>
      <w:keepLines/>
      <w:spacing w:before="240"/>
      <w:ind w:firstLine="284"/>
    </w:pPr>
  </w:style>
  <w:style w:type="paragraph" w:customStyle="1" w:styleId="JuList">
    <w:name w:val="Ju_List"/>
    <w:basedOn w:val="Normale"/>
    <w:uiPriority w:val="28"/>
    <w:qFormat/>
    <w:rsid w:val="00437861"/>
    <w:pPr>
      <w:ind w:left="340" w:hanging="340"/>
    </w:pPr>
  </w:style>
  <w:style w:type="character" w:customStyle="1" w:styleId="Titolo4Carattere">
    <w:name w:val="Titolo 4 Carattere"/>
    <w:basedOn w:val="Carpredefinitoparagrafo"/>
    <w:link w:val="Titolo4"/>
    <w:uiPriority w:val="99"/>
    <w:semiHidden/>
    <w:rsid w:val="00437861"/>
    <w:rPr>
      <w:rFonts w:asciiTheme="majorHAnsi" w:eastAsiaTheme="majorEastAsia" w:hAnsiTheme="majorHAnsi" w:cstheme="majorBidi"/>
      <w:b/>
      <w:bCs/>
      <w:i/>
      <w:iCs/>
      <w:color w:val="777777"/>
      <w:sz w:val="24"/>
      <w:lang w:val="en-GB"/>
    </w:rPr>
  </w:style>
  <w:style w:type="paragraph" w:customStyle="1" w:styleId="JuLista">
    <w:name w:val="Ju_List_a"/>
    <w:basedOn w:val="JuList"/>
    <w:uiPriority w:val="28"/>
    <w:qFormat/>
    <w:rsid w:val="00437861"/>
    <w:pPr>
      <w:ind w:left="346" w:firstLine="0"/>
    </w:pPr>
  </w:style>
  <w:style w:type="character" w:customStyle="1" w:styleId="Titolo5Carattere">
    <w:name w:val="Titolo 5 Carattere"/>
    <w:basedOn w:val="Carpredefinitoparagrafo"/>
    <w:link w:val="Titolo5"/>
    <w:uiPriority w:val="99"/>
    <w:semiHidden/>
    <w:rsid w:val="00437861"/>
    <w:rPr>
      <w:rFonts w:asciiTheme="majorHAnsi" w:eastAsiaTheme="majorEastAsia" w:hAnsiTheme="majorHAnsi" w:cstheme="majorBidi"/>
      <w:b/>
      <w:bCs/>
      <w:color w:val="808080"/>
    </w:rPr>
  </w:style>
  <w:style w:type="paragraph" w:customStyle="1" w:styleId="JuListi">
    <w:name w:val="Ju_List_i"/>
    <w:basedOn w:val="Normale"/>
    <w:next w:val="JuLista"/>
    <w:uiPriority w:val="28"/>
    <w:qFormat/>
    <w:rsid w:val="00437861"/>
    <w:pPr>
      <w:ind w:left="794"/>
    </w:pPr>
  </w:style>
  <w:style w:type="paragraph" w:customStyle="1" w:styleId="OpiHa">
    <w:name w:val="Opi_H_a"/>
    <w:basedOn w:val="ECHRHeading3"/>
    <w:uiPriority w:val="43"/>
    <w:qFormat/>
    <w:rsid w:val="00437861"/>
    <w:pPr>
      <w:ind w:left="833" w:hanging="357"/>
      <w:outlineLvl w:val="3"/>
    </w:pPr>
    <w:rPr>
      <w:b/>
      <w:i w:val="0"/>
      <w:sz w:val="20"/>
    </w:rPr>
  </w:style>
  <w:style w:type="character" w:styleId="Enfasidelicata">
    <w:name w:val="Subtle Emphasis"/>
    <w:uiPriority w:val="99"/>
    <w:semiHidden/>
    <w:qFormat/>
    <w:rsid w:val="00437861"/>
    <w:rPr>
      <w:i/>
      <w:iCs/>
    </w:rPr>
  </w:style>
  <w:style w:type="paragraph" w:customStyle="1" w:styleId="OpiHA0">
    <w:name w:val="Opi_H_A"/>
    <w:basedOn w:val="ECHRHeading1"/>
    <w:next w:val="OpiPara"/>
    <w:uiPriority w:val="41"/>
    <w:qFormat/>
    <w:rsid w:val="00437861"/>
    <w:pPr>
      <w:tabs>
        <w:tab w:val="clear" w:pos="357"/>
      </w:tabs>
      <w:outlineLvl w:val="1"/>
    </w:pPr>
    <w:rPr>
      <w:b/>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i">
    <w:name w:val="Opi_H_i"/>
    <w:basedOn w:val="ECHRHeading4"/>
    <w:uiPriority w:val="44"/>
    <w:qFormat/>
    <w:rsid w:val="00437861"/>
    <w:pPr>
      <w:ind w:left="1037" w:hanging="357"/>
      <w:outlineLvl w:val="4"/>
    </w:pPr>
    <w:rPr>
      <w:b w:val="0"/>
      <w:i/>
    </w:rPr>
  </w:style>
  <w:style w:type="paragraph" w:customStyle="1" w:styleId="OpiPara">
    <w:name w:val="Opi_Para"/>
    <w:basedOn w:val="ECHRPara"/>
    <w:uiPriority w:val="46"/>
    <w:qFormat/>
    <w:rsid w:val="00437861"/>
  </w:style>
  <w:style w:type="paragraph" w:styleId="Sottotitolo">
    <w:name w:val="Subtitle"/>
    <w:basedOn w:val="Normale"/>
    <w:next w:val="Normale"/>
    <w:link w:val="SottotitoloCarattere"/>
    <w:uiPriority w:val="99"/>
    <w:semiHidden/>
    <w:qFormat/>
    <w:rsid w:val="00437861"/>
    <w:pPr>
      <w:spacing w:after="600"/>
    </w:pPr>
    <w:rPr>
      <w:rFonts w:asciiTheme="majorHAnsi" w:eastAsiaTheme="majorEastAsia" w:hAnsiTheme="majorHAnsi" w:cstheme="majorBidi"/>
      <w:i/>
      <w:iCs/>
      <w:spacing w:val="13"/>
      <w:szCs w:val="24"/>
      <w:lang w:val="en-US" w:bidi="en-US"/>
    </w:rPr>
  </w:style>
  <w:style w:type="character" w:styleId="Enfasicorsivo">
    <w:name w:val="Emphasis"/>
    <w:uiPriority w:val="99"/>
    <w:semiHidden/>
    <w:qFormat/>
    <w:rsid w:val="00437861"/>
    <w:rPr>
      <w:b/>
      <w:bCs/>
      <w:i/>
      <w:iCs/>
      <w:spacing w:val="10"/>
      <w:bdr w:val="none" w:sz="0" w:space="0" w:color="auto"/>
      <w:shd w:val="clear" w:color="auto" w:fill="auto"/>
    </w:rPr>
  </w:style>
  <w:style w:type="paragraph" w:styleId="Pidipagina">
    <w:name w:val="footer"/>
    <w:basedOn w:val="Normale"/>
    <w:link w:val="PidipaginaCarattere"/>
    <w:uiPriority w:val="57"/>
    <w:semiHidden/>
    <w:rsid w:val="00437861"/>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437861"/>
    <w:rPr>
      <w:sz w:val="24"/>
      <w:lang w:val="en-GB"/>
    </w:rPr>
  </w:style>
  <w:style w:type="character" w:styleId="Rimandonotaapidipagina">
    <w:name w:val="footnote reference"/>
    <w:basedOn w:val="Carpredefinitoparagrafo"/>
    <w:uiPriority w:val="99"/>
    <w:semiHidden/>
    <w:rsid w:val="00437861"/>
    <w:rPr>
      <w:vertAlign w:val="superscript"/>
    </w:rPr>
  </w:style>
  <w:style w:type="paragraph" w:styleId="Testonotaapidipagina">
    <w:name w:val="footnote text"/>
    <w:basedOn w:val="Normale"/>
    <w:link w:val="TestonotaapidipaginaCarattere"/>
    <w:uiPriority w:val="99"/>
    <w:semiHidden/>
    <w:rsid w:val="00437861"/>
    <w:rPr>
      <w:sz w:val="20"/>
      <w:szCs w:val="20"/>
    </w:rPr>
  </w:style>
  <w:style w:type="character" w:customStyle="1" w:styleId="TestonotaapidipaginaCarattere">
    <w:name w:val="Testo nota a piè di pagina Carattere"/>
    <w:basedOn w:val="Carpredefinitoparagrafo"/>
    <w:link w:val="Testonotaapidipagina"/>
    <w:uiPriority w:val="99"/>
    <w:semiHidden/>
    <w:rsid w:val="00437861"/>
    <w:rPr>
      <w:rFonts w:eastAsiaTheme="minorEastAsia"/>
      <w:sz w:val="20"/>
      <w:szCs w:val="20"/>
      <w:lang w:val="en-GB"/>
    </w:rPr>
  </w:style>
  <w:style w:type="character" w:customStyle="1" w:styleId="Titolo6Carattere">
    <w:name w:val="Titolo 6 Carattere"/>
    <w:basedOn w:val="Carpredefinitoparagrafo"/>
    <w:link w:val="Titolo6"/>
    <w:uiPriority w:val="99"/>
    <w:semiHidden/>
    <w:rsid w:val="00437861"/>
    <w:rPr>
      <w:rFonts w:asciiTheme="majorHAnsi" w:eastAsiaTheme="majorEastAsia" w:hAnsiTheme="majorHAnsi" w:cstheme="majorBidi"/>
      <w:b/>
      <w:bCs/>
      <w:i/>
      <w:iCs/>
      <w:color w:val="7F7F7F" w:themeColor="text1" w:themeTint="80"/>
      <w:sz w:val="24"/>
      <w:lang w:val="en-GB" w:bidi="en-US"/>
    </w:rPr>
  </w:style>
  <w:style w:type="character" w:customStyle="1" w:styleId="Titolo7Carattere">
    <w:name w:val="Titolo 7 Carattere"/>
    <w:basedOn w:val="Carpredefinitoparagrafo"/>
    <w:link w:val="Titolo7"/>
    <w:uiPriority w:val="99"/>
    <w:semiHidden/>
    <w:rsid w:val="00437861"/>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437861"/>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437861"/>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437861"/>
    <w:rPr>
      <w:color w:val="0072BC" w:themeColor="hyperlink"/>
      <w:u w:val="single"/>
    </w:rPr>
  </w:style>
  <w:style w:type="character" w:styleId="Enfasiintensa">
    <w:name w:val="Intense Emphasis"/>
    <w:uiPriority w:val="99"/>
    <w:semiHidden/>
    <w:qFormat/>
    <w:rsid w:val="00437861"/>
    <w:rPr>
      <w:b/>
      <w:bCs/>
    </w:rPr>
  </w:style>
  <w:style w:type="paragraph" w:styleId="Citazioneintensa">
    <w:name w:val="Intense Quote"/>
    <w:basedOn w:val="Normale"/>
    <w:next w:val="Normale"/>
    <w:link w:val="CitazioneintensaCarattere"/>
    <w:uiPriority w:val="99"/>
    <w:semiHidden/>
    <w:qFormat/>
    <w:rsid w:val="00437861"/>
    <w:pPr>
      <w:pBdr>
        <w:bottom w:val="single" w:sz="4" w:space="1" w:color="auto"/>
      </w:pBdr>
      <w:spacing w:before="200" w:after="280"/>
      <w:ind w:left="1008" w:right="1152"/>
    </w:pPr>
    <w:rPr>
      <w:b/>
      <w:bCs/>
      <w:i/>
      <w:iCs/>
      <w:sz w:val="22"/>
      <w:lang w:val="en-US" w:bidi="en-US"/>
    </w:rPr>
  </w:style>
  <w:style w:type="character" w:customStyle="1" w:styleId="CitazioneintensaCarattere">
    <w:name w:val="Citazione intensa Carattere"/>
    <w:basedOn w:val="Carpredefinitoparagrafo"/>
    <w:link w:val="Citazioneintensa"/>
    <w:uiPriority w:val="99"/>
    <w:semiHidden/>
    <w:rsid w:val="00437861"/>
    <w:rPr>
      <w:rFonts w:eastAsiaTheme="minorEastAsia"/>
      <w:b/>
      <w:bCs/>
      <w:i/>
      <w:iCs/>
      <w:lang w:bidi="en-US"/>
    </w:rPr>
  </w:style>
  <w:style w:type="character" w:styleId="Riferimentointenso">
    <w:name w:val="Intense Reference"/>
    <w:uiPriority w:val="99"/>
    <w:semiHidden/>
    <w:qFormat/>
    <w:rsid w:val="00437861"/>
    <w:rPr>
      <w:smallCaps/>
      <w:spacing w:val="5"/>
      <w:u w:val="single"/>
    </w:rPr>
  </w:style>
  <w:style w:type="paragraph" w:styleId="Paragrafoelenco">
    <w:name w:val="List Paragraph"/>
    <w:basedOn w:val="Normale"/>
    <w:uiPriority w:val="99"/>
    <w:semiHidden/>
    <w:qFormat/>
    <w:rsid w:val="00437861"/>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437861"/>
    <w:pPr>
      <w:spacing w:before="200"/>
      <w:ind w:left="360" w:right="360"/>
    </w:pPr>
    <w:rPr>
      <w:i/>
      <w:iCs/>
      <w:sz w:val="22"/>
      <w:lang w:val="en-US" w:bidi="en-US"/>
    </w:rPr>
  </w:style>
  <w:style w:type="character" w:customStyle="1" w:styleId="CitazioneCarattere">
    <w:name w:val="Citazione Carattere"/>
    <w:basedOn w:val="Carpredefinitoparagrafo"/>
    <w:link w:val="Citazione"/>
    <w:uiPriority w:val="99"/>
    <w:semiHidden/>
    <w:rsid w:val="00437861"/>
    <w:rPr>
      <w:rFonts w:eastAsiaTheme="minorEastAsia"/>
      <w:i/>
      <w:iCs/>
      <w:lang w:bidi="en-US"/>
    </w:rPr>
  </w:style>
  <w:style w:type="character" w:styleId="Riferimentodelicato">
    <w:name w:val="Subtle Reference"/>
    <w:uiPriority w:val="99"/>
    <w:semiHidden/>
    <w:qFormat/>
    <w:rsid w:val="00437861"/>
    <w:rPr>
      <w:smallCaps/>
    </w:rPr>
  </w:style>
  <w:style w:type="table" w:styleId="Grigliatabella">
    <w:name w:val="Table Grid"/>
    <w:basedOn w:val="Tabellanormale"/>
    <w:uiPriority w:val="59"/>
    <w:semiHidden/>
    <w:rsid w:val="0043786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437861"/>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437861"/>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437861"/>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437861"/>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437861"/>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437861"/>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437861"/>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character" w:customStyle="1" w:styleId="SottotitoloCarattere">
    <w:name w:val="Sottotitolo Carattere"/>
    <w:basedOn w:val="Carpredefinitoparagrafo"/>
    <w:link w:val="Sottotitolo"/>
    <w:uiPriority w:val="99"/>
    <w:semiHidden/>
    <w:rsid w:val="00437861"/>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unhideWhenUsed/>
    <w:rsid w:val="002D2C99"/>
    <w:pPr>
      <w:numPr>
        <w:numId w:val="9"/>
      </w:numPr>
    </w:pPr>
  </w:style>
  <w:style w:type="numbering" w:styleId="1ai">
    <w:name w:val="Outline List 1"/>
    <w:basedOn w:val="Nessunelenco"/>
    <w:uiPriority w:val="99"/>
    <w:semiHidden/>
    <w:unhideWhenUsed/>
    <w:rsid w:val="002D2C99"/>
    <w:pPr>
      <w:numPr>
        <w:numId w:val="10"/>
      </w:numPr>
    </w:pPr>
  </w:style>
  <w:style w:type="paragraph" w:customStyle="1" w:styleId="ECHRPara">
    <w:name w:val="ECHR_Para"/>
    <w:aliases w:val="Ju_Para"/>
    <w:basedOn w:val="Normale"/>
    <w:link w:val="ECHRParaChar"/>
    <w:uiPriority w:val="12"/>
    <w:qFormat/>
    <w:rsid w:val="00437861"/>
    <w:pPr>
      <w:ind w:firstLine="284"/>
    </w:pPr>
  </w:style>
  <w:style w:type="numbering" w:styleId="ArticoloSezione">
    <w:name w:val="Outline List 3"/>
    <w:basedOn w:val="Nessunelenco"/>
    <w:uiPriority w:val="99"/>
    <w:semiHidden/>
    <w:unhideWhenUsed/>
    <w:rsid w:val="002D2C99"/>
    <w:pPr>
      <w:numPr>
        <w:numId w:val="11"/>
      </w:numPr>
    </w:p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paragraph" w:styleId="Bibliografia">
    <w:name w:val="Bibliography"/>
    <w:basedOn w:val="Normale"/>
    <w:next w:val="Normale"/>
    <w:uiPriority w:val="99"/>
    <w:semiHidden/>
    <w:rsid w:val="002D2C99"/>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437861"/>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Testodelblocco">
    <w:name w:val="Block Text"/>
    <w:basedOn w:val="Normale"/>
    <w:uiPriority w:val="99"/>
    <w:semiHidden/>
    <w:rsid w:val="002D2C99"/>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paragraph" w:styleId="Corpotesto">
    <w:name w:val="Body Text"/>
    <w:basedOn w:val="Normale"/>
    <w:link w:val="CorpotestoCarattere"/>
    <w:uiPriority w:val="99"/>
    <w:semiHidden/>
    <w:rsid w:val="002D2C99"/>
    <w:pPr>
      <w:spacing w:after="120"/>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character" w:customStyle="1" w:styleId="CorpotestoCarattere">
    <w:name w:val="Corpo testo Carattere"/>
    <w:basedOn w:val="Carpredefinitoparagrafo"/>
    <w:link w:val="Corpotesto"/>
    <w:uiPriority w:val="99"/>
    <w:semiHidden/>
    <w:rsid w:val="002D2C99"/>
    <w:rPr>
      <w:rFonts w:eastAsiaTheme="minorEastAsia"/>
      <w:sz w:val="24"/>
    </w:rPr>
  </w:style>
  <w:style w:type="paragraph" w:styleId="Corpodeltesto2">
    <w:name w:val="Body Text 2"/>
    <w:basedOn w:val="Normale"/>
    <w:link w:val="Corpodeltesto2Carattere"/>
    <w:uiPriority w:val="99"/>
    <w:semiHidden/>
    <w:rsid w:val="002D2C99"/>
    <w:pPr>
      <w:spacing w:after="120" w:line="480" w:lineRule="auto"/>
    </w:p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e"/>
    <w:uiPriority w:val="11"/>
    <w:qFormat/>
    <w:rsid w:val="00437861"/>
    <w:pPr>
      <w:tabs>
        <w:tab w:val="left" w:pos="567"/>
        <w:tab w:val="left" w:pos="1134"/>
      </w:tabs>
      <w:jc w:val="left"/>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e"/>
    <w:next w:val="ECHRPara"/>
    <w:uiPriority w:val="10"/>
    <w:rsid w:val="00437861"/>
    <w:pPr>
      <w:ind w:firstLine="284"/>
    </w:pPr>
    <w:rPr>
      <w:b/>
    </w:rPr>
  </w:style>
  <w:style w:type="character" w:styleId="Numeropagina">
    <w:name w:val="page number"/>
    <w:uiPriority w:val="99"/>
    <w:semiHidden/>
    <w:rsid w:val="002D2C99"/>
    <w:rPr>
      <w:rFonts w:ascii="Times New Roman" w:hAnsi="Times New Roman" w:cs="Times New Roman"/>
      <w:sz w:val="18"/>
    </w:rPr>
  </w:style>
  <w:style w:type="paragraph" w:styleId="Puntoelenco2">
    <w:name w:val="List Bullet 2"/>
    <w:basedOn w:val="Normale"/>
    <w:uiPriority w:val="99"/>
    <w:semiHidden/>
    <w:rsid w:val="002D2C99"/>
    <w:pPr>
      <w:numPr>
        <w:numId w:val="8"/>
      </w:numPr>
      <w:contextualSpacing/>
    </w:pPr>
  </w:style>
  <w:style w:type="character" w:customStyle="1" w:styleId="Corpodeltesto2Carattere">
    <w:name w:val="Corpo del testo 2 Carattere"/>
    <w:basedOn w:val="Carpredefinitoparagrafo"/>
    <w:link w:val="Corpodeltesto2"/>
    <w:uiPriority w:val="99"/>
    <w:semiHidden/>
    <w:rsid w:val="002D2C99"/>
    <w:rPr>
      <w:rFonts w:eastAsiaTheme="minorEastAsia"/>
      <w:sz w:val="24"/>
    </w:rPr>
  </w:style>
  <w:style w:type="paragraph" w:styleId="Corpodeltesto3">
    <w:name w:val="Body Text 3"/>
    <w:basedOn w:val="Normale"/>
    <w:link w:val="Corpodeltesto3Carattere"/>
    <w:uiPriority w:val="99"/>
    <w:semiHidden/>
    <w:rsid w:val="002D2C9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D2C99"/>
    <w:rPr>
      <w:rFonts w:eastAsiaTheme="minorEastAsia"/>
      <w:sz w:val="16"/>
      <w:szCs w:val="16"/>
    </w:rPr>
  </w:style>
  <w:style w:type="paragraph" w:styleId="Primorientrocorpodeltesto">
    <w:name w:val="Body Text First Indent"/>
    <w:basedOn w:val="Corpotesto"/>
    <w:link w:val="PrimorientrocorpodeltestoCarattere"/>
    <w:uiPriority w:val="99"/>
    <w:semiHidden/>
    <w:rsid w:val="002D2C9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2D2C99"/>
    <w:rPr>
      <w:rFonts w:eastAsiaTheme="minorEastAsia"/>
      <w:sz w:val="24"/>
    </w:rPr>
  </w:style>
  <w:style w:type="paragraph" w:styleId="Rientrocorpodeltesto">
    <w:name w:val="Body Text Indent"/>
    <w:basedOn w:val="Normale"/>
    <w:link w:val="RientrocorpodeltestoCarattere"/>
    <w:uiPriority w:val="99"/>
    <w:semiHidden/>
    <w:rsid w:val="002D2C9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2D2C99"/>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2D2C99"/>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2D2C99"/>
    <w:rPr>
      <w:rFonts w:eastAsiaTheme="minorEastAsia"/>
      <w:sz w:val="24"/>
    </w:rPr>
  </w:style>
  <w:style w:type="paragraph" w:styleId="Rientrocorpodeltesto2">
    <w:name w:val="Body Text Indent 2"/>
    <w:basedOn w:val="Normale"/>
    <w:link w:val="Rientrocorpodeltesto2Carattere"/>
    <w:uiPriority w:val="99"/>
    <w:semiHidden/>
    <w:rsid w:val="002D2C9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2D2C99"/>
    <w:rPr>
      <w:rFonts w:eastAsiaTheme="minorEastAsia"/>
      <w:sz w:val="24"/>
    </w:rPr>
  </w:style>
  <w:style w:type="paragraph" w:styleId="Rientrocorpodeltesto3">
    <w:name w:val="Body Text Indent 3"/>
    <w:basedOn w:val="Normale"/>
    <w:link w:val="Rientrocorpodeltesto3Carattere"/>
    <w:uiPriority w:val="99"/>
    <w:semiHidden/>
    <w:rsid w:val="002D2C9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D2C99"/>
    <w:rPr>
      <w:rFonts w:eastAsiaTheme="minorEastAsia"/>
      <w:sz w:val="16"/>
      <w:szCs w:val="16"/>
    </w:rPr>
  </w:style>
  <w:style w:type="paragraph" w:styleId="Didascalia">
    <w:name w:val="caption"/>
    <w:basedOn w:val="Normale"/>
    <w:next w:val="Normale"/>
    <w:uiPriority w:val="99"/>
    <w:semiHidden/>
    <w:qFormat/>
    <w:rsid w:val="002D2C99"/>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2D2C99"/>
    <w:pPr>
      <w:ind w:left="4252"/>
    </w:pPr>
  </w:style>
  <w:style w:type="character" w:customStyle="1" w:styleId="FormuladichiusuraCarattere">
    <w:name w:val="Formula di chiusura Carattere"/>
    <w:basedOn w:val="Carpredefinitoparagrafo"/>
    <w:link w:val="Formuladichiusura"/>
    <w:uiPriority w:val="99"/>
    <w:semiHidden/>
    <w:rsid w:val="002D2C99"/>
    <w:rPr>
      <w:rFonts w:eastAsiaTheme="minorEastAsia"/>
      <w:sz w:val="24"/>
    </w:rPr>
  </w:style>
  <w:style w:type="table" w:styleId="Grigliaacolori">
    <w:name w:val="Colorful Grid"/>
    <w:basedOn w:val="Tabellanormale"/>
    <w:uiPriority w:val="99"/>
    <w:semiHidden/>
    <w:rsid w:val="002D2C99"/>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2D2C99"/>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2D2C99"/>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2D2C99"/>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2D2C99"/>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2D2C99"/>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2D2C99"/>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2D2C99"/>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2D2C99"/>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2D2C99"/>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2D2C99"/>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2D2C99"/>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2D2C99"/>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2D2C99"/>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2D2C99"/>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2D2C99"/>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2D2C99"/>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2D2C99"/>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2D2C99"/>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2D2C99"/>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2D2C99"/>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semiHidden/>
    <w:rsid w:val="002D2C99"/>
    <w:rPr>
      <w:sz w:val="16"/>
      <w:szCs w:val="16"/>
    </w:rPr>
  </w:style>
  <w:style w:type="paragraph" w:styleId="Testocommento">
    <w:name w:val="annotation text"/>
    <w:basedOn w:val="Normale"/>
    <w:link w:val="TestocommentoCarattere"/>
    <w:semiHidden/>
    <w:rsid w:val="002D2C99"/>
    <w:rPr>
      <w:sz w:val="20"/>
      <w:szCs w:val="20"/>
    </w:rPr>
  </w:style>
  <w:style w:type="character" w:customStyle="1" w:styleId="TestocommentoCarattere">
    <w:name w:val="Testo commento Carattere"/>
    <w:basedOn w:val="Carpredefinitoparagrafo"/>
    <w:link w:val="Testocommento"/>
    <w:semiHidden/>
    <w:rsid w:val="002D2C99"/>
    <w:rPr>
      <w:rFonts w:eastAsiaTheme="minorEastAsia"/>
      <w:sz w:val="20"/>
      <w:szCs w:val="20"/>
    </w:rPr>
  </w:style>
  <w:style w:type="paragraph" w:styleId="Soggettocommento">
    <w:name w:val="annotation subject"/>
    <w:basedOn w:val="Testocommento"/>
    <w:next w:val="Testocommento"/>
    <w:link w:val="SoggettocommentoCarattere"/>
    <w:uiPriority w:val="99"/>
    <w:semiHidden/>
    <w:rsid w:val="002D2C99"/>
    <w:rPr>
      <w:b/>
      <w:bCs/>
    </w:rPr>
  </w:style>
  <w:style w:type="character" w:customStyle="1" w:styleId="SoggettocommentoCarattere">
    <w:name w:val="Soggetto commento Carattere"/>
    <w:basedOn w:val="TestocommentoCarattere"/>
    <w:link w:val="Soggettocommento"/>
    <w:uiPriority w:val="99"/>
    <w:semiHidden/>
    <w:rsid w:val="002D2C99"/>
    <w:rPr>
      <w:rFonts w:eastAsiaTheme="minorEastAsia"/>
      <w:b/>
      <w:bCs/>
      <w:sz w:val="20"/>
      <w:szCs w:val="20"/>
    </w:rPr>
  </w:style>
  <w:style w:type="table" w:styleId="Elencoscuro">
    <w:name w:val="Dark List"/>
    <w:basedOn w:val="Tabellanormale"/>
    <w:uiPriority w:val="99"/>
    <w:semiHidden/>
    <w:rsid w:val="002D2C99"/>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2D2C99"/>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2D2C99"/>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2D2C99"/>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2D2C99"/>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2D2C99"/>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2D2C99"/>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2D2C99"/>
  </w:style>
  <w:style w:type="character" w:customStyle="1" w:styleId="DataCarattere">
    <w:name w:val="Data Carattere"/>
    <w:basedOn w:val="Carpredefinitoparagrafo"/>
    <w:link w:val="Data"/>
    <w:uiPriority w:val="99"/>
    <w:semiHidden/>
    <w:rsid w:val="002D2C99"/>
    <w:rPr>
      <w:rFonts w:eastAsiaTheme="minorEastAsia"/>
      <w:sz w:val="24"/>
    </w:rPr>
  </w:style>
  <w:style w:type="paragraph" w:styleId="Mappadocumento">
    <w:name w:val="Document Map"/>
    <w:basedOn w:val="Normale"/>
    <w:link w:val="MappadocumentoCarattere"/>
    <w:uiPriority w:val="99"/>
    <w:semiHidden/>
    <w:rsid w:val="002D2C99"/>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2D2C99"/>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2D2C99"/>
  </w:style>
  <w:style w:type="character" w:customStyle="1" w:styleId="FirmadipostaelettronicaCarattere">
    <w:name w:val="Firma di posta elettronica Carattere"/>
    <w:basedOn w:val="Carpredefinitoparagrafo"/>
    <w:link w:val="Firmadipostaelettronica"/>
    <w:uiPriority w:val="99"/>
    <w:semiHidden/>
    <w:rsid w:val="002D2C99"/>
    <w:rPr>
      <w:rFonts w:eastAsiaTheme="minorEastAsia"/>
      <w:sz w:val="24"/>
    </w:rPr>
  </w:style>
  <w:style w:type="character" w:styleId="Rimandonotadichiusura">
    <w:name w:val="endnote reference"/>
    <w:basedOn w:val="Carpredefinitoparagrafo"/>
    <w:uiPriority w:val="99"/>
    <w:semiHidden/>
    <w:rsid w:val="00437861"/>
    <w:rPr>
      <w:vertAlign w:val="superscript"/>
    </w:rPr>
  </w:style>
  <w:style w:type="paragraph" w:styleId="Testonotadichiusura">
    <w:name w:val="endnote text"/>
    <w:basedOn w:val="Normale"/>
    <w:link w:val="TestonotadichiusuraCarattere"/>
    <w:uiPriority w:val="99"/>
    <w:semiHidden/>
    <w:rsid w:val="00437861"/>
    <w:rPr>
      <w:sz w:val="20"/>
      <w:szCs w:val="20"/>
    </w:rPr>
  </w:style>
  <w:style w:type="character" w:customStyle="1" w:styleId="TestonotadichiusuraCarattere">
    <w:name w:val="Testo nota di chiusura Carattere"/>
    <w:basedOn w:val="Carpredefinitoparagrafo"/>
    <w:link w:val="Testonotadichiusura"/>
    <w:uiPriority w:val="99"/>
    <w:semiHidden/>
    <w:rsid w:val="00437861"/>
    <w:rPr>
      <w:rFonts w:eastAsiaTheme="minorEastAsia"/>
      <w:sz w:val="20"/>
      <w:szCs w:val="20"/>
      <w:lang w:val="en-GB"/>
    </w:rPr>
  </w:style>
  <w:style w:type="paragraph" w:styleId="Indirizzodestinatario">
    <w:name w:val="envelope address"/>
    <w:basedOn w:val="Normale"/>
    <w:uiPriority w:val="99"/>
    <w:semiHidden/>
    <w:rsid w:val="002D2C99"/>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2D2C99"/>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2D2C99"/>
    <w:rPr>
      <w:color w:val="7030A0" w:themeColor="followedHyperlink"/>
      <w:u w:val="single"/>
    </w:rPr>
  </w:style>
  <w:style w:type="character" w:styleId="AcronimoHTML">
    <w:name w:val="HTML Acronym"/>
    <w:basedOn w:val="Carpredefinitoparagrafo"/>
    <w:uiPriority w:val="99"/>
    <w:semiHidden/>
    <w:rsid w:val="002D2C99"/>
  </w:style>
  <w:style w:type="paragraph" w:styleId="IndirizzoHTML">
    <w:name w:val="HTML Address"/>
    <w:basedOn w:val="Normale"/>
    <w:link w:val="IndirizzoHTMLCarattere"/>
    <w:uiPriority w:val="99"/>
    <w:semiHidden/>
    <w:rsid w:val="002D2C99"/>
    <w:rPr>
      <w:i/>
      <w:iCs/>
    </w:rPr>
  </w:style>
  <w:style w:type="character" w:customStyle="1" w:styleId="IndirizzoHTMLCarattere">
    <w:name w:val="Indirizzo HTML Carattere"/>
    <w:basedOn w:val="Carpredefinitoparagrafo"/>
    <w:link w:val="IndirizzoHTML"/>
    <w:uiPriority w:val="99"/>
    <w:semiHidden/>
    <w:rsid w:val="002D2C99"/>
    <w:rPr>
      <w:rFonts w:eastAsiaTheme="minorEastAsia"/>
      <w:i/>
      <w:iCs/>
      <w:sz w:val="24"/>
    </w:rPr>
  </w:style>
  <w:style w:type="character" w:styleId="CitazioneHTML">
    <w:name w:val="HTML Cite"/>
    <w:basedOn w:val="Carpredefinitoparagrafo"/>
    <w:uiPriority w:val="99"/>
    <w:semiHidden/>
    <w:rsid w:val="002D2C99"/>
    <w:rPr>
      <w:i/>
      <w:iCs/>
    </w:rPr>
  </w:style>
  <w:style w:type="character" w:styleId="CodiceHTML">
    <w:name w:val="HTML Code"/>
    <w:basedOn w:val="Carpredefinitoparagrafo"/>
    <w:uiPriority w:val="99"/>
    <w:semiHidden/>
    <w:rsid w:val="002D2C99"/>
    <w:rPr>
      <w:rFonts w:ascii="Consolas" w:hAnsi="Consolas" w:cs="Consolas"/>
      <w:sz w:val="20"/>
      <w:szCs w:val="20"/>
    </w:rPr>
  </w:style>
  <w:style w:type="character" w:styleId="DefinizioneHTML">
    <w:name w:val="HTML Definition"/>
    <w:basedOn w:val="Carpredefinitoparagrafo"/>
    <w:uiPriority w:val="99"/>
    <w:semiHidden/>
    <w:rsid w:val="002D2C99"/>
    <w:rPr>
      <w:i/>
      <w:iCs/>
    </w:rPr>
  </w:style>
  <w:style w:type="character" w:styleId="TastieraHTML">
    <w:name w:val="HTML Keyboard"/>
    <w:basedOn w:val="Carpredefinitoparagrafo"/>
    <w:uiPriority w:val="99"/>
    <w:semiHidden/>
    <w:rsid w:val="002D2C99"/>
    <w:rPr>
      <w:rFonts w:ascii="Consolas" w:hAnsi="Consolas" w:cs="Consolas"/>
      <w:sz w:val="20"/>
      <w:szCs w:val="20"/>
    </w:rPr>
  </w:style>
  <w:style w:type="paragraph" w:styleId="PreformattatoHTML">
    <w:name w:val="HTML Preformatted"/>
    <w:basedOn w:val="Normale"/>
    <w:link w:val="PreformattatoHTMLCarattere"/>
    <w:uiPriority w:val="99"/>
    <w:semiHidden/>
    <w:rsid w:val="002D2C99"/>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2D2C99"/>
    <w:rPr>
      <w:rFonts w:ascii="Consolas" w:eastAsiaTheme="minorEastAsia" w:hAnsi="Consolas" w:cs="Consolas"/>
      <w:sz w:val="20"/>
      <w:szCs w:val="20"/>
    </w:rPr>
  </w:style>
  <w:style w:type="character" w:styleId="EsempioHTML">
    <w:name w:val="HTML Sample"/>
    <w:basedOn w:val="Carpredefinitoparagrafo"/>
    <w:uiPriority w:val="99"/>
    <w:semiHidden/>
    <w:rsid w:val="002D2C99"/>
    <w:rPr>
      <w:rFonts w:ascii="Consolas" w:hAnsi="Consolas" w:cs="Consolas"/>
      <w:sz w:val="24"/>
      <w:szCs w:val="24"/>
    </w:rPr>
  </w:style>
  <w:style w:type="character" w:styleId="MacchinadascrivereHTML">
    <w:name w:val="HTML Typewriter"/>
    <w:basedOn w:val="Carpredefinitoparagrafo"/>
    <w:uiPriority w:val="99"/>
    <w:semiHidden/>
    <w:rsid w:val="002D2C99"/>
    <w:rPr>
      <w:rFonts w:ascii="Consolas" w:hAnsi="Consolas" w:cs="Consolas"/>
      <w:sz w:val="20"/>
      <w:szCs w:val="20"/>
    </w:rPr>
  </w:style>
  <w:style w:type="character" w:styleId="VariabileHTML">
    <w:name w:val="HTML Variable"/>
    <w:basedOn w:val="Carpredefinitoparagrafo"/>
    <w:uiPriority w:val="99"/>
    <w:semiHidden/>
    <w:rsid w:val="002D2C99"/>
    <w:rPr>
      <w:i/>
      <w:iCs/>
    </w:rPr>
  </w:style>
  <w:style w:type="paragraph" w:styleId="Indice1">
    <w:name w:val="index 1"/>
    <w:basedOn w:val="Normale"/>
    <w:next w:val="Normale"/>
    <w:autoRedefine/>
    <w:uiPriority w:val="99"/>
    <w:semiHidden/>
    <w:rsid w:val="002D2C99"/>
    <w:pPr>
      <w:ind w:left="240" w:hanging="240"/>
    </w:pPr>
  </w:style>
  <w:style w:type="paragraph" w:styleId="Indice2">
    <w:name w:val="index 2"/>
    <w:basedOn w:val="Normale"/>
    <w:next w:val="Normale"/>
    <w:autoRedefine/>
    <w:uiPriority w:val="99"/>
    <w:semiHidden/>
    <w:rsid w:val="002D2C99"/>
    <w:pPr>
      <w:ind w:left="480" w:hanging="240"/>
    </w:pPr>
  </w:style>
  <w:style w:type="paragraph" w:styleId="Indice3">
    <w:name w:val="index 3"/>
    <w:basedOn w:val="Normale"/>
    <w:next w:val="Normale"/>
    <w:autoRedefine/>
    <w:uiPriority w:val="99"/>
    <w:semiHidden/>
    <w:rsid w:val="002D2C99"/>
    <w:pPr>
      <w:ind w:left="720" w:hanging="240"/>
    </w:pPr>
  </w:style>
  <w:style w:type="paragraph" w:styleId="Indice4">
    <w:name w:val="index 4"/>
    <w:basedOn w:val="Normale"/>
    <w:next w:val="Normale"/>
    <w:autoRedefine/>
    <w:uiPriority w:val="99"/>
    <w:semiHidden/>
    <w:rsid w:val="002D2C99"/>
    <w:pPr>
      <w:ind w:left="960" w:hanging="240"/>
    </w:pPr>
  </w:style>
  <w:style w:type="paragraph" w:styleId="Indice5">
    <w:name w:val="index 5"/>
    <w:basedOn w:val="Normale"/>
    <w:next w:val="Normale"/>
    <w:autoRedefine/>
    <w:uiPriority w:val="99"/>
    <w:semiHidden/>
    <w:rsid w:val="002D2C99"/>
    <w:pPr>
      <w:ind w:left="1200" w:hanging="240"/>
    </w:pPr>
  </w:style>
  <w:style w:type="paragraph" w:styleId="Indice6">
    <w:name w:val="index 6"/>
    <w:basedOn w:val="Normale"/>
    <w:next w:val="Normale"/>
    <w:autoRedefine/>
    <w:uiPriority w:val="99"/>
    <w:semiHidden/>
    <w:rsid w:val="002D2C99"/>
    <w:pPr>
      <w:ind w:left="1440" w:hanging="240"/>
    </w:pPr>
  </w:style>
  <w:style w:type="paragraph" w:styleId="Indice7">
    <w:name w:val="index 7"/>
    <w:basedOn w:val="Normale"/>
    <w:next w:val="Normale"/>
    <w:autoRedefine/>
    <w:uiPriority w:val="99"/>
    <w:semiHidden/>
    <w:rsid w:val="002D2C99"/>
    <w:pPr>
      <w:ind w:left="1680" w:hanging="240"/>
    </w:pPr>
  </w:style>
  <w:style w:type="paragraph" w:styleId="Indice8">
    <w:name w:val="index 8"/>
    <w:basedOn w:val="Normale"/>
    <w:next w:val="Normale"/>
    <w:autoRedefine/>
    <w:uiPriority w:val="99"/>
    <w:semiHidden/>
    <w:rsid w:val="002D2C99"/>
    <w:pPr>
      <w:ind w:left="1920" w:hanging="240"/>
    </w:pPr>
  </w:style>
  <w:style w:type="paragraph" w:styleId="Indice9">
    <w:name w:val="index 9"/>
    <w:basedOn w:val="Normale"/>
    <w:next w:val="Normale"/>
    <w:autoRedefine/>
    <w:uiPriority w:val="99"/>
    <w:semiHidden/>
    <w:rsid w:val="002D2C99"/>
    <w:pPr>
      <w:ind w:left="2160" w:hanging="240"/>
    </w:pPr>
  </w:style>
  <w:style w:type="paragraph" w:styleId="Titoloindice">
    <w:name w:val="index heading"/>
    <w:basedOn w:val="Normale"/>
    <w:next w:val="Indice1"/>
    <w:uiPriority w:val="99"/>
    <w:semiHidden/>
    <w:rsid w:val="002D2C99"/>
    <w:rPr>
      <w:rFonts w:asciiTheme="majorHAnsi" w:eastAsiaTheme="majorEastAsia" w:hAnsiTheme="majorHAnsi" w:cstheme="majorBidi"/>
      <w:b/>
      <w:bCs/>
    </w:rPr>
  </w:style>
  <w:style w:type="table" w:styleId="Grigliachiara">
    <w:name w:val="Light Grid"/>
    <w:basedOn w:val="Tabellanormale"/>
    <w:uiPriority w:val="99"/>
    <w:semiHidden/>
    <w:rsid w:val="002D2C9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2D2C9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2D2C9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2D2C9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2D2C9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2D2C9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2D2C9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2D2C9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2D2C9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2D2C9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2D2C9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2D2C9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2D2C9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2D2C9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2D2C9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2D2C99"/>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2D2C99"/>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2D2C99"/>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2D2C99"/>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2D2C99"/>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2D2C99"/>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2D2C99"/>
  </w:style>
  <w:style w:type="paragraph" w:styleId="Elenco">
    <w:name w:val="List"/>
    <w:basedOn w:val="Normale"/>
    <w:uiPriority w:val="99"/>
    <w:semiHidden/>
    <w:rsid w:val="002D2C99"/>
    <w:pPr>
      <w:ind w:left="283" w:hanging="283"/>
      <w:contextualSpacing/>
    </w:pPr>
  </w:style>
  <w:style w:type="paragraph" w:styleId="Elenco2">
    <w:name w:val="List 2"/>
    <w:basedOn w:val="Normale"/>
    <w:uiPriority w:val="99"/>
    <w:semiHidden/>
    <w:rsid w:val="002D2C99"/>
    <w:pPr>
      <w:ind w:left="566" w:hanging="283"/>
      <w:contextualSpacing/>
    </w:pPr>
  </w:style>
  <w:style w:type="paragraph" w:styleId="Elenco3">
    <w:name w:val="List 3"/>
    <w:basedOn w:val="Normale"/>
    <w:uiPriority w:val="99"/>
    <w:semiHidden/>
    <w:rsid w:val="002D2C99"/>
    <w:pPr>
      <w:ind w:left="849" w:hanging="283"/>
      <w:contextualSpacing/>
    </w:pPr>
  </w:style>
  <w:style w:type="paragraph" w:styleId="Elenco4">
    <w:name w:val="List 4"/>
    <w:basedOn w:val="Normale"/>
    <w:uiPriority w:val="99"/>
    <w:semiHidden/>
    <w:rsid w:val="002D2C99"/>
    <w:pPr>
      <w:ind w:left="1132" w:hanging="283"/>
      <w:contextualSpacing/>
    </w:pPr>
  </w:style>
  <w:style w:type="paragraph" w:styleId="Elenco5">
    <w:name w:val="List 5"/>
    <w:basedOn w:val="Normale"/>
    <w:uiPriority w:val="99"/>
    <w:semiHidden/>
    <w:rsid w:val="002D2C99"/>
    <w:pPr>
      <w:ind w:left="1415" w:hanging="283"/>
      <w:contextualSpacing/>
    </w:pPr>
  </w:style>
  <w:style w:type="paragraph" w:styleId="Puntoelenco">
    <w:name w:val="List Bullet"/>
    <w:basedOn w:val="Normale"/>
    <w:uiPriority w:val="99"/>
    <w:semiHidden/>
    <w:rsid w:val="002D2C99"/>
    <w:pPr>
      <w:numPr>
        <w:numId w:val="12"/>
      </w:numPr>
      <w:contextualSpacing/>
    </w:pPr>
  </w:style>
  <w:style w:type="paragraph" w:styleId="Puntoelenco3">
    <w:name w:val="List Bullet 3"/>
    <w:basedOn w:val="Normale"/>
    <w:uiPriority w:val="99"/>
    <w:semiHidden/>
    <w:rsid w:val="002D2C99"/>
    <w:pPr>
      <w:numPr>
        <w:numId w:val="13"/>
      </w:numPr>
      <w:contextualSpacing/>
    </w:pPr>
  </w:style>
  <w:style w:type="paragraph" w:styleId="Puntoelenco4">
    <w:name w:val="List Bullet 4"/>
    <w:basedOn w:val="Normale"/>
    <w:uiPriority w:val="99"/>
    <w:semiHidden/>
    <w:rsid w:val="002D2C99"/>
    <w:pPr>
      <w:numPr>
        <w:numId w:val="14"/>
      </w:numPr>
      <w:contextualSpacing/>
    </w:pPr>
  </w:style>
  <w:style w:type="paragraph" w:styleId="Puntoelenco5">
    <w:name w:val="List Bullet 5"/>
    <w:basedOn w:val="Normale"/>
    <w:uiPriority w:val="99"/>
    <w:semiHidden/>
    <w:rsid w:val="002D2C99"/>
    <w:pPr>
      <w:numPr>
        <w:numId w:val="15"/>
      </w:numPr>
      <w:contextualSpacing/>
    </w:pPr>
  </w:style>
  <w:style w:type="paragraph" w:styleId="Elencocontinua">
    <w:name w:val="List Continue"/>
    <w:basedOn w:val="Normale"/>
    <w:uiPriority w:val="99"/>
    <w:semiHidden/>
    <w:rsid w:val="002D2C99"/>
    <w:pPr>
      <w:spacing w:after="120"/>
      <w:ind w:left="283"/>
      <w:contextualSpacing/>
    </w:pPr>
  </w:style>
  <w:style w:type="paragraph" w:styleId="Elencocontinua2">
    <w:name w:val="List Continue 2"/>
    <w:basedOn w:val="Normale"/>
    <w:uiPriority w:val="99"/>
    <w:semiHidden/>
    <w:rsid w:val="002D2C99"/>
    <w:pPr>
      <w:spacing w:after="120"/>
      <w:ind w:left="566"/>
      <w:contextualSpacing/>
    </w:pPr>
  </w:style>
  <w:style w:type="paragraph" w:styleId="Elencocontinua3">
    <w:name w:val="List Continue 3"/>
    <w:basedOn w:val="Normale"/>
    <w:uiPriority w:val="99"/>
    <w:semiHidden/>
    <w:rsid w:val="002D2C99"/>
    <w:pPr>
      <w:spacing w:after="120"/>
      <w:ind w:left="849"/>
      <w:contextualSpacing/>
    </w:pPr>
  </w:style>
  <w:style w:type="paragraph" w:styleId="Elencocontinua4">
    <w:name w:val="List Continue 4"/>
    <w:basedOn w:val="Normale"/>
    <w:uiPriority w:val="99"/>
    <w:semiHidden/>
    <w:rsid w:val="002D2C99"/>
    <w:pPr>
      <w:spacing w:after="120"/>
      <w:ind w:left="1132"/>
      <w:contextualSpacing/>
    </w:pPr>
  </w:style>
  <w:style w:type="paragraph" w:styleId="Elencocontinua5">
    <w:name w:val="List Continue 5"/>
    <w:basedOn w:val="Normale"/>
    <w:uiPriority w:val="99"/>
    <w:semiHidden/>
    <w:rsid w:val="002D2C99"/>
    <w:pPr>
      <w:spacing w:after="120"/>
      <w:ind w:left="1415"/>
      <w:contextualSpacing/>
    </w:pPr>
  </w:style>
  <w:style w:type="paragraph" w:styleId="Numeroelenco">
    <w:name w:val="List Number"/>
    <w:basedOn w:val="Normale"/>
    <w:uiPriority w:val="99"/>
    <w:semiHidden/>
    <w:rsid w:val="002D2C99"/>
    <w:pPr>
      <w:numPr>
        <w:numId w:val="16"/>
      </w:numPr>
      <w:contextualSpacing/>
    </w:pPr>
  </w:style>
  <w:style w:type="paragraph" w:styleId="Numeroelenco2">
    <w:name w:val="List Number 2"/>
    <w:basedOn w:val="Normale"/>
    <w:uiPriority w:val="99"/>
    <w:semiHidden/>
    <w:rsid w:val="002D2C99"/>
    <w:pPr>
      <w:numPr>
        <w:numId w:val="17"/>
      </w:numPr>
      <w:contextualSpacing/>
    </w:pPr>
  </w:style>
  <w:style w:type="paragraph" w:styleId="Numeroelenco3">
    <w:name w:val="List Number 3"/>
    <w:basedOn w:val="Normale"/>
    <w:uiPriority w:val="99"/>
    <w:semiHidden/>
    <w:rsid w:val="002D2C99"/>
    <w:pPr>
      <w:numPr>
        <w:numId w:val="18"/>
      </w:numPr>
      <w:contextualSpacing/>
    </w:pPr>
  </w:style>
  <w:style w:type="paragraph" w:styleId="Numeroelenco4">
    <w:name w:val="List Number 4"/>
    <w:basedOn w:val="Normale"/>
    <w:uiPriority w:val="99"/>
    <w:semiHidden/>
    <w:rsid w:val="002D2C99"/>
    <w:pPr>
      <w:numPr>
        <w:numId w:val="19"/>
      </w:numPr>
      <w:contextualSpacing/>
    </w:pPr>
  </w:style>
  <w:style w:type="paragraph" w:styleId="Numeroelenco5">
    <w:name w:val="List Number 5"/>
    <w:basedOn w:val="Normale"/>
    <w:uiPriority w:val="99"/>
    <w:semiHidden/>
    <w:rsid w:val="002D2C99"/>
    <w:pPr>
      <w:numPr>
        <w:numId w:val="20"/>
      </w:numPr>
      <w:contextualSpacing/>
    </w:pPr>
  </w:style>
  <w:style w:type="paragraph" w:styleId="Testomacro">
    <w:name w:val="macro"/>
    <w:link w:val="TestomacroCarattere"/>
    <w:uiPriority w:val="99"/>
    <w:semiHidden/>
    <w:rsid w:val="002D2C9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2D2C99"/>
    <w:rPr>
      <w:rFonts w:ascii="Consolas" w:eastAsiaTheme="minorEastAsia" w:hAnsi="Consolas" w:cs="Consolas"/>
      <w:sz w:val="20"/>
      <w:szCs w:val="20"/>
    </w:rPr>
  </w:style>
  <w:style w:type="table" w:styleId="Grigliamedia1">
    <w:name w:val="Medium Grid 1"/>
    <w:basedOn w:val="Tabellanormale"/>
    <w:uiPriority w:val="99"/>
    <w:semiHidden/>
    <w:rsid w:val="002D2C9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2D2C9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2D2C9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2D2C9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2D2C9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2D2C9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2D2C9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2D2C9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2D2C99"/>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2D2C99"/>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2D2C99"/>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2D2C99"/>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2D2C99"/>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2D2C99"/>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2D2C9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2D2C9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2D2C9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2D2C9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2D2C9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2D2C9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2D2C9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2D2C9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2D2C99"/>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2D2C99"/>
    <w:rPr>
      <w:rFonts w:ascii="Times New Roman" w:hAnsi="Times New Roman" w:cs="Times New Roman"/>
      <w:szCs w:val="24"/>
    </w:rPr>
  </w:style>
  <w:style w:type="paragraph" w:styleId="Rientronormale">
    <w:name w:val="Normal Indent"/>
    <w:basedOn w:val="Normale"/>
    <w:uiPriority w:val="99"/>
    <w:semiHidden/>
    <w:rsid w:val="002D2C99"/>
    <w:pPr>
      <w:ind w:left="720"/>
    </w:pPr>
  </w:style>
  <w:style w:type="paragraph" w:styleId="Intestazionenota">
    <w:name w:val="Note Heading"/>
    <w:basedOn w:val="Normale"/>
    <w:next w:val="Normale"/>
    <w:link w:val="IntestazionenotaCarattere"/>
    <w:uiPriority w:val="99"/>
    <w:semiHidden/>
    <w:rsid w:val="002D2C99"/>
  </w:style>
  <w:style w:type="character" w:customStyle="1" w:styleId="IntestazionenotaCarattere">
    <w:name w:val="Intestazione nota Carattere"/>
    <w:basedOn w:val="Carpredefinitoparagrafo"/>
    <w:link w:val="Intestazionenota"/>
    <w:uiPriority w:val="99"/>
    <w:semiHidden/>
    <w:rsid w:val="002D2C99"/>
    <w:rPr>
      <w:rFonts w:eastAsiaTheme="minorEastAsia"/>
      <w:sz w:val="24"/>
    </w:rPr>
  </w:style>
  <w:style w:type="character" w:styleId="Testosegnaposto">
    <w:name w:val="Placeholder Text"/>
    <w:basedOn w:val="Carpredefinitoparagrafo"/>
    <w:uiPriority w:val="99"/>
    <w:semiHidden/>
    <w:rsid w:val="00437861"/>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2D2C99"/>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2D2C99"/>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2D2C99"/>
  </w:style>
  <w:style w:type="character" w:customStyle="1" w:styleId="FormuladiaperturaCarattere">
    <w:name w:val="Formula di apertura Carattere"/>
    <w:basedOn w:val="Carpredefinitoparagrafo"/>
    <w:link w:val="Formuladiapertura"/>
    <w:uiPriority w:val="99"/>
    <w:semiHidden/>
    <w:rsid w:val="002D2C99"/>
    <w:rPr>
      <w:rFonts w:eastAsiaTheme="minorEastAsia"/>
      <w:sz w:val="24"/>
    </w:rPr>
  </w:style>
  <w:style w:type="paragraph" w:styleId="Firma">
    <w:name w:val="Signature"/>
    <w:basedOn w:val="Normale"/>
    <w:link w:val="FirmaCarattere"/>
    <w:uiPriority w:val="99"/>
    <w:semiHidden/>
    <w:rsid w:val="002D2C99"/>
    <w:pPr>
      <w:ind w:left="4252"/>
    </w:pPr>
  </w:style>
  <w:style w:type="character" w:customStyle="1" w:styleId="FirmaCarattere">
    <w:name w:val="Firma Carattere"/>
    <w:basedOn w:val="Carpredefinitoparagrafo"/>
    <w:link w:val="Firma"/>
    <w:uiPriority w:val="99"/>
    <w:semiHidden/>
    <w:rsid w:val="002D2C99"/>
    <w:rPr>
      <w:rFonts w:eastAsiaTheme="minorEastAsia"/>
      <w:sz w:val="24"/>
    </w:rPr>
  </w:style>
  <w:style w:type="table" w:styleId="Tabellaeffetti3D1">
    <w:name w:val="Table 3D effects 1"/>
    <w:basedOn w:val="Tabellanormale"/>
    <w:uiPriority w:val="99"/>
    <w:semiHidden/>
    <w:unhideWhenUsed/>
    <w:rsid w:val="002D2C99"/>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2D2C99"/>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2D2C99"/>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2D2C99"/>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2D2C99"/>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2D2C99"/>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2D2C99"/>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2D2C99"/>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2D2C99"/>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2D2C99"/>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2D2C99"/>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2D2C99"/>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2D2C99"/>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2D2C99"/>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2D2C99"/>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2D2C99"/>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2D2C99"/>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2D2C9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2D2C99"/>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2D2C99"/>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2D2C99"/>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2D2C99"/>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2D2C99"/>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2D2C99"/>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2D2C99"/>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2D2C99"/>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2D2C99"/>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2D2C99"/>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2D2C99"/>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2D2C99"/>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2D2C99"/>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2D2C99"/>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2D2C99"/>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2D2C99"/>
    <w:pPr>
      <w:ind w:left="240" w:hanging="240"/>
    </w:pPr>
  </w:style>
  <w:style w:type="paragraph" w:styleId="Indicedellefigure">
    <w:name w:val="table of figures"/>
    <w:basedOn w:val="Normale"/>
    <w:next w:val="Normale"/>
    <w:uiPriority w:val="99"/>
    <w:semiHidden/>
    <w:rsid w:val="002D2C99"/>
  </w:style>
  <w:style w:type="table" w:styleId="Tabellaprofessionale">
    <w:name w:val="Table Professional"/>
    <w:basedOn w:val="Tabellanormale"/>
    <w:uiPriority w:val="99"/>
    <w:semiHidden/>
    <w:unhideWhenUsed/>
    <w:rsid w:val="002D2C9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2D2C99"/>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2D2C99"/>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2D2C99"/>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2D2C99"/>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2D2C99"/>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2D2C9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2D2C99"/>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2D2C99"/>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2D2C99"/>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437861"/>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437861"/>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2D2C99"/>
    <w:pPr>
      <w:spacing w:after="100"/>
      <w:ind w:left="1680"/>
    </w:pPr>
  </w:style>
  <w:style w:type="paragraph" w:styleId="Sommario9">
    <w:name w:val="toc 9"/>
    <w:basedOn w:val="Normale"/>
    <w:next w:val="Normale"/>
    <w:autoRedefine/>
    <w:uiPriority w:val="99"/>
    <w:semiHidden/>
    <w:rsid w:val="002D2C99"/>
    <w:pPr>
      <w:spacing w:after="100"/>
      <w:ind w:left="1920"/>
    </w:pPr>
  </w:style>
  <w:style w:type="paragraph" w:customStyle="1" w:styleId="OpiParaSub">
    <w:name w:val="Opi_Para_Sub"/>
    <w:basedOn w:val="JuParaSub"/>
    <w:uiPriority w:val="47"/>
    <w:qFormat/>
    <w:rsid w:val="00437861"/>
  </w:style>
  <w:style w:type="paragraph" w:customStyle="1" w:styleId="OpiQuot">
    <w:name w:val="Opi_Quot"/>
    <w:basedOn w:val="ECHRParaQuote"/>
    <w:uiPriority w:val="48"/>
    <w:qFormat/>
    <w:rsid w:val="00437861"/>
  </w:style>
  <w:style w:type="paragraph" w:customStyle="1" w:styleId="ECHRFooter">
    <w:name w:val="ECHR_Footer"/>
    <w:aliases w:val="Footer_ECHR"/>
    <w:basedOn w:val="Pidipagina"/>
    <w:uiPriority w:val="57"/>
    <w:semiHidden/>
    <w:rsid w:val="00437861"/>
    <w:pPr>
      <w:jc w:val="left"/>
    </w:pPr>
    <w:rPr>
      <w:sz w:val="8"/>
    </w:rPr>
  </w:style>
  <w:style w:type="paragraph" w:customStyle="1" w:styleId="ECHRFooterLine">
    <w:name w:val="ECHR_Footer_Line"/>
    <w:aliases w:val="Footer_Line"/>
    <w:basedOn w:val="Normale"/>
    <w:next w:val="ECHRFooter"/>
    <w:uiPriority w:val="57"/>
    <w:semiHidden/>
    <w:rsid w:val="00437861"/>
    <w:pPr>
      <w:pBdr>
        <w:top w:val="single" w:sz="6" w:space="1" w:color="5F5F5F"/>
      </w:pBdr>
      <w:tabs>
        <w:tab w:val="center" w:pos="4536"/>
        <w:tab w:val="right" w:pos="9696"/>
      </w:tabs>
      <w:ind w:left="-680" w:right="-680"/>
      <w:jc w:val="left"/>
    </w:pPr>
    <w:rPr>
      <w:color w:val="5F5F5F"/>
    </w:rPr>
  </w:style>
  <w:style w:type="paragraph" w:customStyle="1" w:styleId="ECHRTitleCentre2">
    <w:name w:val="ECHR_Title_Centre_2"/>
    <w:aliases w:val="Dec_H_Case"/>
    <w:basedOn w:val="Normale"/>
    <w:next w:val="ECHRPara"/>
    <w:uiPriority w:val="8"/>
    <w:qFormat/>
    <w:rsid w:val="00437861"/>
    <w:pPr>
      <w:spacing w:after="240"/>
      <w:jc w:val="center"/>
      <w:outlineLvl w:val="0"/>
    </w:pPr>
    <w:rPr>
      <w:rFonts w:asciiTheme="majorHAnsi" w:hAnsiTheme="majorHAnsi"/>
    </w:rPr>
  </w:style>
  <w:style w:type="paragraph" w:customStyle="1" w:styleId="OpiQuotSub">
    <w:name w:val="Opi_Quot_Sub"/>
    <w:basedOn w:val="JuQuotSub"/>
    <w:uiPriority w:val="49"/>
    <w:qFormat/>
    <w:rsid w:val="00437861"/>
  </w:style>
  <w:style w:type="paragraph" w:customStyle="1" w:styleId="JuHeaderLandscape">
    <w:name w:val="Ju_Header_Landscape"/>
    <w:basedOn w:val="ECHRHeader"/>
    <w:uiPriority w:val="4"/>
    <w:qFormat/>
    <w:rsid w:val="00437861"/>
    <w:pPr>
      <w:tabs>
        <w:tab w:val="clear" w:pos="3686"/>
        <w:tab w:val="clear" w:pos="7371"/>
        <w:tab w:val="center" w:pos="6146"/>
        <w:tab w:val="right" w:pos="12293"/>
      </w:tabs>
    </w:pPr>
  </w:style>
  <w:style w:type="paragraph" w:customStyle="1" w:styleId="OpiTranslation">
    <w:name w:val="Opi_Translation"/>
    <w:basedOn w:val="Normale"/>
    <w:next w:val="OpiPara"/>
    <w:uiPriority w:val="40"/>
    <w:qFormat/>
    <w:rsid w:val="00437861"/>
    <w:pPr>
      <w:jc w:val="center"/>
      <w:outlineLvl w:val="0"/>
    </w:pPr>
    <w:rPr>
      <w:i/>
    </w:rPr>
  </w:style>
  <w:style w:type="paragraph" w:customStyle="1" w:styleId="ECHRSpacer">
    <w:name w:val="ECHR_Spacer"/>
    <w:basedOn w:val="Normale"/>
    <w:uiPriority w:val="45"/>
    <w:rsid w:val="00A639B1"/>
    <w:pPr>
      <w:jc w:val="left"/>
    </w:pPr>
    <w:rPr>
      <w:rFonts w:eastAsiaTheme="minorHAnsi"/>
      <w:sz w:val="4"/>
    </w:rPr>
  </w:style>
  <w:style w:type="character" w:customStyle="1" w:styleId="ECHRParaChar">
    <w:name w:val="ECHR_Para Char"/>
    <w:aliases w:val="Ju_Para Char"/>
    <w:link w:val="ECHRPara"/>
    <w:uiPriority w:val="12"/>
    <w:rsid w:val="00A639B1"/>
    <w:rPr>
      <w:rFonts w:eastAsiaTheme="minorEastAsia"/>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annotation reference" w:uiPriority="0"/>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437861"/>
    <w:pPr>
      <w:jc w:val="both"/>
    </w:pPr>
    <w:rPr>
      <w:rFonts w:eastAsiaTheme="minorEastAsia"/>
      <w:sz w:val="24"/>
      <w:lang w:val="en-GB"/>
    </w:rPr>
  </w:style>
  <w:style w:type="paragraph" w:styleId="Titolo1">
    <w:name w:val="heading 1"/>
    <w:basedOn w:val="Normale"/>
    <w:next w:val="Normale"/>
    <w:link w:val="Titolo1Carattere"/>
    <w:uiPriority w:val="99"/>
    <w:semiHidden/>
    <w:rsid w:val="00437861"/>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437861"/>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437861"/>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437861"/>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437861"/>
    <w:pPr>
      <w:spacing w:before="200"/>
      <w:outlineLvl w:val="4"/>
    </w:pPr>
    <w:rPr>
      <w:rFonts w:asciiTheme="majorHAnsi" w:eastAsiaTheme="majorEastAsia" w:hAnsiTheme="majorHAnsi" w:cstheme="majorBidi"/>
      <w:b/>
      <w:bCs/>
      <w:color w:val="808080"/>
      <w:sz w:val="22"/>
      <w:lang w:val="en-US"/>
    </w:rPr>
  </w:style>
  <w:style w:type="paragraph" w:styleId="Titolo6">
    <w:name w:val="heading 6"/>
    <w:basedOn w:val="Normale"/>
    <w:next w:val="Normale"/>
    <w:link w:val="Titolo6Carattere"/>
    <w:uiPriority w:val="99"/>
    <w:semiHidden/>
    <w:rsid w:val="00437861"/>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437861"/>
    <w:pPr>
      <w:outlineLvl w:val="6"/>
    </w:pPr>
    <w:rPr>
      <w:rFonts w:asciiTheme="majorHAnsi" w:eastAsiaTheme="majorEastAsia" w:hAnsiTheme="majorHAnsi" w:cstheme="majorBidi"/>
      <w:i/>
      <w:iCs/>
      <w:sz w:val="22"/>
      <w:lang w:val="en-US" w:bidi="en-US"/>
    </w:rPr>
  </w:style>
  <w:style w:type="paragraph" w:styleId="Titolo8">
    <w:name w:val="heading 8"/>
    <w:basedOn w:val="Normale"/>
    <w:next w:val="Normale"/>
    <w:link w:val="Titolo8Carattere"/>
    <w:uiPriority w:val="99"/>
    <w:semiHidden/>
    <w:qFormat/>
    <w:rsid w:val="00437861"/>
    <w:pPr>
      <w:outlineLvl w:val="7"/>
    </w:pPr>
    <w:rPr>
      <w:rFonts w:asciiTheme="majorHAnsi" w:eastAsiaTheme="majorEastAsia" w:hAnsiTheme="majorHAnsi" w:cstheme="majorBidi"/>
      <w:sz w:val="20"/>
      <w:szCs w:val="20"/>
      <w:lang w:val="en-US" w:bidi="en-US"/>
    </w:rPr>
  </w:style>
  <w:style w:type="paragraph" w:styleId="Titolo9">
    <w:name w:val="heading 9"/>
    <w:basedOn w:val="Normale"/>
    <w:next w:val="Normale"/>
    <w:link w:val="Titolo9Carattere"/>
    <w:uiPriority w:val="99"/>
    <w:semiHidden/>
    <w:qFormat/>
    <w:rsid w:val="00437861"/>
    <w:pPr>
      <w:outlineLvl w:val="8"/>
    </w:pPr>
    <w:rPr>
      <w:rFonts w:asciiTheme="majorHAnsi" w:eastAsiaTheme="majorEastAsia" w:hAnsiTheme="majorHAnsi" w:cstheme="majorBidi"/>
      <w:i/>
      <w:iCs/>
      <w:spacing w:val="5"/>
      <w:sz w:val="20"/>
      <w:szCs w:val="20"/>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43786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7861"/>
    <w:rPr>
      <w:rFonts w:ascii="Tahoma" w:eastAsiaTheme="minorEastAsia" w:hAnsi="Tahoma" w:cs="Tahoma"/>
      <w:sz w:val="16"/>
      <w:szCs w:val="16"/>
      <w:lang w:val="en-GB"/>
    </w:rPr>
  </w:style>
  <w:style w:type="character" w:styleId="Titolodellibro">
    <w:name w:val="Book Title"/>
    <w:uiPriority w:val="99"/>
    <w:semiHidden/>
    <w:qFormat/>
    <w:rsid w:val="00437861"/>
    <w:rPr>
      <w:i/>
      <w:iCs/>
      <w:smallCaps/>
      <w:spacing w:val="5"/>
    </w:rPr>
  </w:style>
  <w:style w:type="paragraph" w:customStyle="1" w:styleId="ECHRHeader">
    <w:name w:val="ECHR_Header"/>
    <w:aliases w:val="Ju_Header"/>
    <w:basedOn w:val="Intestazione"/>
    <w:uiPriority w:val="4"/>
    <w:qFormat/>
    <w:rsid w:val="00437861"/>
    <w:pPr>
      <w:tabs>
        <w:tab w:val="clear" w:pos="4536"/>
        <w:tab w:val="clear" w:pos="9072"/>
        <w:tab w:val="center" w:pos="3686"/>
        <w:tab w:val="right" w:pos="7371"/>
      </w:tabs>
      <w:jc w:val="left"/>
    </w:pPr>
    <w:rPr>
      <w:sz w:val="18"/>
    </w:rPr>
  </w:style>
  <w:style w:type="paragraph" w:customStyle="1" w:styleId="DecHTitle">
    <w:name w:val="Dec_H_Title"/>
    <w:basedOn w:val="ECHRTitleCentre1"/>
    <w:uiPriority w:val="7"/>
    <w:semiHidden/>
    <w:qFormat/>
    <w:rsid w:val="00437861"/>
  </w:style>
  <w:style w:type="character" w:styleId="Enfasigrassetto">
    <w:name w:val="Strong"/>
    <w:uiPriority w:val="99"/>
    <w:semiHidden/>
    <w:qFormat/>
    <w:rsid w:val="00437861"/>
    <w:rPr>
      <w:b/>
      <w:bCs/>
    </w:rPr>
  </w:style>
  <w:style w:type="paragraph" w:styleId="Nessunaspaziatura">
    <w:name w:val="No Spacing"/>
    <w:basedOn w:val="Normale"/>
    <w:link w:val="NessunaspaziaturaCarattere"/>
    <w:semiHidden/>
    <w:qFormat/>
    <w:rsid w:val="00437861"/>
    <w:rPr>
      <w:sz w:val="22"/>
      <w:lang w:val="en-US"/>
    </w:rPr>
  </w:style>
  <w:style w:type="character" w:customStyle="1" w:styleId="NessunaspaziaturaCarattere">
    <w:name w:val="Nessuna spaziatura Carattere"/>
    <w:basedOn w:val="Carpredefinitoparagrafo"/>
    <w:link w:val="Nessunaspaziatura"/>
    <w:semiHidden/>
    <w:rsid w:val="00437861"/>
    <w:rPr>
      <w:rFonts w:eastAsiaTheme="minorEastAsia"/>
    </w:rPr>
  </w:style>
  <w:style w:type="paragraph" w:customStyle="1" w:styleId="ECHRParaQuote">
    <w:name w:val="ECHR_Para_Quote"/>
    <w:aliases w:val="Ju_Quot"/>
    <w:basedOn w:val="Normale"/>
    <w:uiPriority w:val="14"/>
    <w:qFormat/>
    <w:rsid w:val="00437861"/>
    <w:pPr>
      <w:spacing w:before="120" w:after="120"/>
      <w:ind w:left="425" w:firstLine="142"/>
    </w:pPr>
    <w:rPr>
      <w:sz w:val="20"/>
    </w:rPr>
  </w:style>
  <w:style w:type="paragraph" w:customStyle="1" w:styleId="DecList">
    <w:name w:val="Dec_List"/>
    <w:basedOn w:val="Normale"/>
    <w:uiPriority w:val="9"/>
    <w:semiHidden/>
    <w:qFormat/>
    <w:rsid w:val="00437861"/>
    <w:pPr>
      <w:spacing w:before="240"/>
      <w:ind w:left="284"/>
    </w:pPr>
  </w:style>
  <w:style w:type="paragraph" w:customStyle="1" w:styleId="DummyStyle">
    <w:name w:val="Dummy_Style"/>
    <w:basedOn w:val="Normale"/>
    <w:semiHidden/>
    <w:qFormat/>
    <w:rsid w:val="00437861"/>
    <w:rPr>
      <w:color w:val="00B050"/>
    </w:rPr>
  </w:style>
  <w:style w:type="paragraph" w:customStyle="1" w:styleId="JuAppQuestion">
    <w:name w:val="Ju_App_Question"/>
    <w:basedOn w:val="Normale"/>
    <w:uiPriority w:val="5"/>
    <w:semiHidden/>
    <w:qFormat/>
    <w:rsid w:val="00437861"/>
    <w:pPr>
      <w:numPr>
        <w:numId w:val="26"/>
      </w:numPr>
      <w:jc w:val="left"/>
    </w:pPr>
    <w:rPr>
      <w:b/>
    </w:rPr>
  </w:style>
  <w:style w:type="paragraph" w:customStyle="1" w:styleId="JuCourt">
    <w:name w:val="Ju_Court"/>
    <w:basedOn w:val="Normale"/>
    <w:next w:val="Normale"/>
    <w:uiPriority w:val="16"/>
    <w:qFormat/>
    <w:rsid w:val="00437861"/>
    <w:pPr>
      <w:tabs>
        <w:tab w:val="left" w:pos="907"/>
        <w:tab w:val="left" w:pos="1701"/>
        <w:tab w:val="right" w:pos="7371"/>
      </w:tabs>
      <w:spacing w:before="240"/>
      <w:ind w:left="397" w:hanging="397"/>
      <w:jc w:val="left"/>
    </w:pPr>
    <w:rPr>
      <w:lang w:bidi="en-US"/>
    </w:rPr>
  </w:style>
  <w:style w:type="paragraph" w:customStyle="1" w:styleId="ECHRTitleCentre3">
    <w:name w:val="ECHR_Title_Centre_3"/>
    <w:aliases w:val="Ju_H_Article"/>
    <w:basedOn w:val="Normale"/>
    <w:next w:val="ECHRParaQuote"/>
    <w:uiPriority w:val="27"/>
    <w:qFormat/>
    <w:rsid w:val="00437861"/>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437861"/>
    <w:pPr>
      <w:keepNext/>
      <w:keepLines/>
      <w:spacing w:after="240"/>
      <w:jc w:val="center"/>
      <w:outlineLvl w:val="0"/>
    </w:pPr>
    <w:rPr>
      <w:rFonts w:asciiTheme="majorHAnsi" w:hAnsiTheme="majorHAnsi"/>
      <w:sz w:val="28"/>
    </w:rPr>
  </w:style>
  <w:style w:type="character" w:customStyle="1" w:styleId="JUNAMES">
    <w:name w:val="JU_NAMES"/>
    <w:uiPriority w:val="17"/>
    <w:qFormat/>
    <w:rsid w:val="00437861"/>
    <w:rPr>
      <w:caps w:val="0"/>
      <w:smallCaps/>
    </w:rPr>
  </w:style>
  <w:style w:type="paragraph" w:customStyle="1" w:styleId="ECHRTitle1">
    <w:name w:val="ECHR_Title_1"/>
    <w:aliases w:val="Ju_H_Head"/>
    <w:basedOn w:val="Normale"/>
    <w:next w:val="ECHRPara"/>
    <w:uiPriority w:val="18"/>
    <w:qFormat/>
    <w:rsid w:val="00437861"/>
    <w:pPr>
      <w:keepNext/>
      <w:keepLines/>
      <w:spacing w:before="720" w:after="240"/>
      <w:outlineLvl w:val="0"/>
    </w:pPr>
    <w:rPr>
      <w:rFonts w:asciiTheme="majorHAnsi" w:hAnsiTheme="majorHAnsi"/>
      <w:sz w:val="28"/>
    </w:rPr>
  </w:style>
  <w:style w:type="paragraph" w:customStyle="1" w:styleId="JuInitialled">
    <w:name w:val="Ju_Initialled"/>
    <w:basedOn w:val="Normale"/>
    <w:uiPriority w:val="31"/>
    <w:qFormat/>
    <w:rsid w:val="00437861"/>
    <w:pPr>
      <w:tabs>
        <w:tab w:val="center" w:pos="6407"/>
      </w:tabs>
      <w:spacing w:before="720"/>
      <w:jc w:val="right"/>
    </w:pPr>
  </w:style>
  <w:style w:type="paragraph" w:customStyle="1" w:styleId="JuSigned">
    <w:name w:val="Ju_Signed"/>
    <w:basedOn w:val="Normale"/>
    <w:next w:val="JuParaLast"/>
    <w:uiPriority w:val="32"/>
    <w:qFormat/>
    <w:rsid w:val="00437861"/>
    <w:pPr>
      <w:tabs>
        <w:tab w:val="center" w:pos="851"/>
        <w:tab w:val="center" w:pos="6407"/>
      </w:tabs>
      <w:spacing w:before="720"/>
      <w:jc w:val="left"/>
    </w:pPr>
  </w:style>
  <w:style w:type="paragraph" w:styleId="Titolo">
    <w:name w:val="Title"/>
    <w:basedOn w:val="Normale"/>
    <w:next w:val="Normale"/>
    <w:link w:val="TitoloCarattere"/>
    <w:uiPriority w:val="99"/>
    <w:semiHidden/>
    <w:qFormat/>
    <w:rsid w:val="00437861"/>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oloCarattere">
    <w:name w:val="Titolo Carattere"/>
    <w:basedOn w:val="Carpredefinitoparagrafo"/>
    <w:link w:val="Titolo"/>
    <w:uiPriority w:val="99"/>
    <w:semiHidden/>
    <w:rsid w:val="00437861"/>
    <w:rPr>
      <w:rFonts w:asciiTheme="majorHAnsi" w:eastAsiaTheme="majorEastAsia" w:hAnsiTheme="majorHAnsi" w:cstheme="majorBidi"/>
      <w:spacing w:val="5"/>
      <w:sz w:val="52"/>
      <w:szCs w:val="52"/>
      <w:lang w:bidi="en-US"/>
    </w:rPr>
  </w:style>
  <w:style w:type="paragraph" w:customStyle="1" w:styleId="JuParaSub">
    <w:name w:val="Ju_Para_Sub"/>
    <w:basedOn w:val="ECHRPara"/>
    <w:uiPriority w:val="13"/>
    <w:qFormat/>
    <w:rsid w:val="00437861"/>
    <w:pPr>
      <w:ind w:left="284"/>
    </w:pPr>
  </w:style>
  <w:style w:type="paragraph" w:customStyle="1" w:styleId="JuQuotSub">
    <w:name w:val="Ju_Quot_Sub"/>
    <w:basedOn w:val="ECHRParaQuote"/>
    <w:uiPriority w:val="15"/>
    <w:qFormat/>
    <w:rsid w:val="00437861"/>
    <w:pPr>
      <w:ind w:left="567"/>
    </w:pPr>
  </w:style>
  <w:style w:type="character" w:customStyle="1" w:styleId="JuITMark">
    <w:name w:val="Ju_ITMark"/>
    <w:basedOn w:val="Carpredefinitoparagrafo"/>
    <w:uiPriority w:val="38"/>
    <w:qFormat/>
    <w:rsid w:val="00437861"/>
    <w:rPr>
      <w:vanish w:val="0"/>
      <w:color w:val="auto"/>
      <w:sz w:val="14"/>
      <w:bdr w:val="none" w:sz="0" w:space="0" w:color="auto"/>
      <w:shd w:val="clear" w:color="auto" w:fill="BEE5FF" w:themeFill="background1" w:themeFillTint="33"/>
    </w:rPr>
  </w:style>
  <w:style w:type="paragraph" w:customStyle="1" w:styleId="JuTitle">
    <w:name w:val="Ju_Title"/>
    <w:basedOn w:val="Normale"/>
    <w:next w:val="ECHRPara"/>
    <w:uiPriority w:val="3"/>
    <w:semiHidden/>
    <w:qFormat/>
    <w:rsid w:val="00437861"/>
    <w:pPr>
      <w:spacing w:before="720" w:after="240"/>
      <w:jc w:val="center"/>
      <w:outlineLvl w:val="0"/>
    </w:pPr>
    <w:rPr>
      <w:rFonts w:asciiTheme="majorHAnsi" w:hAnsiTheme="majorHAnsi"/>
      <w:b/>
      <w:caps/>
    </w:rPr>
  </w:style>
  <w:style w:type="paragraph" w:customStyle="1" w:styleId="OpiH1">
    <w:name w:val="Opi_H_1"/>
    <w:basedOn w:val="ECHRHeading2"/>
    <w:uiPriority w:val="42"/>
    <w:qFormat/>
    <w:rsid w:val="00437861"/>
    <w:pPr>
      <w:ind w:left="635" w:hanging="357"/>
      <w:outlineLvl w:val="2"/>
    </w:pPr>
  </w:style>
  <w:style w:type="paragraph" w:customStyle="1" w:styleId="ECHRHeading1">
    <w:name w:val="ECHR_Heading_1"/>
    <w:aliases w:val="Ju_H_I_Roman"/>
    <w:basedOn w:val="Titolo1"/>
    <w:next w:val="ECHRPara"/>
    <w:uiPriority w:val="19"/>
    <w:qFormat/>
    <w:rsid w:val="00437861"/>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437861"/>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ECHRPara"/>
    <w:uiPriority w:val="21"/>
    <w:qFormat/>
    <w:rsid w:val="00437861"/>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57"/>
    <w:semiHidden/>
    <w:rsid w:val="00437861"/>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437861"/>
    <w:rPr>
      <w:sz w:val="24"/>
      <w:lang w:val="en-GB"/>
    </w:rPr>
  </w:style>
  <w:style w:type="character" w:customStyle="1" w:styleId="Titolo1Carattere">
    <w:name w:val="Titolo 1 Carattere"/>
    <w:basedOn w:val="Carpredefinitoparagrafo"/>
    <w:link w:val="Titolo1"/>
    <w:uiPriority w:val="99"/>
    <w:semiHidden/>
    <w:rsid w:val="00437861"/>
    <w:rPr>
      <w:rFonts w:asciiTheme="majorHAnsi" w:eastAsiaTheme="majorEastAsia" w:hAnsiTheme="majorHAnsi" w:cstheme="majorBidi"/>
      <w:b/>
      <w:bCs/>
      <w:color w:val="333333"/>
      <w:sz w:val="28"/>
      <w:szCs w:val="28"/>
      <w:lang w:val="en-GB"/>
    </w:rPr>
  </w:style>
  <w:style w:type="paragraph" w:customStyle="1" w:styleId="ECHRHeading4">
    <w:name w:val="ECHR_Heading_4"/>
    <w:aliases w:val="Ju_H_a"/>
    <w:basedOn w:val="Titolo4"/>
    <w:next w:val="ECHRPara"/>
    <w:uiPriority w:val="22"/>
    <w:qFormat/>
    <w:rsid w:val="00437861"/>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437861"/>
    <w:pPr>
      <w:keepNext/>
      <w:keepLines/>
      <w:tabs>
        <w:tab w:val="left" w:pos="1191"/>
      </w:tabs>
      <w:spacing w:before="240" w:after="120"/>
      <w:ind w:left="1190" w:hanging="357"/>
    </w:pPr>
    <w:rPr>
      <w:b w:val="0"/>
      <w:i/>
      <w:color w:val="auto"/>
      <w:sz w:val="20"/>
      <w:lang w:val="en-GB"/>
    </w:rPr>
  </w:style>
  <w:style w:type="character" w:customStyle="1" w:styleId="Titolo2Carattere">
    <w:name w:val="Titolo 2 Carattere"/>
    <w:basedOn w:val="Carpredefinitoparagrafo"/>
    <w:link w:val="Titolo2"/>
    <w:uiPriority w:val="99"/>
    <w:semiHidden/>
    <w:rsid w:val="00437861"/>
    <w:rPr>
      <w:rFonts w:asciiTheme="majorHAnsi" w:eastAsiaTheme="majorEastAsia" w:hAnsiTheme="majorHAnsi" w:cstheme="majorBidi"/>
      <w:b/>
      <w:bCs/>
      <w:color w:val="4D4D4D"/>
      <w:sz w:val="26"/>
      <w:szCs w:val="26"/>
      <w:lang w:val="en-GB"/>
    </w:rPr>
  </w:style>
  <w:style w:type="paragraph" w:customStyle="1" w:styleId="ECHRHeading6">
    <w:name w:val="ECHR_Heading_6"/>
    <w:aliases w:val="Ju_H_alpha"/>
    <w:basedOn w:val="Titolo6"/>
    <w:next w:val="ECHRPara"/>
    <w:uiPriority w:val="24"/>
    <w:qFormat/>
    <w:rsid w:val="00437861"/>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437861"/>
    <w:pPr>
      <w:keepNext/>
      <w:keepLines/>
      <w:spacing w:before="240" w:after="120"/>
      <w:ind w:left="1236"/>
    </w:pPr>
    <w:rPr>
      <w:sz w:val="20"/>
      <w:lang w:val="en-GB"/>
    </w:rPr>
  </w:style>
  <w:style w:type="character" w:customStyle="1" w:styleId="Titolo3Carattere">
    <w:name w:val="Titolo 3 Carattere"/>
    <w:basedOn w:val="Carpredefinitoparagrafo"/>
    <w:link w:val="Titolo3"/>
    <w:uiPriority w:val="99"/>
    <w:semiHidden/>
    <w:rsid w:val="00437861"/>
    <w:rPr>
      <w:rFonts w:asciiTheme="majorHAnsi" w:eastAsiaTheme="majorEastAsia" w:hAnsiTheme="majorHAnsi" w:cstheme="majorBidi"/>
      <w:b/>
      <w:bCs/>
      <w:color w:val="5F5F5F"/>
      <w:sz w:val="24"/>
      <w:lang w:val="en-GB"/>
    </w:rPr>
  </w:style>
  <w:style w:type="paragraph" w:customStyle="1" w:styleId="JuParaLast">
    <w:name w:val="Ju_Para_Last"/>
    <w:basedOn w:val="Normale"/>
    <w:next w:val="ECHRPara"/>
    <w:uiPriority w:val="30"/>
    <w:qFormat/>
    <w:rsid w:val="00437861"/>
    <w:pPr>
      <w:keepNext/>
      <w:keepLines/>
      <w:spacing w:before="240"/>
      <w:ind w:firstLine="284"/>
    </w:pPr>
  </w:style>
  <w:style w:type="paragraph" w:customStyle="1" w:styleId="JuList">
    <w:name w:val="Ju_List"/>
    <w:basedOn w:val="Normale"/>
    <w:uiPriority w:val="28"/>
    <w:qFormat/>
    <w:rsid w:val="00437861"/>
    <w:pPr>
      <w:ind w:left="340" w:hanging="340"/>
    </w:pPr>
  </w:style>
  <w:style w:type="character" w:customStyle="1" w:styleId="Titolo4Carattere">
    <w:name w:val="Titolo 4 Carattere"/>
    <w:basedOn w:val="Carpredefinitoparagrafo"/>
    <w:link w:val="Titolo4"/>
    <w:uiPriority w:val="99"/>
    <w:semiHidden/>
    <w:rsid w:val="00437861"/>
    <w:rPr>
      <w:rFonts w:asciiTheme="majorHAnsi" w:eastAsiaTheme="majorEastAsia" w:hAnsiTheme="majorHAnsi" w:cstheme="majorBidi"/>
      <w:b/>
      <w:bCs/>
      <w:i/>
      <w:iCs/>
      <w:color w:val="777777"/>
      <w:sz w:val="24"/>
      <w:lang w:val="en-GB"/>
    </w:rPr>
  </w:style>
  <w:style w:type="paragraph" w:customStyle="1" w:styleId="JuLista">
    <w:name w:val="Ju_List_a"/>
    <w:basedOn w:val="JuList"/>
    <w:uiPriority w:val="28"/>
    <w:qFormat/>
    <w:rsid w:val="00437861"/>
    <w:pPr>
      <w:ind w:left="346" w:firstLine="0"/>
    </w:pPr>
  </w:style>
  <w:style w:type="character" w:customStyle="1" w:styleId="Titolo5Carattere">
    <w:name w:val="Titolo 5 Carattere"/>
    <w:basedOn w:val="Carpredefinitoparagrafo"/>
    <w:link w:val="Titolo5"/>
    <w:uiPriority w:val="99"/>
    <w:semiHidden/>
    <w:rsid w:val="00437861"/>
    <w:rPr>
      <w:rFonts w:asciiTheme="majorHAnsi" w:eastAsiaTheme="majorEastAsia" w:hAnsiTheme="majorHAnsi" w:cstheme="majorBidi"/>
      <w:b/>
      <w:bCs/>
      <w:color w:val="808080"/>
    </w:rPr>
  </w:style>
  <w:style w:type="paragraph" w:customStyle="1" w:styleId="JuListi">
    <w:name w:val="Ju_List_i"/>
    <w:basedOn w:val="Normale"/>
    <w:next w:val="JuLista"/>
    <w:uiPriority w:val="28"/>
    <w:qFormat/>
    <w:rsid w:val="00437861"/>
    <w:pPr>
      <w:ind w:left="794"/>
    </w:pPr>
  </w:style>
  <w:style w:type="paragraph" w:customStyle="1" w:styleId="OpiHa">
    <w:name w:val="Opi_H_a"/>
    <w:basedOn w:val="ECHRHeading3"/>
    <w:uiPriority w:val="43"/>
    <w:qFormat/>
    <w:rsid w:val="00437861"/>
    <w:pPr>
      <w:ind w:left="833" w:hanging="357"/>
      <w:outlineLvl w:val="3"/>
    </w:pPr>
    <w:rPr>
      <w:b/>
      <w:i w:val="0"/>
      <w:sz w:val="20"/>
    </w:rPr>
  </w:style>
  <w:style w:type="character" w:styleId="Enfasidelicata">
    <w:name w:val="Subtle Emphasis"/>
    <w:uiPriority w:val="99"/>
    <w:semiHidden/>
    <w:qFormat/>
    <w:rsid w:val="00437861"/>
    <w:rPr>
      <w:i/>
      <w:iCs/>
    </w:rPr>
  </w:style>
  <w:style w:type="paragraph" w:customStyle="1" w:styleId="OpiHA0">
    <w:name w:val="Opi_H_A"/>
    <w:basedOn w:val="ECHRHeading1"/>
    <w:next w:val="OpiPara"/>
    <w:uiPriority w:val="41"/>
    <w:qFormat/>
    <w:rsid w:val="00437861"/>
    <w:pPr>
      <w:tabs>
        <w:tab w:val="clear" w:pos="357"/>
      </w:tabs>
      <w:outlineLvl w:val="1"/>
    </w:pPr>
    <w:rPr>
      <w:b/>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i">
    <w:name w:val="Opi_H_i"/>
    <w:basedOn w:val="ECHRHeading4"/>
    <w:uiPriority w:val="44"/>
    <w:qFormat/>
    <w:rsid w:val="00437861"/>
    <w:pPr>
      <w:ind w:left="1037" w:hanging="357"/>
      <w:outlineLvl w:val="4"/>
    </w:pPr>
    <w:rPr>
      <w:b w:val="0"/>
      <w:i/>
    </w:rPr>
  </w:style>
  <w:style w:type="paragraph" w:customStyle="1" w:styleId="OpiPara">
    <w:name w:val="Opi_Para"/>
    <w:basedOn w:val="ECHRPara"/>
    <w:uiPriority w:val="46"/>
    <w:qFormat/>
    <w:rsid w:val="00437861"/>
  </w:style>
  <w:style w:type="paragraph" w:styleId="Sottotitolo">
    <w:name w:val="Subtitle"/>
    <w:basedOn w:val="Normale"/>
    <w:next w:val="Normale"/>
    <w:link w:val="SottotitoloCarattere"/>
    <w:uiPriority w:val="99"/>
    <w:semiHidden/>
    <w:qFormat/>
    <w:rsid w:val="00437861"/>
    <w:pPr>
      <w:spacing w:after="600"/>
    </w:pPr>
    <w:rPr>
      <w:rFonts w:asciiTheme="majorHAnsi" w:eastAsiaTheme="majorEastAsia" w:hAnsiTheme="majorHAnsi" w:cstheme="majorBidi"/>
      <w:i/>
      <w:iCs/>
      <w:spacing w:val="13"/>
      <w:szCs w:val="24"/>
      <w:lang w:val="en-US" w:bidi="en-US"/>
    </w:rPr>
  </w:style>
  <w:style w:type="character" w:styleId="Enfasicorsivo">
    <w:name w:val="Emphasis"/>
    <w:uiPriority w:val="99"/>
    <w:semiHidden/>
    <w:qFormat/>
    <w:rsid w:val="00437861"/>
    <w:rPr>
      <w:b/>
      <w:bCs/>
      <w:i/>
      <w:iCs/>
      <w:spacing w:val="10"/>
      <w:bdr w:val="none" w:sz="0" w:space="0" w:color="auto"/>
      <w:shd w:val="clear" w:color="auto" w:fill="auto"/>
    </w:rPr>
  </w:style>
  <w:style w:type="paragraph" w:styleId="Pidipagina">
    <w:name w:val="footer"/>
    <w:basedOn w:val="Normale"/>
    <w:link w:val="PidipaginaCarattere"/>
    <w:uiPriority w:val="57"/>
    <w:semiHidden/>
    <w:rsid w:val="00437861"/>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437861"/>
    <w:rPr>
      <w:sz w:val="24"/>
      <w:lang w:val="en-GB"/>
    </w:rPr>
  </w:style>
  <w:style w:type="character" w:styleId="Rimandonotaapidipagina">
    <w:name w:val="footnote reference"/>
    <w:basedOn w:val="Carpredefinitoparagrafo"/>
    <w:uiPriority w:val="99"/>
    <w:semiHidden/>
    <w:rsid w:val="00437861"/>
    <w:rPr>
      <w:vertAlign w:val="superscript"/>
    </w:rPr>
  </w:style>
  <w:style w:type="paragraph" w:styleId="Testonotaapidipagina">
    <w:name w:val="footnote text"/>
    <w:basedOn w:val="Normale"/>
    <w:link w:val="TestonotaapidipaginaCarattere"/>
    <w:uiPriority w:val="99"/>
    <w:semiHidden/>
    <w:rsid w:val="00437861"/>
    <w:rPr>
      <w:sz w:val="20"/>
      <w:szCs w:val="20"/>
    </w:rPr>
  </w:style>
  <w:style w:type="character" w:customStyle="1" w:styleId="TestonotaapidipaginaCarattere">
    <w:name w:val="Testo nota a piè di pagina Carattere"/>
    <w:basedOn w:val="Carpredefinitoparagrafo"/>
    <w:link w:val="Testonotaapidipagina"/>
    <w:uiPriority w:val="99"/>
    <w:semiHidden/>
    <w:rsid w:val="00437861"/>
    <w:rPr>
      <w:rFonts w:eastAsiaTheme="minorEastAsia"/>
      <w:sz w:val="20"/>
      <w:szCs w:val="20"/>
      <w:lang w:val="en-GB"/>
    </w:rPr>
  </w:style>
  <w:style w:type="character" w:customStyle="1" w:styleId="Titolo6Carattere">
    <w:name w:val="Titolo 6 Carattere"/>
    <w:basedOn w:val="Carpredefinitoparagrafo"/>
    <w:link w:val="Titolo6"/>
    <w:uiPriority w:val="99"/>
    <w:semiHidden/>
    <w:rsid w:val="00437861"/>
    <w:rPr>
      <w:rFonts w:asciiTheme="majorHAnsi" w:eastAsiaTheme="majorEastAsia" w:hAnsiTheme="majorHAnsi" w:cstheme="majorBidi"/>
      <w:b/>
      <w:bCs/>
      <w:i/>
      <w:iCs/>
      <w:color w:val="7F7F7F" w:themeColor="text1" w:themeTint="80"/>
      <w:sz w:val="24"/>
      <w:lang w:val="en-GB" w:bidi="en-US"/>
    </w:rPr>
  </w:style>
  <w:style w:type="character" w:customStyle="1" w:styleId="Titolo7Carattere">
    <w:name w:val="Titolo 7 Carattere"/>
    <w:basedOn w:val="Carpredefinitoparagrafo"/>
    <w:link w:val="Titolo7"/>
    <w:uiPriority w:val="99"/>
    <w:semiHidden/>
    <w:rsid w:val="00437861"/>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437861"/>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437861"/>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437861"/>
    <w:rPr>
      <w:color w:val="0072BC" w:themeColor="hyperlink"/>
      <w:u w:val="single"/>
    </w:rPr>
  </w:style>
  <w:style w:type="character" w:styleId="Enfasiintensa">
    <w:name w:val="Intense Emphasis"/>
    <w:uiPriority w:val="99"/>
    <w:semiHidden/>
    <w:qFormat/>
    <w:rsid w:val="00437861"/>
    <w:rPr>
      <w:b/>
      <w:bCs/>
    </w:rPr>
  </w:style>
  <w:style w:type="paragraph" w:styleId="Citazioneintensa">
    <w:name w:val="Intense Quote"/>
    <w:basedOn w:val="Normale"/>
    <w:next w:val="Normale"/>
    <w:link w:val="CitazioneintensaCarattere"/>
    <w:uiPriority w:val="99"/>
    <w:semiHidden/>
    <w:qFormat/>
    <w:rsid w:val="00437861"/>
    <w:pPr>
      <w:pBdr>
        <w:bottom w:val="single" w:sz="4" w:space="1" w:color="auto"/>
      </w:pBdr>
      <w:spacing w:before="200" w:after="280"/>
      <w:ind w:left="1008" w:right="1152"/>
    </w:pPr>
    <w:rPr>
      <w:b/>
      <w:bCs/>
      <w:i/>
      <w:iCs/>
      <w:sz w:val="22"/>
      <w:lang w:val="en-US" w:bidi="en-US"/>
    </w:rPr>
  </w:style>
  <w:style w:type="character" w:customStyle="1" w:styleId="CitazioneintensaCarattere">
    <w:name w:val="Citazione intensa Carattere"/>
    <w:basedOn w:val="Carpredefinitoparagrafo"/>
    <w:link w:val="Citazioneintensa"/>
    <w:uiPriority w:val="99"/>
    <w:semiHidden/>
    <w:rsid w:val="00437861"/>
    <w:rPr>
      <w:rFonts w:eastAsiaTheme="minorEastAsia"/>
      <w:b/>
      <w:bCs/>
      <w:i/>
      <w:iCs/>
      <w:lang w:bidi="en-US"/>
    </w:rPr>
  </w:style>
  <w:style w:type="character" w:styleId="Riferimentointenso">
    <w:name w:val="Intense Reference"/>
    <w:uiPriority w:val="99"/>
    <w:semiHidden/>
    <w:qFormat/>
    <w:rsid w:val="00437861"/>
    <w:rPr>
      <w:smallCaps/>
      <w:spacing w:val="5"/>
      <w:u w:val="single"/>
    </w:rPr>
  </w:style>
  <w:style w:type="paragraph" w:styleId="Paragrafoelenco">
    <w:name w:val="List Paragraph"/>
    <w:basedOn w:val="Normale"/>
    <w:uiPriority w:val="99"/>
    <w:semiHidden/>
    <w:qFormat/>
    <w:rsid w:val="00437861"/>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437861"/>
    <w:pPr>
      <w:spacing w:before="200"/>
      <w:ind w:left="360" w:right="360"/>
    </w:pPr>
    <w:rPr>
      <w:i/>
      <w:iCs/>
      <w:sz w:val="22"/>
      <w:lang w:val="en-US" w:bidi="en-US"/>
    </w:rPr>
  </w:style>
  <w:style w:type="character" w:customStyle="1" w:styleId="CitazioneCarattere">
    <w:name w:val="Citazione Carattere"/>
    <w:basedOn w:val="Carpredefinitoparagrafo"/>
    <w:link w:val="Citazione"/>
    <w:uiPriority w:val="99"/>
    <w:semiHidden/>
    <w:rsid w:val="00437861"/>
    <w:rPr>
      <w:rFonts w:eastAsiaTheme="minorEastAsia"/>
      <w:i/>
      <w:iCs/>
      <w:lang w:bidi="en-US"/>
    </w:rPr>
  </w:style>
  <w:style w:type="character" w:styleId="Riferimentodelicato">
    <w:name w:val="Subtle Reference"/>
    <w:uiPriority w:val="99"/>
    <w:semiHidden/>
    <w:qFormat/>
    <w:rsid w:val="00437861"/>
    <w:rPr>
      <w:smallCaps/>
    </w:rPr>
  </w:style>
  <w:style w:type="table" w:styleId="Grigliatabella">
    <w:name w:val="Table Grid"/>
    <w:basedOn w:val="Tabellanormale"/>
    <w:uiPriority w:val="59"/>
    <w:semiHidden/>
    <w:rsid w:val="0043786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437861"/>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437861"/>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437861"/>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437861"/>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437861"/>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437861"/>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437861"/>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character" w:customStyle="1" w:styleId="SottotitoloCarattere">
    <w:name w:val="Sottotitolo Carattere"/>
    <w:basedOn w:val="Carpredefinitoparagrafo"/>
    <w:link w:val="Sottotitolo"/>
    <w:uiPriority w:val="99"/>
    <w:semiHidden/>
    <w:rsid w:val="00437861"/>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unhideWhenUsed/>
    <w:rsid w:val="002D2C99"/>
    <w:pPr>
      <w:numPr>
        <w:numId w:val="9"/>
      </w:numPr>
    </w:pPr>
  </w:style>
  <w:style w:type="numbering" w:styleId="1ai">
    <w:name w:val="Outline List 1"/>
    <w:basedOn w:val="Nessunelenco"/>
    <w:uiPriority w:val="99"/>
    <w:semiHidden/>
    <w:unhideWhenUsed/>
    <w:rsid w:val="002D2C99"/>
    <w:pPr>
      <w:numPr>
        <w:numId w:val="10"/>
      </w:numPr>
    </w:pPr>
  </w:style>
  <w:style w:type="paragraph" w:customStyle="1" w:styleId="ECHRPara">
    <w:name w:val="ECHR_Para"/>
    <w:aliases w:val="Ju_Para"/>
    <w:basedOn w:val="Normale"/>
    <w:link w:val="ECHRParaChar"/>
    <w:uiPriority w:val="12"/>
    <w:qFormat/>
    <w:rsid w:val="00437861"/>
    <w:pPr>
      <w:ind w:firstLine="284"/>
    </w:pPr>
  </w:style>
  <w:style w:type="numbering" w:styleId="ArticoloSezione">
    <w:name w:val="Outline List 3"/>
    <w:basedOn w:val="Nessunelenco"/>
    <w:uiPriority w:val="99"/>
    <w:semiHidden/>
    <w:unhideWhenUsed/>
    <w:rsid w:val="002D2C99"/>
    <w:pPr>
      <w:numPr>
        <w:numId w:val="11"/>
      </w:numPr>
    </w:p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paragraph" w:styleId="Bibliografia">
    <w:name w:val="Bibliography"/>
    <w:basedOn w:val="Normale"/>
    <w:next w:val="Normale"/>
    <w:uiPriority w:val="99"/>
    <w:semiHidden/>
    <w:rsid w:val="002D2C99"/>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437861"/>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Testodelblocco">
    <w:name w:val="Block Text"/>
    <w:basedOn w:val="Normale"/>
    <w:uiPriority w:val="99"/>
    <w:semiHidden/>
    <w:rsid w:val="002D2C99"/>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paragraph" w:styleId="Corpotesto">
    <w:name w:val="Body Text"/>
    <w:basedOn w:val="Normale"/>
    <w:link w:val="CorpotestoCarattere"/>
    <w:uiPriority w:val="99"/>
    <w:semiHidden/>
    <w:rsid w:val="002D2C99"/>
    <w:pPr>
      <w:spacing w:after="120"/>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character" w:customStyle="1" w:styleId="CorpotestoCarattere">
    <w:name w:val="Corpo testo Carattere"/>
    <w:basedOn w:val="Carpredefinitoparagrafo"/>
    <w:link w:val="Corpotesto"/>
    <w:uiPriority w:val="99"/>
    <w:semiHidden/>
    <w:rsid w:val="002D2C99"/>
    <w:rPr>
      <w:rFonts w:eastAsiaTheme="minorEastAsia"/>
      <w:sz w:val="24"/>
    </w:rPr>
  </w:style>
  <w:style w:type="paragraph" w:styleId="Corpodeltesto2">
    <w:name w:val="Body Text 2"/>
    <w:basedOn w:val="Normale"/>
    <w:link w:val="Corpodeltesto2Carattere"/>
    <w:uiPriority w:val="99"/>
    <w:semiHidden/>
    <w:rsid w:val="002D2C99"/>
    <w:pPr>
      <w:spacing w:after="120" w:line="480" w:lineRule="auto"/>
    </w:p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e"/>
    <w:uiPriority w:val="11"/>
    <w:qFormat/>
    <w:rsid w:val="00437861"/>
    <w:pPr>
      <w:tabs>
        <w:tab w:val="left" w:pos="567"/>
        <w:tab w:val="left" w:pos="1134"/>
      </w:tabs>
      <w:jc w:val="left"/>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e"/>
    <w:next w:val="ECHRPara"/>
    <w:uiPriority w:val="10"/>
    <w:rsid w:val="00437861"/>
    <w:pPr>
      <w:ind w:firstLine="284"/>
    </w:pPr>
    <w:rPr>
      <w:b/>
    </w:rPr>
  </w:style>
  <w:style w:type="character" w:styleId="Numeropagina">
    <w:name w:val="page number"/>
    <w:uiPriority w:val="99"/>
    <w:semiHidden/>
    <w:rsid w:val="002D2C99"/>
    <w:rPr>
      <w:rFonts w:ascii="Times New Roman" w:hAnsi="Times New Roman" w:cs="Times New Roman"/>
      <w:sz w:val="18"/>
    </w:rPr>
  </w:style>
  <w:style w:type="paragraph" w:styleId="Puntoelenco2">
    <w:name w:val="List Bullet 2"/>
    <w:basedOn w:val="Normale"/>
    <w:uiPriority w:val="99"/>
    <w:semiHidden/>
    <w:rsid w:val="002D2C99"/>
    <w:pPr>
      <w:numPr>
        <w:numId w:val="8"/>
      </w:numPr>
      <w:contextualSpacing/>
    </w:pPr>
  </w:style>
  <w:style w:type="character" w:customStyle="1" w:styleId="Corpodeltesto2Carattere">
    <w:name w:val="Corpo del testo 2 Carattere"/>
    <w:basedOn w:val="Carpredefinitoparagrafo"/>
    <w:link w:val="Corpodeltesto2"/>
    <w:uiPriority w:val="99"/>
    <w:semiHidden/>
    <w:rsid w:val="002D2C99"/>
    <w:rPr>
      <w:rFonts w:eastAsiaTheme="minorEastAsia"/>
      <w:sz w:val="24"/>
    </w:rPr>
  </w:style>
  <w:style w:type="paragraph" w:styleId="Corpodeltesto3">
    <w:name w:val="Body Text 3"/>
    <w:basedOn w:val="Normale"/>
    <w:link w:val="Corpodeltesto3Carattere"/>
    <w:uiPriority w:val="99"/>
    <w:semiHidden/>
    <w:rsid w:val="002D2C9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D2C99"/>
    <w:rPr>
      <w:rFonts w:eastAsiaTheme="minorEastAsia"/>
      <w:sz w:val="16"/>
      <w:szCs w:val="16"/>
    </w:rPr>
  </w:style>
  <w:style w:type="paragraph" w:styleId="Primorientrocorpodeltesto">
    <w:name w:val="Body Text First Indent"/>
    <w:basedOn w:val="Corpotesto"/>
    <w:link w:val="PrimorientrocorpodeltestoCarattere"/>
    <w:uiPriority w:val="99"/>
    <w:semiHidden/>
    <w:rsid w:val="002D2C9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2D2C99"/>
    <w:rPr>
      <w:rFonts w:eastAsiaTheme="minorEastAsia"/>
      <w:sz w:val="24"/>
    </w:rPr>
  </w:style>
  <w:style w:type="paragraph" w:styleId="Rientrocorpodeltesto">
    <w:name w:val="Body Text Indent"/>
    <w:basedOn w:val="Normale"/>
    <w:link w:val="RientrocorpodeltestoCarattere"/>
    <w:uiPriority w:val="99"/>
    <w:semiHidden/>
    <w:rsid w:val="002D2C9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2D2C99"/>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2D2C99"/>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2D2C99"/>
    <w:rPr>
      <w:rFonts w:eastAsiaTheme="minorEastAsia"/>
      <w:sz w:val="24"/>
    </w:rPr>
  </w:style>
  <w:style w:type="paragraph" w:styleId="Rientrocorpodeltesto2">
    <w:name w:val="Body Text Indent 2"/>
    <w:basedOn w:val="Normale"/>
    <w:link w:val="Rientrocorpodeltesto2Carattere"/>
    <w:uiPriority w:val="99"/>
    <w:semiHidden/>
    <w:rsid w:val="002D2C9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2D2C99"/>
    <w:rPr>
      <w:rFonts w:eastAsiaTheme="minorEastAsia"/>
      <w:sz w:val="24"/>
    </w:rPr>
  </w:style>
  <w:style w:type="paragraph" w:styleId="Rientrocorpodeltesto3">
    <w:name w:val="Body Text Indent 3"/>
    <w:basedOn w:val="Normale"/>
    <w:link w:val="Rientrocorpodeltesto3Carattere"/>
    <w:uiPriority w:val="99"/>
    <w:semiHidden/>
    <w:rsid w:val="002D2C9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D2C99"/>
    <w:rPr>
      <w:rFonts w:eastAsiaTheme="minorEastAsia"/>
      <w:sz w:val="16"/>
      <w:szCs w:val="16"/>
    </w:rPr>
  </w:style>
  <w:style w:type="paragraph" w:styleId="Didascalia">
    <w:name w:val="caption"/>
    <w:basedOn w:val="Normale"/>
    <w:next w:val="Normale"/>
    <w:uiPriority w:val="99"/>
    <w:semiHidden/>
    <w:qFormat/>
    <w:rsid w:val="002D2C99"/>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2D2C99"/>
    <w:pPr>
      <w:ind w:left="4252"/>
    </w:pPr>
  </w:style>
  <w:style w:type="character" w:customStyle="1" w:styleId="FormuladichiusuraCarattere">
    <w:name w:val="Formula di chiusura Carattere"/>
    <w:basedOn w:val="Carpredefinitoparagrafo"/>
    <w:link w:val="Formuladichiusura"/>
    <w:uiPriority w:val="99"/>
    <w:semiHidden/>
    <w:rsid w:val="002D2C99"/>
    <w:rPr>
      <w:rFonts w:eastAsiaTheme="minorEastAsia"/>
      <w:sz w:val="24"/>
    </w:rPr>
  </w:style>
  <w:style w:type="table" w:styleId="Grigliaacolori">
    <w:name w:val="Colorful Grid"/>
    <w:basedOn w:val="Tabellanormale"/>
    <w:uiPriority w:val="99"/>
    <w:semiHidden/>
    <w:rsid w:val="002D2C99"/>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2D2C99"/>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2D2C99"/>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2D2C99"/>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2D2C99"/>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2D2C99"/>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2D2C99"/>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2D2C99"/>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2D2C99"/>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2D2C99"/>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2D2C99"/>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2D2C99"/>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2D2C99"/>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2D2C99"/>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2D2C99"/>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2D2C99"/>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2D2C99"/>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2D2C99"/>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2D2C99"/>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2D2C99"/>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2D2C99"/>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semiHidden/>
    <w:rsid w:val="002D2C99"/>
    <w:rPr>
      <w:sz w:val="16"/>
      <w:szCs w:val="16"/>
    </w:rPr>
  </w:style>
  <w:style w:type="paragraph" w:styleId="Testocommento">
    <w:name w:val="annotation text"/>
    <w:basedOn w:val="Normale"/>
    <w:link w:val="TestocommentoCarattere"/>
    <w:semiHidden/>
    <w:rsid w:val="002D2C99"/>
    <w:rPr>
      <w:sz w:val="20"/>
      <w:szCs w:val="20"/>
    </w:rPr>
  </w:style>
  <w:style w:type="character" w:customStyle="1" w:styleId="TestocommentoCarattere">
    <w:name w:val="Testo commento Carattere"/>
    <w:basedOn w:val="Carpredefinitoparagrafo"/>
    <w:link w:val="Testocommento"/>
    <w:semiHidden/>
    <w:rsid w:val="002D2C99"/>
    <w:rPr>
      <w:rFonts w:eastAsiaTheme="minorEastAsia"/>
      <w:sz w:val="20"/>
      <w:szCs w:val="20"/>
    </w:rPr>
  </w:style>
  <w:style w:type="paragraph" w:styleId="Soggettocommento">
    <w:name w:val="annotation subject"/>
    <w:basedOn w:val="Testocommento"/>
    <w:next w:val="Testocommento"/>
    <w:link w:val="SoggettocommentoCarattere"/>
    <w:uiPriority w:val="99"/>
    <w:semiHidden/>
    <w:rsid w:val="002D2C99"/>
    <w:rPr>
      <w:b/>
      <w:bCs/>
    </w:rPr>
  </w:style>
  <w:style w:type="character" w:customStyle="1" w:styleId="SoggettocommentoCarattere">
    <w:name w:val="Soggetto commento Carattere"/>
    <w:basedOn w:val="TestocommentoCarattere"/>
    <w:link w:val="Soggettocommento"/>
    <w:uiPriority w:val="99"/>
    <w:semiHidden/>
    <w:rsid w:val="002D2C99"/>
    <w:rPr>
      <w:rFonts w:eastAsiaTheme="minorEastAsia"/>
      <w:b/>
      <w:bCs/>
      <w:sz w:val="20"/>
      <w:szCs w:val="20"/>
    </w:rPr>
  </w:style>
  <w:style w:type="table" w:styleId="Elencoscuro">
    <w:name w:val="Dark List"/>
    <w:basedOn w:val="Tabellanormale"/>
    <w:uiPriority w:val="99"/>
    <w:semiHidden/>
    <w:rsid w:val="002D2C99"/>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2D2C99"/>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2D2C99"/>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2D2C99"/>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2D2C99"/>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2D2C99"/>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2D2C99"/>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2D2C99"/>
  </w:style>
  <w:style w:type="character" w:customStyle="1" w:styleId="DataCarattere">
    <w:name w:val="Data Carattere"/>
    <w:basedOn w:val="Carpredefinitoparagrafo"/>
    <w:link w:val="Data"/>
    <w:uiPriority w:val="99"/>
    <w:semiHidden/>
    <w:rsid w:val="002D2C99"/>
    <w:rPr>
      <w:rFonts w:eastAsiaTheme="minorEastAsia"/>
      <w:sz w:val="24"/>
    </w:rPr>
  </w:style>
  <w:style w:type="paragraph" w:styleId="Mappadocumento">
    <w:name w:val="Document Map"/>
    <w:basedOn w:val="Normale"/>
    <w:link w:val="MappadocumentoCarattere"/>
    <w:uiPriority w:val="99"/>
    <w:semiHidden/>
    <w:rsid w:val="002D2C99"/>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2D2C99"/>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2D2C99"/>
  </w:style>
  <w:style w:type="character" w:customStyle="1" w:styleId="FirmadipostaelettronicaCarattere">
    <w:name w:val="Firma di posta elettronica Carattere"/>
    <w:basedOn w:val="Carpredefinitoparagrafo"/>
    <w:link w:val="Firmadipostaelettronica"/>
    <w:uiPriority w:val="99"/>
    <w:semiHidden/>
    <w:rsid w:val="002D2C99"/>
    <w:rPr>
      <w:rFonts w:eastAsiaTheme="minorEastAsia"/>
      <w:sz w:val="24"/>
    </w:rPr>
  </w:style>
  <w:style w:type="character" w:styleId="Rimandonotadichiusura">
    <w:name w:val="endnote reference"/>
    <w:basedOn w:val="Carpredefinitoparagrafo"/>
    <w:uiPriority w:val="99"/>
    <w:semiHidden/>
    <w:rsid w:val="00437861"/>
    <w:rPr>
      <w:vertAlign w:val="superscript"/>
    </w:rPr>
  </w:style>
  <w:style w:type="paragraph" w:styleId="Testonotadichiusura">
    <w:name w:val="endnote text"/>
    <w:basedOn w:val="Normale"/>
    <w:link w:val="TestonotadichiusuraCarattere"/>
    <w:uiPriority w:val="99"/>
    <w:semiHidden/>
    <w:rsid w:val="00437861"/>
    <w:rPr>
      <w:sz w:val="20"/>
      <w:szCs w:val="20"/>
    </w:rPr>
  </w:style>
  <w:style w:type="character" w:customStyle="1" w:styleId="TestonotadichiusuraCarattere">
    <w:name w:val="Testo nota di chiusura Carattere"/>
    <w:basedOn w:val="Carpredefinitoparagrafo"/>
    <w:link w:val="Testonotadichiusura"/>
    <w:uiPriority w:val="99"/>
    <w:semiHidden/>
    <w:rsid w:val="00437861"/>
    <w:rPr>
      <w:rFonts w:eastAsiaTheme="minorEastAsia"/>
      <w:sz w:val="20"/>
      <w:szCs w:val="20"/>
      <w:lang w:val="en-GB"/>
    </w:rPr>
  </w:style>
  <w:style w:type="paragraph" w:styleId="Indirizzodestinatario">
    <w:name w:val="envelope address"/>
    <w:basedOn w:val="Normale"/>
    <w:uiPriority w:val="99"/>
    <w:semiHidden/>
    <w:rsid w:val="002D2C99"/>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2D2C99"/>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2D2C99"/>
    <w:rPr>
      <w:color w:val="7030A0" w:themeColor="followedHyperlink"/>
      <w:u w:val="single"/>
    </w:rPr>
  </w:style>
  <w:style w:type="character" w:styleId="AcronimoHTML">
    <w:name w:val="HTML Acronym"/>
    <w:basedOn w:val="Carpredefinitoparagrafo"/>
    <w:uiPriority w:val="99"/>
    <w:semiHidden/>
    <w:rsid w:val="002D2C99"/>
  </w:style>
  <w:style w:type="paragraph" w:styleId="IndirizzoHTML">
    <w:name w:val="HTML Address"/>
    <w:basedOn w:val="Normale"/>
    <w:link w:val="IndirizzoHTMLCarattere"/>
    <w:uiPriority w:val="99"/>
    <w:semiHidden/>
    <w:rsid w:val="002D2C99"/>
    <w:rPr>
      <w:i/>
      <w:iCs/>
    </w:rPr>
  </w:style>
  <w:style w:type="character" w:customStyle="1" w:styleId="IndirizzoHTMLCarattere">
    <w:name w:val="Indirizzo HTML Carattere"/>
    <w:basedOn w:val="Carpredefinitoparagrafo"/>
    <w:link w:val="IndirizzoHTML"/>
    <w:uiPriority w:val="99"/>
    <w:semiHidden/>
    <w:rsid w:val="002D2C99"/>
    <w:rPr>
      <w:rFonts w:eastAsiaTheme="minorEastAsia"/>
      <w:i/>
      <w:iCs/>
      <w:sz w:val="24"/>
    </w:rPr>
  </w:style>
  <w:style w:type="character" w:styleId="CitazioneHTML">
    <w:name w:val="HTML Cite"/>
    <w:basedOn w:val="Carpredefinitoparagrafo"/>
    <w:uiPriority w:val="99"/>
    <w:semiHidden/>
    <w:rsid w:val="002D2C99"/>
    <w:rPr>
      <w:i/>
      <w:iCs/>
    </w:rPr>
  </w:style>
  <w:style w:type="character" w:styleId="CodiceHTML">
    <w:name w:val="HTML Code"/>
    <w:basedOn w:val="Carpredefinitoparagrafo"/>
    <w:uiPriority w:val="99"/>
    <w:semiHidden/>
    <w:rsid w:val="002D2C99"/>
    <w:rPr>
      <w:rFonts w:ascii="Consolas" w:hAnsi="Consolas" w:cs="Consolas"/>
      <w:sz w:val="20"/>
      <w:szCs w:val="20"/>
    </w:rPr>
  </w:style>
  <w:style w:type="character" w:styleId="DefinizioneHTML">
    <w:name w:val="HTML Definition"/>
    <w:basedOn w:val="Carpredefinitoparagrafo"/>
    <w:uiPriority w:val="99"/>
    <w:semiHidden/>
    <w:rsid w:val="002D2C99"/>
    <w:rPr>
      <w:i/>
      <w:iCs/>
    </w:rPr>
  </w:style>
  <w:style w:type="character" w:styleId="TastieraHTML">
    <w:name w:val="HTML Keyboard"/>
    <w:basedOn w:val="Carpredefinitoparagrafo"/>
    <w:uiPriority w:val="99"/>
    <w:semiHidden/>
    <w:rsid w:val="002D2C99"/>
    <w:rPr>
      <w:rFonts w:ascii="Consolas" w:hAnsi="Consolas" w:cs="Consolas"/>
      <w:sz w:val="20"/>
      <w:szCs w:val="20"/>
    </w:rPr>
  </w:style>
  <w:style w:type="paragraph" w:styleId="PreformattatoHTML">
    <w:name w:val="HTML Preformatted"/>
    <w:basedOn w:val="Normale"/>
    <w:link w:val="PreformattatoHTMLCarattere"/>
    <w:uiPriority w:val="99"/>
    <w:semiHidden/>
    <w:rsid w:val="002D2C99"/>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2D2C99"/>
    <w:rPr>
      <w:rFonts w:ascii="Consolas" w:eastAsiaTheme="minorEastAsia" w:hAnsi="Consolas" w:cs="Consolas"/>
      <w:sz w:val="20"/>
      <w:szCs w:val="20"/>
    </w:rPr>
  </w:style>
  <w:style w:type="character" w:styleId="EsempioHTML">
    <w:name w:val="HTML Sample"/>
    <w:basedOn w:val="Carpredefinitoparagrafo"/>
    <w:uiPriority w:val="99"/>
    <w:semiHidden/>
    <w:rsid w:val="002D2C99"/>
    <w:rPr>
      <w:rFonts w:ascii="Consolas" w:hAnsi="Consolas" w:cs="Consolas"/>
      <w:sz w:val="24"/>
      <w:szCs w:val="24"/>
    </w:rPr>
  </w:style>
  <w:style w:type="character" w:styleId="MacchinadascrivereHTML">
    <w:name w:val="HTML Typewriter"/>
    <w:basedOn w:val="Carpredefinitoparagrafo"/>
    <w:uiPriority w:val="99"/>
    <w:semiHidden/>
    <w:rsid w:val="002D2C99"/>
    <w:rPr>
      <w:rFonts w:ascii="Consolas" w:hAnsi="Consolas" w:cs="Consolas"/>
      <w:sz w:val="20"/>
      <w:szCs w:val="20"/>
    </w:rPr>
  </w:style>
  <w:style w:type="character" w:styleId="VariabileHTML">
    <w:name w:val="HTML Variable"/>
    <w:basedOn w:val="Carpredefinitoparagrafo"/>
    <w:uiPriority w:val="99"/>
    <w:semiHidden/>
    <w:rsid w:val="002D2C99"/>
    <w:rPr>
      <w:i/>
      <w:iCs/>
    </w:rPr>
  </w:style>
  <w:style w:type="paragraph" w:styleId="Indice1">
    <w:name w:val="index 1"/>
    <w:basedOn w:val="Normale"/>
    <w:next w:val="Normale"/>
    <w:autoRedefine/>
    <w:uiPriority w:val="99"/>
    <w:semiHidden/>
    <w:rsid w:val="002D2C99"/>
    <w:pPr>
      <w:ind w:left="240" w:hanging="240"/>
    </w:pPr>
  </w:style>
  <w:style w:type="paragraph" w:styleId="Indice2">
    <w:name w:val="index 2"/>
    <w:basedOn w:val="Normale"/>
    <w:next w:val="Normale"/>
    <w:autoRedefine/>
    <w:uiPriority w:val="99"/>
    <w:semiHidden/>
    <w:rsid w:val="002D2C99"/>
    <w:pPr>
      <w:ind w:left="480" w:hanging="240"/>
    </w:pPr>
  </w:style>
  <w:style w:type="paragraph" w:styleId="Indice3">
    <w:name w:val="index 3"/>
    <w:basedOn w:val="Normale"/>
    <w:next w:val="Normale"/>
    <w:autoRedefine/>
    <w:uiPriority w:val="99"/>
    <w:semiHidden/>
    <w:rsid w:val="002D2C99"/>
    <w:pPr>
      <w:ind w:left="720" w:hanging="240"/>
    </w:pPr>
  </w:style>
  <w:style w:type="paragraph" w:styleId="Indice4">
    <w:name w:val="index 4"/>
    <w:basedOn w:val="Normale"/>
    <w:next w:val="Normale"/>
    <w:autoRedefine/>
    <w:uiPriority w:val="99"/>
    <w:semiHidden/>
    <w:rsid w:val="002D2C99"/>
    <w:pPr>
      <w:ind w:left="960" w:hanging="240"/>
    </w:pPr>
  </w:style>
  <w:style w:type="paragraph" w:styleId="Indice5">
    <w:name w:val="index 5"/>
    <w:basedOn w:val="Normale"/>
    <w:next w:val="Normale"/>
    <w:autoRedefine/>
    <w:uiPriority w:val="99"/>
    <w:semiHidden/>
    <w:rsid w:val="002D2C99"/>
    <w:pPr>
      <w:ind w:left="1200" w:hanging="240"/>
    </w:pPr>
  </w:style>
  <w:style w:type="paragraph" w:styleId="Indice6">
    <w:name w:val="index 6"/>
    <w:basedOn w:val="Normale"/>
    <w:next w:val="Normale"/>
    <w:autoRedefine/>
    <w:uiPriority w:val="99"/>
    <w:semiHidden/>
    <w:rsid w:val="002D2C99"/>
    <w:pPr>
      <w:ind w:left="1440" w:hanging="240"/>
    </w:pPr>
  </w:style>
  <w:style w:type="paragraph" w:styleId="Indice7">
    <w:name w:val="index 7"/>
    <w:basedOn w:val="Normale"/>
    <w:next w:val="Normale"/>
    <w:autoRedefine/>
    <w:uiPriority w:val="99"/>
    <w:semiHidden/>
    <w:rsid w:val="002D2C99"/>
    <w:pPr>
      <w:ind w:left="1680" w:hanging="240"/>
    </w:pPr>
  </w:style>
  <w:style w:type="paragraph" w:styleId="Indice8">
    <w:name w:val="index 8"/>
    <w:basedOn w:val="Normale"/>
    <w:next w:val="Normale"/>
    <w:autoRedefine/>
    <w:uiPriority w:val="99"/>
    <w:semiHidden/>
    <w:rsid w:val="002D2C99"/>
    <w:pPr>
      <w:ind w:left="1920" w:hanging="240"/>
    </w:pPr>
  </w:style>
  <w:style w:type="paragraph" w:styleId="Indice9">
    <w:name w:val="index 9"/>
    <w:basedOn w:val="Normale"/>
    <w:next w:val="Normale"/>
    <w:autoRedefine/>
    <w:uiPriority w:val="99"/>
    <w:semiHidden/>
    <w:rsid w:val="002D2C99"/>
    <w:pPr>
      <w:ind w:left="2160" w:hanging="240"/>
    </w:pPr>
  </w:style>
  <w:style w:type="paragraph" w:styleId="Titoloindice">
    <w:name w:val="index heading"/>
    <w:basedOn w:val="Normale"/>
    <w:next w:val="Indice1"/>
    <w:uiPriority w:val="99"/>
    <w:semiHidden/>
    <w:rsid w:val="002D2C99"/>
    <w:rPr>
      <w:rFonts w:asciiTheme="majorHAnsi" w:eastAsiaTheme="majorEastAsia" w:hAnsiTheme="majorHAnsi" w:cstheme="majorBidi"/>
      <w:b/>
      <w:bCs/>
    </w:rPr>
  </w:style>
  <w:style w:type="table" w:styleId="Grigliachiara">
    <w:name w:val="Light Grid"/>
    <w:basedOn w:val="Tabellanormale"/>
    <w:uiPriority w:val="99"/>
    <w:semiHidden/>
    <w:rsid w:val="002D2C9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2D2C9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2D2C9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2D2C9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2D2C9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2D2C9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2D2C9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2D2C9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2D2C9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2D2C9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2D2C9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2D2C9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2D2C9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2D2C9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2D2C9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2D2C99"/>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2D2C99"/>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2D2C99"/>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2D2C99"/>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2D2C99"/>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2D2C99"/>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2D2C99"/>
  </w:style>
  <w:style w:type="paragraph" w:styleId="Elenco">
    <w:name w:val="List"/>
    <w:basedOn w:val="Normale"/>
    <w:uiPriority w:val="99"/>
    <w:semiHidden/>
    <w:rsid w:val="002D2C99"/>
    <w:pPr>
      <w:ind w:left="283" w:hanging="283"/>
      <w:contextualSpacing/>
    </w:pPr>
  </w:style>
  <w:style w:type="paragraph" w:styleId="Elenco2">
    <w:name w:val="List 2"/>
    <w:basedOn w:val="Normale"/>
    <w:uiPriority w:val="99"/>
    <w:semiHidden/>
    <w:rsid w:val="002D2C99"/>
    <w:pPr>
      <w:ind w:left="566" w:hanging="283"/>
      <w:contextualSpacing/>
    </w:pPr>
  </w:style>
  <w:style w:type="paragraph" w:styleId="Elenco3">
    <w:name w:val="List 3"/>
    <w:basedOn w:val="Normale"/>
    <w:uiPriority w:val="99"/>
    <w:semiHidden/>
    <w:rsid w:val="002D2C99"/>
    <w:pPr>
      <w:ind w:left="849" w:hanging="283"/>
      <w:contextualSpacing/>
    </w:pPr>
  </w:style>
  <w:style w:type="paragraph" w:styleId="Elenco4">
    <w:name w:val="List 4"/>
    <w:basedOn w:val="Normale"/>
    <w:uiPriority w:val="99"/>
    <w:semiHidden/>
    <w:rsid w:val="002D2C99"/>
    <w:pPr>
      <w:ind w:left="1132" w:hanging="283"/>
      <w:contextualSpacing/>
    </w:pPr>
  </w:style>
  <w:style w:type="paragraph" w:styleId="Elenco5">
    <w:name w:val="List 5"/>
    <w:basedOn w:val="Normale"/>
    <w:uiPriority w:val="99"/>
    <w:semiHidden/>
    <w:rsid w:val="002D2C99"/>
    <w:pPr>
      <w:ind w:left="1415" w:hanging="283"/>
      <w:contextualSpacing/>
    </w:pPr>
  </w:style>
  <w:style w:type="paragraph" w:styleId="Puntoelenco">
    <w:name w:val="List Bullet"/>
    <w:basedOn w:val="Normale"/>
    <w:uiPriority w:val="99"/>
    <w:semiHidden/>
    <w:rsid w:val="002D2C99"/>
    <w:pPr>
      <w:numPr>
        <w:numId w:val="12"/>
      </w:numPr>
      <w:contextualSpacing/>
    </w:pPr>
  </w:style>
  <w:style w:type="paragraph" w:styleId="Puntoelenco3">
    <w:name w:val="List Bullet 3"/>
    <w:basedOn w:val="Normale"/>
    <w:uiPriority w:val="99"/>
    <w:semiHidden/>
    <w:rsid w:val="002D2C99"/>
    <w:pPr>
      <w:numPr>
        <w:numId w:val="13"/>
      </w:numPr>
      <w:contextualSpacing/>
    </w:pPr>
  </w:style>
  <w:style w:type="paragraph" w:styleId="Puntoelenco4">
    <w:name w:val="List Bullet 4"/>
    <w:basedOn w:val="Normale"/>
    <w:uiPriority w:val="99"/>
    <w:semiHidden/>
    <w:rsid w:val="002D2C99"/>
    <w:pPr>
      <w:numPr>
        <w:numId w:val="14"/>
      </w:numPr>
      <w:contextualSpacing/>
    </w:pPr>
  </w:style>
  <w:style w:type="paragraph" w:styleId="Puntoelenco5">
    <w:name w:val="List Bullet 5"/>
    <w:basedOn w:val="Normale"/>
    <w:uiPriority w:val="99"/>
    <w:semiHidden/>
    <w:rsid w:val="002D2C99"/>
    <w:pPr>
      <w:numPr>
        <w:numId w:val="15"/>
      </w:numPr>
      <w:contextualSpacing/>
    </w:pPr>
  </w:style>
  <w:style w:type="paragraph" w:styleId="Elencocontinua">
    <w:name w:val="List Continue"/>
    <w:basedOn w:val="Normale"/>
    <w:uiPriority w:val="99"/>
    <w:semiHidden/>
    <w:rsid w:val="002D2C99"/>
    <w:pPr>
      <w:spacing w:after="120"/>
      <w:ind w:left="283"/>
      <w:contextualSpacing/>
    </w:pPr>
  </w:style>
  <w:style w:type="paragraph" w:styleId="Elencocontinua2">
    <w:name w:val="List Continue 2"/>
    <w:basedOn w:val="Normale"/>
    <w:uiPriority w:val="99"/>
    <w:semiHidden/>
    <w:rsid w:val="002D2C99"/>
    <w:pPr>
      <w:spacing w:after="120"/>
      <w:ind w:left="566"/>
      <w:contextualSpacing/>
    </w:pPr>
  </w:style>
  <w:style w:type="paragraph" w:styleId="Elencocontinua3">
    <w:name w:val="List Continue 3"/>
    <w:basedOn w:val="Normale"/>
    <w:uiPriority w:val="99"/>
    <w:semiHidden/>
    <w:rsid w:val="002D2C99"/>
    <w:pPr>
      <w:spacing w:after="120"/>
      <w:ind w:left="849"/>
      <w:contextualSpacing/>
    </w:pPr>
  </w:style>
  <w:style w:type="paragraph" w:styleId="Elencocontinua4">
    <w:name w:val="List Continue 4"/>
    <w:basedOn w:val="Normale"/>
    <w:uiPriority w:val="99"/>
    <w:semiHidden/>
    <w:rsid w:val="002D2C99"/>
    <w:pPr>
      <w:spacing w:after="120"/>
      <w:ind w:left="1132"/>
      <w:contextualSpacing/>
    </w:pPr>
  </w:style>
  <w:style w:type="paragraph" w:styleId="Elencocontinua5">
    <w:name w:val="List Continue 5"/>
    <w:basedOn w:val="Normale"/>
    <w:uiPriority w:val="99"/>
    <w:semiHidden/>
    <w:rsid w:val="002D2C99"/>
    <w:pPr>
      <w:spacing w:after="120"/>
      <w:ind w:left="1415"/>
      <w:contextualSpacing/>
    </w:pPr>
  </w:style>
  <w:style w:type="paragraph" w:styleId="Numeroelenco">
    <w:name w:val="List Number"/>
    <w:basedOn w:val="Normale"/>
    <w:uiPriority w:val="99"/>
    <w:semiHidden/>
    <w:rsid w:val="002D2C99"/>
    <w:pPr>
      <w:numPr>
        <w:numId w:val="16"/>
      </w:numPr>
      <w:contextualSpacing/>
    </w:pPr>
  </w:style>
  <w:style w:type="paragraph" w:styleId="Numeroelenco2">
    <w:name w:val="List Number 2"/>
    <w:basedOn w:val="Normale"/>
    <w:uiPriority w:val="99"/>
    <w:semiHidden/>
    <w:rsid w:val="002D2C99"/>
    <w:pPr>
      <w:numPr>
        <w:numId w:val="17"/>
      </w:numPr>
      <w:contextualSpacing/>
    </w:pPr>
  </w:style>
  <w:style w:type="paragraph" w:styleId="Numeroelenco3">
    <w:name w:val="List Number 3"/>
    <w:basedOn w:val="Normale"/>
    <w:uiPriority w:val="99"/>
    <w:semiHidden/>
    <w:rsid w:val="002D2C99"/>
    <w:pPr>
      <w:numPr>
        <w:numId w:val="18"/>
      </w:numPr>
      <w:contextualSpacing/>
    </w:pPr>
  </w:style>
  <w:style w:type="paragraph" w:styleId="Numeroelenco4">
    <w:name w:val="List Number 4"/>
    <w:basedOn w:val="Normale"/>
    <w:uiPriority w:val="99"/>
    <w:semiHidden/>
    <w:rsid w:val="002D2C99"/>
    <w:pPr>
      <w:numPr>
        <w:numId w:val="19"/>
      </w:numPr>
      <w:contextualSpacing/>
    </w:pPr>
  </w:style>
  <w:style w:type="paragraph" w:styleId="Numeroelenco5">
    <w:name w:val="List Number 5"/>
    <w:basedOn w:val="Normale"/>
    <w:uiPriority w:val="99"/>
    <w:semiHidden/>
    <w:rsid w:val="002D2C99"/>
    <w:pPr>
      <w:numPr>
        <w:numId w:val="20"/>
      </w:numPr>
      <w:contextualSpacing/>
    </w:pPr>
  </w:style>
  <w:style w:type="paragraph" w:styleId="Testomacro">
    <w:name w:val="macro"/>
    <w:link w:val="TestomacroCarattere"/>
    <w:uiPriority w:val="99"/>
    <w:semiHidden/>
    <w:rsid w:val="002D2C9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2D2C99"/>
    <w:rPr>
      <w:rFonts w:ascii="Consolas" w:eastAsiaTheme="minorEastAsia" w:hAnsi="Consolas" w:cs="Consolas"/>
      <w:sz w:val="20"/>
      <w:szCs w:val="20"/>
    </w:rPr>
  </w:style>
  <w:style w:type="table" w:styleId="Grigliamedia1">
    <w:name w:val="Medium Grid 1"/>
    <w:basedOn w:val="Tabellanormale"/>
    <w:uiPriority w:val="99"/>
    <w:semiHidden/>
    <w:rsid w:val="002D2C9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2D2C9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2D2C9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2D2C9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2D2C9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2D2C9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2D2C9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2D2C9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2D2C99"/>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2D2C99"/>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2D2C99"/>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2D2C99"/>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2D2C99"/>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2D2C99"/>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2D2C9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2D2C9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2D2C9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2D2C9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2D2C9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2D2C9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2D2C9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2D2C9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2D2C99"/>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2D2C99"/>
    <w:rPr>
      <w:rFonts w:ascii="Times New Roman" w:hAnsi="Times New Roman" w:cs="Times New Roman"/>
      <w:szCs w:val="24"/>
    </w:rPr>
  </w:style>
  <w:style w:type="paragraph" w:styleId="Rientronormale">
    <w:name w:val="Normal Indent"/>
    <w:basedOn w:val="Normale"/>
    <w:uiPriority w:val="99"/>
    <w:semiHidden/>
    <w:rsid w:val="002D2C99"/>
    <w:pPr>
      <w:ind w:left="720"/>
    </w:pPr>
  </w:style>
  <w:style w:type="paragraph" w:styleId="Intestazionenota">
    <w:name w:val="Note Heading"/>
    <w:basedOn w:val="Normale"/>
    <w:next w:val="Normale"/>
    <w:link w:val="IntestazionenotaCarattere"/>
    <w:uiPriority w:val="99"/>
    <w:semiHidden/>
    <w:rsid w:val="002D2C99"/>
  </w:style>
  <w:style w:type="character" w:customStyle="1" w:styleId="IntestazionenotaCarattere">
    <w:name w:val="Intestazione nota Carattere"/>
    <w:basedOn w:val="Carpredefinitoparagrafo"/>
    <w:link w:val="Intestazionenota"/>
    <w:uiPriority w:val="99"/>
    <w:semiHidden/>
    <w:rsid w:val="002D2C99"/>
    <w:rPr>
      <w:rFonts w:eastAsiaTheme="minorEastAsia"/>
      <w:sz w:val="24"/>
    </w:rPr>
  </w:style>
  <w:style w:type="character" w:styleId="Testosegnaposto">
    <w:name w:val="Placeholder Text"/>
    <w:basedOn w:val="Carpredefinitoparagrafo"/>
    <w:uiPriority w:val="99"/>
    <w:semiHidden/>
    <w:rsid w:val="00437861"/>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2D2C99"/>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2D2C99"/>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2D2C99"/>
  </w:style>
  <w:style w:type="character" w:customStyle="1" w:styleId="FormuladiaperturaCarattere">
    <w:name w:val="Formula di apertura Carattere"/>
    <w:basedOn w:val="Carpredefinitoparagrafo"/>
    <w:link w:val="Formuladiapertura"/>
    <w:uiPriority w:val="99"/>
    <w:semiHidden/>
    <w:rsid w:val="002D2C99"/>
    <w:rPr>
      <w:rFonts w:eastAsiaTheme="minorEastAsia"/>
      <w:sz w:val="24"/>
    </w:rPr>
  </w:style>
  <w:style w:type="paragraph" w:styleId="Firma">
    <w:name w:val="Signature"/>
    <w:basedOn w:val="Normale"/>
    <w:link w:val="FirmaCarattere"/>
    <w:uiPriority w:val="99"/>
    <w:semiHidden/>
    <w:rsid w:val="002D2C99"/>
    <w:pPr>
      <w:ind w:left="4252"/>
    </w:pPr>
  </w:style>
  <w:style w:type="character" w:customStyle="1" w:styleId="FirmaCarattere">
    <w:name w:val="Firma Carattere"/>
    <w:basedOn w:val="Carpredefinitoparagrafo"/>
    <w:link w:val="Firma"/>
    <w:uiPriority w:val="99"/>
    <w:semiHidden/>
    <w:rsid w:val="002D2C99"/>
    <w:rPr>
      <w:rFonts w:eastAsiaTheme="minorEastAsia"/>
      <w:sz w:val="24"/>
    </w:rPr>
  </w:style>
  <w:style w:type="table" w:styleId="Tabellaeffetti3D1">
    <w:name w:val="Table 3D effects 1"/>
    <w:basedOn w:val="Tabellanormale"/>
    <w:uiPriority w:val="99"/>
    <w:semiHidden/>
    <w:unhideWhenUsed/>
    <w:rsid w:val="002D2C99"/>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2D2C99"/>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2D2C99"/>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2D2C99"/>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2D2C99"/>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2D2C99"/>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2D2C99"/>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2D2C99"/>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2D2C99"/>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2D2C99"/>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2D2C99"/>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2D2C99"/>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2D2C99"/>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2D2C99"/>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2D2C99"/>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2D2C99"/>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2D2C99"/>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2D2C9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2D2C99"/>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2D2C99"/>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2D2C99"/>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2D2C99"/>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2D2C99"/>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2D2C99"/>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2D2C99"/>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2D2C99"/>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2D2C99"/>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2D2C99"/>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2D2C99"/>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2D2C99"/>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2D2C99"/>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2D2C99"/>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2D2C99"/>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2D2C99"/>
    <w:pPr>
      <w:ind w:left="240" w:hanging="240"/>
    </w:pPr>
  </w:style>
  <w:style w:type="paragraph" w:styleId="Indicedellefigure">
    <w:name w:val="table of figures"/>
    <w:basedOn w:val="Normale"/>
    <w:next w:val="Normale"/>
    <w:uiPriority w:val="99"/>
    <w:semiHidden/>
    <w:rsid w:val="002D2C99"/>
  </w:style>
  <w:style w:type="table" w:styleId="Tabellaprofessionale">
    <w:name w:val="Table Professional"/>
    <w:basedOn w:val="Tabellanormale"/>
    <w:uiPriority w:val="99"/>
    <w:semiHidden/>
    <w:unhideWhenUsed/>
    <w:rsid w:val="002D2C9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2D2C99"/>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2D2C99"/>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2D2C99"/>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2D2C99"/>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2D2C99"/>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2D2C9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2D2C99"/>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2D2C99"/>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2D2C99"/>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437861"/>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437861"/>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2D2C99"/>
    <w:pPr>
      <w:spacing w:after="100"/>
      <w:ind w:left="1680"/>
    </w:pPr>
  </w:style>
  <w:style w:type="paragraph" w:styleId="Sommario9">
    <w:name w:val="toc 9"/>
    <w:basedOn w:val="Normale"/>
    <w:next w:val="Normale"/>
    <w:autoRedefine/>
    <w:uiPriority w:val="99"/>
    <w:semiHidden/>
    <w:rsid w:val="002D2C99"/>
    <w:pPr>
      <w:spacing w:after="100"/>
      <w:ind w:left="1920"/>
    </w:pPr>
  </w:style>
  <w:style w:type="paragraph" w:customStyle="1" w:styleId="OpiParaSub">
    <w:name w:val="Opi_Para_Sub"/>
    <w:basedOn w:val="JuParaSub"/>
    <w:uiPriority w:val="47"/>
    <w:qFormat/>
    <w:rsid w:val="00437861"/>
  </w:style>
  <w:style w:type="paragraph" w:customStyle="1" w:styleId="OpiQuot">
    <w:name w:val="Opi_Quot"/>
    <w:basedOn w:val="ECHRParaQuote"/>
    <w:uiPriority w:val="48"/>
    <w:qFormat/>
    <w:rsid w:val="00437861"/>
  </w:style>
  <w:style w:type="paragraph" w:customStyle="1" w:styleId="ECHRFooter">
    <w:name w:val="ECHR_Footer"/>
    <w:aliases w:val="Footer_ECHR"/>
    <w:basedOn w:val="Pidipagina"/>
    <w:uiPriority w:val="57"/>
    <w:semiHidden/>
    <w:rsid w:val="00437861"/>
    <w:pPr>
      <w:jc w:val="left"/>
    </w:pPr>
    <w:rPr>
      <w:sz w:val="8"/>
    </w:rPr>
  </w:style>
  <w:style w:type="paragraph" w:customStyle="1" w:styleId="ECHRFooterLine">
    <w:name w:val="ECHR_Footer_Line"/>
    <w:aliases w:val="Footer_Line"/>
    <w:basedOn w:val="Normale"/>
    <w:next w:val="ECHRFooter"/>
    <w:uiPriority w:val="57"/>
    <w:semiHidden/>
    <w:rsid w:val="00437861"/>
    <w:pPr>
      <w:pBdr>
        <w:top w:val="single" w:sz="6" w:space="1" w:color="5F5F5F"/>
      </w:pBdr>
      <w:tabs>
        <w:tab w:val="center" w:pos="4536"/>
        <w:tab w:val="right" w:pos="9696"/>
      </w:tabs>
      <w:ind w:left="-680" w:right="-680"/>
      <w:jc w:val="left"/>
    </w:pPr>
    <w:rPr>
      <w:color w:val="5F5F5F"/>
    </w:rPr>
  </w:style>
  <w:style w:type="paragraph" w:customStyle="1" w:styleId="ECHRTitleCentre2">
    <w:name w:val="ECHR_Title_Centre_2"/>
    <w:aliases w:val="Dec_H_Case"/>
    <w:basedOn w:val="Normale"/>
    <w:next w:val="ECHRPara"/>
    <w:uiPriority w:val="8"/>
    <w:qFormat/>
    <w:rsid w:val="00437861"/>
    <w:pPr>
      <w:spacing w:after="240"/>
      <w:jc w:val="center"/>
      <w:outlineLvl w:val="0"/>
    </w:pPr>
    <w:rPr>
      <w:rFonts w:asciiTheme="majorHAnsi" w:hAnsiTheme="majorHAnsi"/>
    </w:rPr>
  </w:style>
  <w:style w:type="paragraph" w:customStyle="1" w:styleId="OpiQuotSub">
    <w:name w:val="Opi_Quot_Sub"/>
    <w:basedOn w:val="JuQuotSub"/>
    <w:uiPriority w:val="49"/>
    <w:qFormat/>
    <w:rsid w:val="00437861"/>
  </w:style>
  <w:style w:type="paragraph" w:customStyle="1" w:styleId="JuHeaderLandscape">
    <w:name w:val="Ju_Header_Landscape"/>
    <w:basedOn w:val="ECHRHeader"/>
    <w:uiPriority w:val="4"/>
    <w:qFormat/>
    <w:rsid w:val="00437861"/>
    <w:pPr>
      <w:tabs>
        <w:tab w:val="clear" w:pos="3686"/>
        <w:tab w:val="clear" w:pos="7371"/>
        <w:tab w:val="center" w:pos="6146"/>
        <w:tab w:val="right" w:pos="12293"/>
      </w:tabs>
    </w:pPr>
  </w:style>
  <w:style w:type="paragraph" w:customStyle="1" w:styleId="OpiTranslation">
    <w:name w:val="Opi_Translation"/>
    <w:basedOn w:val="Normale"/>
    <w:next w:val="OpiPara"/>
    <w:uiPriority w:val="40"/>
    <w:qFormat/>
    <w:rsid w:val="00437861"/>
    <w:pPr>
      <w:jc w:val="center"/>
      <w:outlineLvl w:val="0"/>
    </w:pPr>
    <w:rPr>
      <w:i/>
    </w:rPr>
  </w:style>
  <w:style w:type="paragraph" w:customStyle="1" w:styleId="ECHRSpacer">
    <w:name w:val="ECHR_Spacer"/>
    <w:basedOn w:val="Normale"/>
    <w:uiPriority w:val="45"/>
    <w:rsid w:val="00A639B1"/>
    <w:pPr>
      <w:jc w:val="left"/>
    </w:pPr>
    <w:rPr>
      <w:rFonts w:eastAsiaTheme="minorHAnsi"/>
      <w:sz w:val="4"/>
    </w:rPr>
  </w:style>
  <w:style w:type="character" w:customStyle="1" w:styleId="ECHRParaChar">
    <w:name w:val="ECHR_Para Char"/>
    <w:aliases w:val="Ju_Para Char"/>
    <w:link w:val="ECHRPara"/>
    <w:uiPriority w:val="12"/>
    <w:rsid w:val="00A639B1"/>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2398D-166F-4F21-A0B1-996160F8BE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816FD2-9D78-44A8-BEEA-8B0E80D8B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18BA23C-A902-4E32-9E0F-430EEAA168DB}">
  <ds:schemaRefs>
    <ds:schemaRef ds:uri="http://schemas.microsoft.com/sharepoint/v3/contenttype/forms"/>
  </ds:schemaRefs>
</ds:datastoreItem>
</file>

<file path=customXml/itemProps4.xml><?xml version="1.0" encoding="utf-8"?>
<ds:datastoreItem xmlns:ds="http://schemas.openxmlformats.org/officeDocument/2006/customXml" ds:itemID="{571686E5-9F4C-41F0-86C8-627997D37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7599</Words>
  <Characters>43316</Characters>
  <Application>Microsoft Office Word</Application>
  <DocSecurity>0</DocSecurity>
  <Lines>360</Lines>
  <Paragraphs>101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50814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lastModifiedBy/>
  <cp:revision>1</cp:revision>
  <dcterms:created xsi:type="dcterms:W3CDTF">2019-06-05T13:25:00Z</dcterms:created>
  <dcterms:modified xsi:type="dcterms:W3CDTF">2019-06-05T13:25:00Z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43422/07</vt:lpwstr>
  </property>
  <property fmtid="{D5CDD505-2E9C-101B-9397-08002B2CF9AE}" pid="4" name="CASEID">
    <vt:lpwstr>470947</vt:lpwstr>
  </property>
  <property fmtid="{D5CDD505-2E9C-101B-9397-08002B2CF9AE}" pid="5" name="ContentTypeId">
    <vt:lpwstr>0x010100558EB02BDB9E204AB350EDD385B68E10</vt:lpwstr>
  </property>
</Properties>
</file>