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99" w:rsidRPr="00CE4A8C" w:rsidRDefault="002D2C99" w:rsidP="00CE4A8C">
      <w:pPr>
        <w:jc w:val="center"/>
        <w:rPr>
          <w:lang w:val="fr-FR"/>
        </w:rPr>
      </w:pPr>
      <w:bookmarkStart w:id="0" w:name="_GoBack"/>
      <w:bookmarkEnd w:id="0"/>
    </w:p>
    <w:p w:rsidR="00DE67CB" w:rsidRPr="00CE4A8C" w:rsidRDefault="00DE67CB" w:rsidP="00CE4A8C">
      <w:pPr>
        <w:jc w:val="center"/>
        <w:rPr>
          <w:lang w:val="fr-FR"/>
        </w:rPr>
      </w:pPr>
    </w:p>
    <w:p w:rsidR="002D2C99" w:rsidRPr="00CE4A8C" w:rsidRDefault="002D2C99" w:rsidP="00CE4A8C">
      <w:pPr>
        <w:jc w:val="center"/>
        <w:rPr>
          <w:lang w:val="fr-FR"/>
        </w:rPr>
      </w:pPr>
    </w:p>
    <w:p w:rsidR="002D2C99" w:rsidRPr="00CE4A8C" w:rsidRDefault="006D481B" w:rsidP="00CE4A8C">
      <w:pPr>
        <w:tabs>
          <w:tab w:val="left" w:pos="5529"/>
        </w:tabs>
        <w:jc w:val="center"/>
        <w:rPr>
          <w:lang w:val="fr-FR"/>
        </w:rPr>
      </w:pPr>
      <w:r w:rsidRPr="00CE4A8C">
        <w:rPr>
          <w:lang w:val="fr-FR"/>
        </w:rPr>
        <w:t>PREMIÈRE SECTION</w:t>
      </w: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outlineLvl w:val="0"/>
        <w:rPr>
          <w:b/>
          <w:lang w:val="fr-FR"/>
        </w:rPr>
      </w:pPr>
      <w:r w:rsidRPr="00CE4A8C">
        <w:rPr>
          <w:b/>
          <w:lang w:val="fr-FR"/>
        </w:rPr>
        <w:t xml:space="preserve">AFFAIRE </w:t>
      </w:r>
      <w:r w:rsidR="006D481B" w:rsidRPr="00CE4A8C">
        <w:rPr>
          <w:b/>
          <w:lang w:val="fr-FR"/>
        </w:rPr>
        <w:t>CORDELLA ET AUTRES c. ITALIE</w:t>
      </w:r>
    </w:p>
    <w:p w:rsidR="002D2C99" w:rsidRPr="00CE4A8C" w:rsidRDefault="002D2C99" w:rsidP="00CE4A8C">
      <w:pPr>
        <w:jc w:val="center"/>
        <w:rPr>
          <w:lang w:val="fr-FR"/>
        </w:rPr>
      </w:pPr>
    </w:p>
    <w:p w:rsidR="002D2C99" w:rsidRPr="00CE4A8C" w:rsidRDefault="002D2C99" w:rsidP="00CE4A8C">
      <w:pPr>
        <w:jc w:val="center"/>
        <w:rPr>
          <w:i/>
          <w:lang w:val="fr-FR"/>
        </w:rPr>
      </w:pPr>
      <w:r w:rsidRPr="00CE4A8C">
        <w:rPr>
          <w:i/>
          <w:lang w:val="fr-FR"/>
        </w:rPr>
        <w:t>(Requête</w:t>
      </w:r>
      <w:r w:rsidR="006D481B" w:rsidRPr="00CE4A8C">
        <w:rPr>
          <w:i/>
          <w:lang w:val="fr-FR"/>
        </w:rPr>
        <w:t>s</w:t>
      </w:r>
      <w:r w:rsidRPr="00CE4A8C">
        <w:rPr>
          <w:i/>
          <w:lang w:val="fr-FR"/>
        </w:rPr>
        <w:t xml:space="preserve"> n</w:t>
      </w:r>
      <w:r w:rsidRPr="00CE4A8C">
        <w:rPr>
          <w:i/>
          <w:vertAlign w:val="superscript"/>
          <w:lang w:val="fr-FR"/>
        </w:rPr>
        <w:t>o</w:t>
      </w:r>
      <w:r w:rsidR="008175BE" w:rsidRPr="00CE4A8C">
        <w:rPr>
          <w:i/>
          <w:vertAlign w:val="superscript"/>
          <w:lang w:val="fr-FR"/>
        </w:rPr>
        <w:t>s</w:t>
      </w:r>
      <w:r w:rsidRPr="00CE4A8C">
        <w:rPr>
          <w:i/>
          <w:lang w:val="fr-FR"/>
        </w:rPr>
        <w:t xml:space="preserve"> </w:t>
      </w:r>
      <w:r w:rsidR="006D481B" w:rsidRPr="00CE4A8C">
        <w:rPr>
          <w:i/>
          <w:lang w:val="fr-FR"/>
        </w:rPr>
        <w:t>54414/13 et 54264/15</w:t>
      </w:r>
      <w:r w:rsidRPr="00CE4A8C">
        <w:rPr>
          <w:i/>
          <w:lang w:val="fr-FR"/>
        </w:rPr>
        <w:t>)</w:t>
      </w: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rPr>
          <w:lang w:val="fr-FR"/>
        </w:rPr>
      </w:pPr>
    </w:p>
    <w:p w:rsidR="002D2C99" w:rsidRPr="00CE4A8C" w:rsidRDefault="002D2C99" w:rsidP="00CE4A8C">
      <w:pPr>
        <w:jc w:val="center"/>
        <w:outlineLvl w:val="0"/>
        <w:rPr>
          <w:lang w:val="fr-FR"/>
        </w:rPr>
      </w:pPr>
      <w:r w:rsidRPr="00CE4A8C">
        <w:rPr>
          <w:lang w:val="fr-FR"/>
        </w:rPr>
        <w:t>ARRÊT</w:t>
      </w:r>
    </w:p>
    <w:p w:rsidR="002D2C99" w:rsidRPr="00CE4A8C" w:rsidRDefault="002D2C99" w:rsidP="00CE4A8C">
      <w:pPr>
        <w:jc w:val="center"/>
        <w:rPr>
          <w:lang w:val="fr-FR"/>
        </w:rPr>
      </w:pPr>
    </w:p>
    <w:p w:rsidR="00F54156" w:rsidRPr="00CE4A8C" w:rsidRDefault="00F54156" w:rsidP="00CE4A8C">
      <w:pPr>
        <w:jc w:val="center"/>
        <w:rPr>
          <w:i/>
          <w:lang w:val="fr-FR"/>
        </w:rPr>
      </w:pPr>
    </w:p>
    <w:p w:rsidR="00DE67CB" w:rsidRPr="00CE4A8C" w:rsidRDefault="00DE67CB" w:rsidP="00CE4A8C">
      <w:pPr>
        <w:jc w:val="center"/>
        <w:rPr>
          <w:i/>
          <w:lang w:val="fr-FR"/>
        </w:rPr>
      </w:pPr>
    </w:p>
    <w:p w:rsidR="002D2C99" w:rsidRPr="00CE4A8C" w:rsidRDefault="002D2C99" w:rsidP="00CE4A8C">
      <w:pPr>
        <w:jc w:val="center"/>
        <w:rPr>
          <w:lang w:val="fr-FR"/>
        </w:rPr>
      </w:pPr>
    </w:p>
    <w:p w:rsidR="002D2C99" w:rsidRPr="00CE4A8C" w:rsidRDefault="002D2C99" w:rsidP="00CE4A8C">
      <w:pPr>
        <w:jc w:val="center"/>
        <w:outlineLvl w:val="0"/>
        <w:rPr>
          <w:lang w:val="fr-FR"/>
        </w:rPr>
      </w:pPr>
      <w:r w:rsidRPr="00CE4A8C">
        <w:rPr>
          <w:lang w:val="fr-FR"/>
        </w:rPr>
        <w:t>STRASBOURG</w:t>
      </w:r>
    </w:p>
    <w:p w:rsidR="002D2C99" w:rsidRPr="00CE4A8C" w:rsidRDefault="002D2C99" w:rsidP="00CE4A8C">
      <w:pPr>
        <w:jc w:val="center"/>
        <w:rPr>
          <w:lang w:val="fr-FR"/>
        </w:rPr>
      </w:pPr>
    </w:p>
    <w:p w:rsidR="002D2C99" w:rsidRPr="00CE4A8C" w:rsidRDefault="006D481B" w:rsidP="00CE4A8C">
      <w:pPr>
        <w:jc w:val="center"/>
        <w:rPr>
          <w:lang w:val="fr-FR"/>
        </w:rPr>
      </w:pPr>
      <w:r w:rsidRPr="00CE4A8C">
        <w:rPr>
          <w:lang w:val="fr-FR"/>
        </w:rPr>
        <w:t>24 janvier 2019</w:t>
      </w:r>
    </w:p>
    <w:p w:rsidR="002D2C99" w:rsidRPr="00CE4A8C" w:rsidRDefault="002D2C99" w:rsidP="00CE4A8C">
      <w:pPr>
        <w:jc w:val="center"/>
        <w:rPr>
          <w:lang w:val="fr-FR"/>
        </w:rPr>
      </w:pPr>
    </w:p>
    <w:p w:rsidR="009B1BF7" w:rsidRPr="00CE4A8C" w:rsidRDefault="009B1BF7" w:rsidP="00CE4A8C">
      <w:pPr>
        <w:jc w:val="center"/>
        <w:rPr>
          <w:lang w:val="fr-FR"/>
        </w:rPr>
      </w:pPr>
    </w:p>
    <w:p w:rsidR="00C149F6" w:rsidRPr="00571917" w:rsidRDefault="00C149F6" w:rsidP="00C149F6">
      <w:pPr>
        <w:jc w:val="center"/>
        <w:rPr>
          <w:color w:val="FF0000"/>
          <w:lang w:val="fr-FR"/>
        </w:rPr>
      </w:pPr>
      <w:r w:rsidRPr="00571917">
        <w:rPr>
          <w:color w:val="FF0000"/>
          <w:lang w:val="fr-FR"/>
        </w:rPr>
        <w:t>Demande de renvoi devant la Grande Chambre en cours</w:t>
      </w:r>
    </w:p>
    <w:p w:rsidR="002D2C99" w:rsidRDefault="002D2C99" w:rsidP="00CE4A8C">
      <w:pPr>
        <w:jc w:val="center"/>
        <w:rPr>
          <w:lang w:val="fr-FR"/>
        </w:rPr>
      </w:pPr>
    </w:p>
    <w:p w:rsidR="00C149F6" w:rsidRPr="00CE4A8C" w:rsidRDefault="00C149F6" w:rsidP="00CE4A8C">
      <w:pPr>
        <w:jc w:val="center"/>
        <w:rPr>
          <w:lang w:val="fr-FR"/>
        </w:rPr>
      </w:pPr>
    </w:p>
    <w:p w:rsidR="002D2C99" w:rsidRPr="00CE4A8C" w:rsidRDefault="002D2C99" w:rsidP="00CE4A8C">
      <w:pPr>
        <w:jc w:val="left"/>
        <w:rPr>
          <w:i/>
          <w:lang w:val="fr-FR"/>
        </w:rPr>
      </w:pPr>
      <w:r w:rsidRPr="00CE4A8C">
        <w:rPr>
          <w:i/>
          <w:sz w:val="22"/>
          <w:lang w:val="fr-FR"/>
        </w:rPr>
        <w:t>Cet arrêt</w:t>
      </w:r>
      <w:r w:rsidR="006D481B" w:rsidRPr="00CE4A8C">
        <w:rPr>
          <w:i/>
          <w:sz w:val="22"/>
          <w:lang w:val="fr-FR"/>
        </w:rPr>
        <w:t xml:space="preserve"> deviendra définitif dans les conditions définies à l</w:t>
      </w:r>
      <w:r w:rsidR="00CE4A8C" w:rsidRPr="00CE4A8C">
        <w:rPr>
          <w:i/>
          <w:sz w:val="22"/>
          <w:lang w:val="fr-FR"/>
        </w:rPr>
        <w:t>’</w:t>
      </w:r>
      <w:r w:rsidR="006D481B" w:rsidRPr="00CE4A8C">
        <w:rPr>
          <w:i/>
          <w:sz w:val="22"/>
          <w:lang w:val="fr-FR"/>
        </w:rPr>
        <w:t>article 44 § 2 de la Convention</w:t>
      </w:r>
      <w:r w:rsidRPr="00CE4A8C">
        <w:rPr>
          <w:i/>
          <w:sz w:val="22"/>
          <w:lang w:val="fr-FR"/>
        </w:rPr>
        <w:t>. Il peut subir des retouches de forme.</w:t>
      </w:r>
    </w:p>
    <w:p w:rsidR="002D2C99" w:rsidRPr="00CE4A8C" w:rsidRDefault="002D2C99" w:rsidP="00CE4A8C">
      <w:pPr>
        <w:rPr>
          <w:lang w:val="fr-FR"/>
        </w:rPr>
        <w:sectPr w:rsidR="002D2C99" w:rsidRPr="00CE4A8C" w:rsidSect="00F5432B">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p>
    <w:p w:rsidR="002D2C99" w:rsidRPr="00CE4A8C" w:rsidRDefault="002D2C99" w:rsidP="00CE4A8C">
      <w:pPr>
        <w:pStyle w:val="JuCase"/>
        <w:rPr>
          <w:lang w:val="fr-FR"/>
        </w:rPr>
      </w:pPr>
      <w:r w:rsidRPr="00CE4A8C">
        <w:rPr>
          <w:lang w:val="fr-FR"/>
        </w:rPr>
        <w:lastRenderedPageBreak/>
        <w:t>En l</w:t>
      </w:r>
      <w:r w:rsidR="00CE4A8C" w:rsidRPr="00CE4A8C">
        <w:rPr>
          <w:lang w:val="fr-FR"/>
        </w:rPr>
        <w:t>’</w:t>
      </w:r>
      <w:r w:rsidRPr="00CE4A8C">
        <w:rPr>
          <w:lang w:val="fr-FR"/>
        </w:rPr>
        <w:t xml:space="preserve">affaire </w:t>
      </w:r>
      <w:r w:rsidR="006D481B" w:rsidRPr="00CE4A8C">
        <w:rPr>
          <w:lang w:val="fr-FR"/>
        </w:rPr>
        <w:t>Cordella et autres c. Italie</w:t>
      </w:r>
      <w:r w:rsidRPr="00CE4A8C">
        <w:rPr>
          <w:lang w:val="fr-FR"/>
        </w:rPr>
        <w:t>,</w:t>
      </w:r>
    </w:p>
    <w:p w:rsidR="0059426D" w:rsidRPr="00CE4A8C" w:rsidRDefault="0059426D" w:rsidP="00CE4A8C">
      <w:pPr>
        <w:pStyle w:val="ECHRPara"/>
        <w:rPr>
          <w:lang w:val="fr-FR"/>
        </w:rPr>
      </w:pPr>
      <w:r w:rsidRPr="00CE4A8C">
        <w:rPr>
          <w:lang w:val="fr-FR"/>
        </w:rPr>
        <w:t>La Cour européenne des droits de l</w:t>
      </w:r>
      <w:r w:rsidR="00CE4A8C" w:rsidRPr="00CE4A8C">
        <w:rPr>
          <w:lang w:val="fr-FR"/>
        </w:rPr>
        <w:t>’</w:t>
      </w:r>
      <w:r w:rsidRPr="00CE4A8C">
        <w:rPr>
          <w:lang w:val="fr-FR"/>
        </w:rPr>
        <w:t>homme (première section), siégeant en une chambre composée de :</w:t>
      </w:r>
    </w:p>
    <w:p w:rsidR="0059426D" w:rsidRPr="00CE4A8C" w:rsidRDefault="0059426D" w:rsidP="00CE4A8C">
      <w:pPr>
        <w:pStyle w:val="ECHRDecisionBody"/>
        <w:rPr>
          <w:lang w:val="fr-FR"/>
        </w:rPr>
      </w:pPr>
      <w:r w:rsidRPr="00CE4A8C">
        <w:rPr>
          <w:lang w:val="fr-FR"/>
        </w:rPr>
        <w:tab/>
        <w:t>Linos-Alexandre Sicilianos,</w:t>
      </w:r>
      <w:r w:rsidRPr="00CE4A8C">
        <w:rPr>
          <w:i/>
          <w:lang w:val="fr-FR"/>
        </w:rPr>
        <w:t xml:space="preserve"> président,</w:t>
      </w:r>
      <w:r w:rsidRPr="00CE4A8C">
        <w:rPr>
          <w:i/>
          <w:lang w:val="fr-FR"/>
        </w:rPr>
        <w:br/>
      </w:r>
      <w:r w:rsidRPr="00CE4A8C">
        <w:rPr>
          <w:lang w:val="fr-FR"/>
        </w:rPr>
        <w:tab/>
        <w:t>Guido Raimondi,</w:t>
      </w:r>
      <w:r w:rsidRPr="00CE4A8C">
        <w:rPr>
          <w:i/>
          <w:lang w:val="fr-FR"/>
        </w:rPr>
        <w:br/>
      </w:r>
      <w:r w:rsidRPr="00CE4A8C">
        <w:rPr>
          <w:lang w:val="fr-FR"/>
        </w:rPr>
        <w:tab/>
        <w:t>Ledi Bianku,</w:t>
      </w:r>
      <w:r w:rsidRPr="00CE4A8C">
        <w:rPr>
          <w:i/>
          <w:lang w:val="fr-FR"/>
        </w:rPr>
        <w:br/>
      </w:r>
      <w:r w:rsidRPr="00CE4A8C">
        <w:rPr>
          <w:lang w:val="fr-FR"/>
        </w:rPr>
        <w:tab/>
        <w:t>Aleš Pejchal,</w:t>
      </w:r>
      <w:r w:rsidRPr="00CE4A8C">
        <w:rPr>
          <w:i/>
          <w:lang w:val="fr-FR"/>
        </w:rPr>
        <w:br/>
      </w:r>
      <w:r w:rsidRPr="00CE4A8C">
        <w:rPr>
          <w:lang w:val="fr-FR"/>
        </w:rPr>
        <w:tab/>
        <w:t>Krzysztof Wojtyczek,</w:t>
      </w:r>
      <w:r w:rsidRPr="00CE4A8C">
        <w:rPr>
          <w:i/>
          <w:lang w:val="fr-FR"/>
        </w:rPr>
        <w:br/>
      </w:r>
      <w:r w:rsidRPr="00CE4A8C">
        <w:rPr>
          <w:lang w:val="fr-FR"/>
        </w:rPr>
        <w:tab/>
        <w:t>Tim Eicke,</w:t>
      </w:r>
      <w:r w:rsidRPr="00CE4A8C">
        <w:rPr>
          <w:i/>
          <w:lang w:val="fr-FR"/>
        </w:rPr>
        <w:br/>
      </w:r>
      <w:r w:rsidRPr="00CE4A8C">
        <w:rPr>
          <w:lang w:val="fr-FR"/>
        </w:rPr>
        <w:tab/>
        <w:t>Gilberto Felici,</w:t>
      </w:r>
      <w:r w:rsidRPr="00CE4A8C">
        <w:rPr>
          <w:i/>
          <w:lang w:val="fr-FR"/>
        </w:rPr>
        <w:t xml:space="preserve"> juges,</w:t>
      </w:r>
      <w:r w:rsidRPr="00CE4A8C">
        <w:rPr>
          <w:i/>
          <w:lang w:val="fr-FR"/>
        </w:rPr>
        <w:br/>
      </w:r>
      <w:r w:rsidR="00276EC6" w:rsidRPr="00CE4A8C">
        <w:rPr>
          <w:lang w:val="fr-FR"/>
        </w:rPr>
        <w:t>et de Renata Degener</w:t>
      </w:r>
      <w:r w:rsidRPr="00CE4A8C">
        <w:rPr>
          <w:lang w:val="fr-FR"/>
        </w:rPr>
        <w:t xml:space="preserve">, </w:t>
      </w:r>
      <w:r w:rsidR="006B5704" w:rsidRPr="00CE4A8C">
        <w:rPr>
          <w:i/>
          <w:lang w:val="fr-FR"/>
        </w:rPr>
        <w:t>greffière adjointe</w:t>
      </w:r>
      <w:r w:rsidRPr="00CE4A8C">
        <w:rPr>
          <w:iCs/>
          <w:lang w:val="fr-FR"/>
        </w:rPr>
        <w:t xml:space="preserve"> </w:t>
      </w:r>
      <w:r w:rsidRPr="00CE4A8C">
        <w:rPr>
          <w:i/>
          <w:iCs/>
          <w:lang w:val="fr-FR"/>
        </w:rPr>
        <w:t>d</w:t>
      </w:r>
      <w:r w:rsidRPr="00CE4A8C">
        <w:rPr>
          <w:i/>
          <w:lang w:val="fr-FR"/>
        </w:rPr>
        <w:t>e section</w:t>
      </w:r>
      <w:r w:rsidRPr="00CE4A8C">
        <w:rPr>
          <w:lang w:val="fr-FR"/>
        </w:rPr>
        <w:t>,</w:t>
      </w:r>
    </w:p>
    <w:p w:rsidR="0059426D" w:rsidRPr="00CE4A8C" w:rsidRDefault="0059426D" w:rsidP="00CE4A8C">
      <w:pPr>
        <w:pStyle w:val="ECHRPara"/>
        <w:rPr>
          <w:lang w:val="fr-FR"/>
        </w:rPr>
      </w:pPr>
      <w:r w:rsidRPr="00CE4A8C">
        <w:rPr>
          <w:lang w:val="fr-FR"/>
        </w:rPr>
        <w:t xml:space="preserve">Après en avoir délibéré en chambre du conseil le </w:t>
      </w:r>
      <w:r w:rsidR="0011461C" w:rsidRPr="00CE4A8C">
        <w:rPr>
          <w:lang w:val="fr-FR"/>
        </w:rPr>
        <w:t>18 décembre 2018</w:t>
      </w:r>
      <w:r w:rsidRPr="00CE4A8C">
        <w:rPr>
          <w:lang w:val="fr-FR"/>
        </w:rPr>
        <w:t>,</w:t>
      </w:r>
    </w:p>
    <w:p w:rsidR="0059426D" w:rsidRPr="00CE4A8C" w:rsidRDefault="0059426D" w:rsidP="00CE4A8C">
      <w:pPr>
        <w:pStyle w:val="ECHRPara"/>
        <w:rPr>
          <w:lang w:val="fr-FR"/>
        </w:rPr>
      </w:pPr>
      <w:r w:rsidRPr="00CE4A8C">
        <w:rPr>
          <w:lang w:val="fr-FR"/>
        </w:rPr>
        <w:t>Rend l</w:t>
      </w:r>
      <w:r w:rsidR="00CE4A8C" w:rsidRPr="00CE4A8C">
        <w:rPr>
          <w:lang w:val="fr-FR"/>
        </w:rPr>
        <w:t>’</w:t>
      </w:r>
      <w:r w:rsidRPr="00CE4A8C">
        <w:rPr>
          <w:lang w:val="fr-FR"/>
        </w:rPr>
        <w:t>arrêt que voici, adopté à cette date :</w:t>
      </w:r>
    </w:p>
    <w:p w:rsidR="0059426D" w:rsidRPr="00CE4A8C" w:rsidRDefault="0059426D" w:rsidP="00CE4A8C">
      <w:pPr>
        <w:pStyle w:val="ECHRTitle1"/>
        <w:rPr>
          <w:lang w:val="fr-FR"/>
        </w:rPr>
      </w:pPr>
      <w:r w:rsidRPr="00CE4A8C">
        <w:rPr>
          <w:lang w:val="fr-FR"/>
        </w:rPr>
        <w:t>PROCÉDURE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w:t>
      </w:r>
      <w:r w:rsidRPr="00CE4A8C">
        <w:rPr>
          <w:lang w:val="fr-FR"/>
        </w:rPr>
        <w:fldChar w:fldCharType="end"/>
      </w:r>
      <w:r w:rsidRPr="00CE4A8C">
        <w:rPr>
          <w:lang w:val="fr-FR"/>
        </w:rPr>
        <w:t>.  À l</w:t>
      </w:r>
      <w:r w:rsidR="00CE4A8C" w:rsidRPr="00CE4A8C">
        <w:rPr>
          <w:lang w:val="fr-FR"/>
        </w:rPr>
        <w:t>’</w:t>
      </w:r>
      <w:r w:rsidRPr="00CE4A8C">
        <w:rPr>
          <w:lang w:val="fr-FR"/>
        </w:rPr>
        <w:t>origine de l</w:t>
      </w:r>
      <w:r w:rsidR="00CE4A8C" w:rsidRPr="00CE4A8C">
        <w:rPr>
          <w:lang w:val="fr-FR"/>
        </w:rPr>
        <w:t>’</w:t>
      </w:r>
      <w:r w:rsidRPr="00CE4A8C">
        <w:rPr>
          <w:lang w:val="fr-FR"/>
        </w:rPr>
        <w:t>affaire se trouvent deux requêtes (n</w:t>
      </w:r>
      <w:r w:rsidRPr="00CE4A8C">
        <w:rPr>
          <w:vertAlign w:val="superscript"/>
          <w:lang w:val="fr-FR"/>
        </w:rPr>
        <w:t>o</w:t>
      </w:r>
      <w:r w:rsidR="00DE67CB" w:rsidRPr="00CE4A8C">
        <w:rPr>
          <w:lang w:val="fr-FR"/>
        </w:rPr>
        <w:t> 54414/13 et </w:t>
      </w:r>
      <w:r w:rsidRPr="00CE4A8C">
        <w:rPr>
          <w:lang w:val="fr-FR"/>
        </w:rPr>
        <w:t>n</w:t>
      </w:r>
      <w:r w:rsidRPr="00CE4A8C">
        <w:rPr>
          <w:vertAlign w:val="superscript"/>
          <w:lang w:val="fr-FR"/>
        </w:rPr>
        <w:t>o </w:t>
      </w:r>
      <w:r w:rsidRPr="00CE4A8C">
        <w:rPr>
          <w:lang w:val="fr-FR"/>
        </w:rPr>
        <w:t>54264/15) dirigées contre la République italienne et dont des ressortissants de cet État (« les requérants »), figurant dans la liste en annexe, ont saisi la Cour le 29 juillet 2013 et le 21 octobre 2015 respectivement, en vertu de l</w:t>
      </w:r>
      <w:r w:rsidR="00CE4A8C" w:rsidRPr="00CE4A8C">
        <w:rPr>
          <w:lang w:val="fr-FR"/>
        </w:rPr>
        <w:t>’</w:t>
      </w:r>
      <w:r w:rsidRPr="00CE4A8C">
        <w:rPr>
          <w:lang w:val="fr-FR"/>
        </w:rPr>
        <w:t>article 34 de la Convention de sauvegarde des droits de l</w:t>
      </w:r>
      <w:r w:rsidR="00CE4A8C" w:rsidRPr="00CE4A8C">
        <w:rPr>
          <w:lang w:val="fr-FR"/>
        </w:rPr>
        <w:t>’</w:t>
      </w:r>
      <w:r w:rsidRPr="00CE4A8C">
        <w:rPr>
          <w:lang w:val="fr-FR"/>
        </w:rPr>
        <w:t>homme et des libertés fondamentales (« la Convention »).</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2</w:t>
      </w:r>
      <w:r w:rsidRPr="00CE4A8C">
        <w:rPr>
          <w:lang w:val="fr-FR"/>
        </w:rPr>
        <w:fldChar w:fldCharType="end"/>
      </w:r>
      <w:r w:rsidRPr="00CE4A8C">
        <w:rPr>
          <w:lang w:val="fr-FR"/>
        </w:rPr>
        <w:t>.  Les requérants de la requête n</w:t>
      </w:r>
      <w:r w:rsidRPr="00CE4A8C">
        <w:rPr>
          <w:vertAlign w:val="superscript"/>
          <w:lang w:val="fr-FR"/>
        </w:rPr>
        <w:t>o</w:t>
      </w:r>
      <w:r w:rsidRPr="00CE4A8C">
        <w:rPr>
          <w:lang w:val="fr-FR"/>
        </w:rPr>
        <w:t xml:space="preserve"> 54414/13 ont été représentés par M</w:t>
      </w:r>
      <w:r w:rsidRPr="00CE4A8C">
        <w:rPr>
          <w:vertAlign w:val="superscript"/>
          <w:lang w:val="fr-FR"/>
        </w:rPr>
        <w:t>e</w:t>
      </w:r>
      <w:r w:rsidRPr="00CE4A8C">
        <w:rPr>
          <w:lang w:val="fr-FR"/>
        </w:rPr>
        <w:t> </w:t>
      </w:r>
      <w:r w:rsidR="008E6EEF" w:rsidRPr="00CE4A8C">
        <w:rPr>
          <w:lang w:val="fr-FR"/>
        </w:rPr>
        <w:t>S. </w:t>
      </w:r>
      <w:r w:rsidRPr="00CE4A8C">
        <w:rPr>
          <w:lang w:val="fr-FR"/>
        </w:rPr>
        <w:t>Maggio, avocat à Tarente, et par M</w:t>
      </w:r>
      <w:r w:rsidRPr="00CE4A8C">
        <w:rPr>
          <w:vertAlign w:val="superscript"/>
          <w:lang w:val="fr-FR"/>
        </w:rPr>
        <w:t>me</w:t>
      </w:r>
      <w:r w:rsidRPr="00CE4A8C">
        <w:rPr>
          <w:lang w:val="fr-FR"/>
        </w:rPr>
        <w:t xml:space="preserve"> </w:t>
      </w:r>
      <w:r w:rsidR="008E6EEF" w:rsidRPr="00CE4A8C">
        <w:rPr>
          <w:lang w:val="fr-FR"/>
        </w:rPr>
        <w:t xml:space="preserve">D. </w:t>
      </w:r>
      <w:r w:rsidRPr="00CE4A8C">
        <w:rPr>
          <w:lang w:val="fr-FR"/>
        </w:rPr>
        <w:t>Spera. Cette dernière, qui est aussi partie requérante, a été représentée en cette qualité par M</w:t>
      </w:r>
      <w:r w:rsidRPr="00CE4A8C">
        <w:rPr>
          <w:vertAlign w:val="superscript"/>
          <w:lang w:val="fr-FR"/>
        </w:rPr>
        <w:t>es</w:t>
      </w:r>
      <w:r w:rsidR="00DE67CB" w:rsidRPr="00CE4A8C">
        <w:rPr>
          <w:lang w:val="fr-FR"/>
        </w:rPr>
        <w:t xml:space="preserve"> </w:t>
      </w:r>
      <w:r w:rsidR="008E6EEF" w:rsidRPr="00CE4A8C">
        <w:rPr>
          <w:lang w:val="fr-FR"/>
        </w:rPr>
        <w:t xml:space="preserve">S. </w:t>
      </w:r>
      <w:r w:rsidR="00DE67CB" w:rsidRPr="00CE4A8C">
        <w:rPr>
          <w:lang w:val="fr-FR"/>
        </w:rPr>
        <w:t>Maggio et</w:t>
      </w:r>
      <w:r w:rsidR="008E6EEF" w:rsidRPr="00CE4A8C">
        <w:rPr>
          <w:lang w:val="fr-FR"/>
        </w:rPr>
        <w:t> L.</w:t>
      </w:r>
      <w:r w:rsidR="00DE67CB" w:rsidRPr="00CE4A8C">
        <w:rPr>
          <w:lang w:val="fr-FR"/>
        </w:rPr>
        <w:t> La </w:t>
      </w:r>
      <w:r w:rsidRPr="00CE4A8C">
        <w:rPr>
          <w:lang w:val="fr-FR"/>
        </w:rPr>
        <w:t>Porta.</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w:t>
      </w:r>
      <w:r w:rsidRPr="00CE4A8C">
        <w:rPr>
          <w:lang w:val="fr-FR"/>
        </w:rPr>
        <w:fldChar w:fldCharType="end"/>
      </w:r>
      <w:r w:rsidRPr="00CE4A8C">
        <w:rPr>
          <w:lang w:val="fr-FR"/>
        </w:rPr>
        <w:t>.  Les requérants de la requête n</w:t>
      </w:r>
      <w:r w:rsidRPr="00CE4A8C">
        <w:rPr>
          <w:vertAlign w:val="superscript"/>
          <w:lang w:val="fr-FR"/>
        </w:rPr>
        <w:t>o</w:t>
      </w:r>
      <w:r w:rsidRPr="00CE4A8C">
        <w:rPr>
          <w:lang w:val="fr-FR"/>
        </w:rPr>
        <w:t xml:space="preserve"> 54264/15 ont été représentés par M</w:t>
      </w:r>
      <w:r w:rsidRPr="00CE4A8C">
        <w:rPr>
          <w:vertAlign w:val="superscript"/>
          <w:lang w:val="fr-FR"/>
        </w:rPr>
        <w:t>e </w:t>
      </w:r>
      <w:r w:rsidR="008E6EEF" w:rsidRPr="00CE4A8C">
        <w:rPr>
          <w:lang w:val="fr-FR"/>
        </w:rPr>
        <w:t>A. </w:t>
      </w:r>
      <w:r w:rsidRPr="00CE4A8C">
        <w:rPr>
          <w:lang w:val="fr-FR"/>
        </w:rPr>
        <w:t>Saccucci, avocat à Rome.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w:t>
      </w:r>
      <w:r w:rsidRPr="00CE4A8C">
        <w:rPr>
          <w:lang w:val="fr-FR"/>
        </w:rPr>
        <w:fldChar w:fldCharType="end"/>
      </w:r>
      <w:r w:rsidRPr="00CE4A8C">
        <w:rPr>
          <w:lang w:val="fr-FR"/>
        </w:rPr>
        <w:t xml:space="preserve">.  Le gouvernement italien (« le Gouvernement ») a été représenté par son </w:t>
      </w:r>
      <w:r w:rsidR="00E85943" w:rsidRPr="00CE4A8C">
        <w:rPr>
          <w:lang w:val="fr-FR"/>
        </w:rPr>
        <w:t xml:space="preserve">ancien </w:t>
      </w:r>
      <w:r w:rsidRPr="00CE4A8C">
        <w:rPr>
          <w:lang w:val="fr-FR"/>
        </w:rPr>
        <w:t>agent, M</w:t>
      </w:r>
      <w:r w:rsidRPr="00CE4A8C">
        <w:rPr>
          <w:vertAlign w:val="superscript"/>
          <w:lang w:val="fr-FR"/>
        </w:rPr>
        <w:t>me</w:t>
      </w:r>
      <w:r w:rsidRPr="00CE4A8C">
        <w:rPr>
          <w:lang w:val="fr-FR"/>
        </w:rPr>
        <w:t xml:space="preserve"> E. Spatafora, et par son coagent, M</w:t>
      </w:r>
      <w:r w:rsidRPr="00CE4A8C">
        <w:rPr>
          <w:vertAlign w:val="superscript"/>
          <w:lang w:val="fr-FR"/>
        </w:rPr>
        <w:t>me</w:t>
      </w:r>
      <w:r w:rsidR="00DE67CB" w:rsidRPr="00CE4A8C">
        <w:rPr>
          <w:lang w:val="fr-FR"/>
        </w:rPr>
        <w:t> M.L. </w:t>
      </w:r>
      <w:r w:rsidRPr="00CE4A8C">
        <w:rPr>
          <w:lang w:val="fr-FR"/>
        </w:rPr>
        <w:t>Aversano.</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w:t>
      </w:r>
      <w:r w:rsidRPr="00CE4A8C">
        <w:rPr>
          <w:lang w:val="fr-FR"/>
        </w:rPr>
        <w:fldChar w:fldCharType="end"/>
      </w:r>
      <w:r w:rsidRPr="00CE4A8C">
        <w:rPr>
          <w:lang w:val="fr-FR"/>
        </w:rPr>
        <w:t>.  Dénonçant les effets des émissions de l</w:t>
      </w:r>
      <w:r w:rsidR="00CE4A8C" w:rsidRPr="00CE4A8C">
        <w:rPr>
          <w:lang w:val="fr-FR"/>
        </w:rPr>
        <w:t>’</w:t>
      </w:r>
      <w:r w:rsidRPr="00CE4A8C">
        <w:rPr>
          <w:lang w:val="fr-FR"/>
        </w:rPr>
        <w:t>usine sidérurgique Ilva de Tarente sur leur santé et sur l</w:t>
      </w:r>
      <w:r w:rsidR="00CE4A8C" w:rsidRPr="00CE4A8C">
        <w:rPr>
          <w:lang w:val="fr-FR"/>
        </w:rPr>
        <w:t>’</w:t>
      </w:r>
      <w:r w:rsidRPr="00CE4A8C">
        <w:rPr>
          <w:lang w:val="fr-FR"/>
        </w:rPr>
        <w:t>environnement, les requérants alléguaient, entre autres, une violation de leurs droits à la vie, au respect de la vie privée et à un recours effectif (articles 2, 8 et 13 de la Convention).</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w:t>
      </w:r>
      <w:r w:rsidRPr="00CE4A8C">
        <w:rPr>
          <w:lang w:val="fr-FR"/>
        </w:rPr>
        <w:fldChar w:fldCharType="end"/>
      </w:r>
      <w:r w:rsidRPr="00CE4A8C">
        <w:rPr>
          <w:lang w:val="fr-FR"/>
        </w:rPr>
        <w:t>.  Le 27 avril 2016, l</w:t>
      </w:r>
      <w:r w:rsidRPr="00CE4A8C">
        <w:rPr>
          <w:rFonts w:eastAsia="Times New Roman"/>
          <w:lang w:val="fr-FR"/>
        </w:rPr>
        <w:t>es griefs tirés des</w:t>
      </w:r>
      <w:r w:rsidRPr="00CE4A8C">
        <w:rPr>
          <w:lang w:val="fr-FR"/>
        </w:rPr>
        <w:t xml:space="preserve"> </w:t>
      </w:r>
      <w:r w:rsidRPr="00CE4A8C">
        <w:rPr>
          <w:rFonts w:eastAsia="Times New Roman"/>
          <w:lang w:val="fr-FR"/>
        </w:rPr>
        <w:t xml:space="preserve">articles 2, 8 et 13 de la Convention ont été communiqués au Gouvernement et les requêtes ont été déclarées irrecevables pour le surplus </w:t>
      </w:r>
      <w:r w:rsidRPr="00CE4A8C">
        <w:rPr>
          <w:lang w:val="fr-FR"/>
        </w:rPr>
        <w:t>conformément à l</w:t>
      </w:r>
      <w:r w:rsidR="00CE4A8C" w:rsidRPr="00CE4A8C">
        <w:rPr>
          <w:lang w:val="fr-FR"/>
        </w:rPr>
        <w:t>’</w:t>
      </w:r>
      <w:r w:rsidRPr="00CE4A8C">
        <w:rPr>
          <w:lang w:val="fr-FR"/>
        </w:rPr>
        <w:t>article 54 § 3 du règlement de la Cour.</w:t>
      </w:r>
    </w:p>
    <w:p w:rsidR="0059426D" w:rsidRPr="00CE4A8C" w:rsidRDefault="0059426D" w:rsidP="00CE4A8C">
      <w:pPr>
        <w:pStyle w:val="ECHRPara"/>
        <w:rPr>
          <w:szCs w:val="24"/>
          <w:lang w:val="fr-FR"/>
        </w:rPr>
      </w:pPr>
      <w:r w:rsidRPr="00CE4A8C">
        <w:rPr>
          <w:szCs w:val="24"/>
        </w:rPr>
        <w:fldChar w:fldCharType="begin"/>
      </w:r>
      <w:r w:rsidRPr="00CE4A8C">
        <w:rPr>
          <w:szCs w:val="24"/>
          <w:lang w:val="fr-FR"/>
        </w:rPr>
        <w:instrText xml:space="preserve"> SEQ level0 \*arabic </w:instrText>
      </w:r>
      <w:r w:rsidRPr="00CE4A8C">
        <w:rPr>
          <w:szCs w:val="24"/>
        </w:rPr>
        <w:fldChar w:fldCharType="separate"/>
      </w:r>
      <w:r w:rsidR="00CE4A8C" w:rsidRPr="00CE4A8C">
        <w:rPr>
          <w:noProof/>
          <w:szCs w:val="24"/>
          <w:lang w:val="fr-FR"/>
        </w:rPr>
        <w:t>7</w:t>
      </w:r>
      <w:r w:rsidRPr="00CE4A8C">
        <w:rPr>
          <w:szCs w:val="24"/>
        </w:rPr>
        <w:fldChar w:fldCharType="end"/>
      </w:r>
      <w:r w:rsidRPr="00CE4A8C">
        <w:rPr>
          <w:rStyle w:val="ECHRParaChar"/>
          <w:lang w:val="fr-FR"/>
        </w:rPr>
        <w:t>.  En outre, l</w:t>
      </w:r>
      <w:r w:rsidR="00CE4A8C" w:rsidRPr="00CE4A8C">
        <w:rPr>
          <w:rStyle w:val="ECHRParaChar"/>
          <w:lang w:val="fr-FR"/>
        </w:rPr>
        <w:t>’</w:t>
      </w:r>
      <w:r w:rsidRPr="00CE4A8C">
        <w:rPr>
          <w:rStyle w:val="ECHRParaChar"/>
          <w:lang w:val="fr-FR"/>
        </w:rPr>
        <w:t xml:space="preserve">ISDE (International Society of Doctors for Environment), le </w:t>
      </w:r>
      <w:r w:rsidRPr="00CE4A8C">
        <w:rPr>
          <w:rStyle w:val="ECHRParaChar"/>
          <w:i/>
          <w:lang w:val="fr-FR"/>
        </w:rPr>
        <w:t>Clinical Program</w:t>
      </w:r>
      <w:r w:rsidRPr="00CE4A8C">
        <w:rPr>
          <w:rStyle w:val="ECHRParaChar"/>
          <w:lang w:val="fr-FR"/>
        </w:rPr>
        <w:t xml:space="preserve"> (faculté de jurisprudence, université de Turin), la société Riva Fire S.p.a. et les consorts Riva, autorisés par le président à intervenir dans la procédure, ont présenté des observations en qualité de </w:t>
      </w:r>
      <w:r w:rsidRPr="00CE4A8C">
        <w:rPr>
          <w:rStyle w:val="ECHRParaChar"/>
          <w:lang w:val="fr-FR"/>
        </w:rPr>
        <w:lastRenderedPageBreak/>
        <w:t xml:space="preserve">tiers intervenants (article 36 § 2 de la Convention et article 44 § 3 du règlement de la Cour). Le 13 septembre 2018, le président a toutefois décidé de ne pas verser au dossier les observations de la société Riva Fire S.p.a. et des consorts Riva, celles-ci ne remplissant pas les conditions prévues pour </w:t>
      </w:r>
      <w:r w:rsidR="00DE67CB" w:rsidRPr="00CE4A8C">
        <w:rPr>
          <w:rStyle w:val="ECHRParaChar"/>
          <w:lang w:val="fr-FR"/>
        </w:rPr>
        <w:t xml:space="preserve">la tierce intervention (article </w:t>
      </w:r>
      <w:r w:rsidRPr="00CE4A8C">
        <w:rPr>
          <w:rStyle w:val="ECHRParaChar"/>
          <w:lang w:val="fr-FR"/>
        </w:rPr>
        <w:t>44 § 5 du règlement de la Cour).</w:t>
      </w:r>
    </w:p>
    <w:p w:rsidR="0059426D" w:rsidRPr="00CE4A8C" w:rsidRDefault="0059426D" w:rsidP="00CE4A8C">
      <w:pPr>
        <w:pStyle w:val="ECHRTitle1"/>
        <w:rPr>
          <w:lang w:val="fr-FR"/>
        </w:rPr>
      </w:pPr>
      <w:r w:rsidRPr="00CE4A8C">
        <w:rPr>
          <w:lang w:val="fr-FR"/>
        </w:rPr>
        <w:t>EN FAIT</w:t>
      </w:r>
    </w:p>
    <w:p w:rsidR="0059426D" w:rsidRPr="00CE4A8C" w:rsidRDefault="0059426D" w:rsidP="00CE4A8C">
      <w:pPr>
        <w:pStyle w:val="ECHRHeading1"/>
        <w:rPr>
          <w:lang w:val="fr-FR"/>
        </w:rPr>
      </w:pPr>
      <w:r w:rsidRPr="00CE4A8C">
        <w:rPr>
          <w:lang w:val="fr-FR"/>
        </w:rPr>
        <w:t>I.  LES CIRCONSTANCES DE L</w:t>
      </w:r>
      <w:r w:rsidR="00CE4A8C" w:rsidRPr="00CE4A8C">
        <w:rPr>
          <w:lang w:val="fr-FR"/>
        </w:rPr>
        <w:t>’</w:t>
      </w:r>
      <w:r w:rsidRPr="00CE4A8C">
        <w:rPr>
          <w:lang w:val="fr-FR"/>
        </w:rPr>
        <w:t>ESPÈCE</w:t>
      </w:r>
    </w:p>
    <w:p w:rsidR="0059426D" w:rsidRPr="00CE4A8C" w:rsidRDefault="0059426D" w:rsidP="00CE4A8C">
      <w:pPr>
        <w:pStyle w:val="ECHRHeading2"/>
        <w:rPr>
          <w:lang w:val="fr-FR"/>
        </w:rPr>
      </w:pPr>
      <w:r w:rsidRPr="00CE4A8C">
        <w:rPr>
          <w:lang w:val="fr-FR"/>
        </w:rPr>
        <w:t>A.  La société Ilva S.p.a. (« la société Ilva »)</w:t>
      </w:r>
    </w:p>
    <w:p w:rsidR="0059426D" w:rsidRPr="00CE4A8C" w:rsidRDefault="0059426D" w:rsidP="00CE4A8C">
      <w:pPr>
        <w:pStyle w:val="ECHRPara"/>
        <w:rPr>
          <w:rFonts w:ascii="sole_text" w:hAnsi="sole_text" w:cs="Helvetica" w:hint="eastAsia"/>
          <w:szCs w:val="24"/>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8</w:t>
      </w:r>
      <w:r w:rsidRPr="00CE4A8C">
        <w:rPr>
          <w:lang w:val="fr-FR"/>
        </w:rPr>
        <w:fldChar w:fldCharType="end"/>
      </w:r>
      <w:r w:rsidRPr="00CE4A8C">
        <w:rPr>
          <w:lang w:val="fr-FR"/>
        </w:rPr>
        <w:t>.  Spécialisée dans la production et la transformation de l</w:t>
      </w:r>
      <w:r w:rsidR="00CE4A8C" w:rsidRPr="00CE4A8C">
        <w:rPr>
          <w:lang w:val="fr-FR"/>
        </w:rPr>
        <w:t>’</w:t>
      </w:r>
      <w:r w:rsidRPr="00CE4A8C">
        <w:rPr>
          <w:lang w:val="fr-FR"/>
        </w:rPr>
        <w:t>acier, la société Ilva commença à opérer dans le secteur sidérurgique au début du XX</w:t>
      </w:r>
      <w:r w:rsidRPr="00CE4A8C">
        <w:rPr>
          <w:vertAlign w:val="superscript"/>
          <w:lang w:val="fr-FR"/>
        </w:rPr>
        <w:t xml:space="preserve">e </w:t>
      </w:r>
      <w:r w:rsidRPr="00CE4A8C">
        <w:rPr>
          <w:lang w:val="fr-FR"/>
        </w:rPr>
        <w:t>siècle à Gênes (</w:t>
      </w:r>
      <w:r w:rsidRPr="00CE4A8C">
        <w:rPr>
          <w:rFonts w:ascii="sole_text" w:hAnsi="sole_text" w:cs="Helvetica"/>
          <w:szCs w:val="24"/>
          <w:lang w:val="fr-FR"/>
        </w:rPr>
        <w:t>Ligurie). L</w:t>
      </w:r>
      <w:r w:rsidR="00CE4A8C" w:rsidRPr="00CE4A8C">
        <w:rPr>
          <w:rFonts w:ascii="sole_text" w:hAnsi="sole_text" w:cs="Helvetica"/>
          <w:szCs w:val="24"/>
          <w:lang w:val="fr-FR"/>
        </w:rPr>
        <w:t>’</w:t>
      </w:r>
      <w:r w:rsidRPr="00CE4A8C">
        <w:rPr>
          <w:rFonts w:ascii="sole_text" w:hAnsi="sole_text" w:cs="Helvetica"/>
          <w:szCs w:val="24"/>
          <w:lang w:val="fr-FR"/>
        </w:rPr>
        <w:t>État devint ensuite son principal actionnaire.</w:t>
      </w:r>
    </w:p>
    <w:p w:rsidR="0059426D" w:rsidRPr="00CE4A8C" w:rsidRDefault="0059426D" w:rsidP="00CE4A8C">
      <w:pPr>
        <w:pStyle w:val="ECHRPara"/>
        <w:rPr>
          <w:rFonts w:ascii="sole_text" w:hAnsi="sole_text" w:cs="Helvetica" w:hint="eastAsia"/>
          <w:szCs w:val="24"/>
          <w:lang w:val="fr-FR"/>
        </w:rPr>
      </w:pPr>
      <w:r w:rsidRPr="00CE4A8C">
        <w:rPr>
          <w:rFonts w:ascii="sole_text" w:hAnsi="sole_text" w:cs="Helvetica"/>
          <w:szCs w:val="24"/>
          <w:lang w:val="fr-FR"/>
        </w:rPr>
        <w:fldChar w:fldCharType="begin"/>
      </w:r>
      <w:r w:rsidRPr="00CE4A8C">
        <w:rPr>
          <w:rFonts w:ascii="sole_text" w:hAnsi="sole_text" w:cs="Helvetica"/>
          <w:szCs w:val="24"/>
          <w:lang w:val="fr-FR"/>
        </w:rPr>
        <w:instrText xml:space="preserve"> SEQ level0 \*arabic </w:instrText>
      </w:r>
      <w:r w:rsidRPr="00CE4A8C">
        <w:rPr>
          <w:rFonts w:ascii="sole_text" w:hAnsi="sole_text" w:cs="Helvetica"/>
          <w:szCs w:val="24"/>
          <w:lang w:val="fr-FR"/>
        </w:rPr>
        <w:fldChar w:fldCharType="separate"/>
      </w:r>
      <w:r w:rsidR="00CE4A8C" w:rsidRPr="00CE4A8C">
        <w:rPr>
          <w:rFonts w:ascii="sole_text" w:hAnsi="sole_text" w:cs="Helvetica"/>
          <w:noProof/>
          <w:szCs w:val="24"/>
          <w:lang w:val="fr-FR"/>
        </w:rPr>
        <w:t>9</w:t>
      </w:r>
      <w:r w:rsidRPr="00CE4A8C">
        <w:rPr>
          <w:rFonts w:ascii="sole_text" w:hAnsi="sole_text" w:cs="Helvetica"/>
          <w:szCs w:val="24"/>
          <w:lang w:val="fr-FR"/>
        </w:rPr>
        <w:fldChar w:fldCharType="end"/>
      </w:r>
      <w:r w:rsidRPr="00CE4A8C">
        <w:rPr>
          <w:rFonts w:ascii="sole_text" w:hAnsi="sole_text" w:cs="Helvetica"/>
          <w:szCs w:val="24"/>
          <w:lang w:val="fr-FR"/>
        </w:rPr>
        <w:t>.</w:t>
      </w:r>
      <w:r w:rsidRPr="00CE4A8C">
        <w:rPr>
          <w:rFonts w:ascii="sole_text" w:hAnsi="sole_text" w:cs="Helvetica" w:hint="eastAsia"/>
          <w:szCs w:val="24"/>
          <w:lang w:val="fr-FR"/>
        </w:rPr>
        <w:t>  </w:t>
      </w:r>
      <w:r w:rsidRPr="00CE4A8C">
        <w:rPr>
          <w:rFonts w:ascii="sole_text" w:hAnsi="sole_text" w:cs="Helvetica"/>
          <w:szCs w:val="24"/>
          <w:lang w:val="fr-FR"/>
        </w:rPr>
        <w:t>L</w:t>
      </w:r>
      <w:r w:rsidR="00CE4A8C" w:rsidRPr="00CE4A8C">
        <w:rPr>
          <w:rFonts w:ascii="sole_text" w:hAnsi="sole_text" w:cs="Helvetica"/>
          <w:szCs w:val="24"/>
          <w:lang w:val="fr-FR"/>
        </w:rPr>
        <w:t>’</w:t>
      </w:r>
      <w:r w:rsidRPr="00CE4A8C">
        <w:rPr>
          <w:rFonts w:ascii="sole_text" w:hAnsi="sole_text" w:cs="Helvetica" w:hint="eastAsia"/>
          <w:szCs w:val="24"/>
          <w:lang w:val="fr-FR"/>
        </w:rPr>
        <w:t>é</w:t>
      </w:r>
      <w:r w:rsidRPr="00CE4A8C">
        <w:rPr>
          <w:rFonts w:ascii="sole_text" w:hAnsi="sole_text" w:cs="Helvetica"/>
          <w:szCs w:val="24"/>
          <w:lang w:val="fr-FR"/>
        </w:rPr>
        <w:t xml:space="preserve">tablissement de Tarente </w:t>
      </w:r>
      <w:r w:rsidRPr="00CE4A8C">
        <w:rPr>
          <w:lang w:val="fr-FR"/>
        </w:rPr>
        <w:t>(Pouilles)</w:t>
      </w:r>
      <w:r w:rsidRPr="00CE4A8C">
        <w:rPr>
          <w:rFonts w:ascii="sole_text" w:hAnsi="sole_text" w:cs="Helvetica"/>
          <w:szCs w:val="24"/>
          <w:lang w:val="fr-FR"/>
        </w:rPr>
        <w:t xml:space="preserve"> commen</w:t>
      </w:r>
      <w:r w:rsidRPr="00CE4A8C">
        <w:rPr>
          <w:rFonts w:ascii="sole_text" w:hAnsi="sole_text" w:cs="Helvetica" w:hint="eastAsia"/>
          <w:szCs w:val="24"/>
          <w:lang w:val="fr-FR"/>
        </w:rPr>
        <w:t>ç</w:t>
      </w:r>
      <w:r w:rsidRPr="00CE4A8C">
        <w:rPr>
          <w:rFonts w:ascii="sole_text" w:hAnsi="sole_text" w:cs="Helvetica"/>
          <w:szCs w:val="24"/>
          <w:lang w:val="fr-FR"/>
        </w:rPr>
        <w:t xml:space="preserve">a </w:t>
      </w:r>
      <w:r w:rsidRPr="00CE4A8C">
        <w:rPr>
          <w:rFonts w:ascii="sole_text" w:hAnsi="sole_text" w:cs="Helvetica" w:hint="eastAsia"/>
          <w:szCs w:val="24"/>
          <w:lang w:val="fr-FR"/>
        </w:rPr>
        <w:t>à</w:t>
      </w:r>
      <w:r w:rsidRPr="00CE4A8C">
        <w:rPr>
          <w:rFonts w:ascii="sole_text" w:hAnsi="sole_text" w:cs="Helvetica"/>
          <w:szCs w:val="24"/>
          <w:lang w:val="fr-FR"/>
        </w:rPr>
        <w:t xml:space="preserve"> op</w:t>
      </w:r>
      <w:r w:rsidRPr="00CE4A8C">
        <w:rPr>
          <w:rFonts w:ascii="sole_text" w:hAnsi="sole_text" w:cs="Helvetica" w:hint="eastAsia"/>
          <w:szCs w:val="24"/>
          <w:lang w:val="fr-FR"/>
        </w:rPr>
        <w:t>é</w:t>
      </w:r>
      <w:r w:rsidRPr="00CE4A8C">
        <w:rPr>
          <w:rFonts w:ascii="sole_text" w:hAnsi="sole_text" w:cs="Helvetica"/>
          <w:szCs w:val="24"/>
          <w:lang w:val="fr-FR"/>
        </w:rPr>
        <w:t>rer en 1965.</w:t>
      </w:r>
    </w:p>
    <w:p w:rsidR="0059426D" w:rsidRPr="00CE4A8C" w:rsidRDefault="0059426D" w:rsidP="00CE4A8C">
      <w:pPr>
        <w:pStyle w:val="ECHRPara"/>
        <w:rPr>
          <w:lang w:val="fr-FR"/>
        </w:rPr>
      </w:pPr>
      <w:r w:rsidRPr="00CE4A8C">
        <w:rPr>
          <w:rFonts w:ascii="sole_text" w:hAnsi="sole_text" w:cs="Helvetica"/>
          <w:szCs w:val="24"/>
          <w:lang w:val="fr-FR"/>
        </w:rPr>
        <w:fldChar w:fldCharType="begin"/>
      </w:r>
      <w:r w:rsidRPr="00CE4A8C">
        <w:rPr>
          <w:rFonts w:ascii="sole_text" w:hAnsi="sole_text" w:cs="Helvetica"/>
          <w:szCs w:val="24"/>
          <w:lang w:val="fr-FR"/>
        </w:rPr>
        <w:instrText xml:space="preserve"> SEQ level0 \*arabic </w:instrText>
      </w:r>
      <w:r w:rsidRPr="00CE4A8C">
        <w:rPr>
          <w:rFonts w:ascii="sole_text" w:hAnsi="sole_text" w:cs="Helvetica"/>
          <w:szCs w:val="24"/>
          <w:lang w:val="fr-FR"/>
        </w:rPr>
        <w:fldChar w:fldCharType="separate"/>
      </w:r>
      <w:r w:rsidR="00CE4A8C" w:rsidRPr="00CE4A8C">
        <w:rPr>
          <w:rFonts w:ascii="sole_text" w:hAnsi="sole_text" w:cs="Helvetica"/>
          <w:noProof/>
          <w:szCs w:val="24"/>
          <w:lang w:val="fr-FR"/>
        </w:rPr>
        <w:t>10</w:t>
      </w:r>
      <w:r w:rsidRPr="00CE4A8C">
        <w:rPr>
          <w:rFonts w:ascii="sole_text" w:hAnsi="sole_text" w:cs="Helvetica"/>
          <w:szCs w:val="24"/>
          <w:lang w:val="fr-FR"/>
        </w:rPr>
        <w:fldChar w:fldCharType="end"/>
      </w:r>
      <w:r w:rsidRPr="00CE4A8C">
        <w:rPr>
          <w:rFonts w:ascii="sole_text" w:hAnsi="sole_text" w:cs="Helvetica"/>
          <w:szCs w:val="24"/>
          <w:lang w:val="fr-FR"/>
        </w:rPr>
        <w:t>.</w:t>
      </w:r>
      <w:r w:rsidRPr="00CE4A8C">
        <w:rPr>
          <w:rFonts w:ascii="sole_text" w:hAnsi="sole_text" w:cs="Helvetica" w:hint="eastAsia"/>
          <w:szCs w:val="24"/>
          <w:lang w:val="fr-FR"/>
        </w:rPr>
        <w:t>  </w:t>
      </w:r>
      <w:r w:rsidRPr="00CE4A8C">
        <w:rPr>
          <w:rFonts w:ascii="sole_text" w:hAnsi="sole_text" w:cs="Helvetica"/>
          <w:szCs w:val="24"/>
          <w:lang w:val="fr-FR"/>
        </w:rPr>
        <w:t>En 1995, la soci</w:t>
      </w:r>
      <w:r w:rsidRPr="00CE4A8C">
        <w:rPr>
          <w:rFonts w:ascii="sole_text" w:hAnsi="sole_text" w:cs="Helvetica" w:hint="eastAsia"/>
          <w:szCs w:val="24"/>
          <w:lang w:val="fr-FR"/>
        </w:rPr>
        <w:t>é</w:t>
      </w:r>
      <w:r w:rsidRPr="00CE4A8C">
        <w:rPr>
          <w:rFonts w:ascii="sole_text" w:hAnsi="sole_text" w:cs="Helvetica"/>
          <w:szCs w:val="24"/>
          <w:lang w:val="fr-FR"/>
        </w:rPr>
        <w:t>t</w:t>
      </w:r>
      <w:r w:rsidRPr="00CE4A8C">
        <w:rPr>
          <w:rFonts w:ascii="sole_text" w:hAnsi="sole_text" w:cs="Helvetica" w:hint="eastAsia"/>
          <w:szCs w:val="24"/>
          <w:lang w:val="fr-FR"/>
        </w:rPr>
        <w:t>é</w:t>
      </w:r>
      <w:r w:rsidRPr="00CE4A8C">
        <w:rPr>
          <w:rFonts w:ascii="sole_text" w:hAnsi="sole_text" w:cs="Helvetica"/>
          <w:szCs w:val="24"/>
          <w:lang w:val="fr-FR"/>
        </w:rPr>
        <w:t xml:space="preserve"> Ilva fut privatisée, achetée par le g</w:t>
      </w:r>
      <w:r w:rsidRPr="00CE4A8C">
        <w:rPr>
          <w:lang w:val="fr-FR"/>
        </w:rPr>
        <w:t>roupe Riva. Compte tenu de son état d</w:t>
      </w:r>
      <w:r w:rsidR="00CE4A8C" w:rsidRPr="00CE4A8C">
        <w:rPr>
          <w:lang w:val="fr-FR"/>
        </w:rPr>
        <w:t>’</w:t>
      </w:r>
      <w:r w:rsidRPr="00CE4A8C">
        <w:rPr>
          <w:lang w:val="fr-FR"/>
        </w:rPr>
        <w:t>insolvabilité, elle fut ensuite placée sous administration provisoire (</w:t>
      </w:r>
      <w:proofErr w:type="spellStart"/>
      <w:r w:rsidRPr="00CE4A8C">
        <w:rPr>
          <w:i/>
          <w:lang w:val="fr-FR"/>
        </w:rPr>
        <w:t>amministrazione</w:t>
      </w:r>
      <w:proofErr w:type="spellEnd"/>
      <w:r w:rsidRPr="00CE4A8C">
        <w:rPr>
          <w:i/>
          <w:lang w:val="fr-FR"/>
        </w:rPr>
        <w:t xml:space="preserve"> </w:t>
      </w:r>
      <w:proofErr w:type="spellStart"/>
      <w:r w:rsidRPr="00CE4A8C">
        <w:rPr>
          <w:i/>
          <w:lang w:val="fr-FR"/>
        </w:rPr>
        <w:t>straordinaria</w:t>
      </w:r>
      <w:proofErr w:type="spellEnd"/>
      <w:r w:rsidR="00A7410D" w:rsidRPr="00CE4A8C">
        <w:rPr>
          <w:lang w:val="fr-FR"/>
        </w:rPr>
        <w:t>) (paragraphe </w:t>
      </w:r>
      <w:r w:rsidRPr="00CE4A8C">
        <w:rPr>
          <w:lang w:val="fr-FR"/>
        </w:rPr>
        <w:fldChar w:fldCharType="begin"/>
      </w:r>
      <w:r w:rsidRPr="00CE4A8C">
        <w:rPr>
          <w:lang w:val="fr-FR"/>
        </w:rPr>
        <w:instrText xml:space="preserve"> REF administration_extraordinaire \h  \* MERGEFORMAT </w:instrText>
      </w:r>
      <w:r w:rsidRPr="00CE4A8C">
        <w:rPr>
          <w:lang w:val="fr-FR"/>
        </w:rPr>
      </w:r>
      <w:r w:rsidRPr="00CE4A8C">
        <w:rPr>
          <w:lang w:val="fr-FR"/>
        </w:rPr>
        <w:fldChar w:fldCharType="separate"/>
      </w:r>
      <w:r w:rsidR="00CE4A8C" w:rsidRPr="00CE4A8C">
        <w:rPr>
          <w:noProof/>
          <w:lang w:val="fr-FR"/>
        </w:rPr>
        <w:t>60</w:t>
      </w:r>
      <w:r w:rsidRPr="00CE4A8C">
        <w:rPr>
          <w:lang w:val="fr-FR"/>
        </w:rPr>
        <w:fldChar w:fldCharType="end"/>
      </w:r>
      <w:r w:rsidR="00567D45" w:rsidRPr="00CE4A8C">
        <w:rPr>
          <w:lang w:val="fr-FR"/>
        </w:rPr>
        <w:t xml:space="preserve"> </w:t>
      </w:r>
      <w:r w:rsidRPr="00CE4A8C">
        <w:rPr>
          <w:lang w:val="fr-FR"/>
        </w:rPr>
        <w:t>ci-dessous).</w:t>
      </w:r>
    </w:p>
    <w:p w:rsidR="0059426D" w:rsidRPr="00CE4A8C" w:rsidRDefault="0059426D" w:rsidP="00CE4A8C">
      <w:pPr>
        <w:pStyle w:val="ECHRPara"/>
        <w:rPr>
          <w:rFonts w:ascii="sole_text" w:hAnsi="sole_text" w:cs="Helvetica" w:hint="eastAsia"/>
          <w:szCs w:val="24"/>
          <w:lang w:val="fr-FR"/>
        </w:rPr>
      </w:pPr>
      <w:r w:rsidRPr="00CE4A8C">
        <w:rPr>
          <w:rFonts w:ascii="sole_text" w:hAnsi="sole_text" w:cs="Helvetica"/>
          <w:szCs w:val="24"/>
          <w:lang w:val="fr-FR"/>
        </w:rPr>
        <w:fldChar w:fldCharType="begin"/>
      </w:r>
      <w:r w:rsidRPr="00CE4A8C">
        <w:rPr>
          <w:rFonts w:ascii="sole_text" w:hAnsi="sole_text" w:cs="Helvetica"/>
          <w:szCs w:val="24"/>
          <w:lang w:val="fr-FR"/>
        </w:rPr>
        <w:instrText xml:space="preserve"> SEQ level0 \*arabic </w:instrText>
      </w:r>
      <w:r w:rsidRPr="00CE4A8C">
        <w:rPr>
          <w:rFonts w:ascii="sole_text" w:hAnsi="sole_text" w:cs="Helvetica"/>
          <w:szCs w:val="24"/>
          <w:lang w:val="fr-FR"/>
        </w:rPr>
        <w:fldChar w:fldCharType="separate"/>
      </w:r>
      <w:r w:rsidR="00CE4A8C" w:rsidRPr="00CE4A8C">
        <w:rPr>
          <w:rFonts w:ascii="sole_text" w:hAnsi="sole_text" w:cs="Helvetica"/>
          <w:noProof/>
          <w:szCs w:val="24"/>
          <w:lang w:val="fr-FR"/>
        </w:rPr>
        <w:t>11</w:t>
      </w:r>
      <w:r w:rsidRPr="00CE4A8C">
        <w:rPr>
          <w:rFonts w:ascii="sole_text" w:hAnsi="sole_text" w:cs="Helvetica"/>
          <w:szCs w:val="24"/>
          <w:lang w:val="fr-FR"/>
        </w:rPr>
        <w:fldChar w:fldCharType="end"/>
      </w:r>
      <w:r w:rsidRPr="00CE4A8C">
        <w:rPr>
          <w:rFonts w:ascii="sole_text" w:hAnsi="sole_text" w:cs="Helvetica"/>
          <w:szCs w:val="24"/>
          <w:lang w:val="fr-FR"/>
        </w:rPr>
        <w:t>.  L</w:t>
      </w:r>
      <w:r w:rsidR="00CE4A8C" w:rsidRPr="00CE4A8C">
        <w:rPr>
          <w:rFonts w:ascii="sole_text" w:hAnsi="sole_text" w:cs="Helvetica"/>
          <w:szCs w:val="24"/>
          <w:lang w:val="fr-FR"/>
        </w:rPr>
        <w:t>’</w:t>
      </w:r>
      <w:r w:rsidRPr="00CE4A8C">
        <w:rPr>
          <w:rFonts w:ascii="sole_text" w:hAnsi="sole_text" w:cs="Helvetica"/>
          <w:szCs w:val="24"/>
          <w:lang w:val="fr-FR"/>
        </w:rPr>
        <w:t>impact des émissions produites par les usines de la société Ilva sur l</w:t>
      </w:r>
      <w:r w:rsidR="00CE4A8C" w:rsidRPr="00CE4A8C">
        <w:rPr>
          <w:rFonts w:ascii="sole_text" w:hAnsi="sole_text" w:cs="Helvetica"/>
          <w:szCs w:val="24"/>
          <w:lang w:val="fr-FR"/>
        </w:rPr>
        <w:t>’</w:t>
      </w:r>
      <w:r w:rsidRPr="00CE4A8C">
        <w:rPr>
          <w:rFonts w:ascii="sole_text" w:hAnsi="sole_text" w:cs="Helvetica"/>
          <w:szCs w:val="24"/>
          <w:lang w:val="fr-FR"/>
        </w:rPr>
        <w:t>environnement et sur la population locale fait l</w:t>
      </w:r>
      <w:r w:rsidR="00CE4A8C" w:rsidRPr="00CE4A8C">
        <w:rPr>
          <w:rFonts w:ascii="sole_text" w:hAnsi="sole_text" w:cs="Helvetica"/>
          <w:szCs w:val="24"/>
          <w:lang w:val="fr-FR"/>
        </w:rPr>
        <w:t>’</w:t>
      </w:r>
      <w:r w:rsidRPr="00CE4A8C">
        <w:rPr>
          <w:rFonts w:ascii="sole_text" w:hAnsi="sole_text" w:cs="Helvetica"/>
          <w:szCs w:val="24"/>
          <w:lang w:val="fr-FR"/>
        </w:rPr>
        <w:t>objet d</w:t>
      </w:r>
      <w:r w:rsidR="00CE4A8C" w:rsidRPr="00CE4A8C">
        <w:rPr>
          <w:rFonts w:ascii="sole_text" w:hAnsi="sole_text" w:cs="Helvetica"/>
          <w:szCs w:val="24"/>
          <w:lang w:val="fr-FR"/>
        </w:rPr>
        <w:t>’</w:t>
      </w:r>
      <w:r w:rsidRPr="00CE4A8C">
        <w:rPr>
          <w:rFonts w:ascii="sole_text" w:hAnsi="sole_text" w:cs="Helvetica"/>
          <w:szCs w:val="24"/>
          <w:lang w:val="fr-FR"/>
        </w:rPr>
        <w:t>un important débat depuis de nombreuses années. En 2002, les autorités judiciaires ordonnèrent la fermeture de la cokerie</w:t>
      </w:r>
      <w:r w:rsidRPr="00CE4A8C">
        <w:rPr>
          <w:rStyle w:val="Rimandonotaapidipagina"/>
          <w:rFonts w:ascii="sole_text" w:hAnsi="sole_text" w:cs="Helvetica"/>
          <w:szCs w:val="24"/>
          <w:lang w:val="fr-FR"/>
        </w:rPr>
        <w:footnoteReference w:id="1"/>
      </w:r>
      <w:r w:rsidRPr="00CE4A8C">
        <w:rPr>
          <w:rFonts w:ascii="sole_text" w:hAnsi="sole_text" w:cs="Helvetica"/>
          <w:szCs w:val="24"/>
          <w:lang w:val="fr-FR"/>
        </w:rPr>
        <w:t xml:space="preserve"> de l</w:t>
      </w:r>
      <w:r w:rsidR="00CE4A8C" w:rsidRPr="00CE4A8C">
        <w:rPr>
          <w:rFonts w:ascii="sole_text" w:hAnsi="sole_text" w:cs="Helvetica"/>
          <w:szCs w:val="24"/>
          <w:lang w:val="fr-FR"/>
        </w:rPr>
        <w:t>’</w:t>
      </w:r>
      <w:r w:rsidRPr="00CE4A8C">
        <w:rPr>
          <w:rFonts w:ascii="sole_text" w:hAnsi="sole_text" w:cs="Helvetica"/>
          <w:szCs w:val="24"/>
          <w:lang w:val="fr-FR"/>
        </w:rPr>
        <w:t>un des établissements de la société Ilva, situé à Cornigliano (Gênes), des études épidémiologiques ayant démontré un lien entre les particules émises par l</w:t>
      </w:r>
      <w:r w:rsidR="00CE4A8C" w:rsidRPr="00CE4A8C">
        <w:rPr>
          <w:rFonts w:ascii="sole_text" w:hAnsi="sole_text" w:cs="Helvetica"/>
          <w:szCs w:val="24"/>
          <w:lang w:val="fr-FR"/>
        </w:rPr>
        <w:t>’</w:t>
      </w:r>
      <w:r w:rsidRPr="00CE4A8C">
        <w:rPr>
          <w:rFonts w:ascii="sole_text" w:hAnsi="sole_text" w:cs="Helvetica"/>
          <w:szCs w:val="24"/>
          <w:lang w:val="fr-FR"/>
        </w:rPr>
        <w:t>usine et le taux de mortalité de la population, largement supérieur dans le quartier concerné par rapport à celui observé dans les autres quartiers de la ville. En 2005, l</w:t>
      </w:r>
      <w:r w:rsidR="00CE4A8C" w:rsidRPr="00CE4A8C">
        <w:rPr>
          <w:rFonts w:ascii="sole_text" w:hAnsi="sole_text" w:cs="Helvetica"/>
          <w:szCs w:val="24"/>
          <w:lang w:val="fr-FR"/>
        </w:rPr>
        <w:t>’</w:t>
      </w:r>
      <w:r w:rsidRPr="00CE4A8C">
        <w:rPr>
          <w:rFonts w:ascii="sole_text" w:hAnsi="sole_text" w:cs="Helvetica"/>
          <w:szCs w:val="24"/>
          <w:lang w:val="fr-FR"/>
        </w:rPr>
        <w:t>un des hauts fourneaux de l</w:t>
      </w:r>
      <w:r w:rsidR="00CE4A8C" w:rsidRPr="00CE4A8C">
        <w:rPr>
          <w:rFonts w:ascii="sole_text" w:hAnsi="sole_text" w:cs="Helvetica"/>
          <w:szCs w:val="24"/>
          <w:lang w:val="fr-FR"/>
        </w:rPr>
        <w:t>’</w:t>
      </w:r>
      <w:r w:rsidRPr="00CE4A8C">
        <w:rPr>
          <w:rFonts w:ascii="sole_text" w:hAnsi="sole_text" w:cs="Helvetica"/>
          <w:szCs w:val="24"/>
          <w:lang w:val="fr-FR"/>
        </w:rPr>
        <w:t>usine de Cornigliano fut également fermé.</w:t>
      </w:r>
    </w:p>
    <w:p w:rsidR="0059426D" w:rsidRPr="00CE4A8C" w:rsidRDefault="0059426D" w:rsidP="00CE4A8C">
      <w:pPr>
        <w:pStyle w:val="ECHRPara"/>
        <w:rPr>
          <w:rFonts w:ascii="sole_text" w:hAnsi="sole_text" w:cs="Helvetica" w:hint="eastAsia"/>
          <w:szCs w:val="24"/>
          <w:lang w:val="fr-FR"/>
        </w:rPr>
      </w:pPr>
      <w:r w:rsidRPr="00CE4A8C">
        <w:rPr>
          <w:rFonts w:ascii="sole_text" w:hAnsi="sole_text" w:cs="Helvetica"/>
          <w:szCs w:val="24"/>
          <w:lang w:val="fr-FR"/>
        </w:rPr>
        <w:fldChar w:fldCharType="begin"/>
      </w:r>
      <w:r w:rsidRPr="00CE4A8C">
        <w:rPr>
          <w:rFonts w:ascii="sole_text" w:hAnsi="sole_text" w:cs="Helvetica"/>
          <w:szCs w:val="24"/>
          <w:lang w:val="fr-FR"/>
        </w:rPr>
        <w:instrText xml:space="preserve"> SEQ level0 \*arabic </w:instrText>
      </w:r>
      <w:r w:rsidRPr="00CE4A8C">
        <w:rPr>
          <w:rFonts w:ascii="sole_text" w:hAnsi="sole_text" w:cs="Helvetica"/>
          <w:szCs w:val="24"/>
          <w:lang w:val="fr-FR"/>
        </w:rPr>
        <w:fldChar w:fldCharType="separate"/>
      </w:r>
      <w:r w:rsidR="00CE4A8C" w:rsidRPr="00CE4A8C">
        <w:rPr>
          <w:rFonts w:ascii="sole_text" w:hAnsi="sole_text" w:cs="Helvetica"/>
          <w:noProof/>
          <w:szCs w:val="24"/>
          <w:lang w:val="fr-FR"/>
        </w:rPr>
        <w:t>12</w:t>
      </w:r>
      <w:r w:rsidRPr="00CE4A8C">
        <w:rPr>
          <w:rFonts w:ascii="sole_text" w:hAnsi="sole_text" w:cs="Helvetica"/>
          <w:szCs w:val="24"/>
          <w:lang w:val="fr-FR"/>
        </w:rPr>
        <w:fldChar w:fldCharType="end"/>
      </w:r>
      <w:r w:rsidRPr="00CE4A8C">
        <w:rPr>
          <w:rFonts w:ascii="sole_text" w:hAnsi="sole_text" w:cs="Helvetica"/>
          <w:szCs w:val="24"/>
          <w:lang w:val="fr-FR"/>
        </w:rPr>
        <w:t>.  L</w:t>
      </w:r>
      <w:r w:rsidR="00CE4A8C" w:rsidRPr="00CE4A8C">
        <w:rPr>
          <w:rFonts w:ascii="sole_text" w:hAnsi="sole_text" w:cs="Helvetica"/>
          <w:szCs w:val="24"/>
          <w:lang w:val="fr-FR"/>
        </w:rPr>
        <w:t>’</w:t>
      </w:r>
      <w:r w:rsidRPr="00CE4A8C">
        <w:rPr>
          <w:rFonts w:ascii="sole_text" w:hAnsi="sole_text" w:cs="Helvetica"/>
          <w:szCs w:val="24"/>
          <w:lang w:val="fr-FR"/>
        </w:rPr>
        <w:t>ensemble de la production de la zone à chaud de cette usine fut alors transféré à Tarente. L</w:t>
      </w:r>
      <w:r w:rsidR="00CE4A8C" w:rsidRPr="00CE4A8C">
        <w:rPr>
          <w:rFonts w:ascii="sole_text" w:hAnsi="sole_text" w:cs="Helvetica"/>
          <w:szCs w:val="24"/>
          <w:lang w:val="fr-FR"/>
        </w:rPr>
        <w:t>’</w:t>
      </w:r>
      <w:r w:rsidRPr="00CE4A8C">
        <w:rPr>
          <w:rFonts w:ascii="sole_text" w:hAnsi="sole_text" w:cs="Helvetica"/>
          <w:szCs w:val="24"/>
          <w:lang w:val="fr-FR"/>
        </w:rPr>
        <w:t>établissement qui se trouve dans cette ville constitue le site le plus important de la société</w:t>
      </w:r>
      <w:r w:rsidRPr="00CE4A8C">
        <w:rPr>
          <w:lang w:val="fr-FR"/>
        </w:rPr>
        <w:t xml:space="preserve"> et le plus grand complexe sidérurgique industriel en Europe</w:t>
      </w:r>
      <w:r w:rsidRPr="00CE4A8C">
        <w:rPr>
          <w:rFonts w:ascii="sole_text" w:hAnsi="sole_text" w:cs="Helvetica"/>
          <w:szCs w:val="24"/>
          <w:lang w:val="fr-FR"/>
        </w:rPr>
        <w:t>. Il s</w:t>
      </w:r>
      <w:r w:rsidR="00CE4A8C" w:rsidRPr="00CE4A8C">
        <w:rPr>
          <w:rFonts w:ascii="sole_text" w:hAnsi="sole_text" w:cs="Helvetica"/>
          <w:szCs w:val="24"/>
          <w:lang w:val="fr-FR"/>
        </w:rPr>
        <w:t>’</w:t>
      </w:r>
      <w:r w:rsidRPr="00CE4A8C">
        <w:rPr>
          <w:rFonts w:ascii="sole_text" w:hAnsi="sole_text" w:cs="Helvetica"/>
          <w:szCs w:val="24"/>
          <w:lang w:val="fr-FR"/>
        </w:rPr>
        <w:t>étend aujourd</w:t>
      </w:r>
      <w:r w:rsidR="00CE4A8C" w:rsidRPr="00CE4A8C">
        <w:rPr>
          <w:rFonts w:ascii="sole_text" w:hAnsi="sole_text" w:cs="Helvetica"/>
          <w:szCs w:val="24"/>
          <w:lang w:val="fr-FR"/>
        </w:rPr>
        <w:t>’</w:t>
      </w:r>
      <w:r w:rsidRPr="00CE4A8C">
        <w:rPr>
          <w:rFonts w:ascii="sole_text" w:hAnsi="sole_text" w:cs="Helvetica"/>
          <w:szCs w:val="24"/>
          <w:lang w:val="fr-FR"/>
        </w:rPr>
        <w:t xml:space="preserve">hui sur </w:t>
      </w:r>
      <w:r w:rsidRPr="00CE4A8C">
        <w:rPr>
          <w:lang w:val="fr-FR"/>
        </w:rPr>
        <w:t>une surface d</w:t>
      </w:r>
      <w:r w:rsidR="00CE4A8C" w:rsidRPr="00CE4A8C">
        <w:rPr>
          <w:lang w:val="fr-FR"/>
        </w:rPr>
        <w:t>’</w:t>
      </w:r>
      <w:r w:rsidRPr="00CE4A8C">
        <w:rPr>
          <w:lang w:val="fr-FR"/>
        </w:rPr>
        <w:t>environ 1 500 hectares et compte environ onze mille employés.</w:t>
      </w:r>
    </w:p>
    <w:p w:rsidR="0059426D" w:rsidRPr="00CE4A8C" w:rsidRDefault="0059426D" w:rsidP="00CE4A8C">
      <w:pPr>
        <w:pStyle w:val="ECHRHeading2"/>
        <w:rPr>
          <w:lang w:val="fr-FR"/>
        </w:rPr>
      </w:pPr>
      <w:r w:rsidRPr="00CE4A8C">
        <w:rPr>
          <w:lang w:val="fr-FR"/>
        </w:rPr>
        <w:lastRenderedPageBreak/>
        <w:t>B.  La situation des requérants et les études scientifiques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w:t>
      </w:r>
      <w:r w:rsidRPr="00CE4A8C">
        <w:rPr>
          <w:lang w:val="fr-FR"/>
        </w:rPr>
        <w:fldChar w:fldCharType="end"/>
      </w:r>
      <w:r w:rsidRPr="00CE4A8C">
        <w:rPr>
          <w:lang w:val="fr-FR"/>
        </w:rPr>
        <w:t>.  Les requérants résident ou ont résidé dans la ville de Tarente (qui compte environ 200 000 habitants) ou dans des communes voisines. Les détails concernant leurs lieux de résidence sont indiqués dans la liste en annexe.</w:t>
      </w:r>
    </w:p>
    <w:p w:rsidR="0059426D" w:rsidRPr="00CE4A8C" w:rsidRDefault="0059426D" w:rsidP="00CE4A8C">
      <w:pPr>
        <w:pStyle w:val="ECHRPara"/>
        <w:rPr>
          <w:szCs w:val="24"/>
          <w:lang w:val="fr-FR"/>
        </w:rPr>
      </w:pPr>
      <w:r w:rsidRPr="00CE4A8C">
        <w:rPr>
          <w:szCs w:val="24"/>
          <w:lang w:val="fr-FR"/>
        </w:rPr>
        <w:fldChar w:fldCharType="begin"/>
      </w:r>
      <w:r w:rsidRPr="00CE4A8C">
        <w:rPr>
          <w:szCs w:val="24"/>
          <w:lang w:val="fr-FR"/>
        </w:rPr>
        <w:instrText xml:space="preserve"> SEQ level0 \*arabic </w:instrText>
      </w:r>
      <w:r w:rsidRPr="00CE4A8C">
        <w:rPr>
          <w:szCs w:val="24"/>
          <w:lang w:val="fr-FR"/>
        </w:rPr>
        <w:fldChar w:fldCharType="separate"/>
      </w:r>
      <w:r w:rsidR="00CE4A8C" w:rsidRPr="00CE4A8C">
        <w:rPr>
          <w:noProof/>
          <w:szCs w:val="24"/>
          <w:lang w:val="fr-FR"/>
        </w:rPr>
        <w:t>14</w:t>
      </w:r>
      <w:r w:rsidRPr="00CE4A8C">
        <w:rPr>
          <w:szCs w:val="24"/>
          <w:lang w:val="fr-FR"/>
        </w:rPr>
        <w:fldChar w:fldCharType="end"/>
      </w:r>
      <w:r w:rsidRPr="00CE4A8C">
        <w:rPr>
          <w:szCs w:val="24"/>
          <w:lang w:val="fr-FR"/>
        </w:rPr>
        <w:t>.  L</w:t>
      </w:r>
      <w:r w:rsidR="00CE4A8C" w:rsidRPr="00CE4A8C">
        <w:rPr>
          <w:szCs w:val="24"/>
          <w:lang w:val="fr-FR"/>
        </w:rPr>
        <w:t>’</w:t>
      </w:r>
      <w:r w:rsidRPr="00CE4A8C">
        <w:rPr>
          <w:szCs w:val="24"/>
          <w:lang w:val="fr-FR"/>
        </w:rPr>
        <w:t>impact des émissions produites par l</w:t>
      </w:r>
      <w:r w:rsidR="00CE4A8C" w:rsidRPr="00CE4A8C">
        <w:rPr>
          <w:szCs w:val="24"/>
          <w:lang w:val="fr-FR"/>
        </w:rPr>
        <w:t>’</w:t>
      </w:r>
      <w:r w:rsidRPr="00CE4A8C">
        <w:rPr>
          <w:szCs w:val="24"/>
          <w:lang w:val="fr-FR"/>
        </w:rPr>
        <w:t>usine sur l</w:t>
      </w:r>
      <w:r w:rsidR="00CE4A8C" w:rsidRPr="00CE4A8C">
        <w:rPr>
          <w:szCs w:val="24"/>
          <w:lang w:val="fr-FR"/>
        </w:rPr>
        <w:t>’</w:t>
      </w:r>
      <w:r w:rsidRPr="00CE4A8C">
        <w:rPr>
          <w:szCs w:val="24"/>
          <w:lang w:val="fr-FR"/>
        </w:rPr>
        <w:t>environnement et sur la santé de la population locale fut à l</w:t>
      </w:r>
      <w:r w:rsidR="00CE4A8C" w:rsidRPr="00CE4A8C">
        <w:rPr>
          <w:szCs w:val="24"/>
          <w:lang w:val="fr-FR"/>
        </w:rPr>
        <w:t>’</w:t>
      </w:r>
      <w:r w:rsidRPr="00CE4A8C">
        <w:rPr>
          <w:szCs w:val="24"/>
          <w:lang w:val="fr-FR"/>
        </w:rPr>
        <w:t>origine de plusieurs rapports scientifiques, dont les informations principales sont résumées ci</w:t>
      </w:r>
      <w:r w:rsidRPr="00CE4A8C">
        <w:rPr>
          <w:szCs w:val="24"/>
          <w:lang w:val="fr-FR"/>
        </w:rPr>
        <w:noBreakHyphen/>
        <w:t>dessous.</w:t>
      </w:r>
    </w:p>
    <w:p w:rsidR="0059426D" w:rsidRPr="00CE4A8C" w:rsidRDefault="0059426D" w:rsidP="00CE4A8C">
      <w:pPr>
        <w:pStyle w:val="ECHRHeading3"/>
        <w:rPr>
          <w:lang w:val="fr-FR"/>
        </w:rPr>
      </w:pPr>
      <w:r w:rsidRPr="00CE4A8C">
        <w:rPr>
          <w:lang w:val="fr-FR"/>
        </w:rPr>
        <w:t>1.  Les rapports du Centre européen de l</w:t>
      </w:r>
      <w:r w:rsidR="00CE4A8C" w:rsidRPr="00CE4A8C">
        <w:rPr>
          <w:lang w:val="fr-FR"/>
        </w:rPr>
        <w:t>’</w:t>
      </w:r>
      <w:r w:rsidRPr="00CE4A8C">
        <w:rPr>
          <w:lang w:val="fr-FR"/>
        </w:rPr>
        <w:t>environnement et de la santé (organisme de l</w:t>
      </w:r>
      <w:r w:rsidR="00CE4A8C" w:rsidRPr="00CE4A8C">
        <w:rPr>
          <w:lang w:val="fr-FR"/>
        </w:rPr>
        <w:t>’</w:t>
      </w:r>
      <w:r w:rsidRPr="00CE4A8C">
        <w:rPr>
          <w:lang w:val="fr-FR"/>
        </w:rPr>
        <w:t>OMS - Organisation mondiale pour la Santé)</w:t>
      </w:r>
    </w:p>
    <w:bookmarkStart w:id="1" w:name="rapports_scientifiques"/>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w:t>
      </w:r>
      <w:r w:rsidRPr="00CE4A8C">
        <w:rPr>
          <w:lang w:val="fr-FR"/>
        </w:rPr>
        <w:fldChar w:fldCharType="end"/>
      </w:r>
      <w:bookmarkEnd w:id="1"/>
      <w:r w:rsidRPr="00CE4A8C">
        <w:rPr>
          <w:lang w:val="fr-FR"/>
        </w:rPr>
        <w:t>.  En 1997, le Centre européen de l</w:t>
      </w:r>
      <w:r w:rsidR="00CE4A8C" w:rsidRPr="00CE4A8C">
        <w:rPr>
          <w:lang w:val="fr-FR"/>
        </w:rPr>
        <w:t>’</w:t>
      </w:r>
      <w:r w:rsidRPr="00CE4A8C">
        <w:rPr>
          <w:lang w:val="fr-FR"/>
        </w:rPr>
        <w:t>environnement et de la santé publia un rapport faisant état d</w:t>
      </w:r>
      <w:r w:rsidR="00CE4A8C" w:rsidRPr="00CE4A8C">
        <w:rPr>
          <w:lang w:val="fr-FR"/>
        </w:rPr>
        <w:t>’</w:t>
      </w:r>
      <w:r w:rsidRPr="00CE4A8C">
        <w:rPr>
          <w:lang w:val="fr-FR"/>
        </w:rPr>
        <w:t xml:space="preserve">une situation de risque pour la santé de la population résidant dans les communes qui avaient été classifiées « à haut risque environnemental » par une délibération du Conseil des Ministres du 30 novembre 1990 (paragraphe </w:t>
      </w:r>
      <w:r w:rsidRPr="00CE4A8C">
        <w:rPr>
          <w:lang w:val="fr-FR"/>
        </w:rPr>
        <w:fldChar w:fldCharType="begin"/>
      </w:r>
      <w:r w:rsidRPr="00CE4A8C">
        <w:rPr>
          <w:lang w:val="fr-FR"/>
        </w:rPr>
        <w:instrText xml:space="preserve"> REF zone_haut_risque_env \h  \* MERGEFORMAT </w:instrText>
      </w:r>
      <w:r w:rsidRPr="00CE4A8C">
        <w:rPr>
          <w:lang w:val="fr-FR"/>
        </w:rPr>
      </w:r>
      <w:r w:rsidRPr="00CE4A8C">
        <w:rPr>
          <w:lang w:val="fr-FR"/>
        </w:rPr>
        <w:fldChar w:fldCharType="separate"/>
      </w:r>
      <w:r w:rsidR="00CE4A8C" w:rsidRPr="00CE4A8C">
        <w:rPr>
          <w:noProof/>
          <w:lang w:val="fr-FR"/>
        </w:rPr>
        <w:t>32</w:t>
      </w:r>
      <w:r w:rsidRPr="00CE4A8C">
        <w:rPr>
          <w:lang w:val="fr-FR"/>
        </w:rPr>
        <w:fldChar w:fldCharType="end"/>
      </w:r>
      <w:r w:rsidRPr="00CE4A8C">
        <w:rPr>
          <w:lang w:val="fr-FR"/>
        </w:rPr>
        <w:t xml:space="preserve"> ci-dessous), en raison notamment de la pollution industrielle générée par la société Ilva, pour la période 1980-1987.</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w:t>
      </w:r>
      <w:r w:rsidRPr="00CE4A8C">
        <w:rPr>
          <w:lang w:val="fr-FR"/>
        </w:rPr>
        <w:fldChar w:fldCharType="end"/>
      </w:r>
      <w:r w:rsidRPr="00CE4A8C">
        <w:rPr>
          <w:lang w:val="fr-FR"/>
        </w:rPr>
        <w:t>.  Un autre rapport émanant du même organisme, publié en 2002, actualisa les résultats de ce premier rapport, jusqu</w:t>
      </w:r>
      <w:r w:rsidR="00CE4A8C" w:rsidRPr="00CE4A8C">
        <w:rPr>
          <w:lang w:val="fr-FR"/>
        </w:rPr>
        <w:t>’</w:t>
      </w:r>
      <w:r w:rsidRPr="00CE4A8C">
        <w:rPr>
          <w:lang w:val="fr-FR"/>
        </w:rPr>
        <w:t>à l</w:t>
      </w:r>
      <w:r w:rsidR="00CE4A8C" w:rsidRPr="00CE4A8C">
        <w:rPr>
          <w:lang w:val="fr-FR"/>
        </w:rPr>
        <w:t>’</w:t>
      </w:r>
      <w:r w:rsidRPr="00CE4A8C">
        <w:rPr>
          <w:lang w:val="fr-FR"/>
        </w:rPr>
        <w:t>année 1994. Selon ce deuxième rapport, le taux de mortalité masculine pour tumeurs dans la zone de Tarente était supérieur de 10,6 % au taux observé dans la région, et le risque de mortalité féminine était également plus élevé par rapport à la moyenne régionale, entre autres pour causes tumorales.</w:t>
      </w:r>
    </w:p>
    <w:p w:rsidR="0059426D" w:rsidRPr="00CE4A8C" w:rsidRDefault="0059426D" w:rsidP="00CE4A8C">
      <w:pPr>
        <w:pStyle w:val="ECHRHeading3"/>
        <w:rPr>
          <w:lang w:val="fr-FR"/>
        </w:rPr>
      </w:pPr>
      <w:r w:rsidRPr="00CE4A8C">
        <w:rPr>
          <w:lang w:val="fr-FR"/>
        </w:rPr>
        <w:t>2.  Le rapport de 2002 de l</w:t>
      </w:r>
      <w:r w:rsidR="00CE4A8C" w:rsidRPr="00CE4A8C">
        <w:rPr>
          <w:lang w:val="fr-FR"/>
        </w:rPr>
        <w:t>’</w:t>
      </w:r>
      <w:r w:rsidRPr="00CE4A8C">
        <w:rPr>
          <w:lang w:val="fr-FR"/>
        </w:rPr>
        <w:t>ARPA (l</w:t>
      </w:r>
      <w:r w:rsidR="00CE4A8C" w:rsidRPr="00CE4A8C">
        <w:rPr>
          <w:lang w:val="fr-FR"/>
        </w:rPr>
        <w:t>’</w:t>
      </w:r>
      <w:r w:rsidRPr="00CE4A8C">
        <w:rPr>
          <w:lang w:val="fr-FR"/>
        </w:rPr>
        <w:t>agence régionale pour la prévention et la protection environnementale)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w:t>
      </w:r>
      <w:r w:rsidRPr="00CE4A8C">
        <w:rPr>
          <w:lang w:val="fr-FR"/>
        </w:rPr>
        <w:fldChar w:fldCharType="end"/>
      </w:r>
      <w:r w:rsidRPr="00CE4A8C">
        <w:rPr>
          <w:lang w:val="fr-FR"/>
        </w:rPr>
        <w:t>.  L</w:t>
      </w:r>
      <w:r w:rsidR="00CE4A8C" w:rsidRPr="00CE4A8C">
        <w:rPr>
          <w:lang w:val="fr-FR"/>
        </w:rPr>
        <w:t>’</w:t>
      </w:r>
      <w:r w:rsidRPr="00CE4A8C">
        <w:rPr>
          <w:lang w:val="fr-FR"/>
        </w:rPr>
        <w:t>ARPA fut instituée dans les Pouilles en 1999. Selon son rapport de 2002, différentes études publiées par des organismes locaux (l</w:t>
      </w:r>
      <w:r w:rsidR="00CE4A8C" w:rsidRPr="00CE4A8C">
        <w:rPr>
          <w:lang w:val="fr-FR"/>
        </w:rPr>
        <w:t>’</w:t>
      </w:r>
      <w:r w:rsidRPr="00CE4A8C">
        <w:rPr>
          <w:lang w:val="fr-FR"/>
        </w:rPr>
        <w:t>observatoire épidémiologique des Pouilles et l</w:t>
      </w:r>
      <w:r w:rsidR="00CE4A8C" w:rsidRPr="00CE4A8C">
        <w:rPr>
          <w:lang w:val="fr-FR"/>
        </w:rPr>
        <w:t>’</w:t>
      </w:r>
      <w:r w:rsidRPr="00CE4A8C">
        <w:rPr>
          <w:lang w:val="fr-FR"/>
        </w:rPr>
        <w:t>AUSL, l</w:t>
      </w:r>
      <w:r w:rsidR="00CE4A8C" w:rsidRPr="00CE4A8C">
        <w:rPr>
          <w:lang w:val="fr-FR"/>
        </w:rPr>
        <w:t>’</w:t>
      </w:r>
      <w:r w:rsidRPr="00CE4A8C">
        <w:rPr>
          <w:lang w:val="fr-FR"/>
        </w:rPr>
        <w:t>autorité sanitaire locale), nationaux (l</w:t>
      </w:r>
      <w:r w:rsidR="00CE4A8C" w:rsidRPr="00CE4A8C">
        <w:rPr>
          <w:lang w:val="fr-FR"/>
        </w:rPr>
        <w:t>’</w:t>
      </w:r>
      <w:r w:rsidRPr="00CE4A8C">
        <w:rPr>
          <w:lang w:val="fr-FR"/>
        </w:rPr>
        <w:t>Institut supérieur de la santé et l</w:t>
      </w:r>
      <w:r w:rsidR="00CE4A8C" w:rsidRPr="00CE4A8C">
        <w:rPr>
          <w:lang w:val="fr-FR"/>
        </w:rPr>
        <w:t>’</w:t>
      </w:r>
      <w:r w:rsidRPr="00CE4A8C">
        <w:rPr>
          <w:lang w:val="fr-FR"/>
        </w:rPr>
        <w:t>ENEA, l</w:t>
      </w:r>
      <w:r w:rsidR="00CE4A8C" w:rsidRPr="00CE4A8C">
        <w:rPr>
          <w:lang w:val="fr-FR"/>
        </w:rPr>
        <w:t>’</w:t>
      </w:r>
      <w:r w:rsidRPr="00CE4A8C">
        <w:rPr>
          <w:lang w:val="fr-FR"/>
        </w:rPr>
        <w:t>Agence nationale pour les nouvelles technologies, l</w:t>
      </w:r>
      <w:r w:rsidR="00CE4A8C" w:rsidRPr="00CE4A8C">
        <w:rPr>
          <w:lang w:val="fr-FR"/>
        </w:rPr>
        <w:t>’</w:t>
      </w:r>
      <w:r w:rsidRPr="00CE4A8C">
        <w:rPr>
          <w:lang w:val="fr-FR"/>
        </w:rPr>
        <w:t>énergie et le développement économique et durable) et internationaux (l</w:t>
      </w:r>
      <w:r w:rsidR="00CE4A8C" w:rsidRPr="00CE4A8C">
        <w:rPr>
          <w:lang w:val="fr-FR"/>
        </w:rPr>
        <w:t>’</w:t>
      </w:r>
      <w:r w:rsidRPr="00CE4A8C">
        <w:rPr>
          <w:lang w:val="fr-FR"/>
        </w:rPr>
        <w:t>Organisation mondiale pour la Santé) avaient démontré une augmentation des tumeurs (notamment du poumon, de la plèvre et de l</w:t>
      </w:r>
      <w:r w:rsidR="00CE4A8C" w:rsidRPr="00CE4A8C">
        <w:rPr>
          <w:lang w:val="fr-FR"/>
        </w:rPr>
        <w:t>’</w:t>
      </w:r>
      <w:r w:rsidRPr="00CE4A8C">
        <w:rPr>
          <w:lang w:val="fr-FR"/>
        </w:rPr>
        <w:t>appareil digestif) dans la zone dite « à haut risque environnemental » à partir des années 70.</w:t>
      </w:r>
    </w:p>
    <w:p w:rsidR="0059426D" w:rsidRPr="00CE4A8C" w:rsidRDefault="0059426D" w:rsidP="00CE4A8C">
      <w:pPr>
        <w:pStyle w:val="ECHRPara"/>
        <w:rPr>
          <w:rFonts w:ascii="Montserrat" w:hAnsi="Montserrat" w:hint="eastAsia"/>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w:t>
      </w:r>
      <w:r w:rsidRPr="00CE4A8C">
        <w:rPr>
          <w:lang w:val="fr-FR"/>
        </w:rPr>
        <w:fldChar w:fldCharType="end"/>
      </w:r>
      <w:r w:rsidRPr="00CE4A8C">
        <w:rPr>
          <w:lang w:val="fr-FR"/>
        </w:rPr>
        <w:t>.  Selon ce même rapport, d</w:t>
      </w:r>
      <w:r w:rsidR="00CE4A8C" w:rsidRPr="00CE4A8C">
        <w:rPr>
          <w:lang w:val="fr-FR"/>
        </w:rPr>
        <w:t>’</w:t>
      </w:r>
      <w:r w:rsidRPr="00CE4A8C">
        <w:rPr>
          <w:lang w:val="fr-FR"/>
        </w:rPr>
        <w:t>autres études avaient aussi démontré la présence dans l</w:t>
      </w:r>
      <w:r w:rsidR="00CE4A8C" w:rsidRPr="00CE4A8C">
        <w:rPr>
          <w:lang w:val="fr-FR"/>
        </w:rPr>
        <w:t>’</w:t>
      </w:r>
      <w:r w:rsidRPr="00CE4A8C">
        <w:rPr>
          <w:lang w:val="fr-FR"/>
        </w:rPr>
        <w:t>air d</w:t>
      </w:r>
      <w:r w:rsidR="00CE4A8C" w:rsidRPr="00CE4A8C">
        <w:rPr>
          <w:lang w:val="fr-FR"/>
        </w:rPr>
        <w:t>’</w:t>
      </w:r>
      <w:r w:rsidRPr="00CE4A8C">
        <w:rPr>
          <w:lang w:val="fr-FR"/>
        </w:rPr>
        <w:t>une concentration élevée d</w:t>
      </w:r>
      <w:r w:rsidR="00CE4A8C" w:rsidRPr="00CE4A8C">
        <w:rPr>
          <w:lang w:val="fr-FR"/>
        </w:rPr>
        <w:t>’</w:t>
      </w:r>
      <w:r w:rsidRPr="00CE4A8C">
        <w:rPr>
          <w:lang w:val="fr-FR"/>
        </w:rPr>
        <w:t>un nombre de substances polluantes, dont la dangerosité pour la santé humaine était reconnue</w:t>
      </w:r>
      <w:r w:rsidRPr="00CE4A8C">
        <w:rPr>
          <w:rStyle w:val="Rimandonotaapidipagina"/>
          <w:lang w:val="fr-FR"/>
        </w:rPr>
        <w:footnoteReference w:id="2"/>
      </w:r>
      <w:r w:rsidRPr="00CE4A8C">
        <w:rPr>
          <w:rFonts w:ascii="Montserrat" w:hAnsi="Montserrat"/>
          <w:lang w:val="fr-FR"/>
        </w:rPr>
        <w:t>.</w:t>
      </w:r>
    </w:p>
    <w:p w:rsidR="0059426D" w:rsidRPr="00CE4A8C" w:rsidRDefault="0059426D" w:rsidP="00CE4A8C">
      <w:pPr>
        <w:pStyle w:val="ECHRHeading3"/>
        <w:rPr>
          <w:lang w:val="fr-FR"/>
        </w:rPr>
      </w:pPr>
      <w:r w:rsidRPr="00CE4A8C">
        <w:rPr>
          <w:lang w:val="fr-FR"/>
        </w:rPr>
        <w:lastRenderedPageBreak/>
        <w:t>3.  L</w:t>
      </w:r>
      <w:r w:rsidR="00CE4A8C" w:rsidRPr="00CE4A8C">
        <w:rPr>
          <w:lang w:val="fr-FR"/>
        </w:rPr>
        <w:t>’</w:t>
      </w:r>
      <w:r w:rsidRPr="00CE4A8C">
        <w:rPr>
          <w:lang w:val="fr-FR"/>
        </w:rPr>
        <w:t>étude épidémiologique de 2009</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19</w:t>
      </w:r>
      <w:r w:rsidRPr="00CE4A8C">
        <w:rPr>
          <w:lang w:val="fr-FR"/>
        </w:rPr>
        <w:fldChar w:fldCharType="end"/>
      </w:r>
      <w:r w:rsidRPr="00CE4A8C">
        <w:rPr>
          <w:lang w:val="fr-FR"/>
        </w:rPr>
        <w:t>.  En 2009, une étude épidémiologique publiée dans une revue spécialisée (« Analyse statistique de l</w:t>
      </w:r>
      <w:r w:rsidR="00CE4A8C" w:rsidRPr="00CE4A8C">
        <w:rPr>
          <w:lang w:val="fr-FR"/>
        </w:rPr>
        <w:t>’</w:t>
      </w:r>
      <w:r w:rsidRPr="00CE4A8C">
        <w:rPr>
          <w:lang w:val="fr-FR"/>
        </w:rPr>
        <w:t>incidence de certaines pathologies cancéreuses dans la province de Tarente, 1999-2002 » - EP année 33 (1-2) janvier-avril 2009) fut réalisée par des membres de l</w:t>
      </w:r>
      <w:r w:rsidR="00CE4A8C" w:rsidRPr="00CE4A8C">
        <w:rPr>
          <w:lang w:val="fr-FR"/>
        </w:rPr>
        <w:t>’</w:t>
      </w:r>
      <w:r w:rsidRPr="00CE4A8C">
        <w:rPr>
          <w:lang w:val="fr-FR"/>
        </w:rPr>
        <w:t>observatoire épidémiologique des Pouilles, de l</w:t>
      </w:r>
      <w:r w:rsidR="00CE4A8C" w:rsidRPr="00CE4A8C">
        <w:rPr>
          <w:lang w:val="fr-FR"/>
        </w:rPr>
        <w:t>’</w:t>
      </w:r>
      <w:r w:rsidRPr="00CE4A8C">
        <w:rPr>
          <w:lang w:val="fr-FR"/>
        </w:rPr>
        <w:t>université de Bari et de l</w:t>
      </w:r>
      <w:r w:rsidR="00CE4A8C" w:rsidRPr="00CE4A8C">
        <w:rPr>
          <w:lang w:val="fr-FR"/>
        </w:rPr>
        <w:t>’</w:t>
      </w:r>
      <w:r w:rsidRPr="00CE4A8C">
        <w:rPr>
          <w:lang w:val="fr-FR"/>
        </w:rPr>
        <w:t>agence régionale pour la protection de l</w:t>
      </w:r>
      <w:r w:rsidR="00CE4A8C" w:rsidRPr="00CE4A8C">
        <w:rPr>
          <w:lang w:val="fr-FR"/>
        </w:rPr>
        <w:t>’</w:t>
      </w:r>
      <w:r w:rsidRPr="00CE4A8C">
        <w:rPr>
          <w:lang w:val="fr-FR"/>
        </w:rPr>
        <w:t>environnement. Elle mit en évidence une augmentation des tumeurs du poumon, de la vessie et de la plèvre chez les hommes dans la région concernée. La zone géographiquement visée était la province de Tarente (environ 580 000 habitants), comprenant 29 communes</w:t>
      </w:r>
      <w:r w:rsidRPr="00CE4A8C">
        <w:rPr>
          <w:rStyle w:val="Rimandonotaapidipagina"/>
          <w:lang w:val="fr-FR"/>
        </w:rPr>
        <w:footnoteReference w:id="3"/>
      </w:r>
      <w:r w:rsidRPr="00CE4A8C">
        <w:rPr>
          <w:lang w:val="fr-FR"/>
        </w:rPr>
        <w:t>.</w:t>
      </w:r>
    </w:p>
    <w:p w:rsidR="0059426D" w:rsidRPr="00CE4A8C" w:rsidRDefault="0059426D" w:rsidP="00CE4A8C">
      <w:pPr>
        <w:pStyle w:val="ECHRHeading3"/>
        <w:rPr>
          <w:lang w:val="fr-FR"/>
        </w:rPr>
      </w:pPr>
      <w:r w:rsidRPr="00CE4A8C">
        <w:rPr>
          <w:lang w:val="fr-FR"/>
        </w:rPr>
        <w:t>4.  Le rapport « Environnement et santé à Tarente : preuves disponibles et indications concernant la santé publique » en date du 22 octobre 2012, dit « rapport SENTIERI » (Studio Epidemiolo</w:t>
      </w:r>
      <w:r w:rsidR="008E6EEF" w:rsidRPr="00CE4A8C">
        <w:rPr>
          <w:lang w:val="fr-FR"/>
        </w:rPr>
        <w:t xml:space="preserve">gico Nazionale del Territorio e </w:t>
      </w:r>
      <w:r w:rsidRPr="00CE4A8C">
        <w:rPr>
          <w:lang w:val="fr-FR"/>
        </w:rPr>
        <w:t>degli Insediamenti Esposti a Rischio Inquinamento) de 2012</w:t>
      </w:r>
    </w:p>
    <w:bookmarkStart w:id="2" w:name="SIN_1"/>
    <w:bookmarkStart w:id="3" w:name="SENTIERI"/>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20</w:t>
      </w:r>
      <w:r w:rsidRPr="00CE4A8C">
        <w:fldChar w:fldCharType="end"/>
      </w:r>
      <w:bookmarkEnd w:id="2"/>
      <w:bookmarkEnd w:id="3"/>
      <w:r w:rsidRPr="00CE4A8C">
        <w:rPr>
          <w:lang w:val="fr-FR"/>
        </w:rPr>
        <w:t>.  Le rapport SENTIERI de 2012, préparé par l</w:t>
      </w:r>
      <w:r w:rsidR="00CE4A8C" w:rsidRPr="00CE4A8C">
        <w:rPr>
          <w:lang w:val="fr-FR"/>
        </w:rPr>
        <w:t>’</w:t>
      </w:r>
      <w:r w:rsidRPr="00CE4A8C">
        <w:rPr>
          <w:lang w:val="fr-FR"/>
        </w:rPr>
        <w:t>Institut supérieur de la santé à la demande du ministère de la Santé, formula des recommandations d</w:t>
      </w:r>
      <w:r w:rsidR="00CE4A8C" w:rsidRPr="00CE4A8C">
        <w:rPr>
          <w:lang w:val="fr-FR"/>
        </w:rPr>
        <w:t>’</w:t>
      </w:r>
      <w:r w:rsidRPr="00CE4A8C">
        <w:rPr>
          <w:lang w:val="fr-FR"/>
        </w:rPr>
        <w:t>interventions en matière de santé publique sur la base des données concernant les causes de mortalité dans les sites d</w:t>
      </w:r>
      <w:r w:rsidR="00CE4A8C" w:rsidRPr="00CE4A8C">
        <w:rPr>
          <w:lang w:val="fr-FR"/>
        </w:rPr>
        <w:t>’</w:t>
      </w:r>
      <w:r w:rsidRPr="00CE4A8C">
        <w:rPr>
          <w:lang w:val="fr-FR"/>
        </w:rPr>
        <w:t>intérêt national pour l</w:t>
      </w:r>
      <w:r w:rsidR="00CE4A8C" w:rsidRPr="00CE4A8C">
        <w:rPr>
          <w:lang w:val="fr-FR"/>
        </w:rPr>
        <w:t>’</w:t>
      </w:r>
      <w:r w:rsidRPr="00CE4A8C">
        <w:rPr>
          <w:lang w:val="fr-FR"/>
        </w:rPr>
        <w:t xml:space="preserve">assainissement (SIN) (paragraphe </w:t>
      </w:r>
      <w:r w:rsidRPr="00CE4A8C">
        <w:fldChar w:fldCharType="begin"/>
      </w:r>
      <w:r w:rsidRPr="00CE4A8C">
        <w:rPr>
          <w:lang w:val="fr-FR"/>
        </w:rPr>
        <w:instrText xml:space="preserve"> REF SIN \h  \* MERGEFORMAT </w:instrText>
      </w:r>
      <w:r w:rsidRPr="00CE4A8C">
        <w:fldChar w:fldCharType="separate"/>
      </w:r>
      <w:r w:rsidR="00CE4A8C" w:rsidRPr="00CE4A8C">
        <w:rPr>
          <w:noProof/>
          <w:lang w:val="fr-FR"/>
        </w:rPr>
        <w:t>34</w:t>
      </w:r>
      <w:r w:rsidRPr="00CE4A8C">
        <w:fldChar w:fldCharType="end"/>
      </w:r>
      <w:r w:rsidRPr="00CE4A8C">
        <w:rPr>
          <w:lang w:val="fr-FR"/>
        </w:rPr>
        <w:t xml:space="preserve"> ci-dessous) relativement à la période 1995-2009.</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21</w:t>
      </w:r>
      <w:r w:rsidRPr="00CE4A8C">
        <w:fldChar w:fldCharType="end"/>
      </w:r>
      <w:r w:rsidRPr="00CE4A8C">
        <w:rPr>
          <w:lang w:val="fr-FR"/>
        </w:rPr>
        <w:t>.  Il en ressortait que, compte tenu de la pollution environnementale de la région concernée provenant des émissions de l</w:t>
      </w:r>
      <w:r w:rsidR="00CE4A8C" w:rsidRPr="00CE4A8C">
        <w:rPr>
          <w:lang w:val="fr-FR"/>
        </w:rPr>
        <w:t>’</w:t>
      </w:r>
      <w:r w:rsidRPr="00CE4A8C">
        <w:rPr>
          <w:lang w:val="fr-FR"/>
        </w:rPr>
        <w:t>usine Ilva, selon la distance entre le lieu de résidence des personnes concernées et les sites d</w:t>
      </w:r>
      <w:r w:rsidR="00CE4A8C" w:rsidRPr="00CE4A8C">
        <w:rPr>
          <w:lang w:val="fr-FR"/>
        </w:rPr>
        <w:t>’</w:t>
      </w:r>
      <w:r w:rsidRPr="00CE4A8C">
        <w:rPr>
          <w:lang w:val="fr-FR"/>
        </w:rPr>
        <w:t>émissions nocives pris en considération, il existait un lien de causalité entre l</w:t>
      </w:r>
      <w:r w:rsidR="00CE4A8C" w:rsidRPr="00CE4A8C">
        <w:rPr>
          <w:lang w:val="fr-FR"/>
        </w:rPr>
        <w:t>’</w:t>
      </w:r>
      <w:r w:rsidRPr="00CE4A8C">
        <w:rPr>
          <w:lang w:val="fr-FR"/>
        </w:rPr>
        <w:t>exposition environnementale à des substances cancérogènes inhalables et le développement de tumeurs des poumons et de la plèvre et de pathologies du système cardiocirculatoire.</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22</w:t>
      </w:r>
      <w:r w:rsidRPr="00CE4A8C">
        <w:fldChar w:fldCharType="end"/>
      </w:r>
      <w:r w:rsidRPr="00CE4A8C">
        <w:rPr>
          <w:lang w:val="fr-FR"/>
        </w:rPr>
        <w:t>.  De manière plus détaillée, le rapport montrait que les décès des hommes et des femmes résidant dans la région en cause pour tumeurs, maladies du système circulatoire et autres pathologies étaient supérieurs en nombre par rapport aux moyennes régionale et nationale.</w:t>
      </w:r>
    </w:p>
    <w:p w:rsidR="0059426D" w:rsidRPr="00CE4A8C" w:rsidRDefault="0059426D" w:rsidP="00CE4A8C">
      <w:pPr>
        <w:pStyle w:val="ECHRHeading3"/>
        <w:rPr>
          <w:lang w:val="fr-FR"/>
        </w:rPr>
      </w:pPr>
      <w:r w:rsidRPr="00CE4A8C">
        <w:rPr>
          <w:lang w:val="fr-FR"/>
        </w:rPr>
        <w:lastRenderedPageBreak/>
        <w:t>5.  Le rapport « Mortalité, taux de cancer et hospitalisation dans les sites d</w:t>
      </w:r>
      <w:r w:rsidR="00CE4A8C" w:rsidRPr="00CE4A8C">
        <w:rPr>
          <w:lang w:val="fr-FR"/>
        </w:rPr>
        <w:t>’</w:t>
      </w:r>
      <w:r w:rsidRPr="00CE4A8C">
        <w:rPr>
          <w:lang w:val="fr-FR"/>
        </w:rPr>
        <w:t>intérêt national pour l</w:t>
      </w:r>
      <w:r w:rsidR="00CE4A8C" w:rsidRPr="00CE4A8C">
        <w:rPr>
          <w:lang w:val="fr-FR"/>
        </w:rPr>
        <w:t>’</w:t>
      </w:r>
      <w:r w:rsidRPr="00CE4A8C">
        <w:rPr>
          <w:lang w:val="fr-FR"/>
        </w:rPr>
        <w:t>assainissement » en date du 14 mai 2014, dit « rapport SENTIERI » de 2014</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23</w:t>
      </w:r>
      <w:r w:rsidRPr="00CE4A8C">
        <w:fldChar w:fldCharType="end"/>
      </w:r>
      <w:r w:rsidRPr="00CE4A8C">
        <w:rPr>
          <w:lang w:val="fr-FR"/>
        </w:rPr>
        <w:t>.  Selon le rapport SENTIERI de 2014, le taux de mortalité dans le SIN de Tarente était en général plus important par rapport à la moyenne régionale, tant chez les hommes que chez les femmes et les enfants.</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24</w:t>
      </w:r>
      <w:r w:rsidRPr="00CE4A8C">
        <w:fldChar w:fldCharType="end"/>
      </w:r>
      <w:r w:rsidRPr="00CE4A8C">
        <w:rPr>
          <w:lang w:val="fr-FR"/>
        </w:rPr>
        <w:t>.  Selon ce même rapport, le nombre d</w:t>
      </w:r>
      <w:r w:rsidR="00CE4A8C" w:rsidRPr="00CE4A8C">
        <w:rPr>
          <w:lang w:val="fr-FR"/>
        </w:rPr>
        <w:t>’</w:t>
      </w:r>
      <w:r w:rsidRPr="00CE4A8C">
        <w:rPr>
          <w:lang w:val="fr-FR"/>
        </w:rPr>
        <w:t>hospitalisations pour cancers et pathologies du système cardiocirculatoire était aussi plus important par rapport à la moyenne régionale.</w:t>
      </w:r>
    </w:p>
    <w:p w:rsidR="0059426D" w:rsidRPr="00CE4A8C" w:rsidRDefault="0059426D" w:rsidP="00CE4A8C">
      <w:pPr>
        <w:pStyle w:val="ECHRHeading3"/>
        <w:rPr>
          <w:lang w:val="fr-FR"/>
        </w:rPr>
      </w:pPr>
      <w:r w:rsidRPr="00CE4A8C">
        <w:rPr>
          <w:lang w:val="fr-FR"/>
        </w:rPr>
        <w:t>6.  L</w:t>
      </w:r>
      <w:r w:rsidR="00CE4A8C" w:rsidRPr="00CE4A8C">
        <w:rPr>
          <w:lang w:val="fr-FR"/>
        </w:rPr>
        <w:t>’</w:t>
      </w:r>
      <w:r w:rsidRPr="00CE4A8C">
        <w:rPr>
          <w:lang w:val="fr-FR"/>
        </w:rPr>
        <w:t>étude de cohorte sur les effets des expositions (environnementales et sur le lieu de travail) sur les pathologies et la mortalité de la population résidant à Tarente, d</w:t>
      </w:r>
      <w:r w:rsidR="00CE4A8C" w:rsidRPr="00CE4A8C">
        <w:rPr>
          <w:lang w:val="fr-FR"/>
        </w:rPr>
        <w:t>’</w:t>
      </w:r>
      <w:r w:rsidRPr="00CE4A8C">
        <w:rPr>
          <w:lang w:val="fr-FR"/>
        </w:rPr>
        <w:t>août 2016 (« l</w:t>
      </w:r>
      <w:r w:rsidR="00CE4A8C" w:rsidRPr="00CE4A8C">
        <w:rPr>
          <w:lang w:val="fr-FR"/>
        </w:rPr>
        <w:t>’</w:t>
      </w:r>
      <w:r w:rsidRPr="00CE4A8C">
        <w:rPr>
          <w:lang w:val="fr-FR"/>
        </w:rPr>
        <w:t>étude de cohorte »)</w:t>
      </w:r>
    </w:p>
    <w:bookmarkStart w:id="4" w:name="coohrte"/>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25</w:t>
      </w:r>
      <w:r w:rsidRPr="00CE4A8C">
        <w:rPr>
          <w:lang w:val="fr-FR"/>
        </w:rPr>
        <w:fldChar w:fldCharType="end"/>
      </w:r>
      <w:bookmarkEnd w:id="4"/>
      <w:r w:rsidRPr="00CE4A8C">
        <w:rPr>
          <w:lang w:val="fr-FR"/>
        </w:rPr>
        <w:t>.  Menée par le département d</w:t>
      </w:r>
      <w:r w:rsidR="00CE4A8C" w:rsidRPr="00CE4A8C">
        <w:rPr>
          <w:lang w:val="fr-FR"/>
        </w:rPr>
        <w:t>’</w:t>
      </w:r>
      <w:r w:rsidRPr="00CE4A8C">
        <w:rPr>
          <w:lang w:val="fr-FR"/>
        </w:rPr>
        <w:t>épidémiologie du service sanitaire régional du Latium, l</w:t>
      </w:r>
      <w:r w:rsidR="00CE4A8C" w:rsidRPr="00CE4A8C">
        <w:rPr>
          <w:lang w:val="fr-FR"/>
        </w:rPr>
        <w:t>’</w:t>
      </w:r>
      <w:r w:rsidRPr="00CE4A8C">
        <w:rPr>
          <w:lang w:val="fr-FR"/>
        </w:rPr>
        <w:t>ARPA, le centre pour la santé et l</w:t>
      </w:r>
      <w:r w:rsidR="00CE4A8C" w:rsidRPr="00CE4A8C">
        <w:rPr>
          <w:lang w:val="fr-FR"/>
        </w:rPr>
        <w:t>’</w:t>
      </w:r>
      <w:r w:rsidRPr="00CE4A8C">
        <w:rPr>
          <w:lang w:val="fr-FR"/>
        </w:rPr>
        <w:t>environnement des Pouilles et l</w:t>
      </w:r>
      <w:r w:rsidR="00CE4A8C" w:rsidRPr="00CE4A8C">
        <w:rPr>
          <w:lang w:val="fr-FR"/>
        </w:rPr>
        <w:t>’</w:t>
      </w:r>
      <w:r w:rsidRPr="00CE4A8C">
        <w:rPr>
          <w:lang w:val="fr-FR"/>
        </w:rPr>
        <w:t>ASL (l</w:t>
      </w:r>
      <w:r w:rsidR="00CE4A8C" w:rsidRPr="00CE4A8C">
        <w:rPr>
          <w:lang w:val="fr-FR"/>
        </w:rPr>
        <w:t>’</w:t>
      </w:r>
      <w:r w:rsidRPr="00CE4A8C">
        <w:rPr>
          <w:lang w:val="fr-FR"/>
        </w:rPr>
        <w:t>agence sanitaire locale) de Tarente, l</w:t>
      </w:r>
      <w:r w:rsidR="00CE4A8C" w:rsidRPr="00CE4A8C">
        <w:rPr>
          <w:lang w:val="fr-FR"/>
        </w:rPr>
        <w:t>’</w:t>
      </w:r>
      <w:r w:rsidRPr="00CE4A8C">
        <w:rPr>
          <w:lang w:val="fr-FR"/>
        </w:rPr>
        <w:t>étude de cohorte concerna 321 356 personnes résidant dans les communes de Tarente, Massafra et Statte entre le 1</w:t>
      </w:r>
      <w:r w:rsidRPr="00CE4A8C">
        <w:rPr>
          <w:vertAlign w:val="superscript"/>
          <w:lang w:val="fr-FR"/>
        </w:rPr>
        <w:t>er</w:t>
      </w:r>
      <w:r w:rsidRPr="00CE4A8C">
        <w:rPr>
          <w:lang w:val="fr-FR"/>
        </w:rPr>
        <w:t xml:space="preserve"> janvier 1996 et le 31 décembre 2010.</w:t>
      </w:r>
    </w:p>
    <w:bookmarkStart w:id="5" w:name="cohorte_2"/>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26</w:t>
      </w:r>
      <w:r w:rsidRPr="00CE4A8C">
        <w:rPr>
          <w:lang w:val="fr-FR"/>
        </w:rPr>
        <w:fldChar w:fldCharType="end"/>
      </w:r>
      <w:bookmarkEnd w:id="5"/>
      <w:r w:rsidRPr="00CE4A8C">
        <w:rPr>
          <w:lang w:val="fr-FR"/>
        </w:rPr>
        <w:t>.  Cette étude démontra un lien de causalité entre l</w:t>
      </w:r>
      <w:r w:rsidR="00CE4A8C" w:rsidRPr="00CE4A8C">
        <w:rPr>
          <w:lang w:val="fr-FR"/>
        </w:rPr>
        <w:t>’</w:t>
      </w:r>
      <w:r w:rsidRPr="00CE4A8C">
        <w:rPr>
          <w:lang w:val="fr-FR"/>
        </w:rPr>
        <w:t>exposition aux PM10</w:t>
      </w:r>
      <w:r w:rsidRPr="00CE4A8C">
        <w:rPr>
          <w:rStyle w:val="Rimandonotaapidipagina"/>
          <w:lang w:val="fr-FR"/>
        </w:rPr>
        <w:footnoteReference w:id="4"/>
      </w:r>
      <w:r w:rsidRPr="00CE4A8C">
        <w:rPr>
          <w:lang w:val="fr-FR"/>
        </w:rPr>
        <w:t xml:space="preserve"> et au SO</w:t>
      </w:r>
      <w:r w:rsidRPr="00CE4A8C">
        <w:rPr>
          <w:vertAlign w:val="subscript"/>
          <w:lang w:val="fr-FR"/>
        </w:rPr>
        <w:t>2</w:t>
      </w:r>
      <w:r w:rsidRPr="00CE4A8C">
        <w:rPr>
          <w:rStyle w:val="Rimandonotaapidipagina"/>
          <w:lang w:val="fr-FR"/>
        </w:rPr>
        <w:footnoteReference w:id="5"/>
      </w:r>
      <w:r w:rsidRPr="00CE4A8C">
        <w:rPr>
          <w:lang w:val="fr-FR"/>
        </w:rPr>
        <w:t xml:space="preserve"> d</w:t>
      </w:r>
      <w:r w:rsidR="00CE4A8C" w:rsidRPr="00CE4A8C">
        <w:rPr>
          <w:lang w:val="fr-FR"/>
        </w:rPr>
        <w:t>’</w:t>
      </w:r>
      <w:r w:rsidRPr="00CE4A8C">
        <w:rPr>
          <w:lang w:val="fr-FR"/>
        </w:rPr>
        <w:t>origine industrielle, due à l</w:t>
      </w:r>
      <w:r w:rsidR="00CE4A8C" w:rsidRPr="00CE4A8C">
        <w:rPr>
          <w:lang w:val="fr-FR"/>
        </w:rPr>
        <w:t>’</w:t>
      </w:r>
      <w:r w:rsidRPr="00CE4A8C">
        <w:rPr>
          <w:lang w:val="fr-FR"/>
        </w:rPr>
        <w:t>activité productive de la société Ilva, et l</w:t>
      </w:r>
      <w:r w:rsidR="00CE4A8C" w:rsidRPr="00CE4A8C">
        <w:rPr>
          <w:lang w:val="fr-FR"/>
        </w:rPr>
        <w:t>’</w:t>
      </w:r>
      <w:r w:rsidRPr="00CE4A8C">
        <w:rPr>
          <w:lang w:val="fr-FR"/>
        </w:rPr>
        <w:t>augmentation de la mortalité pour causes naturelles, tumeurs, maladies rénales et cardiovasculaires chez les résidents.</w:t>
      </w:r>
    </w:p>
    <w:p w:rsidR="0059426D" w:rsidRPr="00CE4A8C" w:rsidRDefault="0059426D" w:rsidP="00CE4A8C">
      <w:pPr>
        <w:pStyle w:val="ECHRHeading3"/>
        <w:rPr>
          <w:lang w:val="fr-FR"/>
        </w:rPr>
      </w:pPr>
      <w:r w:rsidRPr="00CE4A8C">
        <w:rPr>
          <w:lang w:val="fr-FR"/>
        </w:rPr>
        <w:t>7.  Le rapport du registre des tumeurs de Tarente de 2016, concernant les années 2006-2011</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27</w:t>
      </w:r>
      <w:r w:rsidRPr="00CE4A8C">
        <w:rPr>
          <w:lang w:val="fr-FR"/>
        </w:rPr>
        <w:fldChar w:fldCharType="end"/>
      </w:r>
      <w:r w:rsidRPr="00CE4A8C">
        <w:rPr>
          <w:lang w:val="fr-FR"/>
        </w:rPr>
        <w:t>.  Le rapport du registre des tumeurs de Tarente de 2016, qui faisait suite à une première étude de 2014, confirma une plus forte incidence néoplasique dans la commune de Tarente par rapport au reste de la province, entre autres pour le cancer de l</w:t>
      </w:r>
      <w:r w:rsidR="00CE4A8C" w:rsidRPr="00CE4A8C">
        <w:rPr>
          <w:lang w:val="fr-FR"/>
        </w:rPr>
        <w:t>’</w:t>
      </w:r>
      <w:r w:rsidRPr="00CE4A8C">
        <w:rPr>
          <w:lang w:val="fr-FR"/>
        </w:rPr>
        <w:t>estomac, du côlon, du foie, du poumon, du rein, de la vessie, de la thyroïde, du sein, de l</w:t>
      </w:r>
      <w:r w:rsidR="00CE4A8C" w:rsidRPr="00CE4A8C">
        <w:rPr>
          <w:lang w:val="fr-FR"/>
        </w:rPr>
        <w:t>’</w:t>
      </w:r>
      <w:r w:rsidRPr="00CE4A8C">
        <w:rPr>
          <w:lang w:val="fr-FR"/>
        </w:rPr>
        <w:t>utérus et de la prostate.</w:t>
      </w:r>
    </w:p>
    <w:p w:rsidR="0059426D" w:rsidRPr="00CE4A8C" w:rsidRDefault="0059426D" w:rsidP="00CE4A8C">
      <w:pPr>
        <w:pStyle w:val="ECHRHeading3"/>
        <w:rPr>
          <w:lang w:val="fr-FR"/>
        </w:rPr>
      </w:pPr>
      <w:r w:rsidRPr="00CE4A8C">
        <w:rPr>
          <w:lang w:val="fr-FR"/>
        </w:rPr>
        <w:t>8.  Le rapport de l</w:t>
      </w:r>
      <w:r w:rsidR="00CE4A8C" w:rsidRPr="00CE4A8C">
        <w:rPr>
          <w:lang w:val="fr-FR"/>
        </w:rPr>
        <w:t>’</w:t>
      </w:r>
      <w:r w:rsidRPr="00CE4A8C">
        <w:rPr>
          <w:lang w:val="fr-FR"/>
        </w:rPr>
        <w:t>ARPA de 2016</w:t>
      </w:r>
    </w:p>
    <w:bookmarkStart w:id="6" w:name="AIA_rexaminée_1"/>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28</w:t>
      </w:r>
      <w:r w:rsidRPr="00CE4A8C">
        <w:rPr>
          <w:lang w:val="fr-FR"/>
        </w:rPr>
        <w:fldChar w:fldCharType="end"/>
      </w:r>
      <w:bookmarkEnd w:id="6"/>
      <w:r w:rsidRPr="00CE4A8C">
        <w:rPr>
          <w:lang w:val="fr-FR"/>
        </w:rPr>
        <w:t>.  Selon le rapport de l</w:t>
      </w:r>
      <w:r w:rsidR="00CE4A8C" w:rsidRPr="00CE4A8C">
        <w:rPr>
          <w:lang w:val="fr-FR"/>
        </w:rPr>
        <w:t>’</w:t>
      </w:r>
      <w:r w:rsidRPr="00CE4A8C">
        <w:rPr>
          <w:lang w:val="fr-FR"/>
        </w:rPr>
        <w:t>ARPA de 2016 (« Rapport complémentaire sur le contrôle des dépôts de dioxines à Tarente »), qui faisait suite au réexamen de l</w:t>
      </w:r>
      <w:r w:rsidR="00CE4A8C" w:rsidRPr="00CE4A8C">
        <w:rPr>
          <w:lang w:val="fr-FR"/>
        </w:rPr>
        <w:t>’</w:t>
      </w:r>
      <w:r w:rsidRPr="00CE4A8C">
        <w:rPr>
          <w:lang w:val="fr-FR"/>
        </w:rPr>
        <w:t>autorisation environnementale intégrée accordée à la société Ilva (paragraphe </w:t>
      </w:r>
      <w:r w:rsidRPr="00CE4A8C">
        <w:rPr>
          <w:lang w:val="fr-FR"/>
        </w:rPr>
        <w:fldChar w:fldCharType="begin"/>
      </w:r>
      <w:r w:rsidRPr="00CE4A8C">
        <w:rPr>
          <w:lang w:val="fr-FR"/>
        </w:rPr>
        <w:instrText xml:space="preserve"> REF AIA_rexaminée \h  \* MERGEFORMAT </w:instrText>
      </w:r>
      <w:r w:rsidRPr="00CE4A8C">
        <w:rPr>
          <w:lang w:val="fr-FR"/>
        </w:rPr>
      </w:r>
      <w:r w:rsidRPr="00CE4A8C">
        <w:rPr>
          <w:lang w:val="fr-FR"/>
        </w:rPr>
        <w:fldChar w:fldCharType="separate"/>
      </w:r>
      <w:r w:rsidR="00CE4A8C" w:rsidRPr="00CE4A8C">
        <w:rPr>
          <w:noProof/>
          <w:lang w:val="fr-FR"/>
        </w:rPr>
        <w:t>45</w:t>
      </w:r>
      <w:r w:rsidRPr="00CE4A8C">
        <w:rPr>
          <w:lang w:val="fr-FR"/>
        </w:rPr>
        <w:fldChar w:fldCharType="end"/>
      </w:r>
      <w:r w:rsidRPr="00CE4A8C">
        <w:rPr>
          <w:lang w:val="fr-FR"/>
        </w:rPr>
        <w:t xml:space="preserve"> ci</w:t>
      </w:r>
      <w:r w:rsidRPr="00CE4A8C">
        <w:rPr>
          <w:lang w:val="fr-FR"/>
        </w:rPr>
        <w:noBreakHyphen/>
        <w:t>dessous), concernant l</w:t>
      </w:r>
      <w:r w:rsidR="00CE4A8C" w:rsidRPr="00CE4A8C">
        <w:rPr>
          <w:lang w:val="fr-FR"/>
        </w:rPr>
        <w:t>’</w:t>
      </w:r>
      <w:r w:rsidRPr="00CE4A8C">
        <w:rPr>
          <w:lang w:val="fr-FR"/>
        </w:rPr>
        <w:t>activité de six stations de surveillance de la qualité de l</w:t>
      </w:r>
      <w:r w:rsidR="00CE4A8C" w:rsidRPr="00CE4A8C">
        <w:rPr>
          <w:lang w:val="fr-FR"/>
        </w:rPr>
        <w:t>’</w:t>
      </w:r>
      <w:r w:rsidRPr="00CE4A8C">
        <w:rPr>
          <w:lang w:val="fr-FR"/>
        </w:rPr>
        <w:t>air, le niveau de dioxines dans le quartier Tamburi (Tarente) était excessif par rapport à celui autorisé.</w:t>
      </w:r>
    </w:p>
    <w:p w:rsidR="0059426D" w:rsidRPr="00CE4A8C" w:rsidRDefault="0059426D" w:rsidP="00CE4A8C">
      <w:pPr>
        <w:pStyle w:val="ECHRHeading3"/>
        <w:rPr>
          <w:lang w:val="fr-FR"/>
        </w:rPr>
      </w:pPr>
      <w:r w:rsidRPr="00CE4A8C">
        <w:rPr>
          <w:lang w:val="fr-FR"/>
        </w:rPr>
        <w:lastRenderedPageBreak/>
        <w:t>9.  Le rapport de l</w:t>
      </w:r>
      <w:r w:rsidR="00CE4A8C" w:rsidRPr="00CE4A8C">
        <w:rPr>
          <w:lang w:val="fr-FR"/>
        </w:rPr>
        <w:t>’</w:t>
      </w:r>
      <w:r w:rsidRPr="00CE4A8C">
        <w:rPr>
          <w:lang w:val="fr-FR"/>
        </w:rPr>
        <w:t>ARPA de 2017</w:t>
      </w:r>
    </w:p>
    <w:bookmarkStart w:id="7" w:name="ARPA_2017"/>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29</w:t>
      </w:r>
      <w:r w:rsidRPr="00CE4A8C">
        <w:rPr>
          <w:lang w:val="fr-FR"/>
        </w:rPr>
        <w:fldChar w:fldCharType="end"/>
      </w:r>
      <w:bookmarkEnd w:id="7"/>
      <w:r w:rsidRPr="00CE4A8C">
        <w:rPr>
          <w:lang w:val="fr-FR"/>
        </w:rPr>
        <w:t>.  Se basant, entre autres, sur les données du registre des tumeurs de Tarente, le rapport de l</w:t>
      </w:r>
      <w:r w:rsidR="00CE4A8C" w:rsidRPr="00CE4A8C">
        <w:rPr>
          <w:lang w:val="fr-FR"/>
        </w:rPr>
        <w:t>’</w:t>
      </w:r>
      <w:r w:rsidRPr="00CE4A8C">
        <w:rPr>
          <w:lang w:val="fr-FR"/>
        </w:rPr>
        <w:t>ARPA de 2017 (« Évaluation du préjudice sanitaire – Établissement de la société Ilva de Tarente ») fit état de la permanence d</w:t>
      </w:r>
      <w:r w:rsidR="00CE4A8C" w:rsidRPr="00CE4A8C">
        <w:rPr>
          <w:lang w:val="fr-FR"/>
        </w:rPr>
        <w:t>’</w:t>
      </w:r>
      <w:r w:rsidRPr="00CE4A8C">
        <w:rPr>
          <w:lang w:val="fr-FR"/>
        </w:rPr>
        <w:t>une situation de criticité sanitaire dans la zone « à haut risque environnemental » et dans le SIN de Tarente, où le taux de mortalité et d</w:t>
      </w:r>
      <w:r w:rsidR="00CE4A8C" w:rsidRPr="00CE4A8C">
        <w:rPr>
          <w:lang w:val="fr-FR"/>
        </w:rPr>
        <w:t>’</w:t>
      </w:r>
      <w:r w:rsidRPr="00CE4A8C">
        <w:rPr>
          <w:lang w:val="fr-FR"/>
        </w:rPr>
        <w:t>hospitalisation pour certaines pathologies oncologiques, cardiovasculaires, respiratoires et digestives était supérieur par rapport à la moyenne régionale.</w:t>
      </w:r>
    </w:p>
    <w:p w:rsidR="00CE4A8C" w:rsidRPr="00CE4A8C" w:rsidRDefault="0059426D" w:rsidP="00CE4A8C">
      <w:pPr>
        <w:pStyle w:val="ECHRPara"/>
        <w:rPr>
          <w:noProof/>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30</w:t>
      </w:r>
      <w:r w:rsidRPr="00CE4A8C">
        <w:rPr>
          <w:lang w:val="fr-FR"/>
        </w:rPr>
        <w:fldChar w:fldCharType="end"/>
      </w:r>
      <w:r w:rsidRPr="00CE4A8C">
        <w:rPr>
          <w:lang w:val="fr-FR"/>
        </w:rPr>
        <w:t>.  En outre, selon le rapport de l</w:t>
      </w:r>
      <w:r w:rsidR="00CE4A8C" w:rsidRPr="00CE4A8C">
        <w:rPr>
          <w:lang w:val="fr-FR"/>
        </w:rPr>
        <w:t>’</w:t>
      </w:r>
      <w:r w:rsidRPr="00CE4A8C">
        <w:rPr>
          <w:lang w:val="fr-FR"/>
        </w:rPr>
        <w:t>ARPA, il existait un lien de causalité entre les émissions industrielles et le préjudice sanitaire dans la région de Tarente. Par conséquent, ledit rapport recommandait la poursuite de la surveillance épidémiologique de la population et la mise en place de toute mesure visant à garantir la santé de celle-ci, au moyen notamment de l</w:t>
      </w:r>
      <w:r w:rsidR="00CE4A8C" w:rsidRPr="00CE4A8C">
        <w:rPr>
          <w:lang w:val="fr-FR"/>
        </w:rPr>
        <w:t>’</w:t>
      </w:r>
      <w:r w:rsidRPr="00CE4A8C">
        <w:rPr>
          <w:lang w:val="fr-FR"/>
        </w:rPr>
        <w:t>utilisation des « meilleures techniques disponibles » (paragraphe</w:t>
      </w:r>
      <w:r w:rsidR="003E1EFF" w:rsidRPr="00CE4A8C">
        <w:rPr>
          <w:lang w:val="fr-FR"/>
        </w:rPr>
        <w:t> </w:t>
      </w:r>
      <w:r w:rsidRPr="00CE4A8C">
        <w:rPr>
          <w:rFonts w:asciiTheme="majorHAnsi" w:eastAsiaTheme="majorEastAsia" w:hAnsiTheme="majorHAnsi" w:cstheme="majorBidi"/>
          <w:b/>
          <w:bCs/>
          <w:iCs/>
          <w:sz w:val="20"/>
        </w:rPr>
        <w:fldChar w:fldCharType="begin"/>
      </w:r>
      <w:r w:rsidRPr="00CE4A8C">
        <w:rPr>
          <w:lang w:val="fr-FR"/>
        </w:rPr>
        <w:instrText xml:space="preserve"> REF BAT \h  \* MERGEFORMAT </w:instrText>
      </w:r>
      <w:r w:rsidRPr="00CE4A8C">
        <w:rPr>
          <w:rFonts w:asciiTheme="majorHAnsi" w:eastAsiaTheme="majorEastAsia" w:hAnsiTheme="majorHAnsi" w:cstheme="majorBidi"/>
          <w:b/>
          <w:bCs/>
          <w:iCs/>
          <w:sz w:val="20"/>
        </w:rPr>
      </w:r>
      <w:r w:rsidRPr="00CE4A8C">
        <w:rPr>
          <w:rFonts w:asciiTheme="majorHAnsi" w:eastAsiaTheme="majorEastAsia" w:hAnsiTheme="majorHAnsi" w:cstheme="majorBidi"/>
          <w:b/>
          <w:bCs/>
          <w:iCs/>
          <w:sz w:val="20"/>
        </w:rPr>
        <w:fldChar w:fldCharType="separate"/>
      </w:r>
    </w:p>
    <w:p w:rsidR="0059426D" w:rsidRPr="00CE4A8C" w:rsidRDefault="00CE4A8C" w:rsidP="00CE4A8C">
      <w:pPr>
        <w:pStyle w:val="ECHRPara"/>
        <w:rPr>
          <w:noProof/>
          <w:lang w:val="fr-FR"/>
        </w:rPr>
      </w:pPr>
      <w:r w:rsidRPr="00CE4A8C">
        <w:rPr>
          <w:noProof/>
          <w:lang w:val="fr-FR"/>
        </w:rPr>
        <w:t>44</w:t>
      </w:r>
      <w:r w:rsidR="0059426D" w:rsidRPr="00CE4A8C">
        <w:rPr>
          <w:lang w:val="fr-FR"/>
        </w:rPr>
        <w:fldChar w:fldCharType="end"/>
      </w:r>
      <w:r w:rsidR="0059426D" w:rsidRPr="00CE4A8C">
        <w:rPr>
          <w:lang w:val="fr-FR"/>
        </w:rPr>
        <w:t xml:space="preserve"> ci</w:t>
      </w:r>
      <w:r w:rsidR="0059426D" w:rsidRPr="00CE4A8C">
        <w:rPr>
          <w:lang w:val="fr-FR"/>
        </w:rPr>
        <w:noBreakHyphen/>
        <w:t>dessous) pour la contention des émissions industrielles polluantes.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31</w:t>
      </w:r>
      <w:r w:rsidRPr="00CE4A8C">
        <w:rPr>
          <w:lang w:val="fr-FR"/>
        </w:rPr>
        <w:fldChar w:fldCharType="end"/>
      </w:r>
      <w:r w:rsidRPr="00CE4A8C">
        <w:rPr>
          <w:lang w:val="fr-FR"/>
        </w:rPr>
        <w:t>.  De plus, toujours selon ce rapport, au moment de la rédaction de ce dernier, les émissions industrielles étaient réduites en raison de la fermeture provisoire d</w:t>
      </w:r>
      <w:r w:rsidR="00CE4A8C" w:rsidRPr="00CE4A8C">
        <w:rPr>
          <w:lang w:val="fr-FR"/>
        </w:rPr>
        <w:t>’</w:t>
      </w:r>
      <w:r w:rsidRPr="00CE4A8C">
        <w:rPr>
          <w:lang w:val="fr-FR"/>
        </w:rPr>
        <w:t>une grande partie de la cokerie, source majeure des polluants cancérogènes. Il était toutefois noté que la situation pourrait changer de manière drastique lors de la reprise de leur fonctionnement par les installations dans leur ensemble, laquelle induirait un impact certain sur la santé des personnes.</w:t>
      </w:r>
    </w:p>
    <w:p w:rsidR="0059426D" w:rsidRPr="00CE4A8C" w:rsidRDefault="0059426D" w:rsidP="00CE4A8C">
      <w:pPr>
        <w:pStyle w:val="ECHRHeading2"/>
        <w:rPr>
          <w:lang w:val="fr-FR"/>
        </w:rPr>
      </w:pPr>
      <w:r w:rsidRPr="00CE4A8C">
        <w:rPr>
          <w:lang w:val="fr-FR"/>
        </w:rPr>
        <w:t>C.  Les mesures administratives et législatives</w:t>
      </w:r>
    </w:p>
    <w:p w:rsidR="0059426D" w:rsidRPr="00CE4A8C" w:rsidRDefault="0059426D" w:rsidP="00CE4A8C">
      <w:pPr>
        <w:pStyle w:val="ECHRHeading3"/>
        <w:rPr>
          <w:lang w:val="fr-FR"/>
        </w:rPr>
      </w:pPr>
      <w:r w:rsidRPr="00CE4A8C">
        <w:rPr>
          <w:lang w:val="fr-FR"/>
        </w:rPr>
        <w:t>1.  L</w:t>
      </w:r>
      <w:r w:rsidR="00CE4A8C" w:rsidRPr="00CE4A8C">
        <w:rPr>
          <w:lang w:val="fr-FR"/>
        </w:rPr>
        <w:t>’</w:t>
      </w:r>
      <w:r w:rsidRPr="00CE4A8C">
        <w:rPr>
          <w:lang w:val="fr-FR"/>
        </w:rPr>
        <w:t>approbation du plan de dépollution de la province de Tarente</w:t>
      </w:r>
    </w:p>
    <w:bookmarkStart w:id="8" w:name="zone_haut_risque_env"/>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32</w:t>
      </w:r>
      <w:r w:rsidRPr="00CE4A8C">
        <w:rPr>
          <w:lang w:val="fr-FR"/>
        </w:rPr>
        <w:fldChar w:fldCharType="end"/>
      </w:r>
      <w:bookmarkEnd w:id="8"/>
      <w:r w:rsidRPr="00CE4A8C">
        <w:rPr>
          <w:lang w:val="fr-FR"/>
        </w:rPr>
        <w:t>.  Par une délibération du 30 novembre 1990, le Conseil des ministres identifia les communes « à haut risque environnemental » (communes de Tarente, Crispiano, Massafra, Montemesola et Statte) et demanda au ministère de l</w:t>
      </w:r>
      <w:r w:rsidR="00CE4A8C" w:rsidRPr="00CE4A8C">
        <w:rPr>
          <w:lang w:val="fr-FR"/>
        </w:rPr>
        <w:t>’</w:t>
      </w:r>
      <w:r w:rsidRPr="00CE4A8C">
        <w:rPr>
          <w:lang w:val="fr-FR"/>
        </w:rPr>
        <w:t>Environnement de mettre en place un plan de dépollution en vue de l</w:t>
      </w:r>
      <w:r w:rsidR="00CE4A8C" w:rsidRPr="00CE4A8C">
        <w:rPr>
          <w:lang w:val="fr-FR"/>
        </w:rPr>
        <w:t>’</w:t>
      </w:r>
      <w:r w:rsidRPr="00CE4A8C">
        <w:rPr>
          <w:lang w:val="fr-FR"/>
        </w:rPr>
        <w:t>assainissement du territoire.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33</w:t>
      </w:r>
      <w:r w:rsidRPr="00CE4A8C">
        <w:rPr>
          <w:lang w:val="fr-FR"/>
        </w:rPr>
        <w:fldChar w:fldCharType="end"/>
      </w:r>
      <w:r w:rsidRPr="00CE4A8C">
        <w:rPr>
          <w:lang w:val="fr-FR"/>
        </w:rPr>
        <w:t>.  Par un décret du 15 juin 1995, le ministère de l</w:t>
      </w:r>
      <w:r w:rsidR="00CE4A8C" w:rsidRPr="00CE4A8C">
        <w:rPr>
          <w:lang w:val="fr-FR"/>
        </w:rPr>
        <w:t>’</w:t>
      </w:r>
      <w:r w:rsidRPr="00CE4A8C">
        <w:rPr>
          <w:lang w:val="fr-FR"/>
        </w:rPr>
        <w:t>Environnement institua une commission composée de membres du gouvernement, du conseil régional des Pouilles et d</w:t>
      </w:r>
      <w:r w:rsidR="00CE4A8C" w:rsidRPr="00CE4A8C">
        <w:rPr>
          <w:lang w:val="fr-FR"/>
        </w:rPr>
        <w:t>’</w:t>
      </w:r>
      <w:r w:rsidRPr="00CE4A8C">
        <w:rPr>
          <w:lang w:val="fr-FR"/>
        </w:rPr>
        <w:t>institutions locales afin qu</w:t>
      </w:r>
      <w:r w:rsidR="00CE4A8C" w:rsidRPr="00CE4A8C">
        <w:rPr>
          <w:lang w:val="fr-FR"/>
        </w:rPr>
        <w:t>’</w:t>
      </w:r>
      <w:r w:rsidRPr="00CE4A8C">
        <w:rPr>
          <w:lang w:val="fr-FR"/>
        </w:rPr>
        <w:t>il fût procédé au recueil des données nécessaires à la réalisation dudit plan. Le ministère ordonna entre autres la réalisation d</w:t>
      </w:r>
      <w:r w:rsidR="00CE4A8C" w:rsidRPr="00CE4A8C">
        <w:rPr>
          <w:lang w:val="fr-FR"/>
        </w:rPr>
        <w:t>’</w:t>
      </w:r>
      <w:r w:rsidRPr="00CE4A8C">
        <w:rPr>
          <w:lang w:val="fr-FR"/>
        </w:rPr>
        <w:t>études épidémiologiques et la création d</w:t>
      </w:r>
      <w:r w:rsidR="00CE4A8C" w:rsidRPr="00CE4A8C">
        <w:rPr>
          <w:lang w:val="fr-FR"/>
        </w:rPr>
        <w:t>’</w:t>
      </w:r>
      <w:r w:rsidRPr="00CE4A8C">
        <w:rPr>
          <w:lang w:val="fr-FR"/>
        </w:rPr>
        <w:t>un registre des tumeurs aux fins du recueil des données statistiques concernant le développement des pathologies tumorales dans le territoire concerné.</w:t>
      </w:r>
    </w:p>
    <w:bookmarkStart w:id="9" w:name="SIN"/>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34</w:t>
      </w:r>
      <w:r w:rsidRPr="00CE4A8C">
        <w:rPr>
          <w:lang w:val="fr-FR"/>
        </w:rPr>
        <w:fldChar w:fldCharType="end"/>
      </w:r>
      <w:bookmarkEnd w:id="9"/>
      <w:r w:rsidRPr="00CE4A8C">
        <w:rPr>
          <w:lang w:val="fr-FR"/>
        </w:rPr>
        <w:t>.  Par un décret du ministère de l</w:t>
      </w:r>
      <w:r w:rsidR="00CE4A8C" w:rsidRPr="00CE4A8C">
        <w:rPr>
          <w:lang w:val="fr-FR"/>
        </w:rPr>
        <w:t>’</w:t>
      </w:r>
      <w:r w:rsidRPr="00CE4A8C">
        <w:rPr>
          <w:lang w:val="fr-FR"/>
        </w:rPr>
        <w:t>Environnement du 10 janvier 2000, faisant suite à la loi n</w:t>
      </w:r>
      <w:r w:rsidRPr="00CE4A8C">
        <w:rPr>
          <w:vertAlign w:val="superscript"/>
          <w:lang w:val="fr-FR"/>
        </w:rPr>
        <w:t>o</w:t>
      </w:r>
      <w:r w:rsidRPr="00CE4A8C">
        <w:rPr>
          <w:lang w:val="fr-FR"/>
        </w:rPr>
        <w:t xml:space="preserve"> 426/2008, les communes de Tarente et Statte furent incluses parmi les SIN (paragraphe </w:t>
      </w:r>
      <w:r w:rsidRPr="00CE4A8C">
        <w:rPr>
          <w:lang w:val="fr-FR"/>
        </w:rPr>
        <w:fldChar w:fldCharType="begin"/>
      </w:r>
      <w:r w:rsidRPr="00CE4A8C">
        <w:rPr>
          <w:lang w:val="fr-FR"/>
        </w:rPr>
        <w:instrText xml:space="preserve"> REF SIN_1 \h  \* MERGEFORMAT </w:instrText>
      </w:r>
      <w:r w:rsidRPr="00CE4A8C">
        <w:rPr>
          <w:lang w:val="fr-FR"/>
        </w:rPr>
      </w:r>
      <w:r w:rsidRPr="00CE4A8C">
        <w:rPr>
          <w:lang w:val="fr-FR"/>
        </w:rPr>
        <w:fldChar w:fldCharType="separate"/>
      </w:r>
      <w:r w:rsidR="00CE4A8C" w:rsidRPr="00CE4A8C">
        <w:rPr>
          <w:noProof/>
          <w:lang w:val="fr-FR"/>
        </w:rPr>
        <w:t>20</w:t>
      </w:r>
      <w:r w:rsidRPr="00CE4A8C">
        <w:rPr>
          <w:lang w:val="fr-FR"/>
        </w:rPr>
        <w:fldChar w:fldCharType="end"/>
      </w:r>
      <w:r w:rsidRPr="00CE4A8C">
        <w:rPr>
          <w:lang w:val="fr-FR"/>
        </w:rPr>
        <w:t xml:space="preserve"> ci-dessus).</w:t>
      </w:r>
    </w:p>
    <w:p w:rsidR="0059426D"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35</w:t>
      </w:r>
      <w:r w:rsidRPr="00CE4A8C">
        <w:rPr>
          <w:lang w:val="fr-FR"/>
        </w:rPr>
        <w:fldChar w:fldCharType="end"/>
      </w:r>
      <w:r w:rsidRPr="00CE4A8C">
        <w:rPr>
          <w:lang w:val="fr-FR"/>
        </w:rPr>
        <w:t>.  Entre-temps, par le décret n</w:t>
      </w:r>
      <w:r w:rsidRPr="00CE4A8C">
        <w:rPr>
          <w:vertAlign w:val="superscript"/>
          <w:lang w:val="fr-FR"/>
        </w:rPr>
        <w:t>o</w:t>
      </w:r>
      <w:r w:rsidRPr="00CE4A8C">
        <w:rPr>
          <w:lang w:val="fr-FR"/>
        </w:rPr>
        <w:t xml:space="preserve"> 196 du 30 novembre 1998, le président de la République avait approuvé le plan de dépollution. Celui-ci concernait l</w:t>
      </w:r>
      <w:r w:rsidR="00CE4A8C" w:rsidRPr="00CE4A8C">
        <w:rPr>
          <w:lang w:val="fr-FR"/>
        </w:rPr>
        <w:t>’</w:t>
      </w:r>
      <w:r w:rsidRPr="00CE4A8C">
        <w:rPr>
          <w:lang w:val="fr-FR"/>
        </w:rPr>
        <w:t>ensemble de la zone dite « à haut risque environnemental ».</w:t>
      </w:r>
    </w:p>
    <w:p w:rsidR="0059426D" w:rsidRPr="00CE4A8C" w:rsidRDefault="0059426D" w:rsidP="00CE4A8C">
      <w:pPr>
        <w:pStyle w:val="ECHRHeading3"/>
        <w:rPr>
          <w:lang w:val="fr-FR"/>
        </w:rPr>
      </w:pPr>
      <w:r w:rsidRPr="00CE4A8C">
        <w:rPr>
          <w:lang w:val="fr-FR"/>
        </w:rPr>
        <w:t>2.  Les accords entre la société Ilva et les autorités publiques</w:t>
      </w:r>
    </w:p>
    <w:bookmarkStart w:id="10" w:name="intesa"/>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36</w:t>
      </w:r>
      <w:r w:rsidRPr="00CE4A8C">
        <w:rPr>
          <w:lang w:val="fr-FR"/>
        </w:rPr>
        <w:fldChar w:fldCharType="end"/>
      </w:r>
      <w:bookmarkEnd w:id="10"/>
      <w:r w:rsidRPr="00CE4A8C">
        <w:rPr>
          <w:lang w:val="fr-FR"/>
        </w:rPr>
        <w:t>.  En 2003 et 2004, la société Ilva et les administrations locales conclurent plusieurs accords (</w:t>
      </w:r>
      <w:r w:rsidRPr="00CE4A8C">
        <w:rPr>
          <w:i/>
          <w:lang w:val="fr-FR"/>
        </w:rPr>
        <w:t>atti d</w:t>
      </w:r>
      <w:r w:rsidR="00CE4A8C" w:rsidRPr="00CE4A8C">
        <w:rPr>
          <w:i/>
          <w:lang w:val="fr-FR"/>
        </w:rPr>
        <w:t>’</w:t>
      </w:r>
      <w:r w:rsidRPr="00CE4A8C">
        <w:rPr>
          <w:i/>
          <w:lang w:val="fr-FR"/>
        </w:rPr>
        <w:t>intesa</w:t>
      </w:r>
      <w:r w:rsidRPr="00CE4A8C">
        <w:rPr>
          <w:lang w:val="fr-FR"/>
        </w:rPr>
        <w:t>) afin de mettre en place des mesures visant à réduire l</w:t>
      </w:r>
      <w:r w:rsidR="00CE4A8C" w:rsidRPr="00CE4A8C">
        <w:rPr>
          <w:lang w:val="fr-FR"/>
        </w:rPr>
        <w:t>’</w:t>
      </w:r>
      <w:r w:rsidRPr="00CE4A8C">
        <w:rPr>
          <w:lang w:val="fr-FR"/>
        </w:rPr>
        <w:t>impact environnemental de l</w:t>
      </w:r>
      <w:r w:rsidR="00CE4A8C" w:rsidRPr="00CE4A8C">
        <w:rPr>
          <w:lang w:val="fr-FR"/>
        </w:rPr>
        <w:t>’</w:t>
      </w:r>
      <w:r w:rsidRPr="00CE4A8C">
        <w:rPr>
          <w:lang w:val="fr-FR"/>
        </w:rPr>
        <w:t>usine.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37</w:t>
      </w:r>
      <w:r w:rsidRPr="00CE4A8C">
        <w:rPr>
          <w:lang w:val="fr-FR"/>
        </w:rPr>
        <w:fldChar w:fldCharType="end"/>
      </w:r>
      <w:r w:rsidRPr="00CE4A8C">
        <w:rPr>
          <w:lang w:val="fr-FR"/>
        </w:rPr>
        <w:t>.  Le 23 octobre 2006, le conseil régional des Pouilles et la société Ilva signèrent un accord par lequel la société s</w:t>
      </w:r>
      <w:r w:rsidR="00CE4A8C" w:rsidRPr="00CE4A8C">
        <w:rPr>
          <w:lang w:val="fr-FR"/>
        </w:rPr>
        <w:t>’</w:t>
      </w:r>
      <w:r w:rsidRPr="00CE4A8C">
        <w:rPr>
          <w:lang w:val="fr-FR"/>
        </w:rPr>
        <w:t>engageait à mesurer l</w:t>
      </w:r>
      <w:r w:rsidR="00CE4A8C" w:rsidRPr="00CE4A8C">
        <w:rPr>
          <w:lang w:val="fr-FR"/>
        </w:rPr>
        <w:t>’</w:t>
      </w:r>
      <w:r w:rsidRPr="00CE4A8C">
        <w:rPr>
          <w:lang w:val="fr-FR"/>
        </w:rPr>
        <w:t>émission de dioxines et à désigner un organisme tiers (le Conseil national des recherches) aux fins de l</w:t>
      </w:r>
      <w:r w:rsidR="00CE4A8C" w:rsidRPr="00CE4A8C">
        <w:rPr>
          <w:lang w:val="fr-FR"/>
        </w:rPr>
        <w:t>’</w:t>
      </w:r>
      <w:r w:rsidRPr="00CE4A8C">
        <w:rPr>
          <w:lang w:val="fr-FR"/>
        </w:rPr>
        <w:t>identification des principales sources d</w:t>
      </w:r>
      <w:r w:rsidR="00CE4A8C" w:rsidRPr="00CE4A8C">
        <w:rPr>
          <w:lang w:val="fr-FR"/>
        </w:rPr>
        <w:t>’</w:t>
      </w:r>
      <w:r w:rsidRPr="00CE4A8C">
        <w:rPr>
          <w:lang w:val="fr-FR"/>
        </w:rPr>
        <w:t>émission de particules lourdes.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38</w:t>
      </w:r>
      <w:r w:rsidRPr="00CE4A8C">
        <w:rPr>
          <w:lang w:val="fr-FR"/>
        </w:rPr>
        <w:fldChar w:fldCharType="end"/>
      </w:r>
      <w:r w:rsidRPr="00CE4A8C">
        <w:rPr>
          <w:lang w:val="fr-FR"/>
        </w:rPr>
        <w:t>.  La première campagne de contrôle des émissions de dioxines de la plus grande des deux cents cheminées de l</w:t>
      </w:r>
      <w:r w:rsidR="00CE4A8C" w:rsidRPr="00CE4A8C">
        <w:rPr>
          <w:lang w:val="fr-FR"/>
        </w:rPr>
        <w:t>’</w:t>
      </w:r>
      <w:r w:rsidRPr="00CE4A8C">
        <w:rPr>
          <w:lang w:val="fr-FR"/>
        </w:rPr>
        <w:t>aciérie de Tarente débuta en 2007. Les autorités régionales ne disposant pas à l</w:t>
      </w:r>
      <w:r w:rsidR="00CE4A8C" w:rsidRPr="00CE4A8C">
        <w:rPr>
          <w:lang w:val="fr-FR"/>
        </w:rPr>
        <w:t>’</w:t>
      </w:r>
      <w:r w:rsidRPr="00CE4A8C">
        <w:rPr>
          <w:lang w:val="fr-FR"/>
        </w:rPr>
        <w:t>époque des instruments permettant de mesurer les dioxines et les autres micropolluants, l</w:t>
      </w:r>
      <w:r w:rsidR="00CE4A8C" w:rsidRPr="00CE4A8C">
        <w:rPr>
          <w:lang w:val="fr-FR"/>
        </w:rPr>
        <w:t>’</w:t>
      </w:r>
      <w:r w:rsidRPr="00CE4A8C">
        <w:rPr>
          <w:lang w:val="fr-FR"/>
        </w:rPr>
        <w:t>échantillonnage fut confié à des organismes tiers.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39</w:t>
      </w:r>
      <w:r w:rsidRPr="00CE4A8C">
        <w:rPr>
          <w:lang w:val="fr-FR"/>
        </w:rPr>
        <w:fldChar w:fldCharType="end"/>
      </w:r>
      <w:r w:rsidRPr="00CE4A8C">
        <w:rPr>
          <w:lang w:val="fr-FR"/>
        </w:rPr>
        <w:t>.  En 2008, l</w:t>
      </w:r>
      <w:r w:rsidR="00CE4A8C" w:rsidRPr="00CE4A8C">
        <w:rPr>
          <w:lang w:val="fr-FR"/>
        </w:rPr>
        <w:t>’</w:t>
      </w:r>
      <w:r w:rsidRPr="00CE4A8C">
        <w:rPr>
          <w:lang w:val="fr-FR"/>
        </w:rPr>
        <w:t>ARPA, qui disposait désormais des instruments nécessaires aux contrôles, publia les premiers résultats des contrôles effectués, lesquels attestaient que, dans le quartier Tamburi (Tarente), les émissions de benzopyrène</w:t>
      </w:r>
      <w:r w:rsidRPr="00CE4A8C">
        <w:rPr>
          <w:rStyle w:val="Rimandonotaapidipagina"/>
          <w:lang w:val="fr-FR"/>
        </w:rPr>
        <w:footnoteReference w:id="6"/>
      </w:r>
      <w:r w:rsidRPr="00CE4A8C">
        <w:rPr>
          <w:lang w:val="fr-FR"/>
        </w:rPr>
        <w:t xml:space="preserve"> dans les PM10 étaient supérieures aux limites autorisées.</w:t>
      </w:r>
    </w:p>
    <w:p w:rsidR="0059426D" w:rsidRPr="00CE4A8C" w:rsidRDefault="0059426D" w:rsidP="00CE4A8C">
      <w:pPr>
        <w:pStyle w:val="ECHRHeading3"/>
        <w:rPr>
          <w:lang w:val="fr-FR"/>
        </w:rPr>
      </w:pPr>
      <w:r w:rsidRPr="00CE4A8C">
        <w:rPr>
          <w:lang w:val="fr-FR"/>
        </w:rPr>
        <w:t>3.  Les mesures législatives et régionales en matière de contamination par les dioxines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40</w:t>
      </w:r>
      <w:r w:rsidRPr="00CE4A8C">
        <w:rPr>
          <w:lang w:val="fr-FR"/>
        </w:rPr>
        <w:fldChar w:fldCharType="end"/>
      </w:r>
      <w:r w:rsidRPr="00CE4A8C">
        <w:rPr>
          <w:lang w:val="fr-FR"/>
        </w:rPr>
        <w:t>.  Par la loi régionale (</w:t>
      </w:r>
      <w:r w:rsidRPr="00CE4A8C">
        <w:rPr>
          <w:i/>
          <w:lang w:val="fr-FR"/>
        </w:rPr>
        <w:t>legge regionale</w:t>
      </w:r>
      <w:r w:rsidRPr="00CE4A8C">
        <w:rPr>
          <w:lang w:val="fr-FR"/>
        </w:rPr>
        <w:t>) n</w:t>
      </w:r>
      <w:r w:rsidRPr="00CE4A8C">
        <w:rPr>
          <w:vertAlign w:val="superscript"/>
          <w:lang w:val="fr-FR"/>
        </w:rPr>
        <w:t>o</w:t>
      </w:r>
      <w:r w:rsidRPr="00CE4A8C">
        <w:rPr>
          <w:lang w:val="fr-FR"/>
        </w:rPr>
        <w:t xml:space="preserve"> 44 du 19 décembre 2008, le conseil régional des Pouilles fixa pour la première fois les limites d</w:t>
      </w:r>
      <w:r w:rsidR="00CE4A8C" w:rsidRPr="00CE4A8C">
        <w:rPr>
          <w:lang w:val="fr-FR"/>
        </w:rPr>
        <w:t>’</w:t>
      </w:r>
      <w:r w:rsidRPr="00CE4A8C">
        <w:rPr>
          <w:lang w:val="fr-FR"/>
        </w:rPr>
        <w:t>émissions de dioxines autorisées dans le cadre de l</w:t>
      </w:r>
      <w:r w:rsidR="00CE4A8C" w:rsidRPr="00CE4A8C">
        <w:rPr>
          <w:lang w:val="fr-FR"/>
        </w:rPr>
        <w:t>’</w:t>
      </w:r>
      <w:r w:rsidRPr="00CE4A8C">
        <w:rPr>
          <w:lang w:val="fr-FR"/>
        </w:rPr>
        <w:t>activité industrielle.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41</w:t>
      </w:r>
      <w:r w:rsidRPr="00CE4A8C">
        <w:rPr>
          <w:lang w:val="fr-FR"/>
        </w:rPr>
        <w:fldChar w:fldCharType="end"/>
      </w:r>
      <w:r w:rsidRPr="00CE4A8C">
        <w:rPr>
          <w:lang w:val="fr-FR"/>
        </w:rPr>
        <w:t>.  Un rapport de l</w:t>
      </w:r>
      <w:r w:rsidR="00CE4A8C" w:rsidRPr="00CE4A8C">
        <w:rPr>
          <w:lang w:val="fr-FR"/>
        </w:rPr>
        <w:t>’</w:t>
      </w:r>
      <w:r w:rsidRPr="00CE4A8C">
        <w:rPr>
          <w:lang w:val="fr-FR"/>
        </w:rPr>
        <w:t>ARPA de 2010 fit état de la contamination par des dioxines de la viande animale susceptible de rentrer dans la chaîne alimentaire humaine. Les autorités régionales ordonnèrent en conséquence l</w:t>
      </w:r>
      <w:r w:rsidR="00CE4A8C" w:rsidRPr="00CE4A8C">
        <w:rPr>
          <w:lang w:val="fr-FR"/>
        </w:rPr>
        <w:t>’</w:t>
      </w:r>
      <w:r w:rsidRPr="00CE4A8C">
        <w:rPr>
          <w:lang w:val="fr-FR"/>
        </w:rPr>
        <w:t>abattage de près de deux mille têtes de bétail, interdirent le pâturage et ordonnèrent la destruction de foies des cheptels ovin et caprin dans un rayon de 20 km autour de l</w:t>
      </w:r>
      <w:r w:rsidR="00CE4A8C" w:rsidRPr="00CE4A8C">
        <w:rPr>
          <w:lang w:val="fr-FR"/>
        </w:rPr>
        <w:t>’</w:t>
      </w:r>
      <w:r w:rsidRPr="00CE4A8C">
        <w:rPr>
          <w:lang w:val="fr-FR"/>
        </w:rPr>
        <w:t>usine.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42</w:t>
      </w:r>
      <w:r w:rsidRPr="00CE4A8C">
        <w:rPr>
          <w:lang w:val="fr-FR"/>
        </w:rPr>
        <w:fldChar w:fldCharType="end"/>
      </w:r>
      <w:r w:rsidRPr="00CE4A8C">
        <w:rPr>
          <w:lang w:val="fr-FR"/>
        </w:rPr>
        <w:t>.  Par le décret n</w:t>
      </w:r>
      <w:r w:rsidRPr="00CE4A8C">
        <w:rPr>
          <w:vertAlign w:val="superscript"/>
          <w:lang w:val="fr-FR"/>
        </w:rPr>
        <w:t>o</w:t>
      </w:r>
      <w:r w:rsidRPr="00CE4A8C">
        <w:rPr>
          <w:lang w:val="fr-FR"/>
        </w:rPr>
        <w:t xml:space="preserve"> 155 du 13 août 2010, pris en application de la directive 2008/50/CE en matière de qualité de l</w:t>
      </w:r>
      <w:r w:rsidR="00CE4A8C" w:rsidRPr="00CE4A8C">
        <w:rPr>
          <w:lang w:val="fr-FR"/>
        </w:rPr>
        <w:t>’</w:t>
      </w:r>
      <w:r w:rsidRPr="00CE4A8C">
        <w:rPr>
          <w:lang w:val="fr-FR"/>
        </w:rPr>
        <w:t>air, le délai pour l</w:t>
      </w:r>
      <w:r w:rsidR="00CE4A8C" w:rsidRPr="00CE4A8C">
        <w:rPr>
          <w:lang w:val="fr-FR"/>
        </w:rPr>
        <w:t>’</w:t>
      </w:r>
      <w:r w:rsidRPr="00CE4A8C">
        <w:rPr>
          <w:lang w:val="fr-FR"/>
        </w:rPr>
        <w:t>atteinte des limites autorisées de productions polluantes fut fixé au 31 décembre 2012.</w:t>
      </w:r>
    </w:p>
    <w:p w:rsidR="0059426D"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43</w:t>
      </w:r>
      <w:r w:rsidRPr="00CE4A8C">
        <w:rPr>
          <w:lang w:val="fr-FR"/>
        </w:rPr>
        <w:fldChar w:fldCharType="end"/>
      </w:r>
      <w:r w:rsidRPr="00CE4A8C">
        <w:rPr>
          <w:lang w:val="fr-FR"/>
        </w:rPr>
        <w:t>.  La loi régionale n</w:t>
      </w:r>
      <w:r w:rsidRPr="00CE4A8C">
        <w:rPr>
          <w:vertAlign w:val="superscript"/>
          <w:lang w:val="fr-FR"/>
        </w:rPr>
        <w:t>o</w:t>
      </w:r>
      <w:r w:rsidRPr="00CE4A8C">
        <w:rPr>
          <w:lang w:val="fr-FR"/>
        </w:rPr>
        <w:t xml:space="preserve"> 3 du 28 février 2011 indiqua que, en cas de dépassement du seuil accepté d</w:t>
      </w:r>
      <w:r w:rsidR="00CE4A8C" w:rsidRPr="00CE4A8C">
        <w:rPr>
          <w:lang w:val="fr-FR"/>
        </w:rPr>
        <w:t>’</w:t>
      </w:r>
      <w:r w:rsidRPr="00CE4A8C">
        <w:rPr>
          <w:lang w:val="fr-FR"/>
        </w:rPr>
        <w:t>émission de benzopyrène, le retour aux valeurs autorisées devait être atteint « dans les plus brefs délais ».</w:t>
      </w:r>
    </w:p>
    <w:p w:rsidR="0059426D" w:rsidRPr="00CE4A8C" w:rsidRDefault="0059426D" w:rsidP="00CE4A8C">
      <w:pPr>
        <w:pStyle w:val="ECHRHeading3"/>
        <w:rPr>
          <w:lang w:val="fr-FR"/>
        </w:rPr>
      </w:pPr>
      <w:r w:rsidRPr="00CE4A8C">
        <w:rPr>
          <w:lang w:val="fr-FR"/>
        </w:rPr>
        <w:t>4.  L</w:t>
      </w:r>
      <w:r w:rsidR="00CE4A8C" w:rsidRPr="00CE4A8C">
        <w:rPr>
          <w:lang w:val="fr-FR"/>
        </w:rPr>
        <w:t>’</w:t>
      </w:r>
      <w:r w:rsidRPr="00CE4A8C">
        <w:rPr>
          <w:lang w:val="fr-FR"/>
        </w:rPr>
        <w:t>AIA (autorisation environnementale intégrée)</w:t>
      </w:r>
      <w:bookmarkStart w:id="11" w:name="BAT"/>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44</w:t>
      </w:r>
      <w:r w:rsidRPr="00CE4A8C">
        <w:rPr>
          <w:lang w:val="fr-FR"/>
        </w:rPr>
        <w:fldChar w:fldCharType="end"/>
      </w:r>
      <w:bookmarkEnd w:id="11"/>
      <w:r w:rsidRPr="00CE4A8C">
        <w:rPr>
          <w:lang w:val="fr-FR"/>
        </w:rPr>
        <w:t>.  Le 4 août 2011, le ministère de l</w:t>
      </w:r>
      <w:r w:rsidR="00CE4A8C" w:rsidRPr="00CE4A8C">
        <w:rPr>
          <w:lang w:val="fr-FR"/>
        </w:rPr>
        <w:t>’</w:t>
      </w:r>
      <w:r w:rsidRPr="00CE4A8C">
        <w:rPr>
          <w:lang w:val="fr-FR"/>
        </w:rPr>
        <w:t>Environnement octroya à la société Ilva une première AIA, permettant à la société de continuer son activité de production, sous condition de l</w:t>
      </w:r>
      <w:r w:rsidR="00CE4A8C" w:rsidRPr="00CE4A8C">
        <w:rPr>
          <w:lang w:val="fr-FR"/>
        </w:rPr>
        <w:t>’</w:t>
      </w:r>
      <w:r w:rsidRPr="00CE4A8C">
        <w:rPr>
          <w:lang w:val="fr-FR"/>
        </w:rPr>
        <w:t>adoption de mesures visant à diminuer l</w:t>
      </w:r>
      <w:r w:rsidR="00CE4A8C" w:rsidRPr="00CE4A8C">
        <w:rPr>
          <w:lang w:val="fr-FR"/>
        </w:rPr>
        <w:t>’</w:t>
      </w:r>
      <w:r w:rsidRPr="00CE4A8C">
        <w:rPr>
          <w:lang w:val="fr-FR"/>
        </w:rPr>
        <w:t>impact des émissions polluantes sur l</w:t>
      </w:r>
      <w:r w:rsidR="00CE4A8C" w:rsidRPr="00CE4A8C">
        <w:rPr>
          <w:lang w:val="fr-FR"/>
        </w:rPr>
        <w:t>’</w:t>
      </w:r>
      <w:r w:rsidRPr="00CE4A8C">
        <w:rPr>
          <w:lang w:val="fr-FR"/>
        </w:rPr>
        <w:t>environnement, au moyen notamment de l</w:t>
      </w:r>
      <w:r w:rsidR="00CE4A8C" w:rsidRPr="00CE4A8C">
        <w:rPr>
          <w:lang w:val="fr-FR"/>
        </w:rPr>
        <w:t>’</w:t>
      </w:r>
      <w:r w:rsidRPr="00CE4A8C">
        <w:rPr>
          <w:lang w:val="fr-FR"/>
        </w:rPr>
        <w:t>utilisation des « meilleures techniques disponibles » (</w:t>
      </w:r>
      <w:r w:rsidRPr="00CE4A8C">
        <w:rPr>
          <w:i/>
          <w:lang w:val="fr-FR"/>
        </w:rPr>
        <w:t>best available techniques</w:t>
      </w:r>
      <w:r w:rsidRPr="00CE4A8C">
        <w:rPr>
          <w:lang w:val="fr-FR"/>
        </w:rPr>
        <w:t xml:space="preserve"> - BAT).</w:t>
      </w:r>
    </w:p>
    <w:bookmarkStart w:id="12" w:name="AIA_rexaminée"/>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45</w:t>
      </w:r>
      <w:r w:rsidRPr="00CE4A8C">
        <w:rPr>
          <w:lang w:val="fr-FR"/>
        </w:rPr>
        <w:fldChar w:fldCharType="end"/>
      </w:r>
      <w:bookmarkEnd w:id="12"/>
      <w:r w:rsidRPr="00CE4A8C">
        <w:rPr>
          <w:lang w:val="fr-FR"/>
        </w:rPr>
        <w:t>.  À la demande du président de la région des Pouilles et sur la base des données résultant du contrôle de l</w:t>
      </w:r>
      <w:r w:rsidR="00CE4A8C" w:rsidRPr="00CE4A8C">
        <w:rPr>
          <w:lang w:val="fr-FR"/>
        </w:rPr>
        <w:t>’</w:t>
      </w:r>
      <w:r w:rsidRPr="00CE4A8C">
        <w:rPr>
          <w:lang w:val="fr-FR"/>
        </w:rPr>
        <w:t xml:space="preserve">ARPA (faisant état du dépassement des émissions de benzopyrène autorisées), le 27 octobre 2012, une deuxième AIA fut accordée, modifiant la première et fixant de nouvelles conditions (paragraphe </w:t>
      </w:r>
      <w:r w:rsidRPr="00CE4A8C">
        <w:rPr>
          <w:lang w:val="fr-FR"/>
        </w:rPr>
        <w:fldChar w:fldCharType="begin"/>
      </w:r>
      <w:r w:rsidRPr="00CE4A8C">
        <w:rPr>
          <w:lang w:val="fr-FR"/>
        </w:rPr>
        <w:instrText xml:space="preserve"> REF AIA_rexaminée_1 \h </w:instrText>
      </w:r>
      <w:r w:rsidRPr="00CE4A8C">
        <w:rPr>
          <w:lang w:val="fr-FR"/>
        </w:rPr>
      </w:r>
      <w:r w:rsidRPr="00CE4A8C">
        <w:rPr>
          <w:lang w:val="fr-FR"/>
        </w:rPr>
        <w:fldChar w:fldCharType="separate"/>
      </w:r>
      <w:r w:rsidR="00CE4A8C" w:rsidRPr="00CE4A8C">
        <w:rPr>
          <w:noProof/>
          <w:lang w:val="fr-FR"/>
        </w:rPr>
        <w:t>28</w:t>
      </w:r>
      <w:r w:rsidRPr="00CE4A8C">
        <w:rPr>
          <w:lang w:val="fr-FR"/>
        </w:rPr>
        <w:fldChar w:fldCharType="end"/>
      </w:r>
      <w:r w:rsidRPr="00CE4A8C">
        <w:rPr>
          <w:lang w:val="fr-FR"/>
        </w:rPr>
        <w:t xml:space="preserve"> ci-dessus).</w:t>
      </w:r>
    </w:p>
    <w:p w:rsidR="00CE4A8C" w:rsidRPr="00CE4A8C" w:rsidRDefault="0059426D" w:rsidP="00CE4A8C">
      <w:pPr>
        <w:pStyle w:val="ECHRPara"/>
        <w:rPr>
          <w:noProof/>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46</w:t>
      </w:r>
      <w:r w:rsidRPr="00CE4A8C">
        <w:rPr>
          <w:lang w:val="fr-FR"/>
        </w:rPr>
        <w:fldChar w:fldCharType="end"/>
      </w:r>
      <w:r w:rsidRPr="00CE4A8C">
        <w:rPr>
          <w:lang w:val="fr-FR"/>
        </w:rPr>
        <w:t>.  Ces dernières, qui reprenaient les mesures de protection environnementale et sanitaire contenues dans la première décision de s</w:t>
      </w:r>
      <w:r w:rsidR="003E1EFF" w:rsidRPr="00CE4A8C">
        <w:rPr>
          <w:lang w:val="fr-FR"/>
        </w:rPr>
        <w:t>aisie conservatoire (paragraphe </w:t>
      </w:r>
      <w:r w:rsidRPr="00CE4A8C">
        <w:rPr>
          <w:lang w:val="fr-FR"/>
        </w:rPr>
        <w:fldChar w:fldCharType="begin"/>
      </w:r>
      <w:r w:rsidRPr="00CE4A8C">
        <w:rPr>
          <w:lang w:val="fr-FR"/>
        </w:rPr>
        <w:instrText xml:space="preserve"> REF saisie_conservatoire \h  \* MERGEFORMAT </w:instrText>
      </w:r>
      <w:r w:rsidRPr="00CE4A8C">
        <w:rPr>
          <w:lang w:val="fr-FR"/>
        </w:rPr>
      </w:r>
      <w:r w:rsidRPr="00CE4A8C">
        <w:rPr>
          <w:lang w:val="fr-FR"/>
        </w:rPr>
        <w:fldChar w:fldCharType="separate"/>
      </w:r>
    </w:p>
    <w:p w:rsidR="0059426D" w:rsidRPr="00CE4A8C" w:rsidRDefault="00CE4A8C" w:rsidP="00CE4A8C">
      <w:pPr>
        <w:pStyle w:val="ECHRPara"/>
        <w:rPr>
          <w:noProof/>
          <w:lang w:val="fr-FR"/>
        </w:rPr>
      </w:pPr>
      <w:r w:rsidRPr="00CE4A8C">
        <w:rPr>
          <w:noProof/>
          <w:lang w:val="fr-FR"/>
        </w:rPr>
        <w:t>77</w:t>
      </w:r>
      <w:r w:rsidR="0059426D" w:rsidRPr="00CE4A8C">
        <w:rPr>
          <w:lang w:val="fr-FR"/>
        </w:rPr>
        <w:fldChar w:fldCharType="end"/>
      </w:r>
      <w:r w:rsidR="0059426D" w:rsidRPr="00CE4A8C">
        <w:rPr>
          <w:lang w:val="fr-FR"/>
        </w:rPr>
        <w:t xml:space="preserve"> ci-dessous), prévoyaient notamment le respect des limites d</w:t>
      </w:r>
      <w:r w:rsidRPr="00CE4A8C">
        <w:rPr>
          <w:lang w:val="fr-FR"/>
        </w:rPr>
        <w:t>’</w:t>
      </w:r>
      <w:r w:rsidR="0059426D" w:rsidRPr="00CE4A8C">
        <w:rPr>
          <w:lang w:val="fr-FR"/>
        </w:rPr>
        <w:t>émissions et des normes applicables en matière de santé et de sécurité, ainsi que l</w:t>
      </w:r>
      <w:r w:rsidRPr="00CE4A8C">
        <w:rPr>
          <w:lang w:val="fr-FR"/>
        </w:rPr>
        <w:t>’</w:t>
      </w:r>
      <w:r w:rsidR="0059426D" w:rsidRPr="00CE4A8C">
        <w:rPr>
          <w:lang w:val="fr-FR"/>
        </w:rPr>
        <w:t>obligation de transmettre un rapport trimestriel relatif à l</w:t>
      </w:r>
      <w:r w:rsidRPr="00CE4A8C">
        <w:rPr>
          <w:lang w:val="fr-FR"/>
        </w:rPr>
        <w:t>’</w:t>
      </w:r>
      <w:r w:rsidR="0059426D" w:rsidRPr="00CE4A8C">
        <w:rPr>
          <w:lang w:val="fr-FR"/>
        </w:rPr>
        <w:t>application des mesures nécessaires pour atteindre les résultats en termes d</w:t>
      </w:r>
      <w:r w:rsidRPr="00CE4A8C">
        <w:rPr>
          <w:lang w:val="fr-FR"/>
        </w:rPr>
        <w:t>’</w:t>
      </w:r>
      <w:r w:rsidR="0059426D" w:rsidRPr="00CE4A8C">
        <w:rPr>
          <w:lang w:val="fr-FR"/>
        </w:rPr>
        <w:t>amélioration de l</w:t>
      </w:r>
      <w:r w:rsidRPr="00CE4A8C">
        <w:rPr>
          <w:lang w:val="fr-FR"/>
        </w:rPr>
        <w:t>’</w:t>
      </w:r>
      <w:r w:rsidR="0059426D" w:rsidRPr="00CE4A8C">
        <w:rPr>
          <w:lang w:val="fr-FR"/>
        </w:rPr>
        <w:t>impact environnemental de l</w:t>
      </w:r>
      <w:r w:rsidRPr="00CE4A8C">
        <w:rPr>
          <w:lang w:val="fr-FR"/>
        </w:rPr>
        <w:t>’</w:t>
      </w:r>
      <w:r w:rsidR="0059426D" w:rsidRPr="00CE4A8C">
        <w:rPr>
          <w:lang w:val="fr-FR"/>
        </w:rPr>
        <w:t>usine.</w:t>
      </w:r>
    </w:p>
    <w:p w:rsidR="0059426D" w:rsidRPr="00CE4A8C" w:rsidRDefault="0059426D" w:rsidP="00CE4A8C">
      <w:pPr>
        <w:pStyle w:val="ECHRHeading3"/>
        <w:rPr>
          <w:lang w:val="fr-FR"/>
        </w:rPr>
      </w:pPr>
      <w:r w:rsidRPr="00CE4A8C">
        <w:rPr>
          <w:lang w:val="fr-FR"/>
        </w:rPr>
        <w:t>5.  Les décrets-lois « salva-Ilva », et les textes relatifs à la mise sous administration provisoire et à la procédure de vente de la société Ilva</w:t>
      </w:r>
    </w:p>
    <w:bookmarkStart w:id="13" w:name="Salva_Ilva"/>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47</w:t>
      </w:r>
      <w:r w:rsidRPr="00CE4A8C">
        <w:rPr>
          <w:lang w:val="fr-FR"/>
        </w:rPr>
        <w:fldChar w:fldCharType="end"/>
      </w:r>
      <w:bookmarkEnd w:id="13"/>
      <w:r w:rsidRPr="00CE4A8C">
        <w:rPr>
          <w:lang w:val="fr-FR"/>
        </w:rPr>
        <w:t>.  À partir de fin 2012, le gouvernement adopta plusieurs textes, entre autres des décrets-lois dits décrets-lois « </w:t>
      </w:r>
      <w:r w:rsidRPr="00CE4A8C">
        <w:rPr>
          <w:i/>
          <w:lang w:val="fr-FR"/>
        </w:rPr>
        <w:t>salva-Ilva</w:t>
      </w:r>
      <w:r w:rsidRPr="00CE4A8C">
        <w:rPr>
          <w:lang w:val="fr-FR"/>
        </w:rPr>
        <w:t> », concernant l</w:t>
      </w:r>
      <w:r w:rsidR="00CE4A8C" w:rsidRPr="00CE4A8C">
        <w:rPr>
          <w:lang w:val="fr-FR"/>
        </w:rPr>
        <w:t>’</w:t>
      </w:r>
      <w:r w:rsidRPr="00CE4A8C">
        <w:rPr>
          <w:lang w:val="fr-FR"/>
        </w:rPr>
        <w:t>activité de la société Ilva.</w:t>
      </w:r>
    </w:p>
    <w:p w:rsidR="0059426D" w:rsidRPr="00CE4A8C" w:rsidRDefault="0059426D" w:rsidP="00CE4A8C">
      <w:pPr>
        <w:pStyle w:val="ECHRHeading4"/>
        <w:rPr>
          <w:lang w:val="fr-FR"/>
        </w:rPr>
      </w:pPr>
      <w:r w:rsidRPr="00CE4A8C">
        <w:rPr>
          <w:lang w:val="fr-FR"/>
        </w:rPr>
        <w:t>a)  Le décret-loi n</w:t>
      </w:r>
      <w:r w:rsidRPr="00CE4A8C">
        <w:rPr>
          <w:vertAlign w:val="superscript"/>
          <w:lang w:val="fr-FR"/>
        </w:rPr>
        <w:t>o</w:t>
      </w:r>
      <w:r w:rsidRPr="00CE4A8C">
        <w:rPr>
          <w:lang w:val="fr-FR"/>
        </w:rPr>
        <w:t xml:space="preserve"> 207 du 3 décembre 2012, converti en la loi</w:t>
      </w:r>
      <w:r w:rsidRPr="00CE4A8C">
        <w:rPr>
          <w:rFonts w:asciiTheme="minorHAnsi" w:eastAsiaTheme="minorEastAsia" w:hAnsiTheme="minorHAnsi" w:cstheme="minorBidi"/>
          <w:i/>
          <w:lang w:val="fr-FR"/>
        </w:rPr>
        <w:t xml:space="preserve"> </w:t>
      </w:r>
      <w:r w:rsidRPr="00CE4A8C">
        <w:rPr>
          <w:lang w:val="fr-FR"/>
        </w:rPr>
        <w:t>n</w:t>
      </w:r>
      <w:r w:rsidRPr="00CE4A8C">
        <w:rPr>
          <w:vertAlign w:val="superscript"/>
          <w:lang w:val="fr-FR"/>
        </w:rPr>
        <w:t>o</w:t>
      </w:r>
      <w:r w:rsidRPr="00CE4A8C">
        <w:rPr>
          <w:lang w:val="fr-FR"/>
        </w:rPr>
        <w:t> 231 du 24 décembre 2012</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48</w:t>
      </w:r>
      <w:r w:rsidRPr="00CE4A8C">
        <w:rPr>
          <w:lang w:val="fr-FR"/>
        </w:rPr>
        <w:fldChar w:fldCharType="end"/>
      </w:r>
      <w:r w:rsidRPr="00CE4A8C">
        <w:rPr>
          <w:lang w:val="fr-FR"/>
        </w:rPr>
        <w:t>.  Le décret-loi n</w:t>
      </w:r>
      <w:r w:rsidRPr="00CE4A8C">
        <w:rPr>
          <w:vertAlign w:val="superscript"/>
          <w:lang w:val="fr-FR"/>
        </w:rPr>
        <w:t>o</w:t>
      </w:r>
      <w:r w:rsidRPr="00CE4A8C">
        <w:rPr>
          <w:lang w:val="fr-FR"/>
        </w:rPr>
        <w:t> 207 du 3 décembre 2012, contenant des « Dispositions urgentes pour la protection de l</w:t>
      </w:r>
      <w:r w:rsidR="00CE4A8C" w:rsidRPr="00CE4A8C">
        <w:rPr>
          <w:lang w:val="fr-FR"/>
        </w:rPr>
        <w:t>’</w:t>
      </w:r>
      <w:r w:rsidRPr="00CE4A8C">
        <w:rPr>
          <w:lang w:val="fr-FR"/>
        </w:rPr>
        <w:t>environnement, de la santé et du travail dans l</w:t>
      </w:r>
      <w:r w:rsidR="00CE4A8C" w:rsidRPr="00CE4A8C">
        <w:rPr>
          <w:lang w:val="fr-FR"/>
        </w:rPr>
        <w:t>’</w:t>
      </w:r>
      <w:r w:rsidRPr="00CE4A8C">
        <w:rPr>
          <w:lang w:val="fr-FR"/>
        </w:rPr>
        <w:t>activité des entreprises d</w:t>
      </w:r>
      <w:r w:rsidR="00CE4A8C" w:rsidRPr="00CE4A8C">
        <w:rPr>
          <w:lang w:val="fr-FR"/>
        </w:rPr>
        <w:t>’</w:t>
      </w:r>
      <w:r w:rsidRPr="00CE4A8C">
        <w:rPr>
          <w:lang w:val="fr-FR"/>
        </w:rPr>
        <w:t>intérêt stratégique national », autorisa la société Ilva à continuer son activité pendant une période ne dépassant pas trente-six mois, sous condition du respect des prescriptions imposées dans le cadre de l</w:t>
      </w:r>
      <w:r w:rsidR="00CE4A8C" w:rsidRPr="00CE4A8C">
        <w:rPr>
          <w:lang w:val="fr-FR"/>
        </w:rPr>
        <w:t>’</w:t>
      </w:r>
      <w:r w:rsidRPr="00CE4A8C">
        <w:rPr>
          <w:lang w:val="fr-FR"/>
        </w:rPr>
        <w:t>AIA de 2012.</w:t>
      </w:r>
    </w:p>
    <w:p w:rsidR="00CE4A8C" w:rsidRPr="00CE4A8C" w:rsidRDefault="0059426D" w:rsidP="00CE4A8C">
      <w:pPr>
        <w:pStyle w:val="ECHRPara"/>
        <w:rPr>
          <w:noProof/>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49</w:t>
      </w:r>
      <w:r w:rsidRPr="00CE4A8C">
        <w:rPr>
          <w:lang w:val="fr-FR"/>
        </w:rPr>
        <w:fldChar w:fldCharType="end"/>
      </w:r>
      <w:r w:rsidRPr="00CE4A8C">
        <w:rPr>
          <w:lang w:val="fr-FR"/>
        </w:rPr>
        <w:t>.  Le 22 janvier 2013, le juge des inv</w:t>
      </w:r>
      <w:r w:rsidR="00DE67CB" w:rsidRPr="00CE4A8C">
        <w:rPr>
          <w:lang w:val="fr-FR"/>
        </w:rPr>
        <w:t xml:space="preserve">estigations préliminaires (« le </w:t>
      </w:r>
      <w:r w:rsidRPr="00CE4A8C">
        <w:rPr>
          <w:lang w:val="fr-FR"/>
        </w:rPr>
        <w:t>GIP ») de Tarente saisit la Cour constitutionnelle d</w:t>
      </w:r>
      <w:r w:rsidR="00CE4A8C" w:rsidRPr="00CE4A8C">
        <w:rPr>
          <w:lang w:val="fr-FR"/>
        </w:rPr>
        <w:t>’</w:t>
      </w:r>
      <w:r w:rsidRPr="00CE4A8C">
        <w:rPr>
          <w:lang w:val="fr-FR"/>
        </w:rPr>
        <w:t xml:space="preserve">une question de constitutionnalité concernant la partie de ce décret-loi autorisant la société à </w:t>
      </w:r>
      <w:r w:rsidRPr="00CE4A8C">
        <w:rPr>
          <w:lang w:val="fr-FR"/>
        </w:rPr>
        <w:lastRenderedPageBreak/>
        <w:t>continuer son activité, malgré les émissions nocives, et à rentrer en possession de ses biens et de son établissement, malgré la saisie judiciaire qui avait été ordonnée entre</w:t>
      </w:r>
      <w:r w:rsidRPr="00CE4A8C">
        <w:rPr>
          <w:lang w:val="fr-FR"/>
        </w:rPr>
        <w:noBreakHyphen/>
        <w:t>temps (paragraphe</w:t>
      </w:r>
      <w:r w:rsidR="003E1EFF" w:rsidRPr="00CE4A8C">
        <w:rPr>
          <w:lang w:val="fr-FR"/>
        </w:rPr>
        <w:t> </w:t>
      </w:r>
      <w:r w:rsidRPr="00CE4A8C">
        <w:rPr>
          <w:lang w:val="fr-FR"/>
        </w:rPr>
        <w:fldChar w:fldCharType="begin"/>
      </w:r>
      <w:r w:rsidRPr="00CE4A8C">
        <w:rPr>
          <w:lang w:val="fr-FR"/>
        </w:rPr>
        <w:instrText xml:space="preserve"> REF saisie_conservatoire \h  \* MERGEFORMAT </w:instrText>
      </w:r>
      <w:r w:rsidRPr="00CE4A8C">
        <w:rPr>
          <w:lang w:val="fr-FR"/>
        </w:rPr>
      </w:r>
      <w:r w:rsidRPr="00CE4A8C">
        <w:rPr>
          <w:lang w:val="fr-FR"/>
        </w:rPr>
        <w:fldChar w:fldCharType="separate"/>
      </w:r>
    </w:p>
    <w:p w:rsidR="0059426D" w:rsidRPr="00CE4A8C" w:rsidRDefault="00CE4A8C" w:rsidP="00CE4A8C">
      <w:pPr>
        <w:pStyle w:val="ECHRPara"/>
        <w:rPr>
          <w:noProof/>
          <w:lang w:val="fr-FR"/>
        </w:rPr>
      </w:pPr>
      <w:r w:rsidRPr="00CE4A8C">
        <w:rPr>
          <w:noProof/>
          <w:lang w:val="fr-FR"/>
        </w:rPr>
        <w:t>77</w:t>
      </w:r>
      <w:r w:rsidR="0059426D" w:rsidRPr="00CE4A8C">
        <w:rPr>
          <w:lang w:val="fr-FR"/>
        </w:rPr>
        <w:fldChar w:fldCharType="end"/>
      </w:r>
      <w:r w:rsidR="0059426D" w:rsidRPr="00CE4A8C">
        <w:rPr>
          <w:lang w:val="fr-FR"/>
        </w:rPr>
        <w:t xml:space="preserve"> ci-dessous). De l</w:t>
      </w:r>
      <w:r w:rsidRPr="00CE4A8C">
        <w:rPr>
          <w:lang w:val="fr-FR"/>
        </w:rPr>
        <w:t>’</w:t>
      </w:r>
      <w:r w:rsidR="0059426D" w:rsidRPr="00CE4A8C">
        <w:rPr>
          <w:lang w:val="fr-FR"/>
        </w:rPr>
        <w:t>avis du juge, le décret-loi violait, entre autres, le droit à la santé et à un environnement sain, protégé par l</w:t>
      </w:r>
      <w:r w:rsidRPr="00CE4A8C">
        <w:rPr>
          <w:lang w:val="fr-FR"/>
        </w:rPr>
        <w:t>’</w:t>
      </w:r>
      <w:r w:rsidR="0059426D" w:rsidRPr="00CE4A8C">
        <w:rPr>
          <w:lang w:val="fr-FR"/>
        </w:rPr>
        <w:t>article 32 de la Constitution.</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50</w:t>
      </w:r>
      <w:r w:rsidRPr="00CE4A8C">
        <w:rPr>
          <w:lang w:val="fr-FR"/>
        </w:rPr>
        <w:fldChar w:fldCharType="end"/>
      </w:r>
      <w:r w:rsidRPr="00CE4A8C">
        <w:rPr>
          <w:lang w:val="fr-FR"/>
        </w:rPr>
        <w:t>.  Par son arrêt n</w:t>
      </w:r>
      <w:r w:rsidRPr="00CE4A8C">
        <w:rPr>
          <w:vertAlign w:val="superscript"/>
          <w:lang w:val="fr-FR"/>
        </w:rPr>
        <w:t>o</w:t>
      </w:r>
      <w:r w:rsidRPr="00CE4A8C">
        <w:rPr>
          <w:lang w:val="fr-FR"/>
        </w:rPr>
        <w:t xml:space="preserve"> 85 du 9 avril 2013, la Cour constitutionnelle déclara la question qui lui était soumise manifestement mal fondée. Elle considéra que l</w:t>
      </w:r>
      <w:r w:rsidR="00CE4A8C" w:rsidRPr="00CE4A8C">
        <w:rPr>
          <w:lang w:val="fr-FR"/>
        </w:rPr>
        <w:t>’</w:t>
      </w:r>
      <w:r w:rsidRPr="00CE4A8C">
        <w:rPr>
          <w:lang w:val="fr-FR"/>
        </w:rPr>
        <w:t>activité productive de la société pouvait légitimement continuer, à la condition que les mesures de contrôle et de protection prévues dans l</w:t>
      </w:r>
      <w:r w:rsidR="00CE4A8C" w:rsidRPr="00CE4A8C">
        <w:rPr>
          <w:lang w:val="fr-FR"/>
        </w:rPr>
        <w:t>’</w:t>
      </w:r>
      <w:r w:rsidRPr="00CE4A8C">
        <w:rPr>
          <w:lang w:val="fr-FR"/>
        </w:rPr>
        <w:t>AIA de 2012 fussent respectées et que, en cas d</w:t>
      </w:r>
      <w:r w:rsidR="00CE4A8C" w:rsidRPr="00CE4A8C">
        <w:rPr>
          <w:lang w:val="fr-FR"/>
        </w:rPr>
        <w:t>’</w:t>
      </w:r>
      <w:r w:rsidRPr="00CE4A8C">
        <w:rPr>
          <w:lang w:val="fr-FR"/>
        </w:rPr>
        <w:t>infraction, les sanctions prévues par la loi fussent appliquées.</w:t>
      </w:r>
    </w:p>
    <w:bookmarkStart w:id="14" w:name="cour_constitutionnelle"/>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51</w:t>
      </w:r>
      <w:r w:rsidRPr="00CE4A8C">
        <w:rPr>
          <w:lang w:val="fr-FR"/>
        </w:rPr>
        <w:fldChar w:fldCharType="end"/>
      </w:r>
      <w:bookmarkEnd w:id="14"/>
      <w:r w:rsidRPr="00CE4A8C">
        <w:rPr>
          <w:lang w:val="fr-FR"/>
        </w:rPr>
        <w:t>.  De l</w:t>
      </w:r>
      <w:r w:rsidR="00CE4A8C" w:rsidRPr="00CE4A8C">
        <w:rPr>
          <w:lang w:val="fr-FR"/>
        </w:rPr>
        <w:t>’</w:t>
      </w:r>
      <w:r w:rsidRPr="00CE4A8C">
        <w:rPr>
          <w:lang w:val="fr-FR"/>
        </w:rPr>
        <w:t>avis de la Cour constitutionnelle, le décret-loi litigieux prévoyait donc un parcours d</w:t>
      </w:r>
      <w:r w:rsidR="00CE4A8C" w:rsidRPr="00CE4A8C">
        <w:rPr>
          <w:lang w:val="fr-FR"/>
        </w:rPr>
        <w:t>’</w:t>
      </w:r>
      <w:r w:rsidRPr="00CE4A8C">
        <w:rPr>
          <w:lang w:val="fr-FR"/>
        </w:rPr>
        <w:t>assainissement environnemental prenant en compte le droit à la santé et à l</w:t>
      </w:r>
      <w:r w:rsidR="00CE4A8C" w:rsidRPr="00CE4A8C">
        <w:rPr>
          <w:lang w:val="fr-FR"/>
        </w:rPr>
        <w:t>’</w:t>
      </w:r>
      <w:r w:rsidRPr="00CE4A8C">
        <w:rPr>
          <w:lang w:val="fr-FR"/>
        </w:rPr>
        <w:t>environnement, d</w:t>
      </w:r>
      <w:r w:rsidR="00CE4A8C" w:rsidRPr="00CE4A8C">
        <w:rPr>
          <w:lang w:val="fr-FR"/>
        </w:rPr>
        <w:t>’</w:t>
      </w:r>
      <w:r w:rsidRPr="00CE4A8C">
        <w:rPr>
          <w:lang w:val="fr-FR"/>
        </w:rPr>
        <w:t>une part, et le droit au travail, d</w:t>
      </w:r>
      <w:r w:rsidR="00CE4A8C" w:rsidRPr="00CE4A8C">
        <w:rPr>
          <w:lang w:val="fr-FR"/>
        </w:rPr>
        <w:t>’</w:t>
      </w:r>
      <w:r w:rsidRPr="00CE4A8C">
        <w:rPr>
          <w:lang w:val="fr-FR"/>
        </w:rPr>
        <w:t>autre part, tous deux garantis par la Constitution.</w:t>
      </w:r>
    </w:p>
    <w:p w:rsidR="0059426D" w:rsidRPr="00CE4A8C" w:rsidRDefault="0059426D" w:rsidP="00CE4A8C">
      <w:pPr>
        <w:pStyle w:val="ECHRHeading4"/>
        <w:rPr>
          <w:lang w:val="fr-FR"/>
        </w:rPr>
      </w:pPr>
      <w:r w:rsidRPr="00CE4A8C">
        <w:rPr>
          <w:lang w:val="fr-FR"/>
        </w:rPr>
        <w:t>b)  Le décret-loi n</w:t>
      </w:r>
      <w:r w:rsidRPr="00CE4A8C">
        <w:rPr>
          <w:vertAlign w:val="superscript"/>
          <w:lang w:val="fr-FR"/>
        </w:rPr>
        <w:t>o</w:t>
      </w:r>
      <w:r w:rsidRPr="00CE4A8C">
        <w:rPr>
          <w:lang w:val="fr-FR"/>
        </w:rPr>
        <w:t xml:space="preserve"> 61 du 4 juin 2013, converti en la loi n</w:t>
      </w:r>
      <w:r w:rsidRPr="00CE4A8C">
        <w:rPr>
          <w:vertAlign w:val="superscript"/>
          <w:lang w:val="fr-FR"/>
        </w:rPr>
        <w:t>o</w:t>
      </w:r>
      <w:r w:rsidRPr="00CE4A8C">
        <w:rPr>
          <w:lang w:val="fr-FR"/>
        </w:rPr>
        <w:t> 89 du 3 août 2013</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52</w:t>
      </w:r>
      <w:r w:rsidRPr="00CE4A8C">
        <w:rPr>
          <w:lang w:val="fr-FR"/>
        </w:rPr>
        <w:fldChar w:fldCharType="end"/>
      </w:r>
      <w:r w:rsidRPr="00CE4A8C">
        <w:rPr>
          <w:lang w:val="fr-FR"/>
        </w:rPr>
        <w:t>.  Compte tenu des dangers graves et importants pour la santé et pour l</w:t>
      </w:r>
      <w:r w:rsidR="00CE4A8C" w:rsidRPr="00CE4A8C">
        <w:rPr>
          <w:lang w:val="fr-FR"/>
        </w:rPr>
        <w:t>’</w:t>
      </w:r>
      <w:r w:rsidRPr="00CE4A8C">
        <w:rPr>
          <w:lang w:val="fr-FR"/>
        </w:rPr>
        <w:t>environnement découlant de l</w:t>
      </w:r>
      <w:r w:rsidR="00CE4A8C" w:rsidRPr="00CE4A8C">
        <w:rPr>
          <w:lang w:val="fr-FR"/>
        </w:rPr>
        <w:t>’</w:t>
      </w:r>
      <w:r w:rsidRPr="00CE4A8C">
        <w:rPr>
          <w:lang w:val="fr-FR"/>
        </w:rPr>
        <w:t>activité productive de la société Ilva ainsi que du non-respect des prescriptions contenues dans l</w:t>
      </w:r>
      <w:r w:rsidR="00CE4A8C" w:rsidRPr="00CE4A8C">
        <w:rPr>
          <w:lang w:val="fr-FR"/>
        </w:rPr>
        <w:t>’</w:t>
      </w:r>
      <w:r w:rsidRPr="00CE4A8C">
        <w:rPr>
          <w:lang w:val="fr-FR"/>
        </w:rPr>
        <w:t>AIA de 2012, constaté entre</w:t>
      </w:r>
      <w:r w:rsidRPr="00CE4A8C">
        <w:rPr>
          <w:lang w:val="fr-FR"/>
        </w:rPr>
        <w:noBreakHyphen/>
        <w:t>temps par les autorités compétentes, le décret-loi n</w:t>
      </w:r>
      <w:r w:rsidRPr="00CE4A8C">
        <w:rPr>
          <w:vertAlign w:val="superscript"/>
          <w:lang w:val="fr-FR"/>
        </w:rPr>
        <w:t>o</w:t>
      </w:r>
      <w:r w:rsidRPr="00CE4A8C">
        <w:rPr>
          <w:lang w:val="fr-FR"/>
        </w:rPr>
        <w:t xml:space="preserve"> 61 du 4 juin 2013 disposa qu</w:t>
      </w:r>
      <w:r w:rsidR="00CE4A8C" w:rsidRPr="00CE4A8C">
        <w:rPr>
          <w:lang w:val="fr-FR"/>
        </w:rPr>
        <w:t>’</w:t>
      </w:r>
      <w:r w:rsidRPr="00CE4A8C">
        <w:rPr>
          <w:lang w:val="fr-FR"/>
        </w:rPr>
        <w:t>il devait être procédé à la nomination d</w:t>
      </w:r>
      <w:r w:rsidR="00CE4A8C" w:rsidRPr="00CE4A8C">
        <w:rPr>
          <w:lang w:val="fr-FR"/>
        </w:rPr>
        <w:t>’</w:t>
      </w:r>
      <w:r w:rsidRPr="00CE4A8C">
        <w:rPr>
          <w:lang w:val="fr-FR"/>
        </w:rPr>
        <w:t>un administrateur provisoire (</w:t>
      </w:r>
      <w:r w:rsidRPr="00CE4A8C">
        <w:rPr>
          <w:i/>
          <w:lang w:val="fr-FR"/>
        </w:rPr>
        <w:t>commissario straordinario</w:t>
      </w:r>
      <w:r w:rsidRPr="00CE4A8C">
        <w:rPr>
          <w:lang w:val="fr-FR"/>
        </w:rPr>
        <w:t>), lequel serait chargé de la gestion de la société, pour une période allant jusqu</w:t>
      </w:r>
      <w:r w:rsidR="00CE4A8C" w:rsidRPr="00CE4A8C">
        <w:rPr>
          <w:lang w:val="fr-FR"/>
        </w:rPr>
        <w:t>’</w:t>
      </w:r>
      <w:r w:rsidRPr="00CE4A8C">
        <w:rPr>
          <w:lang w:val="fr-FR"/>
        </w:rPr>
        <w:t>à trente-six mois.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53</w:t>
      </w:r>
      <w:r w:rsidRPr="00CE4A8C">
        <w:rPr>
          <w:lang w:val="fr-FR"/>
        </w:rPr>
        <w:fldChar w:fldCharType="end"/>
      </w:r>
      <w:r w:rsidRPr="00CE4A8C">
        <w:rPr>
          <w:lang w:val="fr-FR"/>
        </w:rPr>
        <w:t>.  Il disposa également qu</w:t>
      </w:r>
      <w:r w:rsidR="00CE4A8C" w:rsidRPr="00CE4A8C">
        <w:rPr>
          <w:lang w:val="fr-FR"/>
        </w:rPr>
        <w:t>’</w:t>
      </w:r>
      <w:r w:rsidRPr="00CE4A8C">
        <w:rPr>
          <w:lang w:val="fr-FR"/>
        </w:rPr>
        <w:t>un comité d</w:t>
      </w:r>
      <w:r w:rsidR="00CE4A8C" w:rsidRPr="00CE4A8C">
        <w:rPr>
          <w:lang w:val="fr-FR"/>
        </w:rPr>
        <w:t>’</w:t>
      </w:r>
      <w:r w:rsidRPr="00CE4A8C">
        <w:rPr>
          <w:lang w:val="fr-FR"/>
        </w:rPr>
        <w:t>experts devait être désigné. Après sa mise en place, celui-ci proposa au ministère de l</w:t>
      </w:r>
      <w:r w:rsidR="00CE4A8C" w:rsidRPr="00CE4A8C">
        <w:rPr>
          <w:lang w:val="fr-FR"/>
        </w:rPr>
        <w:t>’</w:t>
      </w:r>
      <w:r w:rsidRPr="00CE4A8C">
        <w:rPr>
          <w:lang w:val="fr-FR"/>
        </w:rPr>
        <w:t>Environnement un plan prévoyant des mesures de protection environnementale et sanitaire des travailleurs et de la population (« le plan environnemental »), contenant aussi les actions à entreprendre et les délais de mise en œuvre de celles-ci aux fins de garantie du respect de l</w:t>
      </w:r>
      <w:r w:rsidR="00CE4A8C" w:rsidRPr="00CE4A8C">
        <w:rPr>
          <w:lang w:val="fr-FR"/>
        </w:rPr>
        <w:t>’</w:t>
      </w:r>
      <w:r w:rsidRPr="00CE4A8C">
        <w:rPr>
          <w:lang w:val="fr-FR"/>
        </w:rPr>
        <w:t>AIA.</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54</w:t>
      </w:r>
      <w:r w:rsidRPr="00CE4A8C">
        <w:fldChar w:fldCharType="end"/>
      </w:r>
      <w:r w:rsidRPr="00CE4A8C">
        <w:rPr>
          <w:lang w:val="fr-FR"/>
        </w:rPr>
        <w:t>.  Le plan environnemental fit l</w:t>
      </w:r>
      <w:r w:rsidR="00CE4A8C" w:rsidRPr="00CE4A8C">
        <w:rPr>
          <w:lang w:val="fr-FR"/>
        </w:rPr>
        <w:t>’</w:t>
      </w:r>
      <w:r w:rsidRPr="00CE4A8C">
        <w:rPr>
          <w:lang w:val="fr-FR"/>
        </w:rPr>
        <w:t>objet d</w:t>
      </w:r>
      <w:r w:rsidR="00CE4A8C" w:rsidRPr="00CE4A8C">
        <w:rPr>
          <w:lang w:val="fr-FR"/>
        </w:rPr>
        <w:t>’</w:t>
      </w:r>
      <w:r w:rsidRPr="00CE4A8C">
        <w:rPr>
          <w:lang w:val="fr-FR"/>
        </w:rPr>
        <w:t>une approbation du ministère de l</w:t>
      </w:r>
      <w:r w:rsidR="00CE4A8C" w:rsidRPr="00CE4A8C">
        <w:rPr>
          <w:lang w:val="fr-FR"/>
        </w:rPr>
        <w:t>’</w:t>
      </w:r>
      <w:r w:rsidRPr="00CE4A8C">
        <w:rPr>
          <w:lang w:val="fr-FR"/>
        </w:rPr>
        <w:t>Environnement par le décret n</w:t>
      </w:r>
      <w:r w:rsidRPr="00CE4A8C">
        <w:rPr>
          <w:vertAlign w:val="superscript"/>
          <w:lang w:val="fr-FR"/>
        </w:rPr>
        <w:t>o</w:t>
      </w:r>
      <w:r w:rsidRPr="00CE4A8C">
        <w:rPr>
          <w:lang w:val="fr-FR"/>
        </w:rPr>
        <w:t xml:space="preserve"> 53 du 3 février 2014, laquelle approbation équivalait à une modification de l</w:t>
      </w:r>
      <w:r w:rsidR="00CE4A8C" w:rsidRPr="00CE4A8C">
        <w:rPr>
          <w:lang w:val="fr-FR"/>
        </w:rPr>
        <w:t>’</w:t>
      </w:r>
      <w:r w:rsidRPr="00CE4A8C">
        <w:rPr>
          <w:lang w:val="fr-FR"/>
        </w:rPr>
        <w:t>AIA.</w:t>
      </w:r>
    </w:p>
    <w:p w:rsidR="0059426D" w:rsidRPr="00CE4A8C" w:rsidRDefault="0059426D" w:rsidP="00CE4A8C">
      <w:pPr>
        <w:pStyle w:val="ECHRHeading4"/>
        <w:rPr>
          <w:lang w:val="fr-FR"/>
        </w:rPr>
      </w:pPr>
      <w:r w:rsidRPr="00CE4A8C">
        <w:rPr>
          <w:lang w:val="fr-FR"/>
        </w:rPr>
        <w:t>c)  Le décret-loi n</w:t>
      </w:r>
      <w:r w:rsidRPr="00CE4A8C">
        <w:rPr>
          <w:vertAlign w:val="superscript"/>
          <w:lang w:val="fr-FR"/>
        </w:rPr>
        <w:t>o</w:t>
      </w:r>
      <w:r w:rsidRPr="00CE4A8C">
        <w:rPr>
          <w:lang w:val="fr-FR"/>
        </w:rPr>
        <w:t xml:space="preserve"> 101 du 31 août 2013, converti en la loi n</w:t>
      </w:r>
      <w:r w:rsidRPr="00CE4A8C">
        <w:rPr>
          <w:vertAlign w:val="superscript"/>
          <w:lang w:val="fr-FR"/>
        </w:rPr>
        <w:t>o</w:t>
      </w:r>
      <w:r w:rsidRPr="00CE4A8C">
        <w:rPr>
          <w:lang w:val="fr-FR"/>
        </w:rPr>
        <w:t xml:space="preserve"> 125 du 30 octobre 2013</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55</w:t>
      </w:r>
      <w:r w:rsidRPr="00CE4A8C">
        <w:rPr>
          <w:lang w:val="fr-FR"/>
        </w:rPr>
        <w:fldChar w:fldCharType="end"/>
      </w:r>
      <w:r w:rsidRPr="00CE4A8C">
        <w:rPr>
          <w:lang w:val="fr-FR"/>
        </w:rPr>
        <w:t>.  Le décret-loi n</w:t>
      </w:r>
      <w:r w:rsidRPr="00CE4A8C">
        <w:rPr>
          <w:vertAlign w:val="superscript"/>
          <w:lang w:val="fr-FR"/>
        </w:rPr>
        <w:t>o</w:t>
      </w:r>
      <w:r w:rsidRPr="00CE4A8C">
        <w:rPr>
          <w:lang w:val="fr-FR"/>
        </w:rPr>
        <w:t xml:space="preserve"> 101 du 31 août 2013, prévoyant des « Dispositions en matière d</w:t>
      </w:r>
      <w:r w:rsidR="00CE4A8C" w:rsidRPr="00CE4A8C">
        <w:rPr>
          <w:lang w:val="fr-FR"/>
        </w:rPr>
        <w:t>’</w:t>
      </w:r>
      <w:r w:rsidRPr="00CE4A8C">
        <w:rPr>
          <w:lang w:val="fr-FR"/>
        </w:rPr>
        <w:t>entreprises d</w:t>
      </w:r>
      <w:r w:rsidR="00CE4A8C" w:rsidRPr="00CE4A8C">
        <w:rPr>
          <w:lang w:val="fr-FR"/>
        </w:rPr>
        <w:t>’</w:t>
      </w:r>
      <w:r w:rsidRPr="00CE4A8C">
        <w:rPr>
          <w:lang w:val="fr-FR"/>
        </w:rPr>
        <w:t>intérêt stratégique national », autorisa entre autres la construction de décharges pour les déchets spéciaux, dangereux et non dangereux, placées à proximité du site de production de la société Ilva, afin de garantir la mise en place des mesures prévues par le plan environnemental.</w:t>
      </w:r>
    </w:p>
    <w:p w:rsidR="0059426D" w:rsidRPr="00CE4A8C" w:rsidRDefault="0059426D" w:rsidP="00CE4A8C">
      <w:pPr>
        <w:pStyle w:val="ECHRHeading4"/>
        <w:rPr>
          <w:lang w:val="fr-FR"/>
        </w:rPr>
      </w:pPr>
      <w:r w:rsidRPr="00CE4A8C">
        <w:rPr>
          <w:lang w:val="fr-FR"/>
        </w:rPr>
        <w:lastRenderedPageBreak/>
        <w:t>d)  Le décret-loi n</w:t>
      </w:r>
      <w:r w:rsidRPr="00CE4A8C">
        <w:rPr>
          <w:vertAlign w:val="superscript"/>
          <w:lang w:val="fr-FR"/>
        </w:rPr>
        <w:t>o</w:t>
      </w:r>
      <w:r w:rsidRPr="00CE4A8C">
        <w:rPr>
          <w:lang w:val="fr-FR"/>
        </w:rPr>
        <w:t xml:space="preserve"> 136 du 10 décembre 2013, converti en la loi n</w:t>
      </w:r>
      <w:r w:rsidRPr="00CE4A8C">
        <w:rPr>
          <w:vertAlign w:val="superscript"/>
          <w:lang w:val="fr-FR"/>
        </w:rPr>
        <w:t>o</w:t>
      </w:r>
      <w:r w:rsidRPr="00CE4A8C">
        <w:rPr>
          <w:lang w:val="fr-FR"/>
        </w:rPr>
        <w:t xml:space="preserve"> 6 du 6 février 2014</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56</w:t>
      </w:r>
      <w:r w:rsidRPr="00CE4A8C">
        <w:rPr>
          <w:lang w:val="fr-FR"/>
        </w:rPr>
        <w:fldChar w:fldCharType="end"/>
      </w:r>
      <w:r w:rsidRPr="00CE4A8C">
        <w:rPr>
          <w:lang w:val="fr-FR"/>
        </w:rPr>
        <w:t>.  Selon le décret-loi n</w:t>
      </w:r>
      <w:r w:rsidRPr="00CE4A8C">
        <w:rPr>
          <w:vertAlign w:val="superscript"/>
          <w:lang w:val="fr-FR"/>
        </w:rPr>
        <w:t>o</w:t>
      </w:r>
      <w:r w:rsidRPr="00CE4A8C">
        <w:rPr>
          <w:lang w:val="fr-FR"/>
        </w:rPr>
        <w:t xml:space="preserve"> 136 du 10 décembre 2013, qui fixait des « Dispositions urgentes pour faire face aux urgences environnementales et industrielles et favoriser le développement des zones concernées », les mesures prévues par le plan environnemental étaient considérées comme réalisées lorsque : i) à la date de nomination de l</w:t>
      </w:r>
      <w:r w:rsidR="00CE4A8C" w:rsidRPr="00CE4A8C">
        <w:rPr>
          <w:lang w:val="fr-FR"/>
        </w:rPr>
        <w:t>’</w:t>
      </w:r>
      <w:r w:rsidRPr="00CE4A8C">
        <w:rPr>
          <w:lang w:val="fr-FR"/>
        </w:rPr>
        <w:t>administrateur provisoire, la qualité de l</w:t>
      </w:r>
      <w:r w:rsidR="00CE4A8C" w:rsidRPr="00CE4A8C">
        <w:rPr>
          <w:lang w:val="fr-FR"/>
        </w:rPr>
        <w:t>’</w:t>
      </w:r>
      <w:r w:rsidRPr="00CE4A8C">
        <w:rPr>
          <w:lang w:val="fr-FR"/>
        </w:rPr>
        <w:t>air dans la zone située à l</w:t>
      </w:r>
      <w:r w:rsidR="00CE4A8C" w:rsidRPr="00CE4A8C">
        <w:rPr>
          <w:lang w:val="fr-FR"/>
        </w:rPr>
        <w:t>’</w:t>
      </w:r>
      <w:r w:rsidRPr="00CE4A8C">
        <w:rPr>
          <w:lang w:val="fr-FR"/>
        </w:rPr>
        <w:t>extérieur de l</w:t>
      </w:r>
      <w:r w:rsidR="00CE4A8C" w:rsidRPr="00CE4A8C">
        <w:rPr>
          <w:lang w:val="fr-FR"/>
        </w:rPr>
        <w:t>’</w:t>
      </w:r>
      <w:r w:rsidRPr="00CE4A8C">
        <w:rPr>
          <w:lang w:val="fr-FR"/>
        </w:rPr>
        <w:t>usine ne s</w:t>
      </w:r>
      <w:r w:rsidR="00CE4A8C" w:rsidRPr="00CE4A8C">
        <w:rPr>
          <w:lang w:val="fr-FR"/>
        </w:rPr>
        <w:t>’</w:t>
      </w:r>
      <w:r w:rsidRPr="00CE4A8C">
        <w:rPr>
          <w:lang w:val="fr-FR"/>
        </w:rPr>
        <w:t>était pas dégradée et ii) des démarches pour la réalisation d</w:t>
      </w:r>
      <w:r w:rsidR="00CE4A8C" w:rsidRPr="00CE4A8C">
        <w:rPr>
          <w:lang w:val="fr-FR"/>
        </w:rPr>
        <w:t>’</w:t>
      </w:r>
      <w:r w:rsidRPr="00CE4A8C">
        <w:rPr>
          <w:lang w:val="fr-FR"/>
        </w:rPr>
        <w:t>au moins 80 % des prescriptions contenues dans l</w:t>
      </w:r>
      <w:r w:rsidR="00CE4A8C" w:rsidRPr="00CE4A8C">
        <w:rPr>
          <w:lang w:val="fr-FR"/>
        </w:rPr>
        <w:t>’</w:t>
      </w:r>
      <w:r w:rsidRPr="00CE4A8C">
        <w:rPr>
          <w:lang w:val="fr-FR"/>
        </w:rPr>
        <w:t>AIA avaient été entreprises.</w:t>
      </w:r>
    </w:p>
    <w:p w:rsidR="0059426D" w:rsidRPr="00CE4A8C" w:rsidRDefault="0059426D" w:rsidP="00CE4A8C">
      <w:pPr>
        <w:pStyle w:val="ECHRHeading4"/>
        <w:rPr>
          <w:lang w:val="fr-FR"/>
        </w:rPr>
      </w:pPr>
      <w:r w:rsidRPr="00CE4A8C">
        <w:rPr>
          <w:lang w:val="fr-FR"/>
        </w:rPr>
        <w:t>e)  Le décret-loi n</w:t>
      </w:r>
      <w:r w:rsidRPr="00CE4A8C">
        <w:rPr>
          <w:vertAlign w:val="superscript"/>
          <w:lang w:val="fr-FR"/>
        </w:rPr>
        <w:t>o</w:t>
      </w:r>
      <w:r w:rsidRPr="00CE4A8C">
        <w:rPr>
          <w:lang w:val="fr-FR"/>
        </w:rPr>
        <w:t xml:space="preserve"> 100 du 16 juillet 2014</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57</w:t>
      </w:r>
      <w:r w:rsidRPr="00CE4A8C">
        <w:rPr>
          <w:lang w:val="fr-FR"/>
        </w:rPr>
        <w:fldChar w:fldCharType="end"/>
      </w:r>
      <w:r w:rsidRPr="00CE4A8C">
        <w:rPr>
          <w:lang w:val="fr-FR"/>
        </w:rPr>
        <w:t>.  Le décret-loi n</w:t>
      </w:r>
      <w:r w:rsidRPr="00CE4A8C">
        <w:rPr>
          <w:vertAlign w:val="superscript"/>
          <w:lang w:val="fr-FR"/>
        </w:rPr>
        <w:t>o</w:t>
      </w:r>
      <w:r w:rsidRPr="00CE4A8C">
        <w:rPr>
          <w:lang w:val="fr-FR"/>
        </w:rPr>
        <w:t xml:space="preserve"> 100 du 16 juillet 2014, prévoyant des « Mesures urgentes pour la réalisation du plan environnemental », indiquait qu</w:t>
      </w:r>
      <w:r w:rsidR="00CE4A8C" w:rsidRPr="00CE4A8C">
        <w:rPr>
          <w:lang w:val="fr-FR"/>
        </w:rPr>
        <w:t>’</w:t>
      </w:r>
      <w:r w:rsidRPr="00CE4A8C">
        <w:rPr>
          <w:lang w:val="fr-FR"/>
        </w:rPr>
        <w:t>au moins 80 % des prescriptions prévues par le plan environnemental devaient être réalisées au 31 juillet 2015 et que toutes ces prescriptions devaient l</w:t>
      </w:r>
      <w:r w:rsidR="00CE4A8C" w:rsidRPr="00CE4A8C">
        <w:rPr>
          <w:lang w:val="fr-FR"/>
        </w:rPr>
        <w:t>’</w:t>
      </w:r>
      <w:r w:rsidRPr="00CE4A8C">
        <w:rPr>
          <w:lang w:val="fr-FR"/>
        </w:rPr>
        <w:t>être au plus tard le 4 août 2016. Ce décret-loi devint caduc faute de conversion ; ses dispositions furent toutefois reprises dans la loi n</w:t>
      </w:r>
      <w:r w:rsidRPr="00CE4A8C">
        <w:rPr>
          <w:vertAlign w:val="superscript"/>
          <w:lang w:val="fr-FR"/>
        </w:rPr>
        <w:t>o</w:t>
      </w:r>
      <w:r w:rsidRPr="00CE4A8C">
        <w:rPr>
          <w:lang w:val="fr-FR"/>
        </w:rPr>
        <w:t xml:space="preserve"> 116 de 2014.</w:t>
      </w:r>
    </w:p>
    <w:p w:rsidR="0059426D" w:rsidRPr="00CE4A8C" w:rsidRDefault="0059426D" w:rsidP="00CE4A8C">
      <w:pPr>
        <w:pStyle w:val="ECHRHeading4"/>
        <w:rPr>
          <w:lang w:val="fr-FR"/>
        </w:rPr>
      </w:pPr>
      <w:r w:rsidRPr="00CE4A8C">
        <w:rPr>
          <w:lang w:val="fr-FR"/>
        </w:rPr>
        <w:t>f)  Le décret-loi n</w:t>
      </w:r>
      <w:r w:rsidRPr="00CE4A8C">
        <w:rPr>
          <w:vertAlign w:val="superscript"/>
          <w:lang w:val="fr-FR"/>
        </w:rPr>
        <w:t>o</w:t>
      </w:r>
      <w:r w:rsidRPr="00CE4A8C">
        <w:rPr>
          <w:lang w:val="fr-FR"/>
        </w:rPr>
        <w:t xml:space="preserve"> 1 du 5 janvier 2015, converti en la loi n</w:t>
      </w:r>
      <w:r w:rsidRPr="00CE4A8C">
        <w:rPr>
          <w:vertAlign w:val="superscript"/>
          <w:lang w:val="fr-FR"/>
        </w:rPr>
        <w:t>o</w:t>
      </w:r>
      <w:r w:rsidRPr="00CE4A8C">
        <w:rPr>
          <w:lang w:val="fr-FR"/>
        </w:rPr>
        <w:t xml:space="preserve"> 20 du 4 mars 2015</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58</w:t>
      </w:r>
      <w:r w:rsidRPr="00CE4A8C">
        <w:rPr>
          <w:lang w:val="fr-FR"/>
        </w:rPr>
        <w:fldChar w:fldCharType="end"/>
      </w:r>
      <w:r w:rsidRPr="00CE4A8C">
        <w:rPr>
          <w:lang w:val="fr-FR"/>
        </w:rPr>
        <w:t>.  Le décret-loi n</w:t>
      </w:r>
      <w:r w:rsidRPr="00CE4A8C">
        <w:rPr>
          <w:vertAlign w:val="superscript"/>
          <w:lang w:val="fr-FR"/>
        </w:rPr>
        <w:t>o</w:t>
      </w:r>
      <w:r w:rsidRPr="00CE4A8C">
        <w:rPr>
          <w:lang w:val="fr-FR"/>
        </w:rPr>
        <w:t> 1 du 5 janvier 2015 indiquait que le plan environnemental serait considéré comme exécuté lorsque, au 31 juillet 2015, 80 % des prescriptions prévues pour cette date auraient été réalisées.</w:t>
      </w:r>
    </w:p>
    <w:bookmarkStart w:id="15" w:name="immunité_1"/>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59</w:t>
      </w:r>
      <w:r w:rsidRPr="00CE4A8C">
        <w:rPr>
          <w:lang w:val="fr-FR"/>
        </w:rPr>
        <w:fldChar w:fldCharType="end"/>
      </w:r>
      <w:bookmarkEnd w:id="15"/>
      <w:r w:rsidRPr="00CE4A8C">
        <w:rPr>
          <w:lang w:val="fr-FR"/>
        </w:rPr>
        <w:t>.  En outre, ce texte prévoyait que les mesures mises en place dans le cadre dudit plan ne pouvaient pas être à l</w:t>
      </w:r>
      <w:r w:rsidR="00CE4A8C" w:rsidRPr="00CE4A8C">
        <w:rPr>
          <w:lang w:val="fr-FR"/>
        </w:rPr>
        <w:t>’</w:t>
      </w:r>
      <w:r w:rsidRPr="00CE4A8C">
        <w:rPr>
          <w:lang w:val="fr-FR"/>
        </w:rPr>
        <w:t>origine d</w:t>
      </w:r>
      <w:r w:rsidR="00CE4A8C" w:rsidRPr="00CE4A8C">
        <w:rPr>
          <w:lang w:val="fr-FR"/>
        </w:rPr>
        <w:t>’</w:t>
      </w:r>
      <w:r w:rsidRPr="00CE4A8C">
        <w:rPr>
          <w:lang w:val="fr-FR"/>
        </w:rPr>
        <w:t>une mise en jeu de la responsabilité pénale ou administrative de l</w:t>
      </w:r>
      <w:r w:rsidR="00CE4A8C" w:rsidRPr="00CE4A8C">
        <w:rPr>
          <w:lang w:val="fr-FR"/>
        </w:rPr>
        <w:t>’</w:t>
      </w:r>
      <w:r w:rsidRPr="00CE4A8C">
        <w:rPr>
          <w:lang w:val="fr-FR"/>
        </w:rPr>
        <w:t>administrateur provisoire, puisque ces mesures constituaient la mise en œuvre des meilleures règles de prévention en matière environnementale, et de protection de la santé, de la sécurité publique et sur le lieu de travail.</w:t>
      </w:r>
    </w:p>
    <w:p w:rsidR="0059426D" w:rsidRPr="00CE4A8C" w:rsidRDefault="0059426D" w:rsidP="00CE4A8C">
      <w:pPr>
        <w:pStyle w:val="ECHRHeading4"/>
        <w:rPr>
          <w:lang w:val="fr-FR"/>
        </w:rPr>
      </w:pPr>
      <w:r w:rsidRPr="00CE4A8C">
        <w:rPr>
          <w:lang w:val="fr-FR"/>
        </w:rPr>
        <w:t>g)  Le décret du ministère du Développement économique du 21 janvier 2015</w:t>
      </w:r>
    </w:p>
    <w:bookmarkStart w:id="16" w:name="administration_extraordinaire"/>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60</w:t>
      </w:r>
      <w:r w:rsidRPr="00CE4A8C">
        <w:rPr>
          <w:lang w:val="fr-FR"/>
        </w:rPr>
        <w:fldChar w:fldCharType="end"/>
      </w:r>
      <w:bookmarkEnd w:id="16"/>
      <w:r w:rsidRPr="00CE4A8C">
        <w:rPr>
          <w:lang w:val="fr-FR"/>
        </w:rPr>
        <w:t>.  Par un décret en date du 21 janvier 2015, le ministère du Développement économique admit la société Ilva au bénéfice de la procédure d</w:t>
      </w:r>
      <w:r w:rsidR="00CE4A8C" w:rsidRPr="00CE4A8C">
        <w:rPr>
          <w:lang w:val="fr-FR"/>
        </w:rPr>
        <w:t>’</w:t>
      </w:r>
      <w:r w:rsidRPr="00CE4A8C">
        <w:rPr>
          <w:lang w:val="fr-FR"/>
        </w:rPr>
        <w:t>administration provisoire en raison de son insolvabilité, qui avait été constatée entre-temps.</w:t>
      </w:r>
    </w:p>
    <w:p w:rsidR="0059426D" w:rsidRPr="00CE4A8C" w:rsidRDefault="0059426D" w:rsidP="00CE4A8C">
      <w:pPr>
        <w:pStyle w:val="ECHRHeading4"/>
        <w:rPr>
          <w:lang w:val="fr-FR"/>
        </w:rPr>
      </w:pPr>
      <w:r w:rsidRPr="00CE4A8C">
        <w:rPr>
          <w:lang w:val="fr-FR"/>
        </w:rPr>
        <w:t>h)  Le décret-loi n</w:t>
      </w:r>
      <w:r w:rsidRPr="00CE4A8C">
        <w:rPr>
          <w:vertAlign w:val="superscript"/>
          <w:lang w:val="fr-FR"/>
        </w:rPr>
        <w:t>o</w:t>
      </w:r>
      <w:r w:rsidRPr="00CE4A8C">
        <w:rPr>
          <w:lang w:val="fr-FR"/>
        </w:rPr>
        <w:t xml:space="preserve"> 92/2015</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61</w:t>
      </w:r>
      <w:r w:rsidRPr="00CE4A8C">
        <w:rPr>
          <w:lang w:val="fr-FR"/>
        </w:rPr>
        <w:fldChar w:fldCharType="end"/>
      </w:r>
      <w:r w:rsidRPr="00CE4A8C">
        <w:rPr>
          <w:lang w:val="fr-FR"/>
        </w:rPr>
        <w:t>.  Le 18 juin 2015, l</w:t>
      </w:r>
      <w:r w:rsidR="00CE4A8C" w:rsidRPr="00CE4A8C">
        <w:rPr>
          <w:lang w:val="fr-FR"/>
        </w:rPr>
        <w:t>’</w:t>
      </w:r>
      <w:r w:rsidRPr="00CE4A8C">
        <w:rPr>
          <w:lang w:val="fr-FR"/>
        </w:rPr>
        <w:t>un des fourneaux de l</w:t>
      </w:r>
      <w:r w:rsidR="00CE4A8C" w:rsidRPr="00CE4A8C">
        <w:rPr>
          <w:lang w:val="fr-FR"/>
        </w:rPr>
        <w:t>’</w:t>
      </w:r>
      <w:r w:rsidRPr="00CE4A8C">
        <w:rPr>
          <w:lang w:val="fr-FR"/>
        </w:rPr>
        <w:t>aciérie de Tarente fit l</w:t>
      </w:r>
      <w:r w:rsidR="00CE4A8C" w:rsidRPr="00CE4A8C">
        <w:rPr>
          <w:lang w:val="fr-FR"/>
        </w:rPr>
        <w:t>’</w:t>
      </w:r>
      <w:r w:rsidRPr="00CE4A8C">
        <w:rPr>
          <w:lang w:val="fr-FR"/>
        </w:rPr>
        <w:t>objet d</w:t>
      </w:r>
      <w:r w:rsidR="00CE4A8C" w:rsidRPr="00CE4A8C">
        <w:rPr>
          <w:lang w:val="fr-FR"/>
        </w:rPr>
        <w:t>’</w:t>
      </w:r>
      <w:r w:rsidRPr="00CE4A8C">
        <w:rPr>
          <w:lang w:val="fr-FR"/>
        </w:rPr>
        <w:t>une saisie judiciaire dans le cadre d</w:t>
      </w:r>
      <w:r w:rsidR="00CE4A8C" w:rsidRPr="00CE4A8C">
        <w:rPr>
          <w:lang w:val="fr-FR"/>
        </w:rPr>
        <w:t>’</w:t>
      </w:r>
      <w:r w:rsidRPr="00CE4A8C">
        <w:rPr>
          <w:lang w:val="fr-FR"/>
        </w:rPr>
        <w:t>une procédure pénale portant sur le décès d</w:t>
      </w:r>
      <w:r w:rsidR="00CE4A8C" w:rsidRPr="00CE4A8C">
        <w:rPr>
          <w:lang w:val="fr-FR"/>
        </w:rPr>
        <w:t>’</w:t>
      </w:r>
      <w:r w:rsidRPr="00CE4A8C">
        <w:rPr>
          <w:lang w:val="fr-FR"/>
        </w:rPr>
        <w:t>un ouvrier, qui avait été renversé par une projection de matières incandescentes.</w:t>
      </w:r>
    </w:p>
    <w:p w:rsidR="0059426D"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62</w:t>
      </w:r>
      <w:r w:rsidRPr="00CE4A8C">
        <w:rPr>
          <w:lang w:val="fr-FR"/>
        </w:rPr>
        <w:fldChar w:fldCharType="end"/>
      </w:r>
      <w:r w:rsidRPr="00CE4A8C">
        <w:rPr>
          <w:lang w:val="fr-FR"/>
        </w:rPr>
        <w:t>.  Le décret-loi n</w:t>
      </w:r>
      <w:r w:rsidRPr="00CE4A8C">
        <w:rPr>
          <w:vertAlign w:val="superscript"/>
          <w:lang w:val="fr-FR"/>
        </w:rPr>
        <w:t>o</w:t>
      </w:r>
      <w:r w:rsidRPr="00CE4A8C">
        <w:rPr>
          <w:lang w:val="fr-FR"/>
        </w:rPr>
        <w:t xml:space="preserve"> 92/2015 autorisa l</w:t>
      </w:r>
      <w:r w:rsidR="00CE4A8C" w:rsidRPr="00CE4A8C">
        <w:rPr>
          <w:lang w:val="fr-FR"/>
        </w:rPr>
        <w:t>’</w:t>
      </w:r>
      <w:r w:rsidRPr="00CE4A8C">
        <w:rPr>
          <w:lang w:val="fr-FR"/>
        </w:rPr>
        <w:t>usine à poursuivre son activité pendant une période de douze mois à partir de la saisie du fourneau, en attendant l</w:t>
      </w:r>
      <w:r w:rsidR="00CE4A8C" w:rsidRPr="00CE4A8C">
        <w:rPr>
          <w:lang w:val="fr-FR"/>
        </w:rPr>
        <w:t>’</w:t>
      </w:r>
      <w:r w:rsidRPr="00CE4A8C">
        <w:rPr>
          <w:lang w:val="fr-FR"/>
        </w:rPr>
        <w:t>adaptation des normes en matière de sécurité sur le lieu de travail.</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63</w:t>
      </w:r>
      <w:r w:rsidRPr="00CE4A8C">
        <w:rPr>
          <w:lang w:val="fr-FR"/>
        </w:rPr>
        <w:fldChar w:fldCharType="end"/>
      </w:r>
      <w:r w:rsidRPr="00CE4A8C">
        <w:rPr>
          <w:lang w:val="fr-FR"/>
        </w:rPr>
        <w:t>.  Ce texte fit ensuite l</w:t>
      </w:r>
      <w:r w:rsidR="00CE4A8C" w:rsidRPr="00CE4A8C">
        <w:rPr>
          <w:lang w:val="fr-FR"/>
        </w:rPr>
        <w:t>’</w:t>
      </w:r>
      <w:r w:rsidRPr="00CE4A8C">
        <w:rPr>
          <w:lang w:val="fr-FR"/>
        </w:rPr>
        <w:t>objet d</w:t>
      </w:r>
      <w:r w:rsidR="00CE4A8C" w:rsidRPr="00CE4A8C">
        <w:rPr>
          <w:lang w:val="fr-FR"/>
        </w:rPr>
        <w:t>’</w:t>
      </w:r>
      <w:r w:rsidRPr="00CE4A8C">
        <w:rPr>
          <w:lang w:val="fr-FR"/>
        </w:rPr>
        <w:t>un arrêt de la Cour constitutionnelle (n</w:t>
      </w:r>
      <w:r w:rsidRPr="00CE4A8C">
        <w:rPr>
          <w:vertAlign w:val="superscript"/>
          <w:lang w:val="fr-FR"/>
        </w:rPr>
        <w:t>o</w:t>
      </w:r>
      <w:r w:rsidRPr="00CE4A8C">
        <w:rPr>
          <w:lang w:val="fr-FR"/>
        </w:rPr>
        <w:t> 58 du 23 mars 2018) qui conclut à son inconstitutionnalité en ce que les autorités avaient fini par privilégier de façon excessive la continuation de l</w:t>
      </w:r>
      <w:r w:rsidR="00CE4A8C" w:rsidRPr="00CE4A8C">
        <w:rPr>
          <w:lang w:val="fr-FR"/>
        </w:rPr>
        <w:t>’</w:t>
      </w:r>
      <w:r w:rsidRPr="00CE4A8C">
        <w:rPr>
          <w:lang w:val="fr-FR"/>
        </w:rPr>
        <w:t>activité productive au détriment de la protection des droits à la santé et à la vie, garantis par la Constitution.</w:t>
      </w:r>
    </w:p>
    <w:p w:rsidR="0059426D" w:rsidRPr="00CE4A8C" w:rsidRDefault="0059426D" w:rsidP="00CE4A8C">
      <w:pPr>
        <w:pStyle w:val="ECHRPara"/>
        <w:rPr>
          <w:lang w:val="fr-FR"/>
        </w:rPr>
      </w:pPr>
      <w:r w:rsidRPr="00CE4A8C">
        <w:rPr>
          <w:lang w:val="fr-FR"/>
        </w:rPr>
        <w:t>Entre-temps, les dispositions de ce décret-loi, qui était devenu caduc faute de conversion, avaient été reprises dans la loi n</w:t>
      </w:r>
      <w:r w:rsidRPr="00CE4A8C">
        <w:rPr>
          <w:vertAlign w:val="superscript"/>
          <w:lang w:val="fr-FR"/>
        </w:rPr>
        <w:t>o</w:t>
      </w:r>
      <w:r w:rsidRPr="00CE4A8C">
        <w:rPr>
          <w:lang w:val="fr-FR"/>
        </w:rPr>
        <w:t> 132 de 2015.</w:t>
      </w:r>
    </w:p>
    <w:p w:rsidR="0059426D" w:rsidRPr="00CE4A8C" w:rsidRDefault="0059426D" w:rsidP="00CE4A8C">
      <w:pPr>
        <w:pStyle w:val="ECHRHeading4"/>
        <w:rPr>
          <w:lang w:val="fr-FR"/>
        </w:rPr>
      </w:pPr>
      <w:r w:rsidRPr="00CE4A8C">
        <w:rPr>
          <w:lang w:val="fr-FR"/>
        </w:rPr>
        <w:t>i)  Le décret-loi n</w:t>
      </w:r>
      <w:r w:rsidRPr="00CE4A8C">
        <w:rPr>
          <w:vertAlign w:val="superscript"/>
          <w:lang w:val="fr-FR"/>
        </w:rPr>
        <w:t>o</w:t>
      </w:r>
      <w:r w:rsidRPr="00CE4A8C">
        <w:rPr>
          <w:lang w:val="fr-FR"/>
        </w:rPr>
        <w:t xml:space="preserve"> 191 du 4 décembre 2015, converti en la loi n</w:t>
      </w:r>
      <w:r w:rsidRPr="00CE4A8C">
        <w:rPr>
          <w:vertAlign w:val="superscript"/>
          <w:lang w:val="fr-FR"/>
        </w:rPr>
        <w:t>o</w:t>
      </w:r>
      <w:r w:rsidRPr="00CE4A8C">
        <w:rPr>
          <w:lang w:val="fr-FR"/>
        </w:rPr>
        <w:t xml:space="preserve"> 13 du 1</w:t>
      </w:r>
      <w:r w:rsidRPr="00CE4A8C">
        <w:rPr>
          <w:vertAlign w:val="superscript"/>
          <w:lang w:val="fr-FR"/>
        </w:rPr>
        <w:t>er </w:t>
      </w:r>
      <w:r w:rsidRPr="00CE4A8C">
        <w:rPr>
          <w:lang w:val="fr-FR"/>
        </w:rPr>
        <w:t>février 2016</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64</w:t>
      </w:r>
      <w:r w:rsidRPr="00CE4A8C">
        <w:rPr>
          <w:lang w:val="fr-FR"/>
        </w:rPr>
        <w:fldChar w:fldCharType="end"/>
      </w:r>
      <w:r w:rsidRPr="00CE4A8C">
        <w:rPr>
          <w:lang w:val="fr-FR"/>
        </w:rPr>
        <w:t>.  En application du décret-loi n</w:t>
      </w:r>
      <w:r w:rsidRPr="00CE4A8C">
        <w:rPr>
          <w:vertAlign w:val="superscript"/>
          <w:lang w:val="fr-FR"/>
        </w:rPr>
        <w:t>o</w:t>
      </w:r>
      <w:r w:rsidRPr="00CE4A8C">
        <w:rPr>
          <w:lang w:val="fr-FR"/>
        </w:rPr>
        <w:t xml:space="preserve"> 191 du 4 décembre 2015, prévoyant des « Dispositions urgentes pour la cession des activités d</w:t>
      </w:r>
      <w:r w:rsidR="00CE4A8C" w:rsidRPr="00CE4A8C">
        <w:rPr>
          <w:lang w:val="fr-FR"/>
        </w:rPr>
        <w:t>’</w:t>
      </w:r>
      <w:r w:rsidRPr="00CE4A8C">
        <w:rPr>
          <w:lang w:val="fr-FR"/>
        </w:rPr>
        <w:t>entreprise de la société Ilva », l</w:t>
      </w:r>
      <w:r w:rsidR="00CE4A8C" w:rsidRPr="00CE4A8C">
        <w:rPr>
          <w:lang w:val="fr-FR"/>
        </w:rPr>
        <w:t>’</w:t>
      </w:r>
      <w:r w:rsidRPr="00CE4A8C">
        <w:rPr>
          <w:lang w:val="fr-FR"/>
        </w:rPr>
        <w:t>administrateur provisoire se vit octroyer la somme de 300 000 000 euros (EUR) pour faire face à ses impératifs financiers.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65</w:t>
      </w:r>
      <w:r w:rsidRPr="00CE4A8C">
        <w:rPr>
          <w:lang w:val="fr-FR"/>
        </w:rPr>
        <w:fldChar w:fldCharType="end"/>
      </w:r>
      <w:r w:rsidRPr="00CE4A8C">
        <w:rPr>
          <w:lang w:val="fr-FR"/>
        </w:rPr>
        <w:t>.  En outre, toujours en application de ce décret-loi, le délai pour la mise en œuvre du plan environnemental fut reporté au 30 juin 2017.</w:t>
      </w:r>
    </w:p>
    <w:p w:rsidR="0059426D" w:rsidRPr="00CE4A8C" w:rsidRDefault="0059426D" w:rsidP="00CE4A8C">
      <w:pPr>
        <w:pStyle w:val="ECHRHeading4"/>
        <w:rPr>
          <w:lang w:val="fr-FR"/>
        </w:rPr>
      </w:pPr>
      <w:r w:rsidRPr="00CE4A8C">
        <w:rPr>
          <w:lang w:val="fr-FR"/>
        </w:rPr>
        <w:t>j)  Le décret-loi n</w:t>
      </w:r>
      <w:r w:rsidRPr="00CE4A8C">
        <w:rPr>
          <w:vertAlign w:val="superscript"/>
          <w:lang w:val="fr-FR"/>
        </w:rPr>
        <w:t>o</w:t>
      </w:r>
      <w:r w:rsidRPr="00CE4A8C">
        <w:rPr>
          <w:lang w:val="fr-FR"/>
        </w:rPr>
        <w:t xml:space="preserve"> 98 du 9 juin 2016, converti en la loi n</w:t>
      </w:r>
      <w:r w:rsidRPr="00CE4A8C">
        <w:rPr>
          <w:vertAlign w:val="superscript"/>
          <w:lang w:val="fr-FR"/>
        </w:rPr>
        <w:t>o</w:t>
      </w:r>
      <w:r w:rsidRPr="00CE4A8C">
        <w:rPr>
          <w:lang w:val="fr-FR"/>
        </w:rPr>
        <w:t xml:space="preserve"> 151 du 1</w:t>
      </w:r>
      <w:r w:rsidRPr="00CE4A8C">
        <w:rPr>
          <w:vertAlign w:val="superscript"/>
          <w:lang w:val="fr-FR"/>
        </w:rPr>
        <w:t>er</w:t>
      </w:r>
      <w:r w:rsidRPr="00CE4A8C">
        <w:rPr>
          <w:lang w:val="fr-FR"/>
        </w:rPr>
        <w:t xml:space="preserve"> août 2016</w:t>
      </w:r>
    </w:p>
    <w:p w:rsidR="0059426D" w:rsidRPr="00CE4A8C" w:rsidRDefault="0059426D" w:rsidP="00CE4A8C">
      <w:pPr>
        <w:pStyle w:val="ECHRPara"/>
        <w:rPr>
          <w:rFonts w:ascii="Courier New" w:eastAsia="Times New Roman" w:hAnsi="Courier New" w:cs="Courier New"/>
          <w:szCs w:val="24"/>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66</w:t>
      </w:r>
      <w:r w:rsidRPr="00CE4A8C">
        <w:rPr>
          <w:lang w:val="fr-FR"/>
        </w:rPr>
        <w:fldChar w:fldCharType="end"/>
      </w:r>
      <w:r w:rsidRPr="00CE4A8C">
        <w:rPr>
          <w:lang w:val="fr-FR"/>
        </w:rPr>
        <w:t>.  À partir de 2016,</w:t>
      </w:r>
      <w:r w:rsidRPr="00CE4A8C">
        <w:rPr>
          <w:szCs w:val="24"/>
          <w:lang w:val="fr-FR"/>
        </w:rPr>
        <w:t xml:space="preserve"> la société Ilva fit l</w:t>
      </w:r>
      <w:r w:rsidR="00CE4A8C" w:rsidRPr="00CE4A8C">
        <w:rPr>
          <w:szCs w:val="24"/>
          <w:lang w:val="fr-FR"/>
        </w:rPr>
        <w:t>’</w:t>
      </w:r>
      <w:r w:rsidRPr="00CE4A8C">
        <w:rPr>
          <w:szCs w:val="24"/>
          <w:lang w:val="fr-FR"/>
        </w:rPr>
        <w:t>objet d</w:t>
      </w:r>
      <w:r w:rsidR="00CE4A8C" w:rsidRPr="00CE4A8C">
        <w:rPr>
          <w:szCs w:val="24"/>
          <w:lang w:val="fr-FR"/>
        </w:rPr>
        <w:t>’</w:t>
      </w:r>
      <w:r w:rsidRPr="00CE4A8C">
        <w:rPr>
          <w:szCs w:val="24"/>
          <w:lang w:val="fr-FR"/>
        </w:rPr>
        <w:t>une procédure de vente par la voie d</w:t>
      </w:r>
      <w:r w:rsidR="00CE4A8C" w:rsidRPr="00CE4A8C">
        <w:rPr>
          <w:szCs w:val="24"/>
          <w:lang w:val="fr-FR"/>
        </w:rPr>
        <w:t>’</w:t>
      </w:r>
      <w:r w:rsidRPr="00CE4A8C">
        <w:rPr>
          <w:szCs w:val="24"/>
          <w:lang w:val="fr-FR"/>
        </w:rPr>
        <w:t>un appel d</w:t>
      </w:r>
      <w:r w:rsidR="00CE4A8C" w:rsidRPr="00CE4A8C">
        <w:rPr>
          <w:szCs w:val="24"/>
          <w:lang w:val="fr-FR"/>
        </w:rPr>
        <w:t>’</w:t>
      </w:r>
      <w:r w:rsidRPr="00CE4A8C">
        <w:rPr>
          <w:szCs w:val="24"/>
          <w:lang w:val="fr-FR"/>
        </w:rPr>
        <w:t>offres international, qui est actuellement en cours.</w:t>
      </w:r>
    </w:p>
    <w:bookmarkStart w:id="17" w:name="report_nouvel_acquereur"/>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67</w:t>
      </w:r>
      <w:r w:rsidRPr="00CE4A8C">
        <w:rPr>
          <w:lang w:val="fr-FR"/>
        </w:rPr>
        <w:fldChar w:fldCharType="end"/>
      </w:r>
      <w:bookmarkEnd w:id="17"/>
      <w:r w:rsidRPr="00CE4A8C">
        <w:rPr>
          <w:lang w:val="fr-FR"/>
        </w:rPr>
        <w:t>.  Dans le cadre des « Dispositions urgentes pour la mise en place de la procédure de cession des activités d</w:t>
      </w:r>
      <w:r w:rsidR="00CE4A8C" w:rsidRPr="00CE4A8C">
        <w:rPr>
          <w:lang w:val="fr-FR"/>
        </w:rPr>
        <w:t>’</w:t>
      </w:r>
      <w:r w:rsidRPr="00CE4A8C">
        <w:rPr>
          <w:lang w:val="fr-FR"/>
        </w:rPr>
        <w:t>entreprise de la société Ilva » prévues par le décret-loi n</w:t>
      </w:r>
      <w:r w:rsidRPr="00CE4A8C">
        <w:rPr>
          <w:vertAlign w:val="superscript"/>
          <w:lang w:val="fr-FR"/>
        </w:rPr>
        <w:t>o</w:t>
      </w:r>
      <w:r w:rsidRPr="00CE4A8C">
        <w:rPr>
          <w:lang w:val="fr-FR"/>
        </w:rPr>
        <w:t> 98 du 9 juin 2016, il fut décidé que le délai pour l</w:t>
      </w:r>
      <w:r w:rsidR="00CE4A8C" w:rsidRPr="00CE4A8C">
        <w:rPr>
          <w:lang w:val="fr-FR"/>
        </w:rPr>
        <w:t>’</w:t>
      </w:r>
      <w:r w:rsidRPr="00CE4A8C">
        <w:rPr>
          <w:lang w:val="fr-FR"/>
        </w:rPr>
        <w:t>exécution du plan environnemental pourrait être prorogé par le futur acquéreur pour une période ne dépassant pas dix</w:t>
      </w:r>
      <w:r w:rsidRPr="00CE4A8C">
        <w:rPr>
          <w:lang w:val="fr-FR"/>
        </w:rPr>
        <w:noBreakHyphen/>
        <w:t>huit mois. Il fut aussi décidé que ce délai serait appliqué à toute autre mesure de gestion environnementale concernant la société Ilva et qu</w:t>
      </w:r>
      <w:r w:rsidR="00CE4A8C" w:rsidRPr="00CE4A8C">
        <w:rPr>
          <w:lang w:val="fr-FR"/>
        </w:rPr>
        <w:t>’</w:t>
      </w:r>
      <w:r w:rsidRPr="00CE4A8C">
        <w:rPr>
          <w:lang w:val="fr-FR"/>
        </w:rPr>
        <w:t>il remplacerait tout autre délai non encore échu à la date d</w:t>
      </w:r>
      <w:r w:rsidR="00CE4A8C" w:rsidRPr="00CE4A8C">
        <w:rPr>
          <w:lang w:val="fr-FR"/>
        </w:rPr>
        <w:t>’</w:t>
      </w:r>
      <w:r w:rsidRPr="00CE4A8C">
        <w:rPr>
          <w:lang w:val="fr-FR"/>
        </w:rPr>
        <w:t>entrée en vigueur du décret-loi.</w:t>
      </w:r>
    </w:p>
    <w:bookmarkStart w:id="18" w:name="immunité_2"/>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68</w:t>
      </w:r>
      <w:r w:rsidRPr="00CE4A8C">
        <w:rPr>
          <w:lang w:val="fr-FR"/>
        </w:rPr>
        <w:fldChar w:fldCharType="end"/>
      </w:r>
      <w:bookmarkEnd w:id="18"/>
      <w:r w:rsidRPr="00CE4A8C">
        <w:rPr>
          <w:lang w:val="fr-FR"/>
        </w:rPr>
        <w:t>.  Il fut également établi que le futur acquéreur de la société Ilva pourrait subordonner l</w:t>
      </w:r>
      <w:r w:rsidR="00CE4A8C" w:rsidRPr="00CE4A8C">
        <w:rPr>
          <w:lang w:val="fr-FR"/>
        </w:rPr>
        <w:t>’</w:t>
      </w:r>
      <w:r w:rsidRPr="00CE4A8C">
        <w:rPr>
          <w:lang w:val="fr-FR"/>
        </w:rPr>
        <w:t>offre d</w:t>
      </w:r>
      <w:r w:rsidR="00CE4A8C" w:rsidRPr="00CE4A8C">
        <w:rPr>
          <w:lang w:val="fr-FR"/>
        </w:rPr>
        <w:t>’</w:t>
      </w:r>
      <w:r w:rsidRPr="00CE4A8C">
        <w:rPr>
          <w:lang w:val="fr-FR"/>
        </w:rPr>
        <w:t>achat à des modifications du plan environnemental, lesquelles seraient soumises à un comité de trois experts. Enfin, selon ledit décret-loi, les immunités administratives et pénales étaient étendues au futur acquéreur de l</w:t>
      </w:r>
      <w:r w:rsidR="00CE4A8C" w:rsidRPr="00CE4A8C">
        <w:rPr>
          <w:lang w:val="fr-FR"/>
        </w:rPr>
        <w:t>’</w:t>
      </w:r>
      <w:r w:rsidRPr="00CE4A8C">
        <w:rPr>
          <w:lang w:val="fr-FR"/>
        </w:rPr>
        <w:t>établissement.</w:t>
      </w:r>
    </w:p>
    <w:p w:rsidR="0059426D" w:rsidRPr="00CE4A8C" w:rsidRDefault="0059426D" w:rsidP="00CE4A8C">
      <w:pPr>
        <w:pStyle w:val="ECHRHeading3"/>
        <w:rPr>
          <w:lang w:val="fr-FR"/>
        </w:rPr>
      </w:pPr>
      <w:r w:rsidRPr="00CE4A8C">
        <w:rPr>
          <w:lang w:val="fr-FR"/>
        </w:rPr>
        <w:t>6.  Le décret du président du Conseil des ministres du 29 septembre 2017</w:t>
      </w:r>
    </w:p>
    <w:bookmarkStart w:id="19" w:name="anno2023"/>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69</w:t>
      </w:r>
      <w:r w:rsidRPr="00CE4A8C">
        <w:rPr>
          <w:lang w:val="fr-FR"/>
        </w:rPr>
        <w:fldChar w:fldCharType="end"/>
      </w:r>
      <w:bookmarkEnd w:id="19"/>
      <w:r w:rsidRPr="00CE4A8C">
        <w:rPr>
          <w:lang w:val="fr-FR"/>
        </w:rPr>
        <w:t>.  En application du décret du président du Conseil des ministres du 29 septembre 2017, le délai pour l</w:t>
      </w:r>
      <w:r w:rsidR="00CE4A8C" w:rsidRPr="00CE4A8C">
        <w:rPr>
          <w:lang w:val="fr-FR"/>
        </w:rPr>
        <w:t>’</w:t>
      </w:r>
      <w:r w:rsidRPr="00CE4A8C">
        <w:rPr>
          <w:lang w:val="fr-FR"/>
        </w:rPr>
        <w:t>exécution des mesures prévues dans le plan environnemental fut reporté au mois d</w:t>
      </w:r>
      <w:r w:rsidR="00CE4A8C" w:rsidRPr="00CE4A8C">
        <w:rPr>
          <w:lang w:val="fr-FR"/>
        </w:rPr>
        <w:t>’</w:t>
      </w:r>
      <w:r w:rsidRPr="00CE4A8C">
        <w:rPr>
          <w:lang w:val="fr-FR"/>
        </w:rPr>
        <w:t>août 2023.</w:t>
      </w:r>
    </w:p>
    <w:p w:rsidR="0059426D"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70</w:t>
      </w:r>
      <w:r w:rsidRPr="00CE4A8C">
        <w:rPr>
          <w:lang w:val="fr-FR"/>
        </w:rPr>
        <w:fldChar w:fldCharType="end"/>
      </w:r>
      <w:r w:rsidRPr="00CE4A8C">
        <w:rPr>
          <w:lang w:val="fr-FR"/>
        </w:rPr>
        <w:t>.  Dans le cadre d</w:t>
      </w:r>
      <w:r w:rsidR="00CE4A8C" w:rsidRPr="00CE4A8C">
        <w:rPr>
          <w:lang w:val="fr-FR"/>
        </w:rPr>
        <w:t>’</w:t>
      </w:r>
      <w:r w:rsidRPr="00CE4A8C">
        <w:rPr>
          <w:lang w:val="fr-FR"/>
        </w:rPr>
        <w:t>un recours en annulation et en sursis à exécution de ce décret, la région des Pouilles et la mairie de Tarente dénoncèrent devant le tribunal administratif régional des Pouilles les conséquences, en matière d</w:t>
      </w:r>
      <w:r w:rsidR="00CE4A8C" w:rsidRPr="00CE4A8C">
        <w:rPr>
          <w:lang w:val="fr-FR"/>
        </w:rPr>
        <w:t>’</w:t>
      </w:r>
      <w:r w:rsidRPr="00CE4A8C">
        <w:rPr>
          <w:lang w:val="fr-FR"/>
        </w:rPr>
        <w:t>environnement et de santé, de la prorogation continue des délais pour l</w:t>
      </w:r>
      <w:r w:rsidR="00CE4A8C" w:rsidRPr="00CE4A8C">
        <w:rPr>
          <w:lang w:val="fr-FR"/>
        </w:rPr>
        <w:t>’</w:t>
      </w:r>
      <w:r w:rsidRPr="00CE4A8C">
        <w:rPr>
          <w:lang w:val="fr-FR"/>
        </w:rPr>
        <w:t>exécution des prescriptions environnementales. Une question de constitutionnalité fut également soulevée à ce sujet. Selon les informations résultant des dossiers, les procédures y afférentes sont actuellement pendantes.</w:t>
      </w:r>
    </w:p>
    <w:p w:rsidR="0059426D" w:rsidRPr="00CE4A8C" w:rsidRDefault="0059426D" w:rsidP="00CE4A8C">
      <w:pPr>
        <w:pStyle w:val="ECHRHeading2"/>
        <w:rPr>
          <w:lang w:val="fr-FR"/>
        </w:rPr>
      </w:pPr>
      <w:r w:rsidRPr="00CE4A8C">
        <w:rPr>
          <w:lang w:val="fr-FR"/>
        </w:rPr>
        <w:t>D.  Les procédures pénales</w:t>
      </w:r>
    </w:p>
    <w:p w:rsidR="0059426D" w:rsidRPr="00CE4A8C" w:rsidRDefault="0059426D" w:rsidP="00CE4A8C">
      <w:pPr>
        <w:pStyle w:val="ECHRHeading3"/>
        <w:rPr>
          <w:lang w:val="fr-FR"/>
        </w:rPr>
      </w:pPr>
      <w:r w:rsidRPr="00CE4A8C">
        <w:rPr>
          <w:lang w:val="fr-FR"/>
        </w:rPr>
        <w:t>1.  Les procédures pénales terminées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71</w:t>
      </w:r>
      <w:r w:rsidRPr="00CE4A8C">
        <w:rPr>
          <w:lang w:val="fr-FR"/>
        </w:rPr>
        <w:fldChar w:fldCharType="end"/>
      </w:r>
      <w:r w:rsidRPr="00CE4A8C">
        <w:rPr>
          <w:lang w:val="fr-FR"/>
        </w:rPr>
        <w:t>.  Plusieurs procédures pénales furent ouvertes à l</w:t>
      </w:r>
      <w:r w:rsidR="00CE4A8C" w:rsidRPr="00CE4A8C">
        <w:rPr>
          <w:lang w:val="fr-FR"/>
        </w:rPr>
        <w:t>’</w:t>
      </w:r>
      <w:r w:rsidRPr="00CE4A8C">
        <w:rPr>
          <w:lang w:val="fr-FR"/>
        </w:rPr>
        <w:t>encontre des dirigeants de la société Ilva pour catastrophe écologique, empoisonnement de substances alimentaires, omission de prévention d</w:t>
      </w:r>
      <w:r w:rsidR="00CE4A8C" w:rsidRPr="00CE4A8C">
        <w:rPr>
          <w:lang w:val="fr-FR"/>
        </w:rPr>
        <w:t>’</w:t>
      </w:r>
      <w:r w:rsidRPr="00CE4A8C">
        <w:rPr>
          <w:lang w:val="fr-FR"/>
        </w:rPr>
        <w:t>accidents sur le lieu de travail, dégradation de biens publics, émission de substances polluantes et pollution atmosphérique. Certaines de ces procédures aboutirent à des condamnations en 2002, 2005 et 2007.</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72</w:t>
      </w:r>
      <w:r w:rsidRPr="00CE4A8C">
        <w:rPr>
          <w:lang w:val="fr-FR"/>
        </w:rPr>
        <w:fldChar w:fldCharType="end"/>
      </w:r>
      <w:r w:rsidRPr="00CE4A8C">
        <w:rPr>
          <w:lang w:val="fr-FR"/>
        </w:rPr>
        <w:t>.  Entre autres, par l</w:t>
      </w:r>
      <w:r w:rsidR="00CE4A8C" w:rsidRPr="00CE4A8C">
        <w:rPr>
          <w:lang w:val="fr-FR"/>
        </w:rPr>
        <w:t>’</w:t>
      </w:r>
      <w:r w:rsidRPr="00CE4A8C">
        <w:rPr>
          <w:lang w:val="fr-FR"/>
        </w:rPr>
        <w:t>arrêt n</w:t>
      </w:r>
      <w:r w:rsidRPr="00CE4A8C">
        <w:rPr>
          <w:vertAlign w:val="superscript"/>
          <w:lang w:val="fr-FR"/>
        </w:rPr>
        <w:t>o</w:t>
      </w:r>
      <w:r w:rsidRPr="00CE4A8C">
        <w:rPr>
          <w:lang w:val="fr-FR"/>
        </w:rPr>
        <w:t xml:space="preserve"> 38936 du 28 septembre 2005, la Cour de cassation condamna les dirigeants de l</w:t>
      </w:r>
      <w:r w:rsidR="00CE4A8C" w:rsidRPr="00CE4A8C">
        <w:rPr>
          <w:lang w:val="fr-FR"/>
        </w:rPr>
        <w:t>’</w:t>
      </w:r>
      <w:r w:rsidRPr="00CE4A8C">
        <w:rPr>
          <w:lang w:val="fr-FR"/>
        </w:rPr>
        <w:t xml:space="preserve">usine Ilva de Tarente pour pollution atmosphérique, rejet de matières dangereuses et émission de particules. Elle releva notamment que la production de particules avait continué malgré les nombreux accords conclus avec les autorités territoriales en 2003 et 2004 (paragraphe </w:t>
      </w:r>
      <w:r w:rsidRPr="00CE4A8C">
        <w:rPr>
          <w:lang w:val="fr-FR"/>
        </w:rPr>
        <w:fldChar w:fldCharType="begin"/>
      </w:r>
      <w:r w:rsidRPr="00CE4A8C">
        <w:rPr>
          <w:lang w:val="fr-FR"/>
        </w:rPr>
        <w:instrText xml:space="preserve"> REF intesa \h  \* MERGEFORMAT </w:instrText>
      </w:r>
      <w:r w:rsidRPr="00CE4A8C">
        <w:rPr>
          <w:lang w:val="fr-FR"/>
        </w:rPr>
      </w:r>
      <w:r w:rsidRPr="00CE4A8C">
        <w:rPr>
          <w:lang w:val="fr-FR"/>
        </w:rPr>
        <w:fldChar w:fldCharType="separate"/>
      </w:r>
      <w:r w:rsidR="00CE4A8C" w:rsidRPr="00CE4A8C">
        <w:rPr>
          <w:noProof/>
          <w:lang w:val="fr-FR"/>
        </w:rPr>
        <w:t>36</w:t>
      </w:r>
      <w:r w:rsidRPr="00CE4A8C">
        <w:rPr>
          <w:lang w:val="fr-FR"/>
        </w:rPr>
        <w:fldChar w:fldCharType="end"/>
      </w:r>
      <w:r w:rsidRPr="00CE4A8C">
        <w:rPr>
          <w:lang w:val="fr-FR"/>
        </w:rPr>
        <w:t xml:space="preserve"> ci-dessus).</w:t>
      </w:r>
    </w:p>
    <w:p w:rsidR="0059426D" w:rsidRPr="00CE4A8C" w:rsidRDefault="0059426D" w:rsidP="00CE4A8C">
      <w:pPr>
        <w:pStyle w:val="ECHRHeading3"/>
        <w:rPr>
          <w:lang w:val="fr-FR"/>
        </w:rPr>
      </w:pPr>
      <w:r w:rsidRPr="00CE4A8C">
        <w:rPr>
          <w:lang w:val="fr-FR"/>
        </w:rPr>
        <w:t>2.  Les procédures pénales pendantes</w:t>
      </w:r>
    </w:p>
    <w:p w:rsidR="0059426D" w:rsidRPr="00CE4A8C" w:rsidRDefault="0059426D" w:rsidP="00CE4A8C">
      <w:pPr>
        <w:pStyle w:val="ECHRHeading4"/>
        <w:rPr>
          <w:lang w:val="fr-FR"/>
        </w:rPr>
      </w:pPr>
      <w:r w:rsidRPr="00CE4A8C">
        <w:rPr>
          <w:lang w:val="fr-FR"/>
        </w:rPr>
        <w:t>a)  La procédure n</w:t>
      </w:r>
      <w:r w:rsidRPr="00CE4A8C">
        <w:rPr>
          <w:vertAlign w:val="superscript"/>
          <w:lang w:val="fr-FR"/>
        </w:rPr>
        <w:t>o</w:t>
      </w:r>
      <w:r w:rsidRPr="00CE4A8C">
        <w:rPr>
          <w:lang w:val="fr-FR"/>
        </w:rPr>
        <w:t xml:space="preserve"> 938/10 et l</w:t>
      </w:r>
      <w:r w:rsidR="00CE4A8C" w:rsidRPr="00CE4A8C">
        <w:rPr>
          <w:lang w:val="fr-FR"/>
        </w:rPr>
        <w:t>’</w:t>
      </w:r>
      <w:r w:rsidRPr="00CE4A8C">
        <w:rPr>
          <w:lang w:val="fr-FR"/>
        </w:rPr>
        <w:t>ordonnance de saisie conservatoire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73</w:t>
      </w:r>
      <w:r w:rsidRPr="00CE4A8C">
        <w:rPr>
          <w:lang w:val="fr-FR"/>
        </w:rPr>
        <w:fldChar w:fldCharType="end"/>
      </w:r>
      <w:r w:rsidRPr="00CE4A8C">
        <w:rPr>
          <w:lang w:val="fr-FR"/>
        </w:rPr>
        <w:t>.  La procédure n</w:t>
      </w:r>
      <w:r w:rsidRPr="00CE4A8C">
        <w:rPr>
          <w:vertAlign w:val="superscript"/>
          <w:lang w:val="fr-FR"/>
        </w:rPr>
        <w:t>o</w:t>
      </w:r>
      <w:r w:rsidRPr="00CE4A8C">
        <w:rPr>
          <w:lang w:val="fr-FR"/>
        </w:rPr>
        <w:t xml:space="preserve"> 938/10 fut entamée devant la cour d</w:t>
      </w:r>
      <w:r w:rsidR="00CE4A8C" w:rsidRPr="00CE4A8C">
        <w:rPr>
          <w:lang w:val="fr-FR"/>
        </w:rPr>
        <w:t>’</w:t>
      </w:r>
      <w:r w:rsidRPr="00CE4A8C">
        <w:rPr>
          <w:lang w:val="fr-FR"/>
        </w:rPr>
        <w:t>assises de Tarente à l</w:t>
      </w:r>
      <w:r w:rsidR="00CE4A8C" w:rsidRPr="00CE4A8C">
        <w:rPr>
          <w:lang w:val="fr-FR"/>
        </w:rPr>
        <w:t>’</w:t>
      </w:r>
      <w:r w:rsidRPr="00CE4A8C">
        <w:rPr>
          <w:lang w:val="fr-FR"/>
        </w:rPr>
        <w:t>encontre de quarante-quatre personnes physiques et de trois personnes juridiques, visées par trente-quatre chefs d</w:t>
      </w:r>
      <w:r w:rsidR="00CE4A8C" w:rsidRPr="00CE4A8C">
        <w:rPr>
          <w:lang w:val="fr-FR"/>
        </w:rPr>
        <w:t>’</w:t>
      </w:r>
      <w:r w:rsidRPr="00CE4A8C">
        <w:rPr>
          <w:lang w:val="fr-FR"/>
        </w:rPr>
        <w:t>inculpation pour des faits ayant eu lieu entre 1995 et 2013 et ayant trait, entre autres, à : i) l</w:t>
      </w:r>
      <w:r w:rsidR="00CE4A8C" w:rsidRPr="00CE4A8C">
        <w:rPr>
          <w:lang w:val="fr-FR"/>
        </w:rPr>
        <w:t>’</w:t>
      </w:r>
      <w:r w:rsidRPr="00CE4A8C">
        <w:rPr>
          <w:lang w:val="fr-FR"/>
        </w:rPr>
        <w:t>émission de substances nocives pour la santé et pour l</w:t>
      </w:r>
      <w:r w:rsidR="00CE4A8C" w:rsidRPr="00CE4A8C">
        <w:rPr>
          <w:lang w:val="fr-FR"/>
        </w:rPr>
        <w:t>’</w:t>
      </w:r>
      <w:r w:rsidRPr="00CE4A8C">
        <w:rPr>
          <w:lang w:val="fr-FR"/>
        </w:rPr>
        <w:t>environnement entraînant un risque sérieux pour la santé publique, et ayant causé la mort de certaines personnes résidant dans les quartiers limitrophes au site de production de la société Ilva de Tarente et provoqué des pathologies chez d</w:t>
      </w:r>
      <w:r w:rsidR="00CE4A8C" w:rsidRPr="00CE4A8C">
        <w:rPr>
          <w:lang w:val="fr-FR"/>
        </w:rPr>
        <w:t>’</w:t>
      </w:r>
      <w:r w:rsidRPr="00CE4A8C">
        <w:rPr>
          <w:lang w:val="fr-FR"/>
        </w:rPr>
        <w:t>autres personnes ; ii) la contamination de l</w:t>
      </w:r>
      <w:r w:rsidR="00CE4A8C" w:rsidRPr="00CE4A8C">
        <w:rPr>
          <w:lang w:val="fr-FR"/>
        </w:rPr>
        <w:t>’</w:t>
      </w:r>
      <w:r w:rsidRPr="00CE4A8C">
        <w:rPr>
          <w:lang w:val="fr-FR"/>
        </w:rPr>
        <w:t>eau, de produits de la terre et d</w:t>
      </w:r>
      <w:r w:rsidR="00CE4A8C" w:rsidRPr="00CE4A8C">
        <w:rPr>
          <w:lang w:val="fr-FR"/>
        </w:rPr>
        <w:t>’</w:t>
      </w:r>
      <w:r w:rsidRPr="00CE4A8C">
        <w:rPr>
          <w:lang w:val="fr-FR"/>
        </w:rPr>
        <w:t>animaux destinés à l</w:t>
      </w:r>
      <w:r w:rsidR="00CE4A8C" w:rsidRPr="00CE4A8C">
        <w:rPr>
          <w:lang w:val="fr-FR"/>
        </w:rPr>
        <w:t>’</w:t>
      </w:r>
      <w:r w:rsidRPr="00CE4A8C">
        <w:rPr>
          <w:lang w:val="fr-FR"/>
        </w:rPr>
        <w:t>alimentation humaine ; iii) la pollution environnementale de l</w:t>
      </w:r>
      <w:r w:rsidR="00CE4A8C" w:rsidRPr="00CE4A8C">
        <w:rPr>
          <w:lang w:val="fr-FR"/>
        </w:rPr>
        <w:t>’</w:t>
      </w:r>
      <w:r w:rsidRPr="00CE4A8C">
        <w:rPr>
          <w:lang w:val="fr-FR"/>
        </w:rPr>
        <w:t>air ; iv) la diffusion d</w:t>
      </w:r>
      <w:r w:rsidR="00CE4A8C" w:rsidRPr="00CE4A8C">
        <w:rPr>
          <w:lang w:val="fr-FR"/>
        </w:rPr>
        <w:t>’</w:t>
      </w:r>
      <w:r w:rsidRPr="00CE4A8C">
        <w:rPr>
          <w:lang w:val="fr-FR"/>
        </w:rPr>
        <w:t>informations confidentielles de la part d</w:t>
      </w:r>
      <w:r w:rsidR="00CE4A8C" w:rsidRPr="00CE4A8C">
        <w:rPr>
          <w:lang w:val="fr-FR"/>
        </w:rPr>
        <w:t>’</w:t>
      </w:r>
      <w:r w:rsidRPr="00CE4A8C">
        <w:rPr>
          <w:lang w:val="fr-FR"/>
        </w:rPr>
        <w:t>agents du ministère des Affaires étrangères chargés de l</w:t>
      </w:r>
      <w:r w:rsidR="00CE4A8C" w:rsidRPr="00CE4A8C">
        <w:rPr>
          <w:lang w:val="fr-FR"/>
        </w:rPr>
        <w:t>’</w:t>
      </w:r>
      <w:r w:rsidRPr="00CE4A8C">
        <w:rPr>
          <w:lang w:val="fr-FR"/>
        </w:rPr>
        <w:t>octroi de l</w:t>
      </w:r>
      <w:r w:rsidR="00CE4A8C" w:rsidRPr="00CE4A8C">
        <w:rPr>
          <w:lang w:val="fr-FR"/>
        </w:rPr>
        <w:t>’</w:t>
      </w:r>
      <w:r w:rsidRPr="00CE4A8C">
        <w:rPr>
          <w:lang w:val="fr-FR"/>
        </w:rPr>
        <w:t>AIA.</w:t>
      </w:r>
    </w:p>
    <w:bookmarkStart w:id="20" w:name="procédure_interne"/>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74</w:t>
      </w:r>
      <w:r w:rsidRPr="00CE4A8C">
        <w:rPr>
          <w:lang w:val="fr-FR"/>
        </w:rPr>
        <w:fldChar w:fldCharType="end"/>
      </w:r>
      <w:bookmarkEnd w:id="20"/>
      <w:r w:rsidRPr="00CE4A8C">
        <w:rPr>
          <w:lang w:val="fr-FR"/>
        </w:rPr>
        <w:t>.  Dans le cadre de cette procédure, plusieurs chefs d</w:t>
      </w:r>
      <w:r w:rsidR="00CE4A8C" w:rsidRPr="00CE4A8C">
        <w:rPr>
          <w:lang w:val="fr-FR"/>
        </w:rPr>
        <w:t>’</w:t>
      </w:r>
      <w:r w:rsidRPr="00CE4A8C">
        <w:rPr>
          <w:lang w:val="fr-FR"/>
        </w:rPr>
        <w:t>inculpation furent formulés, entre autres, à l</w:t>
      </w:r>
      <w:r w:rsidR="00CE4A8C" w:rsidRPr="00CE4A8C">
        <w:rPr>
          <w:lang w:val="fr-FR"/>
        </w:rPr>
        <w:t>’</w:t>
      </w:r>
      <w:r w:rsidRPr="00CE4A8C">
        <w:rPr>
          <w:lang w:val="fr-FR"/>
        </w:rPr>
        <w:t xml:space="preserve">encontre de la société Ilva et du groupe Riva, </w:t>
      </w:r>
      <w:r w:rsidRPr="00CE4A8C">
        <w:rPr>
          <w:lang w:val="fr-FR"/>
        </w:rPr>
        <w:lastRenderedPageBreak/>
        <w:t>concernant notamment le non-respect des obligations de protection de la sécurité et de l</w:t>
      </w:r>
      <w:r w:rsidR="00CE4A8C" w:rsidRPr="00CE4A8C">
        <w:rPr>
          <w:lang w:val="fr-FR"/>
        </w:rPr>
        <w:t>’</w:t>
      </w:r>
      <w:r w:rsidRPr="00CE4A8C">
        <w:rPr>
          <w:lang w:val="fr-FR"/>
        </w:rPr>
        <w:t>environnement. Neuf cent deux personnes, parmi lesquelles huit requérants</w:t>
      </w:r>
      <w:r w:rsidRPr="00CE4A8C">
        <w:rPr>
          <w:rStyle w:val="Rimandonotaapidipagina"/>
          <w:lang w:val="fr-FR"/>
        </w:rPr>
        <w:footnoteReference w:id="7"/>
      </w:r>
      <w:r w:rsidRPr="00CE4A8C">
        <w:rPr>
          <w:lang w:val="fr-FR"/>
        </w:rPr>
        <w:t>, se constituèrent parties civiles dans cette procédure.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75</w:t>
      </w:r>
      <w:r w:rsidRPr="00CE4A8C">
        <w:rPr>
          <w:lang w:val="fr-FR"/>
        </w:rPr>
        <w:fldChar w:fldCharType="end"/>
      </w:r>
      <w:r w:rsidRPr="00CE4A8C">
        <w:rPr>
          <w:lang w:val="fr-FR"/>
        </w:rPr>
        <w:t>.  Le 30 mars 2012, le GIP de Tarente ordonna une expertise chimique et une expertise épidémiologique, aux fins de l</w:t>
      </w:r>
      <w:r w:rsidR="00CE4A8C" w:rsidRPr="00CE4A8C">
        <w:rPr>
          <w:lang w:val="fr-FR"/>
        </w:rPr>
        <w:t>’</w:t>
      </w:r>
      <w:r w:rsidRPr="00CE4A8C">
        <w:rPr>
          <w:lang w:val="fr-FR"/>
        </w:rPr>
        <w:t>évaluation de l</w:t>
      </w:r>
      <w:r w:rsidR="00CE4A8C" w:rsidRPr="00CE4A8C">
        <w:rPr>
          <w:lang w:val="fr-FR"/>
        </w:rPr>
        <w:t>’</w:t>
      </w:r>
      <w:r w:rsidRPr="00CE4A8C">
        <w:rPr>
          <w:lang w:val="fr-FR"/>
        </w:rPr>
        <w:t>impact des émissions de l</w:t>
      </w:r>
      <w:r w:rsidR="00CE4A8C" w:rsidRPr="00CE4A8C">
        <w:rPr>
          <w:lang w:val="fr-FR"/>
        </w:rPr>
        <w:t>’</w:t>
      </w:r>
      <w:r w:rsidRPr="00CE4A8C">
        <w:rPr>
          <w:lang w:val="fr-FR"/>
        </w:rPr>
        <w:t>usine sur l</w:t>
      </w:r>
      <w:r w:rsidR="00CE4A8C" w:rsidRPr="00CE4A8C">
        <w:rPr>
          <w:lang w:val="fr-FR"/>
        </w:rPr>
        <w:t>’</w:t>
      </w:r>
      <w:r w:rsidRPr="00CE4A8C">
        <w:rPr>
          <w:lang w:val="fr-FR"/>
        </w:rPr>
        <w:t>environnement et sur la santé des personnes.</w:t>
      </w:r>
    </w:p>
    <w:bookmarkStart w:id="21" w:name="expértises"/>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76</w:t>
      </w:r>
      <w:r w:rsidRPr="00CE4A8C">
        <w:rPr>
          <w:lang w:val="fr-FR"/>
        </w:rPr>
        <w:fldChar w:fldCharType="end"/>
      </w:r>
      <w:bookmarkEnd w:id="21"/>
      <w:r w:rsidRPr="00CE4A8C">
        <w:rPr>
          <w:lang w:val="fr-FR"/>
        </w:rPr>
        <w:t>.  Selon le rapport d</w:t>
      </w:r>
      <w:r w:rsidR="00CE4A8C" w:rsidRPr="00CE4A8C">
        <w:rPr>
          <w:lang w:val="fr-FR"/>
        </w:rPr>
        <w:t>’</w:t>
      </w:r>
      <w:r w:rsidRPr="00CE4A8C">
        <w:rPr>
          <w:lang w:val="fr-FR"/>
        </w:rPr>
        <w:t>expertise chimique, la société Ilva produisait des gaz et des vapeurs dangereux pour la santé des travailleurs et pour la population locale. Ce rapport établissait en outre que les mesures imposées pour éviter la dispersion des fumées et particules nocives n</w:t>
      </w:r>
      <w:r w:rsidR="00CE4A8C" w:rsidRPr="00CE4A8C">
        <w:rPr>
          <w:lang w:val="fr-FR"/>
        </w:rPr>
        <w:t>’</w:t>
      </w:r>
      <w:r w:rsidRPr="00CE4A8C">
        <w:rPr>
          <w:lang w:val="fr-FR"/>
        </w:rPr>
        <w:t>avaient pas été respectées et que les valeurs de dioxines, de benzopyrène et d</w:t>
      </w:r>
      <w:r w:rsidR="00CE4A8C" w:rsidRPr="00CE4A8C">
        <w:rPr>
          <w:lang w:val="fr-FR"/>
        </w:rPr>
        <w:t>’</w:t>
      </w:r>
      <w:r w:rsidRPr="00CE4A8C">
        <w:rPr>
          <w:lang w:val="fr-FR"/>
        </w:rPr>
        <w:t>autres substances dangereuses pour la santé n</w:t>
      </w:r>
      <w:r w:rsidR="00CE4A8C" w:rsidRPr="00CE4A8C">
        <w:rPr>
          <w:lang w:val="fr-FR"/>
        </w:rPr>
        <w:t>’</w:t>
      </w:r>
      <w:r w:rsidRPr="00CE4A8C">
        <w:rPr>
          <w:lang w:val="fr-FR"/>
        </w:rPr>
        <w:t>étaient pas conformes aux exigences établies par les dispositions régionales, nationales et européennes. Selon le rapport d</w:t>
      </w:r>
      <w:r w:rsidR="00CE4A8C" w:rsidRPr="00CE4A8C">
        <w:rPr>
          <w:lang w:val="fr-FR"/>
        </w:rPr>
        <w:t>’</w:t>
      </w:r>
      <w:r w:rsidRPr="00CE4A8C">
        <w:rPr>
          <w:lang w:val="fr-FR"/>
        </w:rPr>
        <w:t>expertise épidémiologique, les pathologies cardiovasculaires, respiratoires et cancéreuses avaient augmenté en raison des émissions polluantes produites par la société Ilva.</w:t>
      </w:r>
      <w:bookmarkStart w:id="22" w:name="saisie_conservatoire"/>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77</w:t>
      </w:r>
      <w:r w:rsidRPr="00CE4A8C">
        <w:rPr>
          <w:lang w:val="fr-FR"/>
        </w:rPr>
        <w:fldChar w:fldCharType="end"/>
      </w:r>
      <w:bookmarkEnd w:id="22"/>
      <w:r w:rsidRPr="00CE4A8C">
        <w:rPr>
          <w:lang w:val="fr-FR"/>
        </w:rPr>
        <w:t>.  Sur la base de ces rapports, le 25 juillet et le 26 novembre 2012, le GIP ordonna la saisie conservatoire de six ateliers de l</w:t>
      </w:r>
      <w:r w:rsidR="00CE4A8C" w:rsidRPr="00CE4A8C">
        <w:rPr>
          <w:lang w:val="fr-FR"/>
        </w:rPr>
        <w:t>’</w:t>
      </w:r>
      <w:r w:rsidRPr="00CE4A8C">
        <w:rPr>
          <w:lang w:val="fr-FR"/>
        </w:rPr>
        <w:t>usine ainsi que de l</w:t>
      </w:r>
      <w:r w:rsidR="00CE4A8C" w:rsidRPr="00CE4A8C">
        <w:rPr>
          <w:lang w:val="fr-FR"/>
        </w:rPr>
        <w:t>’</w:t>
      </w:r>
      <w:r w:rsidRPr="00CE4A8C">
        <w:rPr>
          <w:lang w:val="fr-FR"/>
        </w:rPr>
        <w:t>acier produit à partir de la date d</w:t>
      </w:r>
      <w:r w:rsidR="00CE4A8C" w:rsidRPr="00CE4A8C">
        <w:rPr>
          <w:lang w:val="fr-FR"/>
        </w:rPr>
        <w:t>’</w:t>
      </w:r>
      <w:r w:rsidRPr="00CE4A8C">
        <w:rPr>
          <w:lang w:val="fr-FR"/>
        </w:rPr>
        <w:t>exécution de la première saisie.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78</w:t>
      </w:r>
      <w:r w:rsidRPr="00CE4A8C">
        <w:rPr>
          <w:lang w:val="fr-FR"/>
        </w:rPr>
        <w:fldChar w:fldCharType="end"/>
      </w:r>
      <w:r w:rsidRPr="00CE4A8C">
        <w:rPr>
          <w:lang w:val="fr-FR"/>
        </w:rPr>
        <w:t>.  Entre-temps, le 26 juillet 2012, plusieurs ministères et autorités territoriales</w:t>
      </w:r>
      <w:r w:rsidRPr="00CE4A8C">
        <w:rPr>
          <w:rStyle w:val="Rimandonotaapidipagina"/>
          <w:lang w:val="fr-FR"/>
        </w:rPr>
        <w:footnoteReference w:id="8"/>
      </w:r>
      <w:r w:rsidRPr="00CE4A8C">
        <w:rPr>
          <w:lang w:val="fr-FR"/>
        </w:rPr>
        <w:t xml:space="preserve"> avaient signé un protocole d</w:t>
      </w:r>
      <w:r w:rsidR="00CE4A8C" w:rsidRPr="00CE4A8C">
        <w:rPr>
          <w:lang w:val="fr-FR"/>
        </w:rPr>
        <w:t>’</w:t>
      </w:r>
      <w:r w:rsidRPr="00CE4A8C">
        <w:rPr>
          <w:lang w:val="fr-FR"/>
        </w:rPr>
        <w:t>entente afin de mettre en place des interventions urgentes d</w:t>
      </w:r>
      <w:r w:rsidR="00CE4A8C" w:rsidRPr="00CE4A8C">
        <w:rPr>
          <w:lang w:val="fr-FR"/>
        </w:rPr>
        <w:t>’</w:t>
      </w:r>
      <w:r w:rsidRPr="00CE4A8C">
        <w:rPr>
          <w:lang w:val="fr-FR"/>
        </w:rPr>
        <w:t>assainissement de la ville de Tarente, lequel prévoyait, à cet effet, la création d</w:t>
      </w:r>
      <w:r w:rsidR="00CE4A8C" w:rsidRPr="00CE4A8C">
        <w:rPr>
          <w:lang w:val="fr-FR"/>
        </w:rPr>
        <w:t>’</w:t>
      </w:r>
      <w:r w:rsidRPr="00CE4A8C">
        <w:rPr>
          <w:lang w:val="fr-FR"/>
        </w:rPr>
        <w:t>un fonds d</w:t>
      </w:r>
      <w:r w:rsidR="00CE4A8C" w:rsidRPr="00CE4A8C">
        <w:rPr>
          <w:lang w:val="fr-FR"/>
        </w:rPr>
        <w:t>’</w:t>
      </w:r>
      <w:r w:rsidRPr="00CE4A8C">
        <w:rPr>
          <w:lang w:val="fr-FR"/>
        </w:rPr>
        <w:t>un montant de 336 668 320 EUR et la nomination d</w:t>
      </w:r>
      <w:r w:rsidR="00CE4A8C" w:rsidRPr="00CE4A8C">
        <w:rPr>
          <w:lang w:val="fr-FR"/>
        </w:rPr>
        <w:t>’</w:t>
      </w:r>
      <w:r w:rsidRPr="00CE4A8C">
        <w:rPr>
          <w:lang w:val="fr-FR"/>
        </w:rPr>
        <w:t>un administrateur provisoire pour la gestion de la comptabilité de celui-ci.</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79</w:t>
      </w:r>
      <w:r w:rsidRPr="00CE4A8C">
        <w:rPr>
          <w:lang w:val="fr-FR"/>
        </w:rPr>
        <w:fldChar w:fldCharType="end"/>
      </w:r>
      <w:r w:rsidRPr="00CE4A8C">
        <w:rPr>
          <w:lang w:val="fr-FR"/>
        </w:rPr>
        <w:t>.  Le 30 novembre 2012, le juge rejeta une demande de levée de la saisie conservatoire introduite par la société Ilva, notant, entre autres, que les exigences d</w:t>
      </w:r>
      <w:r w:rsidR="00CE4A8C" w:rsidRPr="00CE4A8C">
        <w:rPr>
          <w:lang w:val="fr-FR"/>
        </w:rPr>
        <w:t>’</w:t>
      </w:r>
      <w:r w:rsidRPr="00CE4A8C">
        <w:rPr>
          <w:lang w:val="fr-FR"/>
        </w:rPr>
        <w:t>intervention urgente pour la protection de la population locale n</w:t>
      </w:r>
      <w:r w:rsidR="00CE4A8C" w:rsidRPr="00CE4A8C">
        <w:rPr>
          <w:lang w:val="fr-FR"/>
        </w:rPr>
        <w:t>’</w:t>
      </w:r>
      <w:r w:rsidRPr="00CE4A8C">
        <w:rPr>
          <w:lang w:val="fr-FR"/>
        </w:rPr>
        <w:t>avaient pas été prises en compte dans le cadre de l</w:t>
      </w:r>
      <w:r w:rsidR="00CE4A8C" w:rsidRPr="00CE4A8C">
        <w:rPr>
          <w:lang w:val="fr-FR"/>
        </w:rPr>
        <w:t>’</w:t>
      </w:r>
      <w:r w:rsidRPr="00CE4A8C">
        <w:rPr>
          <w:lang w:val="fr-FR"/>
        </w:rPr>
        <w:t>AIA.</w:t>
      </w:r>
    </w:p>
    <w:p w:rsidR="0059426D" w:rsidRPr="00CE4A8C" w:rsidRDefault="0059426D" w:rsidP="00CE4A8C">
      <w:pPr>
        <w:pStyle w:val="ECHRHeading4"/>
        <w:rPr>
          <w:lang w:val="fr-FR"/>
        </w:rPr>
      </w:pPr>
      <w:r w:rsidRPr="00CE4A8C">
        <w:rPr>
          <w:lang w:val="fr-FR"/>
        </w:rPr>
        <w:t>b)  La procédure n</w:t>
      </w:r>
      <w:r w:rsidRPr="00CE4A8C">
        <w:rPr>
          <w:vertAlign w:val="superscript"/>
          <w:lang w:val="fr-FR"/>
        </w:rPr>
        <w:t>o</w:t>
      </w:r>
      <w:r w:rsidRPr="00CE4A8C">
        <w:rPr>
          <w:lang w:val="fr-FR"/>
        </w:rPr>
        <w:t xml:space="preserve"> 9693/14</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80</w:t>
      </w:r>
      <w:r w:rsidRPr="00CE4A8C">
        <w:rPr>
          <w:lang w:val="fr-FR"/>
        </w:rPr>
        <w:fldChar w:fldCharType="end"/>
      </w:r>
      <w:r w:rsidRPr="00CE4A8C">
        <w:rPr>
          <w:lang w:val="fr-FR"/>
        </w:rPr>
        <w:t>.  La procédure n</w:t>
      </w:r>
      <w:r w:rsidRPr="00CE4A8C">
        <w:rPr>
          <w:vertAlign w:val="superscript"/>
          <w:lang w:val="fr-FR"/>
        </w:rPr>
        <w:t>o</w:t>
      </w:r>
      <w:r w:rsidRPr="00CE4A8C">
        <w:rPr>
          <w:lang w:val="fr-FR"/>
        </w:rPr>
        <w:t xml:space="preserve"> 9693/14 fut diligentée à la suite du dépôt par un groupe de citoyens d</w:t>
      </w:r>
      <w:r w:rsidR="00CE4A8C" w:rsidRPr="00CE4A8C">
        <w:rPr>
          <w:lang w:val="fr-FR"/>
        </w:rPr>
        <w:t>’</w:t>
      </w:r>
      <w:r w:rsidRPr="00CE4A8C">
        <w:rPr>
          <w:lang w:val="fr-FR"/>
        </w:rPr>
        <w:t>une plainte dirigée contre l</w:t>
      </w:r>
      <w:r w:rsidR="00CE4A8C" w:rsidRPr="00CE4A8C">
        <w:rPr>
          <w:lang w:val="fr-FR"/>
        </w:rPr>
        <w:t>’</w:t>
      </w:r>
      <w:r w:rsidRPr="00CE4A8C">
        <w:rPr>
          <w:lang w:val="fr-FR"/>
        </w:rPr>
        <w:t>administrateur provisoire et le directeur de l</w:t>
      </w:r>
      <w:r w:rsidR="00CE4A8C" w:rsidRPr="00CE4A8C">
        <w:rPr>
          <w:lang w:val="fr-FR"/>
        </w:rPr>
        <w:t>’</w:t>
      </w:r>
      <w:r w:rsidRPr="00CE4A8C">
        <w:rPr>
          <w:lang w:val="fr-FR"/>
        </w:rPr>
        <w:t>établissement de Tarente pour émissions dangereuses et gestion de déchets non autorisées.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81</w:t>
      </w:r>
      <w:r w:rsidRPr="00CE4A8C">
        <w:rPr>
          <w:lang w:val="fr-FR"/>
        </w:rPr>
        <w:fldChar w:fldCharType="end"/>
      </w:r>
      <w:r w:rsidRPr="00CE4A8C">
        <w:rPr>
          <w:lang w:val="fr-FR"/>
        </w:rPr>
        <w:t>.  Le parquet demanda le classement sans suite de l</w:t>
      </w:r>
      <w:r w:rsidR="00CE4A8C" w:rsidRPr="00CE4A8C">
        <w:rPr>
          <w:lang w:val="fr-FR"/>
        </w:rPr>
        <w:t>’</w:t>
      </w:r>
      <w:r w:rsidRPr="00CE4A8C">
        <w:rPr>
          <w:lang w:val="fr-FR"/>
        </w:rPr>
        <w:t>affaire, le délai pour la mise en place de l</w:t>
      </w:r>
      <w:r w:rsidR="00CE4A8C" w:rsidRPr="00CE4A8C">
        <w:rPr>
          <w:lang w:val="fr-FR"/>
        </w:rPr>
        <w:t>’</w:t>
      </w:r>
      <w:r w:rsidRPr="00CE4A8C">
        <w:rPr>
          <w:lang w:val="fr-FR"/>
        </w:rPr>
        <w:t>AIA étant pendant à l</w:t>
      </w:r>
      <w:r w:rsidR="00CE4A8C" w:rsidRPr="00CE4A8C">
        <w:rPr>
          <w:lang w:val="fr-FR"/>
        </w:rPr>
        <w:t>’</w:t>
      </w:r>
      <w:r w:rsidRPr="00CE4A8C">
        <w:rPr>
          <w:lang w:val="fr-FR"/>
        </w:rPr>
        <w:t>époque. Le 12 octobre 2016, le GIP décida toutefois de continuer les investigations.</w:t>
      </w:r>
    </w:p>
    <w:p w:rsidR="0059426D" w:rsidRPr="00CE4A8C" w:rsidRDefault="0059426D" w:rsidP="00CE4A8C">
      <w:pPr>
        <w:pStyle w:val="ECHRHeading4"/>
        <w:rPr>
          <w:lang w:val="fr-FR"/>
        </w:rPr>
      </w:pPr>
      <w:r w:rsidRPr="00CE4A8C">
        <w:rPr>
          <w:lang w:val="fr-FR"/>
        </w:rPr>
        <w:lastRenderedPageBreak/>
        <w:t>c)  La plainte déposée en 2013 par un groupe de citoyens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82</w:t>
      </w:r>
      <w:r w:rsidRPr="00CE4A8C">
        <w:rPr>
          <w:lang w:val="fr-FR"/>
        </w:rPr>
        <w:fldChar w:fldCharType="end"/>
      </w:r>
      <w:r w:rsidRPr="00CE4A8C">
        <w:rPr>
          <w:lang w:val="fr-FR"/>
        </w:rPr>
        <w:t>.  Le 5 avril 2013, sept personnes, dont la requérante figurant sous le numéro 43 (requête n</w:t>
      </w:r>
      <w:r w:rsidRPr="00CE4A8C">
        <w:rPr>
          <w:vertAlign w:val="superscript"/>
          <w:lang w:val="fr-FR"/>
        </w:rPr>
        <w:t>o</w:t>
      </w:r>
      <w:r w:rsidRPr="00CE4A8C">
        <w:rPr>
          <w:lang w:val="fr-FR"/>
        </w:rPr>
        <w:t> 54414/13), introduisirent une plainte auprès du parquet de Tarente pour dénoncer les émissions polluantes de l</w:t>
      </w:r>
      <w:r w:rsidR="00CE4A8C" w:rsidRPr="00CE4A8C">
        <w:rPr>
          <w:lang w:val="fr-FR"/>
        </w:rPr>
        <w:t>’</w:t>
      </w:r>
      <w:r w:rsidRPr="00CE4A8C">
        <w:rPr>
          <w:lang w:val="fr-FR"/>
        </w:rPr>
        <w:t>usine Ilva et les effets de celles-ci sur l</w:t>
      </w:r>
      <w:r w:rsidR="00CE4A8C" w:rsidRPr="00CE4A8C">
        <w:rPr>
          <w:lang w:val="fr-FR"/>
        </w:rPr>
        <w:t>’</w:t>
      </w:r>
      <w:r w:rsidRPr="00CE4A8C">
        <w:rPr>
          <w:lang w:val="fr-FR"/>
        </w:rPr>
        <w:t>environnement et sur la santé des personnes. L</w:t>
      </w:r>
      <w:r w:rsidR="00CE4A8C" w:rsidRPr="00CE4A8C">
        <w:rPr>
          <w:lang w:val="fr-FR"/>
        </w:rPr>
        <w:t>’</w:t>
      </w:r>
      <w:r w:rsidRPr="00CE4A8C">
        <w:rPr>
          <w:lang w:val="fr-FR"/>
        </w:rPr>
        <w:t>issue de cette plainte n</w:t>
      </w:r>
      <w:r w:rsidR="00CE4A8C" w:rsidRPr="00CE4A8C">
        <w:rPr>
          <w:lang w:val="fr-FR"/>
        </w:rPr>
        <w:t>’</w:t>
      </w:r>
      <w:r w:rsidRPr="00CE4A8C">
        <w:rPr>
          <w:lang w:val="fr-FR"/>
        </w:rPr>
        <w:t>est pas connue.</w:t>
      </w:r>
    </w:p>
    <w:p w:rsidR="0059426D" w:rsidRPr="00CE4A8C" w:rsidRDefault="0059426D" w:rsidP="00CE4A8C">
      <w:pPr>
        <w:pStyle w:val="ECHRHeading2"/>
        <w:rPr>
          <w:lang w:val="fr-FR"/>
        </w:rPr>
      </w:pPr>
      <w:r w:rsidRPr="00CE4A8C">
        <w:rPr>
          <w:lang w:val="fr-FR"/>
        </w:rPr>
        <w:t>E.  Les procédures devant l</w:t>
      </w:r>
      <w:r w:rsidR="00CE4A8C" w:rsidRPr="00CE4A8C">
        <w:rPr>
          <w:lang w:val="fr-FR"/>
        </w:rPr>
        <w:t>’</w:t>
      </w:r>
      <w:r w:rsidRPr="00CE4A8C">
        <w:rPr>
          <w:lang w:val="fr-FR"/>
        </w:rPr>
        <w:t>Union européenne</w:t>
      </w:r>
    </w:p>
    <w:p w:rsidR="0059426D" w:rsidRPr="00CE4A8C" w:rsidRDefault="0059426D" w:rsidP="00CE4A8C">
      <w:pPr>
        <w:pStyle w:val="ECHRHeading3"/>
        <w:rPr>
          <w:lang w:val="fr-FR"/>
        </w:rPr>
      </w:pPr>
      <w:r w:rsidRPr="00CE4A8C">
        <w:rPr>
          <w:lang w:val="fr-FR"/>
        </w:rPr>
        <w:t>1.  L</w:t>
      </w:r>
      <w:r w:rsidR="00CE4A8C" w:rsidRPr="00CE4A8C">
        <w:rPr>
          <w:lang w:val="fr-FR"/>
        </w:rPr>
        <w:t>’</w:t>
      </w:r>
      <w:r w:rsidRPr="00CE4A8C">
        <w:rPr>
          <w:lang w:val="fr-FR"/>
        </w:rPr>
        <w:t>arrêt de la Cour de justice de l</w:t>
      </w:r>
      <w:r w:rsidR="00CE4A8C" w:rsidRPr="00CE4A8C">
        <w:rPr>
          <w:lang w:val="fr-FR"/>
        </w:rPr>
        <w:t>’</w:t>
      </w:r>
      <w:r w:rsidRPr="00CE4A8C">
        <w:rPr>
          <w:lang w:val="fr-FR"/>
        </w:rPr>
        <w:t>Union européenne (« la CJUE ») du 31 mars 2011 (affaire C-50/10)</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83</w:t>
      </w:r>
      <w:r w:rsidRPr="00CE4A8C">
        <w:rPr>
          <w:lang w:val="fr-FR"/>
        </w:rPr>
        <w:fldChar w:fldCharType="end"/>
      </w:r>
      <w:r w:rsidRPr="00CE4A8C">
        <w:rPr>
          <w:lang w:val="fr-FR"/>
        </w:rPr>
        <w:t>.  Par un arrêt du 31 mars 2011, la CJUE conclut que l</w:t>
      </w:r>
      <w:r w:rsidR="00CE4A8C" w:rsidRPr="00CE4A8C">
        <w:rPr>
          <w:lang w:val="fr-FR"/>
        </w:rPr>
        <w:t>’</w:t>
      </w:r>
      <w:r w:rsidRPr="00CE4A8C">
        <w:rPr>
          <w:lang w:val="fr-FR"/>
        </w:rPr>
        <w:t>Italie avait manqué aux obligations qui lui incombaient en vertu de la directive 2008/1/CE du Parlement européen et du Conseil relative à la prévention et à la ré</w:t>
      </w:r>
      <w:r w:rsidR="00DE67CB" w:rsidRPr="00CE4A8C">
        <w:rPr>
          <w:lang w:val="fr-FR"/>
        </w:rPr>
        <w:t xml:space="preserve">duction intégrées </w:t>
      </w:r>
      <w:r w:rsidRPr="00CE4A8C">
        <w:rPr>
          <w:lang w:val="fr-FR"/>
        </w:rPr>
        <w:t>de la pollution.</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84</w:t>
      </w:r>
      <w:r w:rsidRPr="00CE4A8C">
        <w:rPr>
          <w:lang w:val="fr-FR"/>
        </w:rPr>
        <w:fldChar w:fldCharType="end"/>
      </w:r>
      <w:r w:rsidRPr="00CE4A8C">
        <w:rPr>
          <w:lang w:val="fr-FR"/>
        </w:rPr>
        <w:t>.  La CJUE souligna que l</w:t>
      </w:r>
      <w:r w:rsidR="00CE4A8C" w:rsidRPr="00CE4A8C">
        <w:rPr>
          <w:lang w:val="fr-FR"/>
        </w:rPr>
        <w:t>’</w:t>
      </w:r>
      <w:r w:rsidRPr="00CE4A8C">
        <w:rPr>
          <w:lang w:val="fr-FR"/>
        </w:rPr>
        <w:t>Italie avait omis d</w:t>
      </w:r>
      <w:r w:rsidR="00CE4A8C" w:rsidRPr="00CE4A8C">
        <w:rPr>
          <w:lang w:val="fr-FR"/>
        </w:rPr>
        <w:t>’</w:t>
      </w:r>
      <w:r w:rsidRPr="00CE4A8C">
        <w:rPr>
          <w:lang w:val="fr-FR"/>
        </w:rPr>
        <w:t>adopter les mesures nécessaires qui auraient permis aux autorités compétentes de veiller à ce que les installations industrielles fussent exploitées conformément à un système d</w:t>
      </w:r>
      <w:r w:rsidR="00CE4A8C" w:rsidRPr="00CE4A8C">
        <w:rPr>
          <w:lang w:val="fr-FR"/>
        </w:rPr>
        <w:t>’</w:t>
      </w:r>
      <w:r w:rsidRPr="00CE4A8C">
        <w:rPr>
          <w:lang w:val="fr-FR"/>
        </w:rPr>
        <w:t>autorisations prévu par cette même directive.</w:t>
      </w:r>
    </w:p>
    <w:p w:rsidR="0059426D" w:rsidRPr="00CE4A8C" w:rsidRDefault="0059426D" w:rsidP="00CE4A8C">
      <w:pPr>
        <w:pStyle w:val="ECHRHeading3"/>
        <w:rPr>
          <w:lang w:val="fr-FR"/>
        </w:rPr>
      </w:pPr>
      <w:r w:rsidRPr="00CE4A8C">
        <w:rPr>
          <w:lang w:val="fr-FR"/>
        </w:rPr>
        <w:t>2.  L</w:t>
      </w:r>
      <w:r w:rsidR="00CE4A8C" w:rsidRPr="00CE4A8C">
        <w:rPr>
          <w:lang w:val="fr-FR"/>
        </w:rPr>
        <w:t>’</w:t>
      </w:r>
      <w:r w:rsidRPr="00CE4A8C">
        <w:rPr>
          <w:lang w:val="fr-FR"/>
        </w:rPr>
        <w:t>avis motivé de la Commission européenne du 16 octobre 2014</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85</w:t>
      </w:r>
      <w:r w:rsidRPr="00CE4A8C">
        <w:rPr>
          <w:lang w:val="fr-FR"/>
        </w:rPr>
        <w:fldChar w:fldCharType="end"/>
      </w:r>
      <w:r w:rsidRPr="00CE4A8C">
        <w:rPr>
          <w:lang w:val="fr-FR"/>
        </w:rPr>
        <w:t>.  Dans le cadre d</w:t>
      </w:r>
      <w:r w:rsidR="00CE4A8C" w:rsidRPr="00CE4A8C">
        <w:rPr>
          <w:lang w:val="fr-FR"/>
        </w:rPr>
        <w:t>’</w:t>
      </w:r>
      <w:r w:rsidRPr="00CE4A8C">
        <w:rPr>
          <w:lang w:val="fr-FR"/>
        </w:rPr>
        <w:t>une procédure d</w:t>
      </w:r>
      <w:r w:rsidR="00CE4A8C" w:rsidRPr="00CE4A8C">
        <w:rPr>
          <w:lang w:val="fr-FR"/>
        </w:rPr>
        <w:t>’</w:t>
      </w:r>
      <w:r w:rsidRPr="00CE4A8C">
        <w:rPr>
          <w:lang w:val="fr-FR"/>
        </w:rPr>
        <w:t>infraction ouverte à l</w:t>
      </w:r>
      <w:r w:rsidR="00CE4A8C" w:rsidRPr="00CE4A8C">
        <w:rPr>
          <w:lang w:val="fr-FR"/>
        </w:rPr>
        <w:t>’</w:t>
      </w:r>
      <w:r w:rsidRPr="00CE4A8C">
        <w:rPr>
          <w:lang w:val="fr-FR"/>
        </w:rPr>
        <w:t>encontre de l</w:t>
      </w:r>
      <w:r w:rsidR="00CE4A8C" w:rsidRPr="00CE4A8C">
        <w:rPr>
          <w:lang w:val="fr-FR"/>
        </w:rPr>
        <w:t>’</w:t>
      </w:r>
      <w:r w:rsidRPr="00CE4A8C">
        <w:rPr>
          <w:lang w:val="fr-FR"/>
        </w:rPr>
        <w:t>Italie, le 16 octobre 2014, la Commission européenne émit un avis motivé demandant aux autorités italiennes de remédier aux graves problèmes de pollution constatés sur le site de la société Ilva de Tarente. Elle observa que l</w:t>
      </w:r>
      <w:r w:rsidR="00CE4A8C" w:rsidRPr="00CE4A8C">
        <w:rPr>
          <w:lang w:val="fr-FR"/>
        </w:rPr>
        <w:t>’</w:t>
      </w:r>
      <w:r w:rsidRPr="00CE4A8C">
        <w:rPr>
          <w:lang w:val="fr-FR"/>
        </w:rPr>
        <w:t>Italie avait manqué à ses obligations de garantir la conformité de l</w:t>
      </w:r>
      <w:r w:rsidR="00CE4A8C" w:rsidRPr="00CE4A8C">
        <w:rPr>
          <w:lang w:val="fr-FR"/>
        </w:rPr>
        <w:t>’</w:t>
      </w:r>
      <w:r w:rsidRPr="00CE4A8C">
        <w:rPr>
          <w:lang w:val="fr-FR"/>
        </w:rPr>
        <w:t>aciérie aux exigences de la directive sur les émissions industrielles (directive n</w:t>
      </w:r>
      <w:r w:rsidRPr="00CE4A8C">
        <w:rPr>
          <w:vertAlign w:val="superscript"/>
          <w:lang w:val="fr-FR"/>
        </w:rPr>
        <w:t>o</w:t>
      </w:r>
      <w:r w:rsidR="00DE67CB" w:rsidRPr="00CE4A8C">
        <w:rPr>
          <w:lang w:val="fr-FR"/>
        </w:rPr>
        <w:t> </w:t>
      </w:r>
      <w:r w:rsidRPr="00CE4A8C">
        <w:rPr>
          <w:lang w:val="fr-FR"/>
        </w:rPr>
        <w:t>2010/75/UE, ayant remplacé la directive 2008/1/CE à partir du 7 janvier 2014).</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86</w:t>
      </w:r>
      <w:r w:rsidRPr="00CE4A8C">
        <w:fldChar w:fldCharType="end"/>
      </w:r>
      <w:r w:rsidRPr="00CE4A8C">
        <w:rPr>
          <w:lang w:val="fr-FR"/>
        </w:rPr>
        <w:t>.  La Commission européenne constata que le niveau élevé des émissions résultant du processus de production de l</w:t>
      </w:r>
      <w:r w:rsidR="00CE4A8C" w:rsidRPr="00CE4A8C">
        <w:rPr>
          <w:lang w:val="fr-FR"/>
        </w:rPr>
        <w:t>’</w:t>
      </w:r>
      <w:r w:rsidRPr="00CE4A8C">
        <w:rPr>
          <w:lang w:val="fr-FR"/>
        </w:rPr>
        <w:t>acier n</w:t>
      </w:r>
      <w:r w:rsidR="00CE4A8C" w:rsidRPr="00CE4A8C">
        <w:rPr>
          <w:lang w:val="fr-FR"/>
        </w:rPr>
        <w:t>’</w:t>
      </w:r>
      <w:r w:rsidRPr="00CE4A8C">
        <w:rPr>
          <w:lang w:val="fr-FR"/>
        </w:rPr>
        <w:t>avait pas baissé et que des fumées denses de particules et de poussières industrielles se dégageaient du site, ce qui entraînait de graves conséquences pour l</w:t>
      </w:r>
      <w:r w:rsidR="00CE4A8C" w:rsidRPr="00CE4A8C">
        <w:rPr>
          <w:lang w:val="fr-FR"/>
        </w:rPr>
        <w:t>’</w:t>
      </w:r>
      <w:r w:rsidRPr="00CE4A8C">
        <w:rPr>
          <w:lang w:val="fr-FR"/>
        </w:rPr>
        <w:t>environnement et pour la santé de la population locale. Elle releva aussi que des tests avaient révélé l</w:t>
      </w:r>
      <w:r w:rsidR="00CE4A8C" w:rsidRPr="00CE4A8C">
        <w:rPr>
          <w:lang w:val="fr-FR"/>
        </w:rPr>
        <w:t>’</w:t>
      </w:r>
      <w:r w:rsidRPr="00CE4A8C">
        <w:rPr>
          <w:lang w:val="fr-FR"/>
        </w:rPr>
        <w:t>existence d</w:t>
      </w:r>
      <w:r w:rsidR="00CE4A8C" w:rsidRPr="00CE4A8C">
        <w:rPr>
          <w:lang w:val="fr-FR"/>
        </w:rPr>
        <w:t>’</w:t>
      </w:r>
      <w:r w:rsidRPr="00CE4A8C">
        <w:rPr>
          <w:lang w:val="fr-FR"/>
        </w:rPr>
        <w:t>une forte pollution de l</w:t>
      </w:r>
      <w:r w:rsidR="00CE4A8C" w:rsidRPr="00CE4A8C">
        <w:rPr>
          <w:lang w:val="fr-FR"/>
        </w:rPr>
        <w:t>’</w:t>
      </w:r>
      <w:r w:rsidRPr="00CE4A8C">
        <w:rPr>
          <w:lang w:val="fr-FR"/>
        </w:rPr>
        <w:t>air, des sols, des eaux de surface et des eaux souterraines sur le site de la société Ilva ainsi que dans les environs de la ville de Tarente.</w:t>
      </w:r>
    </w:p>
    <w:p w:rsidR="0059426D" w:rsidRPr="00CE4A8C" w:rsidRDefault="0059426D" w:rsidP="00CE4A8C">
      <w:pPr>
        <w:pStyle w:val="ECHRHeading1"/>
        <w:rPr>
          <w:lang w:val="fr-FR"/>
        </w:rPr>
      </w:pPr>
      <w:r w:rsidRPr="00CE4A8C">
        <w:rPr>
          <w:lang w:val="fr-FR"/>
        </w:rPr>
        <w:t>II.  LE DROIT INTERNE PERTINENT</w:t>
      </w:r>
    </w:p>
    <w:bookmarkStart w:id="23" w:name="droit_interne"/>
    <w:p w:rsidR="0059426D" w:rsidRPr="00CE4A8C" w:rsidRDefault="0059426D" w:rsidP="00CE4A8C">
      <w:pPr>
        <w:pStyle w:val="ECHRPara"/>
        <w:rPr>
          <w:noProof/>
          <w:lang w:val="fr-FR"/>
        </w:rPr>
      </w:pPr>
      <w:r w:rsidRPr="00CE4A8C">
        <w:rPr>
          <w:noProof/>
        </w:rPr>
        <w:fldChar w:fldCharType="begin"/>
      </w:r>
      <w:r w:rsidRPr="00CE4A8C">
        <w:rPr>
          <w:noProof/>
          <w:lang w:val="fr-FR"/>
        </w:rPr>
        <w:instrText xml:space="preserve"> SEQ level0 \*arabic </w:instrText>
      </w:r>
      <w:r w:rsidRPr="00CE4A8C">
        <w:rPr>
          <w:noProof/>
        </w:rPr>
        <w:fldChar w:fldCharType="separate"/>
      </w:r>
      <w:r w:rsidR="00CE4A8C" w:rsidRPr="00CE4A8C">
        <w:rPr>
          <w:noProof/>
          <w:lang w:val="fr-FR"/>
        </w:rPr>
        <w:t>87</w:t>
      </w:r>
      <w:r w:rsidRPr="00CE4A8C">
        <w:rPr>
          <w:noProof/>
        </w:rPr>
        <w:fldChar w:fldCharType="end"/>
      </w:r>
      <w:bookmarkEnd w:id="23"/>
      <w:r w:rsidRPr="00CE4A8C">
        <w:rPr>
          <w:noProof/>
          <w:lang w:val="fr-FR"/>
        </w:rPr>
        <w:t>.  L</w:t>
      </w:r>
      <w:r w:rsidR="00CE4A8C" w:rsidRPr="00CE4A8C">
        <w:rPr>
          <w:noProof/>
          <w:lang w:val="fr-FR"/>
        </w:rPr>
        <w:t>’</w:t>
      </w:r>
      <w:r w:rsidRPr="00CE4A8C">
        <w:rPr>
          <w:noProof/>
          <w:lang w:val="fr-FR"/>
        </w:rPr>
        <w:t xml:space="preserve">article 452 </w:t>
      </w:r>
      <w:r w:rsidRPr="00CE4A8C">
        <w:rPr>
          <w:i/>
          <w:noProof/>
          <w:lang w:val="fr-FR"/>
        </w:rPr>
        <w:t xml:space="preserve">quater </w:t>
      </w:r>
      <w:r w:rsidRPr="00CE4A8C">
        <w:rPr>
          <w:noProof/>
          <w:lang w:val="fr-FR"/>
        </w:rPr>
        <w:t>du code pénal (inséré dans le code pénal par la loi n</w:t>
      </w:r>
      <w:r w:rsidRPr="00CE4A8C">
        <w:rPr>
          <w:noProof/>
          <w:vertAlign w:val="superscript"/>
          <w:lang w:val="fr-FR"/>
        </w:rPr>
        <w:t>o</w:t>
      </w:r>
      <w:r w:rsidRPr="00CE4A8C">
        <w:rPr>
          <w:noProof/>
          <w:lang w:val="fr-FR"/>
        </w:rPr>
        <w:t xml:space="preserve"> 68 du 22 mai 2015) dispose que toute personne causant illégalement </w:t>
      </w:r>
      <w:r w:rsidRPr="00CE4A8C">
        <w:rPr>
          <w:noProof/>
          <w:lang w:val="fr-FR"/>
        </w:rPr>
        <w:lastRenderedPageBreak/>
        <w:t>une catastrophe écologique est punie par une peine de réclusion de cinq à quinze ans.</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88</w:t>
      </w:r>
      <w:r w:rsidRPr="00CE4A8C">
        <w:fldChar w:fldCharType="end"/>
      </w:r>
      <w:r w:rsidRPr="00CE4A8C">
        <w:rPr>
          <w:lang w:val="fr-FR"/>
        </w:rPr>
        <w:t>.  L</w:t>
      </w:r>
      <w:r w:rsidR="00CE4A8C" w:rsidRPr="00CE4A8C">
        <w:rPr>
          <w:lang w:val="fr-FR"/>
        </w:rPr>
        <w:t>’</w:t>
      </w:r>
      <w:r w:rsidRPr="00CE4A8C">
        <w:rPr>
          <w:lang w:val="fr-FR"/>
        </w:rPr>
        <w:t>article 844 du code civil dispose que le propriétaire d</w:t>
      </w:r>
      <w:r w:rsidR="00CE4A8C" w:rsidRPr="00CE4A8C">
        <w:rPr>
          <w:lang w:val="fr-FR"/>
        </w:rPr>
        <w:t>’</w:t>
      </w:r>
      <w:r w:rsidRPr="00CE4A8C">
        <w:rPr>
          <w:lang w:val="fr-FR"/>
        </w:rPr>
        <w:t>un terrain ne peut empêcher les nuisances provenant d</w:t>
      </w:r>
      <w:r w:rsidR="00CE4A8C" w:rsidRPr="00CE4A8C">
        <w:rPr>
          <w:lang w:val="fr-FR"/>
        </w:rPr>
        <w:t>’</w:t>
      </w:r>
      <w:r w:rsidRPr="00CE4A8C">
        <w:rPr>
          <w:lang w:val="fr-FR"/>
        </w:rPr>
        <w:t>un terrain voisin si celles-ci ne dépassent pas un seuil supportable.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89</w:t>
      </w:r>
      <w:r w:rsidRPr="00CE4A8C">
        <w:rPr>
          <w:lang w:val="fr-FR"/>
        </w:rPr>
        <w:fldChar w:fldCharType="end"/>
      </w:r>
      <w:r w:rsidRPr="00CE4A8C">
        <w:rPr>
          <w:lang w:val="fr-FR"/>
        </w:rPr>
        <w:t>.  L</w:t>
      </w:r>
      <w:r w:rsidR="00CE4A8C" w:rsidRPr="00CE4A8C">
        <w:rPr>
          <w:lang w:val="fr-FR"/>
        </w:rPr>
        <w:t>’</w:t>
      </w:r>
      <w:r w:rsidRPr="00CE4A8C">
        <w:rPr>
          <w:lang w:val="fr-FR"/>
        </w:rPr>
        <w:t xml:space="preserve">article 2043 du code civil énonce le principe du </w:t>
      </w:r>
      <w:r w:rsidRPr="00CE4A8C">
        <w:rPr>
          <w:i/>
          <w:lang w:val="fr-FR"/>
        </w:rPr>
        <w:t>neminem laedere</w:t>
      </w:r>
      <w:r w:rsidRPr="00CE4A8C">
        <w:rPr>
          <w:lang w:val="fr-FR"/>
        </w:rPr>
        <w:t>, c</w:t>
      </w:r>
      <w:r w:rsidR="00CE4A8C" w:rsidRPr="00CE4A8C">
        <w:rPr>
          <w:lang w:val="fr-FR"/>
        </w:rPr>
        <w:t>’</w:t>
      </w:r>
      <w:r w:rsidRPr="00CE4A8C">
        <w:rPr>
          <w:lang w:val="fr-FR"/>
        </w:rPr>
        <w:t>est-à-dire le devoir général de ne pas causer de dommage à autrui. Quiconque allègue avoir subi un dommage en violation de ce principe peut engager une action en responsabilité.</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90</w:t>
      </w:r>
      <w:r w:rsidRPr="00CE4A8C">
        <w:rPr>
          <w:lang w:val="fr-FR"/>
        </w:rPr>
        <w:fldChar w:fldCharType="end"/>
      </w:r>
      <w:r w:rsidRPr="00CE4A8C">
        <w:rPr>
          <w:lang w:val="fr-FR"/>
        </w:rPr>
        <w:t>.  L</w:t>
      </w:r>
      <w:r w:rsidR="00CE4A8C" w:rsidRPr="00CE4A8C">
        <w:rPr>
          <w:lang w:val="fr-FR"/>
        </w:rPr>
        <w:t>’</w:t>
      </w:r>
      <w:r w:rsidRPr="00CE4A8C">
        <w:rPr>
          <w:lang w:val="fr-FR"/>
        </w:rPr>
        <w:t>article 2050 du même civil consacre le principe général de la responsabilité du fait des « activités dangereuses ».</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91</w:t>
      </w:r>
      <w:r w:rsidRPr="00CE4A8C">
        <w:rPr>
          <w:lang w:val="fr-FR"/>
        </w:rPr>
        <w:fldChar w:fldCharType="end"/>
      </w:r>
      <w:r w:rsidRPr="00CE4A8C">
        <w:rPr>
          <w:lang w:val="fr-FR"/>
        </w:rPr>
        <w:t>.  Les articles 309 et 310 du décret législatif n</w:t>
      </w:r>
      <w:r w:rsidRPr="00CE4A8C">
        <w:rPr>
          <w:vertAlign w:val="superscript"/>
          <w:lang w:val="fr-FR"/>
        </w:rPr>
        <w:t>o</w:t>
      </w:r>
      <w:r w:rsidRPr="00CE4A8C">
        <w:rPr>
          <w:lang w:val="fr-FR"/>
        </w:rPr>
        <w:t xml:space="preserve"> 152/2006 prévoient la possibilité de présenter des plaintes et observations devant le ministère de l</w:t>
      </w:r>
      <w:r w:rsidR="00CE4A8C" w:rsidRPr="00CE4A8C">
        <w:rPr>
          <w:lang w:val="fr-FR"/>
        </w:rPr>
        <w:t>’</w:t>
      </w:r>
      <w:r w:rsidRPr="00CE4A8C">
        <w:rPr>
          <w:lang w:val="fr-FR"/>
        </w:rPr>
        <w:t>Environnement en cas de violation des normes environnementales et rappellent la possibilité d</w:t>
      </w:r>
      <w:r w:rsidR="00CE4A8C" w:rsidRPr="00CE4A8C">
        <w:rPr>
          <w:lang w:val="fr-FR"/>
        </w:rPr>
        <w:t>’</w:t>
      </w:r>
      <w:r w:rsidRPr="00CE4A8C">
        <w:rPr>
          <w:lang w:val="fr-FR"/>
        </w:rPr>
        <w:t>entamer des procédures en dédommagement devant les juridictions compétentes.</w:t>
      </w:r>
    </w:p>
    <w:p w:rsidR="0059426D" w:rsidRPr="00CE4A8C" w:rsidRDefault="0059426D" w:rsidP="00CE4A8C">
      <w:pPr>
        <w:pStyle w:val="ECHRTitle1"/>
        <w:rPr>
          <w:lang w:val="fr-FR"/>
        </w:rPr>
      </w:pPr>
      <w:r w:rsidRPr="00CE4A8C">
        <w:rPr>
          <w:lang w:val="fr-FR"/>
        </w:rPr>
        <w:t>EN DROIT</w:t>
      </w:r>
    </w:p>
    <w:p w:rsidR="0059426D" w:rsidRPr="00CE4A8C" w:rsidRDefault="0059426D" w:rsidP="00CE4A8C">
      <w:pPr>
        <w:pStyle w:val="ECHRHeading1"/>
        <w:rPr>
          <w:lang w:val="fr-FR"/>
        </w:rPr>
      </w:pPr>
      <w:r w:rsidRPr="00CE4A8C">
        <w:rPr>
          <w:lang w:val="fr-FR"/>
        </w:rPr>
        <w:t>I</w:t>
      </w:r>
      <w:r w:rsidR="008175BE" w:rsidRPr="00CE4A8C">
        <w:rPr>
          <w:lang w:val="fr-FR"/>
        </w:rPr>
        <w:t>.</w:t>
      </w:r>
      <w:r w:rsidRPr="00CE4A8C">
        <w:rPr>
          <w:lang w:val="fr-FR"/>
        </w:rPr>
        <w:t>  SUR LA JONCTION DES REQUÊTES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92</w:t>
      </w:r>
      <w:r w:rsidRPr="00CE4A8C">
        <w:rPr>
          <w:lang w:val="fr-FR"/>
        </w:rPr>
        <w:fldChar w:fldCharType="end"/>
      </w:r>
      <w:r w:rsidRPr="00CE4A8C">
        <w:rPr>
          <w:lang w:val="fr-FR"/>
        </w:rPr>
        <w:t>.  Compte tenu de la similitude des requêtes, la Cour estime approprié de les examiner conjointement en un seul arrêt.</w:t>
      </w:r>
    </w:p>
    <w:p w:rsidR="0059426D" w:rsidRPr="00CE4A8C" w:rsidRDefault="0059426D" w:rsidP="00CE4A8C">
      <w:pPr>
        <w:pStyle w:val="ECHRHeading1"/>
        <w:rPr>
          <w:lang w:val="fr-FR"/>
        </w:rPr>
      </w:pPr>
      <w:r w:rsidRPr="00CE4A8C">
        <w:rPr>
          <w:lang w:val="fr-FR"/>
        </w:rPr>
        <w:t>II.  SUR LA VIOLATION ALLÉGUÉE DES ARTICLES 2, 8 ET 13 DE LA CONVENTION</w:t>
      </w:r>
    </w:p>
    <w:p w:rsidR="0059426D" w:rsidRPr="00CE4A8C" w:rsidRDefault="0059426D" w:rsidP="00CE4A8C">
      <w:pPr>
        <w:pStyle w:val="ECHRPara"/>
        <w:rPr>
          <w:rStyle w:val="ECHRParaCha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93</w:t>
      </w:r>
      <w:r w:rsidRPr="00CE4A8C">
        <w:rPr>
          <w:lang w:val="fr-FR"/>
        </w:rPr>
        <w:fldChar w:fldCharType="end"/>
      </w:r>
      <w:r w:rsidRPr="00CE4A8C">
        <w:rPr>
          <w:lang w:val="fr-FR"/>
        </w:rPr>
        <w:t>.  Invoquant les articles 2 et 8 de la Convention, les requérants se plaignent d</w:t>
      </w:r>
      <w:r w:rsidR="00CE4A8C" w:rsidRPr="00CE4A8C">
        <w:rPr>
          <w:lang w:val="fr-FR"/>
        </w:rPr>
        <w:t>’</w:t>
      </w:r>
      <w:r w:rsidRPr="00CE4A8C">
        <w:rPr>
          <w:lang w:val="fr-FR"/>
        </w:rPr>
        <w:t>une violation de leurs droits à la vie et au respect de leur vie privée. Ils reprochent à l</w:t>
      </w:r>
      <w:r w:rsidR="00CE4A8C" w:rsidRPr="00CE4A8C">
        <w:rPr>
          <w:lang w:val="fr-FR"/>
        </w:rPr>
        <w:t>’</w:t>
      </w:r>
      <w:r w:rsidRPr="00CE4A8C">
        <w:rPr>
          <w:lang w:val="fr-FR"/>
        </w:rPr>
        <w:t>État de ne pas avoir adopté les mesures juridiques et réglementaires visant à protéger leur santé et l</w:t>
      </w:r>
      <w:r w:rsidR="00CE4A8C" w:rsidRPr="00CE4A8C">
        <w:rPr>
          <w:lang w:val="fr-FR"/>
        </w:rPr>
        <w:t>’</w:t>
      </w:r>
      <w:r w:rsidRPr="00CE4A8C">
        <w:rPr>
          <w:lang w:val="fr-FR"/>
        </w:rPr>
        <w:t>environnement, et d</w:t>
      </w:r>
      <w:r w:rsidR="00CE4A8C" w:rsidRPr="00CE4A8C">
        <w:rPr>
          <w:lang w:val="fr-FR"/>
        </w:rPr>
        <w:t>’</w:t>
      </w:r>
      <w:r w:rsidRPr="00CE4A8C">
        <w:rPr>
          <w:lang w:val="fr-FR"/>
        </w:rPr>
        <w:t>avoir omis de leur fournir des informations concernant la pollution et les risques corrélatifs pour leur santé.</w:t>
      </w:r>
    </w:p>
    <w:p w:rsidR="0059426D" w:rsidRPr="00CE4A8C" w:rsidRDefault="0059426D" w:rsidP="00CE4A8C">
      <w:pPr>
        <w:pStyle w:val="ECHRPara"/>
        <w:rPr>
          <w:i/>
          <w:lang w:val="fr-FR"/>
        </w:rPr>
      </w:pPr>
      <w:r w:rsidRPr="00CE4A8C">
        <w:rPr>
          <w:rStyle w:val="ECHRParaChar"/>
          <w:lang w:val="fr-FR"/>
        </w:rPr>
        <w:fldChar w:fldCharType="begin"/>
      </w:r>
      <w:r w:rsidRPr="00CE4A8C">
        <w:rPr>
          <w:rStyle w:val="ECHRParaChar"/>
          <w:lang w:val="fr-FR"/>
        </w:rPr>
        <w:instrText xml:space="preserve"> SEQ level0 \*arabic </w:instrText>
      </w:r>
      <w:r w:rsidRPr="00CE4A8C">
        <w:rPr>
          <w:rStyle w:val="ECHRParaChar"/>
          <w:lang w:val="fr-FR"/>
        </w:rPr>
        <w:fldChar w:fldCharType="separate"/>
      </w:r>
      <w:r w:rsidR="00CE4A8C" w:rsidRPr="00CE4A8C">
        <w:rPr>
          <w:rStyle w:val="ECHRParaChar"/>
          <w:noProof/>
          <w:lang w:val="fr-FR"/>
        </w:rPr>
        <w:t>94</w:t>
      </w:r>
      <w:r w:rsidRPr="00CE4A8C">
        <w:rPr>
          <w:rStyle w:val="ECHRParaChar"/>
          <w:lang w:val="fr-FR"/>
        </w:rPr>
        <w:fldChar w:fldCharType="end"/>
      </w:r>
      <w:r w:rsidRPr="00CE4A8C">
        <w:rPr>
          <w:rStyle w:val="ECHRParaChar"/>
          <w:lang w:val="fr-FR"/>
        </w:rPr>
        <w:t>.  M</w:t>
      </w:r>
      <w:r w:rsidRPr="00CE4A8C">
        <w:rPr>
          <w:lang w:val="fr-FR"/>
        </w:rPr>
        <w:t>aîtresse de la qualification juridique des faits, la Cour constate que ces griefs se confondent. Elle juge approprié d</w:t>
      </w:r>
      <w:r w:rsidR="00CE4A8C" w:rsidRPr="00CE4A8C">
        <w:rPr>
          <w:lang w:val="fr-FR"/>
        </w:rPr>
        <w:t>’</w:t>
      </w:r>
      <w:r w:rsidRPr="00CE4A8C">
        <w:rPr>
          <w:lang w:val="fr-FR"/>
        </w:rPr>
        <w:t>examiner les allégations des requérants uniquement sous l</w:t>
      </w:r>
      <w:r w:rsidR="00CE4A8C" w:rsidRPr="00CE4A8C">
        <w:rPr>
          <w:lang w:val="fr-FR"/>
        </w:rPr>
        <w:t>’</w:t>
      </w:r>
      <w:r w:rsidRPr="00CE4A8C">
        <w:rPr>
          <w:lang w:val="fr-FR"/>
        </w:rPr>
        <w:t>angle de l</w:t>
      </w:r>
      <w:r w:rsidR="00CE4A8C" w:rsidRPr="00CE4A8C">
        <w:rPr>
          <w:lang w:val="fr-FR"/>
        </w:rPr>
        <w:t>’</w:t>
      </w:r>
      <w:r w:rsidRPr="00CE4A8C">
        <w:rPr>
          <w:lang w:val="fr-FR"/>
        </w:rPr>
        <w:t>article 8 de la Convention (</w:t>
      </w:r>
      <w:r w:rsidRPr="00CE4A8C">
        <w:rPr>
          <w:i/>
          <w:iCs/>
          <w:lang w:val="fr-FR"/>
        </w:rPr>
        <w:t>Radomilja et autres c. Croatie</w:t>
      </w:r>
      <w:r w:rsidRPr="00CE4A8C">
        <w:rPr>
          <w:lang w:val="fr-FR"/>
        </w:rPr>
        <w:t xml:space="preserve"> [GC]</w:t>
      </w:r>
      <w:r w:rsidRPr="00CE4A8C">
        <w:rPr>
          <w:lang w:val="fr-FR" w:eastAsia="en-GB"/>
        </w:rPr>
        <w:t xml:space="preserve">, </w:t>
      </w:r>
      <w:r w:rsidRPr="00CE4A8C">
        <w:rPr>
          <w:lang w:val="fr-FR"/>
        </w:rPr>
        <w:t>n</w:t>
      </w:r>
      <w:r w:rsidRPr="00CE4A8C">
        <w:rPr>
          <w:vertAlign w:val="superscript"/>
          <w:lang w:val="fr-FR"/>
        </w:rPr>
        <w:t>os</w:t>
      </w:r>
      <w:r w:rsidRPr="00CE4A8C">
        <w:rPr>
          <w:lang w:val="fr-FR"/>
        </w:rPr>
        <w:t xml:space="preserve"> 37685/10 et 22768/12</w:t>
      </w:r>
      <w:r w:rsidRPr="00CE4A8C">
        <w:rPr>
          <w:lang w:val="fr-FR" w:eastAsia="en-GB"/>
        </w:rPr>
        <w:t xml:space="preserve">, </w:t>
      </w:r>
      <w:r w:rsidRPr="00CE4A8C">
        <w:rPr>
          <w:lang w:val="fr-FR"/>
        </w:rPr>
        <w:t>20 mars 2018). Cette disposition est ainsi libellée :</w:t>
      </w:r>
    </w:p>
    <w:p w:rsidR="0059426D" w:rsidRPr="00CE4A8C" w:rsidRDefault="0059426D" w:rsidP="00CE4A8C">
      <w:pPr>
        <w:pStyle w:val="ECHRParaQuote"/>
        <w:rPr>
          <w:lang w:val="fr-FR"/>
        </w:rPr>
      </w:pPr>
      <w:r w:rsidRPr="00CE4A8C">
        <w:rPr>
          <w:lang w:val="fr-FR"/>
        </w:rPr>
        <w:t>« 1.  Toute personne a droit au respect de sa vie privée (...).</w:t>
      </w:r>
    </w:p>
    <w:p w:rsidR="0059426D" w:rsidRPr="00CE4A8C" w:rsidRDefault="0059426D" w:rsidP="00CE4A8C">
      <w:pPr>
        <w:pStyle w:val="ECHRParaQuote"/>
        <w:rPr>
          <w:lang w:val="fr-FR"/>
        </w:rPr>
      </w:pPr>
      <w:r w:rsidRPr="00CE4A8C">
        <w:rPr>
          <w:lang w:val="fr-FR"/>
        </w:rPr>
        <w:t>2.  Il ne peut y avoir ingérence d</w:t>
      </w:r>
      <w:r w:rsidR="00CE4A8C" w:rsidRPr="00CE4A8C">
        <w:rPr>
          <w:lang w:val="fr-FR"/>
        </w:rPr>
        <w:t>’</w:t>
      </w:r>
      <w:r w:rsidRPr="00CE4A8C">
        <w:rPr>
          <w:lang w:val="fr-FR"/>
        </w:rPr>
        <w:t>une autorité publique dans l</w:t>
      </w:r>
      <w:r w:rsidR="00CE4A8C" w:rsidRPr="00CE4A8C">
        <w:rPr>
          <w:lang w:val="fr-FR"/>
        </w:rPr>
        <w:t>’</w:t>
      </w:r>
      <w:r w:rsidRPr="00CE4A8C">
        <w:rPr>
          <w:lang w:val="fr-FR"/>
        </w:rPr>
        <w:t>exercice de ce droit que pour autant que cette ingérence est prévue par la loi et qu</w:t>
      </w:r>
      <w:r w:rsidR="00CE4A8C" w:rsidRPr="00CE4A8C">
        <w:rPr>
          <w:lang w:val="fr-FR"/>
        </w:rPr>
        <w:t>’</w:t>
      </w:r>
      <w:r w:rsidRPr="00CE4A8C">
        <w:rPr>
          <w:lang w:val="fr-FR"/>
        </w:rPr>
        <w:t xml:space="preserve">elle constitue une mesure qui, dans une société démocratique, est nécessaire à la sécurité nationale, à la </w:t>
      </w:r>
      <w:r w:rsidRPr="00CE4A8C">
        <w:rPr>
          <w:lang w:val="fr-FR"/>
        </w:rPr>
        <w:lastRenderedPageBreak/>
        <w:t>sûreté publique, au bien</w:t>
      </w:r>
      <w:r w:rsidRPr="00CE4A8C">
        <w:rPr>
          <w:lang w:val="fr-FR"/>
        </w:rPr>
        <w:noBreakHyphen/>
        <w:t>être économique du pays, à la défense de l</w:t>
      </w:r>
      <w:r w:rsidR="00CE4A8C" w:rsidRPr="00CE4A8C">
        <w:rPr>
          <w:lang w:val="fr-FR"/>
        </w:rPr>
        <w:t>’</w:t>
      </w:r>
      <w:r w:rsidRPr="00CE4A8C">
        <w:rPr>
          <w:lang w:val="fr-FR"/>
        </w:rPr>
        <w:t>ordre et à la prévention des infractions pénales, à la protection de la santé ou de la morale, ou à la protection des droits et libertés d</w:t>
      </w:r>
      <w:r w:rsidR="00CE4A8C" w:rsidRPr="00CE4A8C">
        <w:rPr>
          <w:lang w:val="fr-FR"/>
        </w:rPr>
        <w:t>’</w:t>
      </w:r>
      <w:r w:rsidRPr="00CE4A8C">
        <w:rPr>
          <w:lang w:val="fr-FR"/>
        </w:rPr>
        <w:t>autrui. »</w:t>
      </w:r>
    </w:p>
    <w:p w:rsidR="0059426D" w:rsidRPr="00CE4A8C" w:rsidRDefault="0059426D" w:rsidP="00CE4A8C">
      <w:pPr>
        <w:pStyle w:val="JuParaSub"/>
        <w:ind w:left="0"/>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95</w:t>
      </w:r>
      <w:r w:rsidRPr="00CE4A8C">
        <w:rPr>
          <w:lang w:val="fr-FR"/>
        </w:rPr>
        <w:fldChar w:fldCharType="end"/>
      </w:r>
      <w:r w:rsidRPr="00CE4A8C">
        <w:rPr>
          <w:lang w:val="fr-FR"/>
        </w:rPr>
        <w:t>.  Sur le fondement de l</w:t>
      </w:r>
      <w:r w:rsidR="00CE4A8C" w:rsidRPr="00CE4A8C">
        <w:rPr>
          <w:lang w:val="fr-FR"/>
        </w:rPr>
        <w:t>’</w:t>
      </w:r>
      <w:r w:rsidRPr="00CE4A8C">
        <w:rPr>
          <w:lang w:val="fr-FR"/>
        </w:rPr>
        <w:t>article 13 de la Convention, les requérants soutiennent avoir subi une violation de leur droit à un recours effectif. Cette disposition est ainsi libellée :</w:t>
      </w:r>
    </w:p>
    <w:p w:rsidR="0059426D" w:rsidRPr="00CE4A8C" w:rsidRDefault="0059426D" w:rsidP="00CE4A8C">
      <w:pPr>
        <w:pStyle w:val="ECHRParaQuote"/>
        <w:rPr>
          <w:lang w:val="fr-FR"/>
        </w:rPr>
      </w:pPr>
      <w:r w:rsidRPr="00CE4A8C">
        <w:rPr>
          <w:lang w:val="fr-FR"/>
        </w:rPr>
        <w:t>« Toute personne dont les droits et libertés reconnus dans la (...) Convention ont été violés, a droit à l</w:t>
      </w:r>
      <w:r w:rsidR="00CE4A8C" w:rsidRPr="00CE4A8C">
        <w:rPr>
          <w:lang w:val="fr-FR"/>
        </w:rPr>
        <w:t>’</w:t>
      </w:r>
      <w:r w:rsidRPr="00CE4A8C">
        <w:rPr>
          <w:lang w:val="fr-FR"/>
        </w:rPr>
        <w:t>octroi d</w:t>
      </w:r>
      <w:r w:rsidR="00CE4A8C" w:rsidRPr="00CE4A8C">
        <w:rPr>
          <w:lang w:val="fr-FR"/>
        </w:rPr>
        <w:t>’</w:t>
      </w:r>
      <w:r w:rsidRPr="00CE4A8C">
        <w:rPr>
          <w:lang w:val="fr-FR"/>
        </w:rPr>
        <w:t>un recours effectif devant une instance nationale, alors même que la violation aurait été commise par des personnes agissant dans l</w:t>
      </w:r>
      <w:r w:rsidR="00CE4A8C" w:rsidRPr="00CE4A8C">
        <w:rPr>
          <w:lang w:val="fr-FR"/>
        </w:rPr>
        <w:t>’</w:t>
      </w:r>
      <w:r w:rsidRPr="00CE4A8C">
        <w:rPr>
          <w:lang w:val="fr-FR"/>
        </w:rPr>
        <w:t>exercice de leurs fonctions officielles. »</w:t>
      </w:r>
    </w:p>
    <w:p w:rsidR="0059426D" w:rsidRPr="00CE4A8C" w:rsidRDefault="0059426D" w:rsidP="00CE4A8C">
      <w:pPr>
        <w:pStyle w:val="ECHRHeading2"/>
        <w:rPr>
          <w:lang w:val="fr-FR"/>
        </w:rPr>
      </w:pPr>
      <w:r w:rsidRPr="00CE4A8C">
        <w:rPr>
          <w:lang w:val="fr-FR"/>
        </w:rPr>
        <w:t>A.  Sur les exceptions préliminaires du Gouvernement</w:t>
      </w:r>
    </w:p>
    <w:p w:rsidR="0059426D" w:rsidRPr="00CE4A8C" w:rsidRDefault="0059426D" w:rsidP="00CE4A8C">
      <w:pPr>
        <w:pStyle w:val="ECHRHeading3"/>
        <w:rPr>
          <w:lang w:val="fr-FR"/>
        </w:rPr>
      </w:pPr>
      <w:r w:rsidRPr="00CE4A8C">
        <w:rPr>
          <w:lang w:val="fr-FR"/>
        </w:rPr>
        <w:t>1.  Sur la qualité de « victime » des requérants</w:t>
      </w:r>
    </w:p>
    <w:p w:rsidR="0059426D" w:rsidRPr="00CE4A8C" w:rsidRDefault="00C54644" w:rsidP="00CE4A8C">
      <w:pPr>
        <w:pStyle w:val="ECHRHeading4"/>
        <w:rPr>
          <w:lang w:val="fr-FR"/>
        </w:rPr>
      </w:pPr>
      <w:r w:rsidRPr="00CE4A8C">
        <w:rPr>
          <w:lang w:val="fr-FR"/>
        </w:rPr>
        <w:t>a)  </w:t>
      </w:r>
      <w:r w:rsidR="0059426D" w:rsidRPr="00CE4A8C">
        <w:rPr>
          <w:lang w:val="fr-FR"/>
        </w:rPr>
        <w:t>La thèse du Gouvernement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96</w:t>
      </w:r>
      <w:r w:rsidRPr="00CE4A8C">
        <w:rPr>
          <w:lang w:val="fr-FR"/>
        </w:rPr>
        <w:fldChar w:fldCharType="end"/>
      </w:r>
      <w:r w:rsidRPr="00CE4A8C">
        <w:rPr>
          <w:lang w:val="fr-FR"/>
        </w:rPr>
        <w:t>.  Le Gouvernement conteste la qualité de victime des requérants. Il indique à cet égard que celle-ci ne peut être établie qu</w:t>
      </w:r>
      <w:r w:rsidR="00CE4A8C" w:rsidRPr="00CE4A8C">
        <w:rPr>
          <w:lang w:val="fr-FR"/>
        </w:rPr>
        <w:t>’</w:t>
      </w:r>
      <w:r w:rsidRPr="00CE4A8C">
        <w:rPr>
          <w:lang w:val="fr-FR"/>
        </w:rPr>
        <w:t>à l</w:t>
      </w:r>
      <w:r w:rsidR="00CE4A8C" w:rsidRPr="00CE4A8C">
        <w:rPr>
          <w:lang w:val="fr-FR"/>
        </w:rPr>
        <w:t>’</w:t>
      </w:r>
      <w:r w:rsidRPr="00CE4A8C">
        <w:rPr>
          <w:lang w:val="fr-FR"/>
        </w:rPr>
        <w:t>issue de procédures internes portant sur les griefs soulevés ensuite devant la Cour.</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97</w:t>
      </w:r>
      <w:r w:rsidRPr="00CE4A8C">
        <w:rPr>
          <w:lang w:val="fr-FR"/>
        </w:rPr>
        <w:fldChar w:fldCharType="end"/>
      </w:r>
      <w:r w:rsidRPr="00CE4A8C">
        <w:rPr>
          <w:lang w:val="fr-FR"/>
        </w:rPr>
        <w:t>.  Il dit par ailleurs que les doléances des requérants n</w:t>
      </w:r>
      <w:r w:rsidR="00CE4A8C" w:rsidRPr="00CE4A8C">
        <w:rPr>
          <w:lang w:val="fr-FR"/>
        </w:rPr>
        <w:t>’</w:t>
      </w:r>
      <w:r w:rsidRPr="00CE4A8C">
        <w:rPr>
          <w:lang w:val="fr-FR"/>
        </w:rPr>
        <w:t>ont qu</w:t>
      </w:r>
      <w:r w:rsidR="00CE4A8C" w:rsidRPr="00CE4A8C">
        <w:rPr>
          <w:lang w:val="fr-FR"/>
        </w:rPr>
        <w:t>’</w:t>
      </w:r>
      <w:r w:rsidRPr="00CE4A8C">
        <w:rPr>
          <w:lang w:val="fr-FR"/>
        </w:rPr>
        <w:t>un caractère général et ne se réfèrent pas à des situations particulières, et qu</w:t>
      </w:r>
      <w:r w:rsidR="00CE4A8C" w:rsidRPr="00CE4A8C">
        <w:rPr>
          <w:lang w:val="fr-FR"/>
        </w:rPr>
        <w:t>’</w:t>
      </w:r>
      <w:r w:rsidRPr="00CE4A8C">
        <w:rPr>
          <w:lang w:val="fr-FR"/>
        </w:rPr>
        <w:t>elles n</w:t>
      </w:r>
      <w:r w:rsidR="00CE4A8C" w:rsidRPr="00CE4A8C">
        <w:rPr>
          <w:lang w:val="fr-FR"/>
        </w:rPr>
        <w:t>’</w:t>
      </w:r>
      <w:r w:rsidRPr="00CE4A8C">
        <w:rPr>
          <w:lang w:val="fr-FR"/>
        </w:rPr>
        <w:t>apportent aucun élément factuel de nature à étayer la thèse d</w:t>
      </w:r>
      <w:r w:rsidR="00CE4A8C" w:rsidRPr="00CE4A8C">
        <w:rPr>
          <w:lang w:val="fr-FR"/>
        </w:rPr>
        <w:t>’</w:t>
      </w:r>
      <w:r w:rsidRPr="00CE4A8C">
        <w:rPr>
          <w:lang w:val="fr-FR"/>
        </w:rPr>
        <w:t>un dommage que les intéressés auraient concrètement subi. Les présentes requêtes ne seraient donc qu</w:t>
      </w:r>
      <w:r w:rsidR="00CE4A8C" w:rsidRPr="00CE4A8C">
        <w:rPr>
          <w:lang w:val="fr-FR"/>
        </w:rPr>
        <w:t>’</w:t>
      </w:r>
      <w:r w:rsidRPr="00CE4A8C">
        <w:rPr>
          <w:lang w:val="fr-FR"/>
        </w:rPr>
        <w:t xml:space="preserve">une </w:t>
      </w:r>
      <w:r w:rsidRPr="00CE4A8C">
        <w:rPr>
          <w:i/>
          <w:lang w:val="fr-FR"/>
        </w:rPr>
        <w:t>actio popularis</w:t>
      </w:r>
      <w:r w:rsidRPr="00CE4A8C">
        <w:rPr>
          <w:lang w:val="fr-FR"/>
        </w:rPr>
        <w: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98</w:t>
      </w:r>
      <w:r w:rsidRPr="00CE4A8C">
        <w:rPr>
          <w:lang w:val="fr-FR"/>
        </w:rPr>
        <w:fldChar w:fldCharType="end"/>
      </w:r>
      <w:r w:rsidRPr="00CE4A8C">
        <w:rPr>
          <w:lang w:val="fr-FR"/>
        </w:rPr>
        <w:t>.  Le Gouvernement dit en outre que la plupart des requérants habitent dans des municipalités autres que celle directement touchée par la pollution environnementale, à savoir la ville de Tarente.</w:t>
      </w:r>
    </w:p>
    <w:p w:rsidR="0059426D" w:rsidRPr="00CE4A8C" w:rsidRDefault="0059426D" w:rsidP="00CE4A8C">
      <w:pPr>
        <w:pStyle w:val="ECHRHeading4"/>
        <w:rPr>
          <w:lang w:val="fr-FR"/>
        </w:rPr>
      </w:pPr>
      <w:r w:rsidRPr="00CE4A8C">
        <w:rPr>
          <w:lang w:val="fr-FR"/>
        </w:rPr>
        <w:t>b)</w:t>
      </w:r>
      <w:r w:rsidR="00C54644" w:rsidRPr="00CE4A8C">
        <w:rPr>
          <w:lang w:val="fr-FR"/>
        </w:rPr>
        <w:t>  </w:t>
      </w:r>
      <w:r w:rsidRPr="00CE4A8C">
        <w:rPr>
          <w:lang w:val="fr-FR"/>
        </w:rPr>
        <w:t>La thèse des requérants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99</w:t>
      </w:r>
      <w:r w:rsidRPr="00CE4A8C">
        <w:rPr>
          <w:lang w:val="fr-FR"/>
        </w:rPr>
        <w:fldChar w:fldCharType="end"/>
      </w:r>
      <w:r w:rsidRPr="00CE4A8C">
        <w:rPr>
          <w:lang w:val="fr-FR"/>
        </w:rPr>
        <w:t>.  Les requérants répliquent qu</w:t>
      </w:r>
      <w:r w:rsidR="00CE4A8C" w:rsidRPr="00CE4A8C">
        <w:rPr>
          <w:lang w:val="fr-FR"/>
        </w:rPr>
        <w:t>’</w:t>
      </w:r>
      <w:r w:rsidRPr="00CE4A8C">
        <w:rPr>
          <w:lang w:val="fr-FR"/>
        </w:rPr>
        <w:t>ils résident tous ou ont tous résidé dans la ville de Tarente ou dans des communes voisines, et que la pollution de ces villes par les émissions nocives de l</w:t>
      </w:r>
      <w:r w:rsidR="00CE4A8C" w:rsidRPr="00CE4A8C">
        <w:rPr>
          <w:lang w:val="fr-FR"/>
        </w:rPr>
        <w:t>’</w:t>
      </w:r>
      <w:r w:rsidRPr="00CE4A8C">
        <w:rPr>
          <w:lang w:val="fr-FR"/>
        </w:rPr>
        <w:t>usine Ilva est une certitude reconnue par les autorités publiques. En outre, certains d</w:t>
      </w:r>
      <w:r w:rsidR="00CE4A8C" w:rsidRPr="00CE4A8C">
        <w:rPr>
          <w:lang w:val="fr-FR"/>
        </w:rPr>
        <w:t>’</w:t>
      </w:r>
      <w:r w:rsidRPr="00CE4A8C">
        <w:rPr>
          <w:lang w:val="fr-FR"/>
        </w:rPr>
        <w:t>entre eux ont produit des certificats médicaux attestant les maladies contractées par eux</w:t>
      </w:r>
      <w:r w:rsidRPr="00CE4A8C">
        <w:rPr>
          <w:lang w:val="fr-FR"/>
        </w:rPr>
        <w:noBreakHyphen/>
        <w:t>mêmes ou par leurs proches.</w:t>
      </w:r>
    </w:p>
    <w:p w:rsidR="0059426D" w:rsidRPr="00CE4A8C" w:rsidRDefault="00C54644" w:rsidP="00CE4A8C">
      <w:pPr>
        <w:pStyle w:val="ECHRHeading4"/>
        <w:rPr>
          <w:lang w:val="fr-FR"/>
        </w:rPr>
      </w:pPr>
      <w:r w:rsidRPr="00CE4A8C">
        <w:rPr>
          <w:lang w:val="fr-FR"/>
        </w:rPr>
        <w:t>c)  </w:t>
      </w:r>
      <w:r w:rsidR="0059426D" w:rsidRPr="00CE4A8C">
        <w:rPr>
          <w:lang w:val="fr-FR"/>
        </w:rPr>
        <w:t>L</w:t>
      </w:r>
      <w:r w:rsidR="00CE4A8C" w:rsidRPr="00CE4A8C">
        <w:rPr>
          <w:lang w:val="fr-FR"/>
        </w:rPr>
        <w:t>’</w:t>
      </w:r>
      <w:r w:rsidR="0059426D" w:rsidRPr="00CE4A8C">
        <w:rPr>
          <w:lang w:val="fr-FR"/>
        </w:rPr>
        <w:t>appréciation de la Cour</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100</w:t>
      </w:r>
      <w:r w:rsidRPr="00CE4A8C">
        <w:rPr>
          <w:lang w:val="fr-FR"/>
        </w:rPr>
        <w:fldChar w:fldCharType="end"/>
      </w:r>
      <w:r w:rsidRPr="00CE4A8C">
        <w:rPr>
          <w:lang w:val="fr-FR"/>
        </w:rPr>
        <w:t>.  La Cour rappelle que le mécanisme de contrôle de la Convention ne saurait admettre l</w:t>
      </w:r>
      <w:r w:rsidR="00CE4A8C" w:rsidRPr="00CE4A8C">
        <w:rPr>
          <w:lang w:val="fr-FR"/>
        </w:rPr>
        <w:t>’</w:t>
      </w:r>
      <w:r w:rsidRPr="00CE4A8C">
        <w:rPr>
          <w:i/>
          <w:iCs/>
          <w:lang w:val="fr-FR"/>
        </w:rPr>
        <w:t>actio popularis</w:t>
      </w:r>
      <w:r w:rsidRPr="00CE4A8C">
        <w:rPr>
          <w:lang w:val="fr-FR"/>
        </w:rPr>
        <w:t xml:space="preserve"> (</w:t>
      </w:r>
      <w:r w:rsidRPr="00CE4A8C">
        <w:rPr>
          <w:i/>
          <w:iCs/>
          <w:lang w:val="fr-FR"/>
        </w:rPr>
        <w:t xml:space="preserve">Perez c. France </w:t>
      </w:r>
      <w:r w:rsidRPr="00CE4A8C">
        <w:rPr>
          <w:lang w:val="fr-FR"/>
        </w:rPr>
        <w:t>[GC], n</w:t>
      </w:r>
      <w:r w:rsidRPr="00CE4A8C">
        <w:rPr>
          <w:vertAlign w:val="superscript"/>
          <w:lang w:val="fr-FR"/>
        </w:rPr>
        <w:t>o </w:t>
      </w:r>
      <w:r w:rsidRPr="00CE4A8C">
        <w:rPr>
          <w:lang w:val="fr-FR"/>
        </w:rPr>
        <w:t>47287/99, § 70, CEDH 2004-I, et</w:t>
      </w:r>
      <w:r w:rsidRPr="00CE4A8C">
        <w:rPr>
          <w:i/>
          <w:lang w:val="fr-FR"/>
        </w:rPr>
        <w:t xml:space="preserve"> Di Sarno et autres c. Italie</w:t>
      </w:r>
      <w:r w:rsidRPr="00CE4A8C">
        <w:rPr>
          <w:lang w:val="fr-FR"/>
        </w:rPr>
        <w:t>, n</w:t>
      </w:r>
      <w:r w:rsidRPr="00CE4A8C">
        <w:rPr>
          <w:vertAlign w:val="superscript"/>
          <w:lang w:val="fr-FR"/>
        </w:rPr>
        <w:t>o</w:t>
      </w:r>
      <w:r w:rsidRPr="00CE4A8C">
        <w:rPr>
          <w:lang w:val="fr-FR"/>
        </w:rPr>
        <w:t xml:space="preserve"> 30765/08, § 80, 10 janvier 2012). Par ailleurs, ni l</w:t>
      </w:r>
      <w:r w:rsidR="00CE4A8C" w:rsidRPr="00CE4A8C">
        <w:rPr>
          <w:lang w:val="fr-FR"/>
        </w:rPr>
        <w:t>’</w:t>
      </w:r>
      <w:r w:rsidRPr="00CE4A8C">
        <w:rPr>
          <w:lang w:val="fr-FR"/>
        </w:rPr>
        <w:t>article 8 ni aucune autre disposition de la Convention ne garantissent spécifiquement une protection générale de l</w:t>
      </w:r>
      <w:r w:rsidR="00CE4A8C" w:rsidRPr="00CE4A8C">
        <w:rPr>
          <w:lang w:val="fr-FR"/>
        </w:rPr>
        <w:t>’</w:t>
      </w:r>
      <w:r w:rsidRPr="00CE4A8C">
        <w:rPr>
          <w:lang w:val="fr-FR"/>
        </w:rPr>
        <w:t>environnement en tant que tel (</w:t>
      </w:r>
      <w:r w:rsidRPr="00CE4A8C">
        <w:rPr>
          <w:i/>
          <w:lang w:val="fr-FR"/>
        </w:rPr>
        <w:t>Kyrtatos c. Grèce</w:t>
      </w:r>
      <w:r w:rsidRPr="00CE4A8C">
        <w:rPr>
          <w:lang w:val="fr-FR"/>
        </w:rPr>
        <w:t>,</w:t>
      </w:r>
      <w:r w:rsidRPr="00CE4A8C">
        <w:rPr>
          <w:i/>
          <w:lang w:val="fr-FR"/>
        </w:rPr>
        <w:t xml:space="preserve"> </w:t>
      </w:r>
      <w:r w:rsidRPr="00CE4A8C">
        <w:rPr>
          <w:lang w:val="fr-FR"/>
        </w:rPr>
        <w:t>n</w:t>
      </w:r>
      <w:r w:rsidRPr="00CE4A8C">
        <w:rPr>
          <w:vertAlign w:val="superscript"/>
          <w:lang w:val="fr-FR"/>
        </w:rPr>
        <w:t>o</w:t>
      </w:r>
      <w:r w:rsidRPr="00CE4A8C">
        <w:rPr>
          <w:lang w:val="fr-FR"/>
        </w:rPr>
        <w:t xml:space="preserve"> 41666/98, § 52, CEDH 2003</w:t>
      </w:r>
      <w:r w:rsidRPr="00CE4A8C">
        <w:rPr>
          <w:lang w:val="fr-FR"/>
        </w:rPr>
        <w:noBreakHyphen/>
        <w:t>VI (extraits)).</w:t>
      </w:r>
    </w:p>
    <w:p w:rsidR="0059426D"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101</w:t>
      </w:r>
      <w:r w:rsidRPr="00CE4A8C">
        <w:rPr>
          <w:lang w:val="fr-FR"/>
        </w:rPr>
        <w:fldChar w:fldCharType="end"/>
      </w:r>
      <w:r w:rsidRPr="00CE4A8C">
        <w:rPr>
          <w:lang w:val="fr-FR"/>
        </w:rPr>
        <w:t>.  Selon la jurisprudence de la Cour, l</w:t>
      </w:r>
      <w:r w:rsidR="00CE4A8C" w:rsidRPr="00CE4A8C">
        <w:rPr>
          <w:lang w:val="fr-FR"/>
        </w:rPr>
        <w:t>’</w:t>
      </w:r>
      <w:r w:rsidRPr="00CE4A8C">
        <w:rPr>
          <w:lang w:val="fr-FR"/>
        </w:rPr>
        <w:t>élément crucial qui permet de déterminer si, dans les circonstances d</w:t>
      </w:r>
      <w:r w:rsidR="00CE4A8C" w:rsidRPr="00CE4A8C">
        <w:rPr>
          <w:lang w:val="fr-FR"/>
        </w:rPr>
        <w:t>’</w:t>
      </w:r>
      <w:r w:rsidRPr="00CE4A8C">
        <w:rPr>
          <w:lang w:val="fr-FR"/>
        </w:rPr>
        <w:t>une affaire, des atteintes à l</w:t>
      </w:r>
      <w:r w:rsidR="00CE4A8C" w:rsidRPr="00CE4A8C">
        <w:rPr>
          <w:lang w:val="fr-FR"/>
        </w:rPr>
        <w:t>’</w:t>
      </w:r>
      <w:r w:rsidRPr="00CE4A8C">
        <w:rPr>
          <w:lang w:val="fr-FR"/>
        </w:rPr>
        <w:t>environnement ont emporté violation de l</w:t>
      </w:r>
      <w:r w:rsidR="00CE4A8C" w:rsidRPr="00CE4A8C">
        <w:rPr>
          <w:lang w:val="fr-FR"/>
        </w:rPr>
        <w:t>’</w:t>
      </w:r>
      <w:r w:rsidRPr="00CE4A8C">
        <w:rPr>
          <w:lang w:val="fr-FR"/>
        </w:rPr>
        <w:t>un des droits garantis par le paragraphe 1 de l</w:t>
      </w:r>
      <w:r w:rsidR="00CE4A8C" w:rsidRPr="00CE4A8C">
        <w:rPr>
          <w:lang w:val="fr-FR"/>
        </w:rPr>
        <w:t>’</w:t>
      </w:r>
      <w:r w:rsidRPr="00CE4A8C">
        <w:rPr>
          <w:lang w:val="fr-FR"/>
        </w:rPr>
        <w:t>article 8 est l</w:t>
      </w:r>
      <w:r w:rsidR="00CE4A8C" w:rsidRPr="00CE4A8C">
        <w:rPr>
          <w:lang w:val="fr-FR"/>
        </w:rPr>
        <w:t>’</w:t>
      </w:r>
      <w:r w:rsidRPr="00CE4A8C">
        <w:rPr>
          <w:lang w:val="fr-FR"/>
        </w:rPr>
        <w:t>existence d</w:t>
      </w:r>
      <w:r w:rsidR="00CE4A8C" w:rsidRPr="00CE4A8C">
        <w:rPr>
          <w:lang w:val="fr-FR"/>
        </w:rPr>
        <w:t>’</w:t>
      </w:r>
      <w:r w:rsidRPr="00CE4A8C">
        <w:rPr>
          <w:lang w:val="fr-FR"/>
        </w:rPr>
        <w:t>un effet néfaste sur la sphère privée ou familiale d</w:t>
      </w:r>
      <w:r w:rsidR="00CE4A8C" w:rsidRPr="00CE4A8C">
        <w:rPr>
          <w:lang w:val="fr-FR"/>
        </w:rPr>
        <w:t>’</w:t>
      </w:r>
      <w:r w:rsidRPr="00CE4A8C">
        <w:rPr>
          <w:lang w:val="fr-FR"/>
        </w:rPr>
        <w:t>une personne, et non simplement la dégradation générale de l</w:t>
      </w:r>
      <w:r w:rsidR="00CE4A8C" w:rsidRPr="00CE4A8C">
        <w:rPr>
          <w:lang w:val="fr-FR"/>
        </w:rPr>
        <w:t>’</w:t>
      </w:r>
      <w:r w:rsidRPr="00CE4A8C">
        <w:rPr>
          <w:lang w:val="fr-FR"/>
        </w:rPr>
        <w:t>environnement (</w:t>
      </w:r>
      <w:r w:rsidRPr="00CE4A8C">
        <w:rPr>
          <w:i/>
          <w:szCs w:val="24"/>
          <w:lang w:val="fr-FR"/>
        </w:rPr>
        <w:t>Fadeïeva c. Russie</w:t>
      </w:r>
      <w:r w:rsidRPr="00CE4A8C">
        <w:rPr>
          <w:szCs w:val="24"/>
          <w:lang w:val="fr-FR"/>
        </w:rPr>
        <w:t>, n</w:t>
      </w:r>
      <w:r w:rsidRPr="00CE4A8C">
        <w:rPr>
          <w:szCs w:val="24"/>
          <w:vertAlign w:val="superscript"/>
          <w:lang w:val="fr-FR"/>
        </w:rPr>
        <w:t>o</w:t>
      </w:r>
      <w:r w:rsidRPr="00CE4A8C">
        <w:rPr>
          <w:szCs w:val="24"/>
          <w:lang w:val="fr-FR"/>
        </w:rPr>
        <w:t xml:space="preserve"> 55723/00, § 88, CEDH 2005</w:t>
      </w:r>
      <w:r w:rsidRPr="00CE4A8C">
        <w:rPr>
          <w:szCs w:val="24"/>
          <w:lang w:val="fr-FR"/>
        </w:rPr>
        <w:noBreakHyphen/>
        <w:t>IV</w:t>
      </w:r>
      <w:r w:rsidRPr="00CE4A8C">
        <w:rPr>
          <w:lang w:val="fr-FR"/>
        </w:rPr>
        <w: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102</w:t>
      </w:r>
      <w:r w:rsidRPr="00CE4A8C">
        <w:rPr>
          <w:lang w:val="fr-FR"/>
        </w:rPr>
        <w:fldChar w:fldCharType="end"/>
      </w:r>
      <w:r w:rsidRPr="00CE4A8C">
        <w:rPr>
          <w:lang w:val="fr-FR"/>
        </w:rPr>
        <w:t>.  Dans la présente espèce, la Cour relève que les requérants dénoncent le préjudice découlant des émissions nocives de l</w:t>
      </w:r>
      <w:r w:rsidR="00CE4A8C" w:rsidRPr="00CE4A8C">
        <w:rPr>
          <w:lang w:val="fr-FR"/>
        </w:rPr>
        <w:t>’</w:t>
      </w:r>
      <w:r w:rsidRPr="00CE4A8C">
        <w:rPr>
          <w:lang w:val="fr-FR"/>
        </w:rPr>
        <w:t>usine Ilva de Tarente. Les communes touchées par ces émissions ont été identifiées par une délibération du Conseil des ministres du 30 novembre 1990 : il s</w:t>
      </w:r>
      <w:r w:rsidR="00CE4A8C" w:rsidRPr="00CE4A8C">
        <w:rPr>
          <w:lang w:val="fr-FR"/>
        </w:rPr>
        <w:t>’</w:t>
      </w:r>
      <w:r w:rsidRPr="00CE4A8C">
        <w:rPr>
          <w:lang w:val="fr-FR"/>
        </w:rPr>
        <w:t>agit des villes de Tarente, Crispiano, Massafra, Montemesola et Statte, qui ont été classifiées « à haut risque environnemental ». De plus, les communes de Tarente et Statte ont été incluses parmi les SIN par un décret du ministère de l</w:t>
      </w:r>
      <w:r w:rsidR="00CE4A8C" w:rsidRPr="00CE4A8C">
        <w:rPr>
          <w:lang w:val="fr-FR"/>
        </w:rPr>
        <w:t>’</w:t>
      </w:r>
      <w:r w:rsidRPr="00CE4A8C">
        <w:rPr>
          <w:lang w:val="fr-FR"/>
        </w:rPr>
        <w:t xml:space="preserve">Environnement du 10 janvier 2000 (paragraphe </w:t>
      </w:r>
      <w:r w:rsidRPr="00CE4A8C">
        <w:rPr>
          <w:lang w:val="fr-FR"/>
        </w:rPr>
        <w:fldChar w:fldCharType="begin"/>
      </w:r>
      <w:r w:rsidRPr="00CE4A8C">
        <w:rPr>
          <w:lang w:val="fr-FR"/>
        </w:rPr>
        <w:instrText xml:space="preserve"> REF SIN \h  \* MERGEFORMAT </w:instrText>
      </w:r>
      <w:r w:rsidRPr="00CE4A8C">
        <w:rPr>
          <w:lang w:val="fr-FR"/>
        </w:rPr>
      </w:r>
      <w:r w:rsidRPr="00CE4A8C">
        <w:rPr>
          <w:lang w:val="fr-FR"/>
        </w:rPr>
        <w:fldChar w:fldCharType="separate"/>
      </w:r>
      <w:r w:rsidR="00CE4A8C" w:rsidRPr="00CE4A8C">
        <w:rPr>
          <w:noProof/>
          <w:lang w:val="fr-FR"/>
        </w:rPr>
        <w:t>34</w:t>
      </w:r>
      <w:r w:rsidRPr="00CE4A8C">
        <w:rPr>
          <w:lang w:val="fr-FR"/>
        </w:rPr>
        <w:fldChar w:fldCharType="end"/>
      </w:r>
      <w:r w:rsidRPr="00CE4A8C">
        <w:rPr>
          <w:lang w:val="fr-FR"/>
        </w:rPr>
        <w:t xml:space="preserve"> ci-dessus).</w:t>
      </w:r>
    </w:p>
    <w:bookmarkStart w:id="24" w:name="IRR"/>
    <w:bookmarkStart w:id="25" w:name="résidence"/>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103</w:t>
      </w:r>
      <w:r w:rsidRPr="00CE4A8C">
        <w:rPr>
          <w:lang w:val="fr-FR"/>
        </w:rPr>
        <w:fldChar w:fldCharType="end"/>
      </w:r>
      <w:bookmarkEnd w:id="24"/>
      <w:bookmarkEnd w:id="25"/>
      <w:r w:rsidRPr="00CE4A8C">
        <w:rPr>
          <w:lang w:val="fr-FR"/>
        </w:rPr>
        <w:t>.  La zone directement touchée par les nuisances de la société Ilva ayant ainsi été définie par des mesures internes, la Cour constate que dix</w:t>
      </w:r>
      <w:r w:rsidRPr="00CE4A8C">
        <w:rPr>
          <w:lang w:val="fr-FR"/>
        </w:rPr>
        <w:noBreakHyphen/>
        <w:t>neuf requérants résident dans des communes autres que Tarente, Crispiano, Massafra, Montemesola et Statte</w:t>
      </w:r>
      <w:r w:rsidRPr="00CE4A8C">
        <w:rPr>
          <w:rStyle w:val="Rimandonotaapidipagina"/>
          <w:lang w:val="fr-FR"/>
        </w:rPr>
        <w:footnoteReference w:id="9"/>
      </w:r>
      <w:r w:rsidRPr="00CE4A8C">
        <w:rPr>
          <w:lang w:val="fr-FR"/>
        </w:rPr>
        <w:t xml:space="preserve"> et que ces requérants n</w:t>
      </w:r>
      <w:r w:rsidR="00CE4A8C" w:rsidRPr="00CE4A8C">
        <w:rPr>
          <w:lang w:val="fr-FR"/>
        </w:rPr>
        <w:t>’</w:t>
      </w:r>
      <w:r w:rsidRPr="00CE4A8C">
        <w:rPr>
          <w:lang w:val="fr-FR"/>
        </w:rPr>
        <w:t>ont pas présenté d</w:t>
      </w:r>
      <w:r w:rsidR="00CE4A8C" w:rsidRPr="00CE4A8C">
        <w:rPr>
          <w:lang w:val="fr-FR"/>
        </w:rPr>
        <w:t>’</w:t>
      </w:r>
      <w:r w:rsidRPr="00CE4A8C">
        <w:rPr>
          <w:lang w:val="fr-FR"/>
        </w:rPr>
        <w:t>éléments de nature à mettre en question l</w:t>
      </w:r>
      <w:r w:rsidR="00CE4A8C" w:rsidRPr="00CE4A8C">
        <w:rPr>
          <w:lang w:val="fr-FR"/>
        </w:rPr>
        <w:t>’</w:t>
      </w:r>
      <w:r w:rsidRPr="00CE4A8C">
        <w:rPr>
          <w:lang w:val="fr-FR"/>
        </w:rPr>
        <w:t>étendue de cette zone.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104</w:t>
      </w:r>
      <w:r w:rsidRPr="00CE4A8C">
        <w:rPr>
          <w:lang w:val="fr-FR"/>
        </w:rPr>
        <w:fldChar w:fldCharType="end"/>
      </w:r>
      <w:r w:rsidRPr="00CE4A8C">
        <w:rPr>
          <w:lang w:val="fr-FR"/>
        </w:rPr>
        <w:t>.  S</w:t>
      </w:r>
      <w:r w:rsidR="00CE4A8C" w:rsidRPr="00CE4A8C">
        <w:rPr>
          <w:lang w:val="fr-FR"/>
        </w:rPr>
        <w:t>’</w:t>
      </w:r>
      <w:r w:rsidRPr="00CE4A8C">
        <w:rPr>
          <w:lang w:val="fr-FR"/>
        </w:rPr>
        <w:t>agissant des autres requérants, la Cour rappelle que la pollution dans un secteur déterminé devient potentiellement dangereuse pour la santé et le bien-être de ceux qui y sont exposés. Il s</w:t>
      </w:r>
      <w:r w:rsidR="00CE4A8C" w:rsidRPr="00CE4A8C">
        <w:rPr>
          <w:lang w:val="fr-FR"/>
        </w:rPr>
        <w:t>’</w:t>
      </w:r>
      <w:r w:rsidRPr="00CE4A8C">
        <w:rPr>
          <w:lang w:val="fr-FR"/>
        </w:rPr>
        <w:t>agit en tout cas d</w:t>
      </w:r>
      <w:r w:rsidR="00CE4A8C" w:rsidRPr="00CE4A8C">
        <w:rPr>
          <w:lang w:val="fr-FR"/>
        </w:rPr>
        <w:t>’</w:t>
      </w:r>
      <w:r w:rsidRPr="00CE4A8C">
        <w:rPr>
          <w:lang w:val="fr-FR"/>
        </w:rPr>
        <w:t>une présomption, qui peut ne pas se vérifier dans un cas déterminé.</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105</w:t>
      </w:r>
      <w:r w:rsidRPr="00CE4A8C">
        <w:rPr>
          <w:lang w:val="fr-FR"/>
        </w:rPr>
        <w:fldChar w:fldCharType="end"/>
      </w:r>
      <w:r w:rsidRPr="00CE4A8C">
        <w:rPr>
          <w:lang w:val="fr-FR"/>
        </w:rPr>
        <w:t>.  Il n</w:t>
      </w:r>
      <w:r w:rsidR="00CE4A8C" w:rsidRPr="00CE4A8C">
        <w:rPr>
          <w:lang w:val="fr-FR"/>
        </w:rPr>
        <w:t>’</w:t>
      </w:r>
      <w:r w:rsidRPr="00CE4A8C">
        <w:rPr>
          <w:lang w:val="fr-FR"/>
        </w:rPr>
        <w:t>en reste pas moins que, en l</w:t>
      </w:r>
      <w:r w:rsidR="00CE4A8C" w:rsidRPr="00CE4A8C">
        <w:rPr>
          <w:lang w:val="fr-FR"/>
        </w:rPr>
        <w:t>’</w:t>
      </w:r>
      <w:r w:rsidRPr="00CE4A8C">
        <w:rPr>
          <w:lang w:val="fr-FR"/>
        </w:rPr>
        <w:t>espèce, il ressort des éléments de preuve dont la Cour dispose que la pollution a rendu inévitablement les personnes qui y étaient exposées plus vulnérables à diverses maladies.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106</w:t>
      </w:r>
      <w:r w:rsidRPr="00CE4A8C">
        <w:rPr>
          <w:lang w:val="fr-FR"/>
        </w:rPr>
        <w:fldChar w:fldCharType="end"/>
      </w:r>
      <w:r w:rsidRPr="00CE4A8C">
        <w:rPr>
          <w:lang w:val="fr-FR"/>
        </w:rPr>
        <w:t xml:space="preserve">.  Les nombreux rapports et études scientifiques dont la Cour dispose (voir notamment le rapport SENTIERI, paragraphes </w:t>
      </w:r>
      <w:r w:rsidRPr="00CE4A8C">
        <w:rPr>
          <w:lang w:val="fr-FR"/>
        </w:rPr>
        <w:fldChar w:fldCharType="begin"/>
      </w:r>
      <w:r w:rsidRPr="00CE4A8C">
        <w:rPr>
          <w:lang w:val="fr-FR"/>
        </w:rPr>
        <w:instrText xml:space="preserve"> REF SENTIERI \h  \* MERGEFORMAT </w:instrText>
      </w:r>
      <w:r w:rsidRPr="00CE4A8C">
        <w:rPr>
          <w:lang w:val="fr-FR"/>
        </w:rPr>
      </w:r>
      <w:r w:rsidRPr="00CE4A8C">
        <w:rPr>
          <w:lang w:val="fr-FR"/>
        </w:rPr>
        <w:fldChar w:fldCharType="separate"/>
      </w:r>
      <w:r w:rsidR="00CE4A8C" w:rsidRPr="00CE4A8C">
        <w:rPr>
          <w:noProof/>
          <w:lang w:val="fr-FR"/>
        </w:rPr>
        <w:t>20</w:t>
      </w:r>
      <w:r w:rsidRPr="00CE4A8C">
        <w:rPr>
          <w:lang w:val="fr-FR"/>
        </w:rPr>
        <w:fldChar w:fldCharType="end"/>
      </w:r>
      <w:r w:rsidRPr="00CE4A8C">
        <w:rPr>
          <w:lang w:val="fr-FR"/>
        </w:rPr>
        <w:t xml:space="preserve"> et suivants ci-dessus) attestent en effet l</w:t>
      </w:r>
      <w:r w:rsidR="00CE4A8C" w:rsidRPr="00CE4A8C">
        <w:rPr>
          <w:lang w:val="fr-FR"/>
        </w:rPr>
        <w:t>’</w:t>
      </w:r>
      <w:r w:rsidRPr="00CE4A8C">
        <w:rPr>
          <w:lang w:val="fr-FR"/>
        </w:rPr>
        <w:t>existence d</w:t>
      </w:r>
      <w:r w:rsidR="00CE4A8C" w:rsidRPr="00CE4A8C">
        <w:rPr>
          <w:lang w:val="fr-FR"/>
        </w:rPr>
        <w:t>’</w:t>
      </w:r>
      <w:r w:rsidRPr="00CE4A8C">
        <w:rPr>
          <w:lang w:val="fr-FR"/>
        </w:rPr>
        <w:t>un lien de causalité entre l</w:t>
      </w:r>
      <w:r w:rsidR="00CE4A8C" w:rsidRPr="00CE4A8C">
        <w:rPr>
          <w:lang w:val="fr-FR"/>
        </w:rPr>
        <w:t>’</w:t>
      </w:r>
      <w:r w:rsidRPr="00CE4A8C">
        <w:rPr>
          <w:lang w:val="fr-FR"/>
        </w:rPr>
        <w:t>activité productive de la société Ilva de Tarente et la compromission de la situation sanitaire, notamment dans les communes susmentionnées. Pour l</w:t>
      </w:r>
      <w:r w:rsidR="00CE4A8C" w:rsidRPr="00CE4A8C">
        <w:rPr>
          <w:lang w:val="fr-FR"/>
        </w:rPr>
        <w:t>’</w:t>
      </w:r>
      <w:r w:rsidRPr="00CE4A8C">
        <w:rPr>
          <w:lang w:val="fr-FR"/>
        </w:rPr>
        <w:t>étude la plus récente en cette matière, la Cour se réfère aussi au rapport de l</w:t>
      </w:r>
      <w:r w:rsidR="00CE4A8C" w:rsidRPr="00CE4A8C">
        <w:rPr>
          <w:lang w:val="fr-FR"/>
        </w:rPr>
        <w:t>’</w:t>
      </w:r>
      <w:r w:rsidRPr="00CE4A8C">
        <w:rPr>
          <w:lang w:val="fr-FR"/>
        </w:rPr>
        <w:t>ARPA de 2017, réitérant le constat du lien de causalité mentionné ci-dessus et attestant la permanence d</w:t>
      </w:r>
      <w:r w:rsidR="00CE4A8C" w:rsidRPr="00CE4A8C">
        <w:rPr>
          <w:lang w:val="fr-FR"/>
        </w:rPr>
        <w:t>’</w:t>
      </w:r>
      <w:r w:rsidRPr="00CE4A8C">
        <w:rPr>
          <w:lang w:val="fr-FR"/>
        </w:rPr>
        <w:t>un état de criticité sanitaire dans la zone « à haut risque environnemental » et dans le SIN de Tarente, où le taux de mortalité et d</w:t>
      </w:r>
      <w:r w:rsidR="00CE4A8C" w:rsidRPr="00CE4A8C">
        <w:rPr>
          <w:lang w:val="fr-FR"/>
        </w:rPr>
        <w:t>’</w:t>
      </w:r>
      <w:r w:rsidRPr="00CE4A8C">
        <w:rPr>
          <w:lang w:val="fr-FR"/>
        </w:rPr>
        <w:t xml:space="preserve">hospitalisation pour certaines pathologies oncologiques, cardiovasculaires, respiratoires et digestives était supérieur par rapport à la moyenne régionale (paragraphe </w:t>
      </w:r>
      <w:r w:rsidRPr="00CE4A8C">
        <w:rPr>
          <w:lang w:val="fr-FR"/>
        </w:rPr>
        <w:fldChar w:fldCharType="begin"/>
      </w:r>
      <w:r w:rsidRPr="00CE4A8C">
        <w:rPr>
          <w:lang w:val="fr-FR"/>
        </w:rPr>
        <w:instrText xml:space="preserve"> REF ARPA_2017 \h  \* MERGEFORMAT </w:instrText>
      </w:r>
      <w:r w:rsidRPr="00CE4A8C">
        <w:rPr>
          <w:lang w:val="fr-FR"/>
        </w:rPr>
      </w:r>
      <w:r w:rsidRPr="00CE4A8C">
        <w:rPr>
          <w:lang w:val="fr-FR"/>
        </w:rPr>
        <w:fldChar w:fldCharType="separate"/>
      </w:r>
      <w:r w:rsidR="00CE4A8C" w:rsidRPr="00CE4A8C">
        <w:rPr>
          <w:noProof/>
          <w:lang w:val="fr-FR"/>
        </w:rPr>
        <w:t>29</w:t>
      </w:r>
      <w:r w:rsidRPr="00CE4A8C">
        <w:rPr>
          <w:lang w:val="fr-FR"/>
        </w:rPr>
        <w:fldChar w:fldCharType="end"/>
      </w:r>
      <w:r w:rsidRPr="00CE4A8C">
        <w:rPr>
          <w:lang w:val="fr-FR"/>
        </w:rPr>
        <w:t xml:space="preserve"> ci-dessus).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107</w:t>
      </w:r>
      <w:r w:rsidRPr="00CE4A8C">
        <w:rPr>
          <w:lang w:val="fr-FR"/>
        </w:rPr>
        <w:fldChar w:fldCharType="end"/>
      </w:r>
      <w:r w:rsidRPr="00CE4A8C">
        <w:rPr>
          <w:lang w:val="fr-FR"/>
        </w:rPr>
        <w:t>.  Cette pollution a ainsi indubitablement eu des conséquences néfastes sur le bien</w:t>
      </w:r>
      <w:r w:rsidRPr="00CE4A8C">
        <w:rPr>
          <w:lang w:val="fr-FR"/>
        </w:rPr>
        <w:noBreakHyphen/>
        <w:t xml:space="preserve">être des requérants concernés (voir, </w:t>
      </w:r>
      <w:r w:rsidRPr="00CE4A8C">
        <w:rPr>
          <w:i/>
          <w:lang w:val="fr-FR"/>
        </w:rPr>
        <w:t>a contrario</w:t>
      </w:r>
      <w:r w:rsidRPr="00CE4A8C">
        <w:rPr>
          <w:lang w:val="fr-FR"/>
        </w:rPr>
        <w:t xml:space="preserve">, </w:t>
      </w:r>
      <w:r w:rsidRPr="00CE4A8C">
        <w:rPr>
          <w:i/>
          <w:lang w:val="fr-FR"/>
        </w:rPr>
        <w:lastRenderedPageBreak/>
        <w:t>Kyrtatos</w:t>
      </w:r>
      <w:r w:rsidRPr="00CE4A8C">
        <w:rPr>
          <w:lang w:val="fr-FR"/>
        </w:rPr>
        <w:t xml:space="preserve">, précité, § 53, et voir, </w:t>
      </w:r>
      <w:r w:rsidRPr="00CE4A8C">
        <w:rPr>
          <w:i/>
          <w:lang w:val="fr-FR"/>
        </w:rPr>
        <w:t>mutatis mutandis</w:t>
      </w:r>
      <w:r w:rsidRPr="00CE4A8C">
        <w:rPr>
          <w:lang w:val="fr-FR"/>
        </w:rPr>
        <w:t xml:space="preserve">, </w:t>
      </w:r>
      <w:r w:rsidRPr="00CE4A8C">
        <w:rPr>
          <w:i/>
          <w:szCs w:val="24"/>
          <w:lang w:val="fr-FR"/>
        </w:rPr>
        <w:t>Fadeïeva</w:t>
      </w:r>
      <w:r w:rsidRPr="00CE4A8C">
        <w:rPr>
          <w:szCs w:val="24"/>
          <w:lang w:val="fr-FR"/>
        </w:rPr>
        <w:t>, précité,</w:t>
      </w:r>
      <w:r w:rsidR="00DE67CB" w:rsidRPr="00CE4A8C">
        <w:rPr>
          <w:lang w:val="fr-FR"/>
        </w:rPr>
        <w:t xml:space="preserve"> §§ 87</w:t>
      </w:r>
      <w:r w:rsidR="00DE67CB" w:rsidRPr="00CE4A8C">
        <w:rPr>
          <w:lang w:val="fr-FR"/>
        </w:rPr>
        <w:noBreakHyphen/>
      </w:r>
      <w:r w:rsidRPr="00CE4A8C">
        <w:rPr>
          <w:lang w:val="fr-FR"/>
        </w:rPr>
        <w:t xml:space="preserve">88 et </w:t>
      </w:r>
      <w:r w:rsidRPr="00CE4A8C">
        <w:rPr>
          <w:i/>
          <w:lang w:val="fr-FR"/>
        </w:rPr>
        <w:t>Di Sarno</w:t>
      </w:r>
      <w:r w:rsidRPr="00CE4A8C">
        <w:rPr>
          <w:lang w:val="fr-FR"/>
        </w:rPr>
        <w:t>, précité, § 81).</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108</w:t>
      </w:r>
      <w:r w:rsidRPr="00CE4A8C">
        <w:rPr>
          <w:lang w:val="fr-FR"/>
        </w:rPr>
        <w:fldChar w:fldCharType="end"/>
      </w:r>
      <w:r w:rsidRPr="00CE4A8C">
        <w:rPr>
          <w:lang w:val="fr-FR"/>
        </w:rPr>
        <w:t xml:space="preserve">.  En revanche, les requérants mentionnés au paragraphe </w:t>
      </w:r>
      <w:r w:rsidRPr="00CE4A8C">
        <w:rPr>
          <w:lang w:val="fr-FR"/>
        </w:rPr>
        <w:fldChar w:fldCharType="begin"/>
      </w:r>
      <w:r w:rsidRPr="00CE4A8C">
        <w:rPr>
          <w:lang w:val="fr-FR"/>
        </w:rPr>
        <w:instrText xml:space="preserve"> REF résidence \h  \* MERGEFORMAT </w:instrText>
      </w:r>
      <w:r w:rsidRPr="00CE4A8C">
        <w:rPr>
          <w:lang w:val="fr-FR"/>
        </w:rPr>
      </w:r>
      <w:r w:rsidRPr="00CE4A8C">
        <w:rPr>
          <w:lang w:val="fr-FR"/>
        </w:rPr>
        <w:fldChar w:fldCharType="separate"/>
      </w:r>
      <w:r w:rsidR="00CE4A8C" w:rsidRPr="00CE4A8C">
        <w:rPr>
          <w:noProof/>
          <w:lang w:val="fr-FR"/>
        </w:rPr>
        <w:t>103</w:t>
      </w:r>
      <w:r w:rsidRPr="00CE4A8C">
        <w:rPr>
          <w:lang w:val="fr-FR"/>
        </w:rPr>
        <w:fldChar w:fldCharType="end"/>
      </w:r>
      <w:r w:rsidR="00DE67CB" w:rsidRPr="00CE4A8C">
        <w:rPr>
          <w:lang w:val="fr-FR"/>
        </w:rPr>
        <w:t xml:space="preserve"> ci</w:t>
      </w:r>
      <w:r w:rsidR="00DE67CB" w:rsidRPr="00CE4A8C">
        <w:rPr>
          <w:lang w:val="fr-FR"/>
        </w:rPr>
        <w:noBreakHyphen/>
      </w:r>
      <w:r w:rsidRPr="00CE4A8C">
        <w:rPr>
          <w:lang w:val="fr-FR"/>
        </w:rPr>
        <w:t>dessus n</w:t>
      </w:r>
      <w:r w:rsidR="00CE4A8C" w:rsidRPr="00CE4A8C">
        <w:rPr>
          <w:lang w:val="fr-FR"/>
        </w:rPr>
        <w:t>’</w:t>
      </w:r>
      <w:r w:rsidRPr="00CE4A8C">
        <w:rPr>
          <w:lang w:val="fr-FR"/>
        </w:rPr>
        <w:t>ont pas démontré avoir été personnellement affectés par la situation dénoncée. La Cour accepte donc l</w:t>
      </w:r>
      <w:r w:rsidR="00CE4A8C" w:rsidRPr="00CE4A8C">
        <w:rPr>
          <w:lang w:val="fr-FR"/>
        </w:rPr>
        <w:t>’</w:t>
      </w:r>
      <w:r w:rsidRPr="00CE4A8C">
        <w:rPr>
          <w:lang w:val="fr-FR"/>
        </w:rPr>
        <w:t>exception soulevée à cet égard par le Gouvernement pour autant que ces requérants sont concernés.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109</w:t>
      </w:r>
      <w:r w:rsidRPr="00CE4A8C">
        <w:rPr>
          <w:lang w:val="fr-FR"/>
        </w:rPr>
        <w:fldChar w:fldCharType="end"/>
      </w:r>
      <w:r w:rsidRPr="00CE4A8C">
        <w:rPr>
          <w:lang w:val="fr-FR"/>
        </w:rPr>
        <w:t>.  La Cour estime qu</w:t>
      </w:r>
      <w:r w:rsidR="00CE4A8C" w:rsidRPr="00CE4A8C">
        <w:rPr>
          <w:lang w:val="fr-FR"/>
        </w:rPr>
        <w:t>’</w:t>
      </w:r>
      <w:r w:rsidRPr="00CE4A8C">
        <w:rPr>
          <w:lang w:val="fr-FR"/>
        </w:rPr>
        <w:t>il y a lieu de rejeter l</w:t>
      </w:r>
      <w:r w:rsidR="00CE4A8C" w:rsidRPr="00CE4A8C">
        <w:rPr>
          <w:lang w:val="fr-FR"/>
        </w:rPr>
        <w:t>’</w:t>
      </w:r>
      <w:r w:rsidRPr="00CE4A8C">
        <w:rPr>
          <w:lang w:val="fr-FR"/>
        </w:rPr>
        <w:t>exception du gouvernement défendeur s</w:t>
      </w:r>
      <w:r w:rsidR="00CE4A8C" w:rsidRPr="00CE4A8C">
        <w:rPr>
          <w:lang w:val="fr-FR"/>
        </w:rPr>
        <w:t>’</w:t>
      </w:r>
      <w:r w:rsidRPr="00CE4A8C">
        <w:rPr>
          <w:lang w:val="fr-FR"/>
        </w:rPr>
        <w:t>agissant des autres requérants.</w:t>
      </w:r>
    </w:p>
    <w:p w:rsidR="0059426D" w:rsidRPr="00CE4A8C" w:rsidRDefault="0059426D" w:rsidP="00CE4A8C">
      <w:pPr>
        <w:pStyle w:val="ECHRHeading3"/>
        <w:rPr>
          <w:lang w:val="fr-FR"/>
        </w:rPr>
      </w:pPr>
      <w:r w:rsidRPr="00CE4A8C">
        <w:rPr>
          <w:lang w:val="fr-FR"/>
        </w:rPr>
        <w:t>2.  Sur le non-épuisement des voies de recours internes</w:t>
      </w:r>
    </w:p>
    <w:p w:rsidR="0059426D" w:rsidRPr="00CE4A8C" w:rsidRDefault="00C54644" w:rsidP="00CE4A8C">
      <w:pPr>
        <w:pStyle w:val="ECHRHeading4"/>
        <w:rPr>
          <w:lang w:val="fr-FR"/>
        </w:rPr>
      </w:pPr>
      <w:r w:rsidRPr="00CE4A8C">
        <w:rPr>
          <w:lang w:val="fr-FR"/>
        </w:rPr>
        <w:t>a)  </w:t>
      </w:r>
      <w:r w:rsidR="0059426D" w:rsidRPr="00CE4A8C">
        <w:rPr>
          <w:lang w:val="fr-FR"/>
        </w:rPr>
        <w:t>La thèse du Gouvernement</w:t>
      </w:r>
      <w:bookmarkStart w:id="26" w:name="NEX"/>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110</w:t>
      </w:r>
      <w:r w:rsidRPr="00CE4A8C">
        <w:rPr>
          <w:lang w:val="fr-FR"/>
        </w:rPr>
        <w:fldChar w:fldCharType="end"/>
      </w:r>
      <w:bookmarkEnd w:id="26"/>
      <w:r w:rsidRPr="00CE4A8C">
        <w:rPr>
          <w:lang w:val="fr-FR"/>
        </w:rPr>
        <w:t>.  Le Gouvernement estime que les requérants auraient pu porter plainte au pénal (entre autres, pour catastrophe écologique, sur le fondement de l</w:t>
      </w:r>
      <w:r w:rsidR="00CE4A8C" w:rsidRPr="00CE4A8C">
        <w:rPr>
          <w:lang w:val="fr-FR"/>
        </w:rPr>
        <w:t>’</w:t>
      </w:r>
      <w:r w:rsidRPr="00CE4A8C">
        <w:rPr>
          <w:lang w:val="fr-FR"/>
        </w:rPr>
        <w:t xml:space="preserve">article 452 </w:t>
      </w:r>
      <w:r w:rsidRPr="00CE4A8C">
        <w:rPr>
          <w:i/>
          <w:lang w:val="fr-FR"/>
        </w:rPr>
        <w:t>quater</w:t>
      </w:r>
      <w:r w:rsidRPr="00CE4A8C">
        <w:rPr>
          <w:lang w:val="fr-FR"/>
        </w:rPr>
        <w:t xml:space="preserve"> du code pénal) et se constituer ensuite parties civiles.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111</w:t>
      </w:r>
      <w:r w:rsidRPr="00CE4A8C">
        <w:rPr>
          <w:lang w:val="fr-FR"/>
        </w:rPr>
        <w:fldChar w:fldCharType="end"/>
      </w:r>
      <w:r w:rsidRPr="00CE4A8C">
        <w:rPr>
          <w:lang w:val="fr-FR"/>
        </w:rPr>
        <w:t>.  Il se réfère ensuite aux deux procédures pénales pendantes entamées à l</w:t>
      </w:r>
      <w:r w:rsidR="00CE4A8C" w:rsidRPr="00CE4A8C">
        <w:rPr>
          <w:lang w:val="fr-FR"/>
        </w:rPr>
        <w:t>’</w:t>
      </w:r>
      <w:r w:rsidRPr="00CE4A8C">
        <w:rPr>
          <w:lang w:val="fr-FR"/>
        </w:rPr>
        <w:t>encontre des dirigeants de la société Ilva pour dire que les questions soumises à l</w:t>
      </w:r>
      <w:r w:rsidR="00CE4A8C" w:rsidRPr="00CE4A8C">
        <w:rPr>
          <w:lang w:val="fr-FR"/>
        </w:rPr>
        <w:t>’</w:t>
      </w:r>
      <w:r w:rsidRPr="00CE4A8C">
        <w:rPr>
          <w:lang w:val="fr-FR"/>
        </w:rPr>
        <w:t>examen de la Cour font l</w:t>
      </w:r>
      <w:r w:rsidR="00CE4A8C" w:rsidRPr="00CE4A8C">
        <w:rPr>
          <w:lang w:val="fr-FR"/>
        </w:rPr>
        <w:t>’</w:t>
      </w:r>
      <w:r w:rsidRPr="00CE4A8C">
        <w:rPr>
          <w:lang w:val="fr-FR"/>
        </w:rPr>
        <w:t>objet de procédures nationales actuellement en cours. Il ajoute, s</w:t>
      </w:r>
      <w:r w:rsidR="00CE4A8C" w:rsidRPr="00CE4A8C">
        <w:rPr>
          <w:lang w:val="fr-FR"/>
        </w:rPr>
        <w:t>’</w:t>
      </w:r>
      <w:r w:rsidRPr="00CE4A8C">
        <w:rPr>
          <w:lang w:val="fr-FR"/>
        </w:rPr>
        <w:t>agissant de la première desdites procédures, que huit requérants se sont constitués parties civiles et qu</w:t>
      </w:r>
      <w:r w:rsidR="00CE4A8C" w:rsidRPr="00CE4A8C">
        <w:rPr>
          <w:lang w:val="fr-FR"/>
        </w:rPr>
        <w:t>’</w:t>
      </w:r>
      <w:r w:rsidRPr="00CE4A8C">
        <w:rPr>
          <w:lang w:val="fr-FR"/>
        </w:rPr>
        <w:t>il serait loisible aux autres d</w:t>
      </w:r>
      <w:r w:rsidR="00CE4A8C" w:rsidRPr="00CE4A8C">
        <w:rPr>
          <w:lang w:val="fr-FR"/>
        </w:rPr>
        <w:t>’</w:t>
      </w:r>
      <w:r w:rsidRPr="00CE4A8C">
        <w:rPr>
          <w:lang w:val="fr-FR"/>
        </w:rPr>
        <w:t>en faire autant.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112</w:t>
      </w:r>
      <w:r w:rsidRPr="00CE4A8C">
        <w:rPr>
          <w:lang w:val="fr-FR"/>
        </w:rPr>
        <w:fldChar w:fldCharType="end"/>
      </w:r>
      <w:r w:rsidRPr="00CE4A8C">
        <w:rPr>
          <w:lang w:val="fr-FR"/>
        </w:rPr>
        <w:t>.  Il considère en outre que les requérants avaient aussi la possibilité d</w:t>
      </w:r>
      <w:r w:rsidR="00CE4A8C" w:rsidRPr="00CE4A8C">
        <w:rPr>
          <w:lang w:val="fr-FR"/>
        </w:rPr>
        <w:t>’</w:t>
      </w:r>
      <w:r w:rsidRPr="00CE4A8C">
        <w:rPr>
          <w:lang w:val="fr-FR"/>
        </w:rPr>
        <w:t xml:space="preserve">engager diverses actions sur la base du code civil et des normes en matière environnementale (paragraphes </w:t>
      </w:r>
      <w:r w:rsidRPr="00CE4A8C">
        <w:rPr>
          <w:lang w:val="fr-FR"/>
        </w:rPr>
        <w:fldChar w:fldCharType="begin"/>
      </w:r>
      <w:r w:rsidRPr="00CE4A8C">
        <w:rPr>
          <w:lang w:val="fr-FR"/>
        </w:rPr>
        <w:instrText xml:space="preserve"> REF droit_interne \h  \* MERGEFORMAT </w:instrText>
      </w:r>
      <w:r w:rsidRPr="00CE4A8C">
        <w:rPr>
          <w:lang w:val="fr-FR"/>
        </w:rPr>
      </w:r>
      <w:r w:rsidRPr="00CE4A8C">
        <w:rPr>
          <w:lang w:val="fr-FR"/>
        </w:rPr>
        <w:fldChar w:fldCharType="separate"/>
      </w:r>
      <w:r w:rsidR="00CE4A8C" w:rsidRPr="00CE4A8C">
        <w:rPr>
          <w:noProof/>
          <w:lang w:val="fr-FR"/>
        </w:rPr>
        <w:t>87</w:t>
      </w:r>
      <w:r w:rsidRPr="00CE4A8C">
        <w:rPr>
          <w:lang w:val="fr-FR"/>
        </w:rPr>
        <w:fldChar w:fldCharType="end"/>
      </w:r>
      <w:r w:rsidRPr="00CE4A8C">
        <w:rPr>
          <w:lang w:val="fr-FR"/>
        </w:rPr>
        <w:t xml:space="preserve"> et suivants ci-dessus), en sus d</w:t>
      </w:r>
      <w:r w:rsidR="00CE4A8C" w:rsidRPr="00CE4A8C">
        <w:rPr>
          <w:lang w:val="fr-FR"/>
        </w:rPr>
        <w:t>’</w:t>
      </w:r>
      <w:r w:rsidRPr="00CE4A8C">
        <w:rPr>
          <w:lang w:val="fr-FR"/>
        </w:rPr>
        <w:t>une action en référé sur le fondement de l</w:t>
      </w:r>
      <w:r w:rsidR="00CE4A8C" w:rsidRPr="00CE4A8C">
        <w:rPr>
          <w:lang w:val="fr-FR"/>
        </w:rPr>
        <w:t>’</w:t>
      </w:r>
      <w:r w:rsidRPr="00CE4A8C">
        <w:rPr>
          <w:lang w:val="fr-FR"/>
        </w:rPr>
        <w:t>article 700 du code de procédure civile et d</w:t>
      </w:r>
      <w:r w:rsidR="00CE4A8C" w:rsidRPr="00CE4A8C">
        <w:rPr>
          <w:lang w:val="fr-FR"/>
        </w:rPr>
        <w:t>’</w:t>
      </w:r>
      <w:r w:rsidRPr="00CE4A8C">
        <w:rPr>
          <w:lang w:val="fr-FR"/>
        </w:rPr>
        <w:t>une action collective (</w:t>
      </w:r>
      <w:r w:rsidRPr="00CE4A8C">
        <w:rPr>
          <w:i/>
          <w:lang w:val="fr-FR"/>
        </w:rPr>
        <w:t>class action</w:t>
      </w:r>
      <w:r w:rsidRPr="00CE4A8C">
        <w:rPr>
          <w:lang w:val="fr-FR"/>
        </w:rPr>
        <w:t>) au sens de la</w:t>
      </w:r>
      <w:r w:rsidRPr="00CE4A8C">
        <w:rPr>
          <w:i/>
          <w:lang w:val="fr-FR"/>
        </w:rPr>
        <w:t xml:space="preserve"> </w:t>
      </w:r>
      <w:r w:rsidRPr="00CE4A8C">
        <w:rPr>
          <w:lang w:val="fr-FR"/>
        </w:rPr>
        <w:t>loi n</w:t>
      </w:r>
      <w:r w:rsidRPr="00CE4A8C">
        <w:rPr>
          <w:vertAlign w:val="superscript"/>
          <w:lang w:val="fr-FR"/>
        </w:rPr>
        <w:t>o</w:t>
      </w:r>
      <w:r w:rsidRPr="00CE4A8C">
        <w:rPr>
          <w:lang w:val="fr-FR"/>
        </w:rPr>
        <w:t> 15/2009.</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113</w:t>
      </w:r>
      <w:r w:rsidRPr="00CE4A8C">
        <w:rPr>
          <w:lang w:val="fr-FR"/>
        </w:rPr>
        <w:fldChar w:fldCharType="end"/>
      </w:r>
      <w:r w:rsidRPr="00CE4A8C">
        <w:rPr>
          <w:lang w:val="fr-FR"/>
        </w:rPr>
        <w:t>.  Enfin, il estime que les requérants pouvaient soulever une question de constitutionnalité dans le cadre d</w:t>
      </w:r>
      <w:r w:rsidR="00CE4A8C" w:rsidRPr="00CE4A8C">
        <w:rPr>
          <w:lang w:val="fr-FR"/>
        </w:rPr>
        <w:t>’</w:t>
      </w:r>
      <w:r w:rsidRPr="00CE4A8C">
        <w:rPr>
          <w:lang w:val="fr-FR"/>
        </w:rPr>
        <w:t>une procédure judiciaire.</w:t>
      </w:r>
    </w:p>
    <w:p w:rsidR="0059426D" w:rsidRPr="00CE4A8C" w:rsidRDefault="00C54644" w:rsidP="00CE4A8C">
      <w:pPr>
        <w:pStyle w:val="ECHRHeading4"/>
        <w:rPr>
          <w:lang w:val="fr-FR"/>
        </w:rPr>
      </w:pPr>
      <w:r w:rsidRPr="00CE4A8C">
        <w:rPr>
          <w:lang w:val="fr-FR"/>
        </w:rPr>
        <w:t>b)  </w:t>
      </w:r>
      <w:r w:rsidR="0059426D" w:rsidRPr="00CE4A8C">
        <w:rPr>
          <w:lang w:val="fr-FR"/>
        </w:rPr>
        <w:t>La thèse des requérants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114</w:t>
      </w:r>
      <w:r w:rsidRPr="00CE4A8C">
        <w:rPr>
          <w:lang w:val="fr-FR"/>
        </w:rPr>
        <w:fldChar w:fldCharType="end"/>
      </w:r>
      <w:r w:rsidRPr="00CE4A8C">
        <w:rPr>
          <w:lang w:val="fr-FR"/>
        </w:rPr>
        <w:t>.  Les requérants récusent l</w:t>
      </w:r>
      <w:r w:rsidR="00CE4A8C" w:rsidRPr="00CE4A8C">
        <w:rPr>
          <w:lang w:val="fr-FR"/>
        </w:rPr>
        <w:t>’</w:t>
      </w:r>
      <w:r w:rsidRPr="00CE4A8C">
        <w:rPr>
          <w:lang w:val="fr-FR"/>
        </w:rPr>
        <w:t>exception de non-épuisement des voies de recours internes, indiquant qu</w:t>
      </w:r>
      <w:r w:rsidR="00CE4A8C" w:rsidRPr="00CE4A8C">
        <w:rPr>
          <w:lang w:val="fr-FR"/>
        </w:rPr>
        <w:t>’</w:t>
      </w:r>
      <w:r w:rsidRPr="00CE4A8C">
        <w:rPr>
          <w:lang w:val="fr-FR"/>
        </w:rPr>
        <w:t>aucun des remèdes évoqués par le Gouvernement ne répond à leurs doléances. Ils précisent que celles-ci consistent non pas en la réclamation d</w:t>
      </w:r>
      <w:r w:rsidR="00CE4A8C" w:rsidRPr="00CE4A8C">
        <w:rPr>
          <w:lang w:val="fr-FR"/>
        </w:rPr>
        <w:t>’</w:t>
      </w:r>
      <w:r w:rsidRPr="00CE4A8C">
        <w:rPr>
          <w:lang w:val="fr-FR"/>
        </w:rPr>
        <w:t>une réparation financière, mais en la dénonciation d</w:t>
      </w:r>
      <w:r w:rsidR="00CE4A8C" w:rsidRPr="00CE4A8C">
        <w:rPr>
          <w:lang w:val="fr-FR"/>
        </w:rPr>
        <w:t>’</w:t>
      </w:r>
      <w:r w:rsidRPr="00CE4A8C">
        <w:rPr>
          <w:lang w:val="fr-FR"/>
        </w:rPr>
        <w:t>un défaut d</w:t>
      </w:r>
      <w:r w:rsidR="00CE4A8C" w:rsidRPr="00CE4A8C">
        <w:rPr>
          <w:lang w:val="fr-FR"/>
        </w:rPr>
        <w:t>’</w:t>
      </w:r>
      <w:r w:rsidRPr="00CE4A8C">
        <w:rPr>
          <w:lang w:val="fr-FR"/>
        </w:rPr>
        <w:t>adoption par l</w:t>
      </w:r>
      <w:r w:rsidR="00CE4A8C" w:rsidRPr="00CE4A8C">
        <w:rPr>
          <w:lang w:val="fr-FR"/>
        </w:rPr>
        <w:t>’</w:t>
      </w:r>
      <w:r w:rsidRPr="00CE4A8C">
        <w:rPr>
          <w:lang w:val="fr-FR"/>
        </w:rPr>
        <w:t>État de mesures administratives et législatives visant à protéger leur santé et l</w:t>
      </w:r>
      <w:r w:rsidR="00CE4A8C" w:rsidRPr="00CE4A8C">
        <w:rPr>
          <w:lang w:val="fr-FR"/>
        </w:rPr>
        <w:t>’</w:t>
      </w:r>
      <w:r w:rsidRPr="00CE4A8C">
        <w:rPr>
          <w:lang w:val="fr-FR"/>
        </w:rPr>
        <w:t>environnement, d</w:t>
      </w:r>
      <w:r w:rsidR="00CE4A8C" w:rsidRPr="00CE4A8C">
        <w:rPr>
          <w:lang w:val="fr-FR"/>
        </w:rPr>
        <w:t>’</w:t>
      </w:r>
      <w:r w:rsidRPr="00CE4A8C">
        <w:rPr>
          <w:lang w:val="fr-FR"/>
        </w:rPr>
        <w:t>une part, et en la contestation de l</w:t>
      </w:r>
      <w:r w:rsidR="00CE4A8C" w:rsidRPr="00CE4A8C">
        <w:rPr>
          <w:lang w:val="fr-FR"/>
        </w:rPr>
        <w:t>’</w:t>
      </w:r>
      <w:r w:rsidRPr="00CE4A8C">
        <w:rPr>
          <w:lang w:val="fr-FR"/>
        </w:rPr>
        <w:t>application de mesures ayant permis la continuation par la société Ilva de son activité polluante, d</w:t>
      </w:r>
      <w:r w:rsidR="00CE4A8C" w:rsidRPr="00CE4A8C">
        <w:rPr>
          <w:lang w:val="fr-FR"/>
        </w:rPr>
        <w:t>’</w:t>
      </w:r>
      <w:r w:rsidRPr="00CE4A8C">
        <w:rPr>
          <w:lang w:val="fr-FR"/>
        </w:rPr>
        <w:t>autre part.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115</w:t>
      </w:r>
      <w:r w:rsidRPr="00CE4A8C">
        <w:rPr>
          <w:lang w:val="fr-FR"/>
        </w:rPr>
        <w:fldChar w:fldCharType="end"/>
      </w:r>
      <w:r w:rsidRPr="00CE4A8C">
        <w:rPr>
          <w:lang w:val="fr-FR"/>
        </w:rPr>
        <w:t>.  Les requérants soutiennent en outre que ceux d</w:t>
      </w:r>
      <w:r w:rsidR="00CE4A8C" w:rsidRPr="00CE4A8C">
        <w:rPr>
          <w:lang w:val="fr-FR"/>
        </w:rPr>
        <w:t>’</w:t>
      </w:r>
      <w:r w:rsidRPr="00CE4A8C">
        <w:rPr>
          <w:lang w:val="fr-FR"/>
        </w:rPr>
        <w:t>entre eux s</w:t>
      </w:r>
      <w:r w:rsidR="00CE4A8C" w:rsidRPr="00CE4A8C">
        <w:rPr>
          <w:lang w:val="fr-FR"/>
        </w:rPr>
        <w:t>’</w:t>
      </w:r>
      <w:r w:rsidRPr="00CE4A8C">
        <w:rPr>
          <w:lang w:val="fr-FR"/>
        </w:rPr>
        <w:t>étant constitués parties civiles dans la procédure n</w:t>
      </w:r>
      <w:r w:rsidRPr="00CE4A8C">
        <w:rPr>
          <w:vertAlign w:val="superscript"/>
          <w:lang w:val="fr-FR"/>
        </w:rPr>
        <w:t>o</w:t>
      </w:r>
      <w:r w:rsidRPr="00CE4A8C">
        <w:rPr>
          <w:lang w:val="fr-FR"/>
        </w:rPr>
        <w:t> 938/10 ont été privés de la possibilité d</w:t>
      </w:r>
      <w:r w:rsidR="00CE4A8C" w:rsidRPr="00CE4A8C">
        <w:rPr>
          <w:lang w:val="fr-FR"/>
        </w:rPr>
        <w:t>’</w:t>
      </w:r>
      <w:r w:rsidRPr="00CE4A8C">
        <w:rPr>
          <w:lang w:val="fr-FR"/>
        </w:rPr>
        <w:t xml:space="preserve">obtenir une compensation en raison du placement de la société Ilva sous administration provisoire. En tout état de cause, ils disent que les autres requérants ne pourraient plus – contrairement aux affirmations du </w:t>
      </w:r>
      <w:r w:rsidRPr="00CE4A8C">
        <w:rPr>
          <w:lang w:val="fr-FR"/>
        </w:rPr>
        <w:lastRenderedPageBreak/>
        <w:t>Gouvernement – se constituer parties civiles dans cette procédure, les délais pour ce faire ayant expiré.</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116</w:t>
      </w:r>
      <w:r w:rsidRPr="00CE4A8C">
        <w:rPr>
          <w:lang w:val="fr-FR"/>
        </w:rPr>
        <w:fldChar w:fldCharType="end"/>
      </w:r>
      <w:r w:rsidRPr="00CE4A8C">
        <w:rPr>
          <w:lang w:val="fr-FR"/>
        </w:rPr>
        <w:t>.  Concernant la procédure n</w:t>
      </w:r>
      <w:r w:rsidRPr="00CE4A8C">
        <w:rPr>
          <w:vertAlign w:val="superscript"/>
          <w:lang w:val="fr-FR"/>
        </w:rPr>
        <w:t>o</w:t>
      </w:r>
      <w:r w:rsidRPr="00CE4A8C">
        <w:rPr>
          <w:lang w:val="fr-FR"/>
        </w:rPr>
        <w:t xml:space="preserve"> 9693/14, les requérants exposent que le procureur de Tarente a demandé le classement de celle-ci en raison, d</w:t>
      </w:r>
      <w:r w:rsidR="00CE4A8C" w:rsidRPr="00CE4A8C">
        <w:rPr>
          <w:lang w:val="fr-FR"/>
        </w:rPr>
        <w:t>’</w:t>
      </w:r>
      <w:r w:rsidRPr="00CE4A8C">
        <w:rPr>
          <w:lang w:val="fr-FR"/>
        </w:rPr>
        <w:t>une part, du report du délai pour la mise en œuvre de l</w:t>
      </w:r>
      <w:r w:rsidR="00CE4A8C" w:rsidRPr="00CE4A8C">
        <w:rPr>
          <w:lang w:val="fr-FR"/>
        </w:rPr>
        <w:t>’</w:t>
      </w:r>
      <w:r w:rsidRPr="00CE4A8C">
        <w:rPr>
          <w:lang w:val="fr-FR"/>
        </w:rPr>
        <w:t>AIA et, d</w:t>
      </w:r>
      <w:r w:rsidR="00CE4A8C" w:rsidRPr="00CE4A8C">
        <w:rPr>
          <w:lang w:val="fr-FR"/>
        </w:rPr>
        <w:t>’</w:t>
      </w:r>
      <w:r w:rsidRPr="00CE4A8C">
        <w:rPr>
          <w:lang w:val="fr-FR"/>
        </w:rPr>
        <w:t>autre part, de la reconnaissance de l</w:t>
      </w:r>
      <w:r w:rsidR="00CE4A8C" w:rsidRPr="00CE4A8C">
        <w:rPr>
          <w:lang w:val="fr-FR"/>
        </w:rPr>
        <w:t>’</w:t>
      </w:r>
      <w:r w:rsidRPr="00CE4A8C">
        <w:rPr>
          <w:lang w:val="fr-FR"/>
        </w:rPr>
        <w:t>immunité aux parties en cause dans le cadre des décrets-lois « </w:t>
      </w:r>
      <w:r w:rsidRPr="00CE4A8C">
        <w:rPr>
          <w:i/>
          <w:lang w:val="fr-FR"/>
        </w:rPr>
        <w:t>salva-Ilva</w:t>
      </w:r>
      <w:r w:rsidRPr="00CE4A8C">
        <w:rPr>
          <w:lang w:val="fr-FR"/>
        </w:rPr>
        <w:t> ».</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117</w:t>
      </w:r>
      <w:r w:rsidRPr="00CE4A8C">
        <w:rPr>
          <w:lang w:val="fr-FR"/>
        </w:rPr>
        <w:fldChar w:fldCharType="end"/>
      </w:r>
      <w:r w:rsidRPr="00CE4A8C">
        <w:rPr>
          <w:lang w:val="fr-FR"/>
        </w:rPr>
        <w:t>.  Quant à l</w:t>
      </w:r>
      <w:r w:rsidR="00CE4A8C" w:rsidRPr="00CE4A8C">
        <w:rPr>
          <w:lang w:val="fr-FR"/>
        </w:rPr>
        <w:t>’</w:t>
      </w:r>
      <w:r w:rsidRPr="00CE4A8C">
        <w:rPr>
          <w:lang w:val="fr-FR"/>
        </w:rPr>
        <w:t xml:space="preserve">article 452 </w:t>
      </w:r>
      <w:r w:rsidRPr="00CE4A8C">
        <w:rPr>
          <w:i/>
          <w:lang w:val="fr-FR"/>
        </w:rPr>
        <w:t>quater</w:t>
      </w:r>
      <w:r w:rsidRPr="00CE4A8C">
        <w:rPr>
          <w:lang w:val="fr-FR"/>
        </w:rPr>
        <w:t xml:space="preserve"> du code pénal, les requérants indiquent qu</w:t>
      </w:r>
      <w:r w:rsidR="00CE4A8C" w:rsidRPr="00CE4A8C">
        <w:rPr>
          <w:lang w:val="fr-FR"/>
        </w:rPr>
        <w:t>’</w:t>
      </w:r>
      <w:r w:rsidRPr="00CE4A8C">
        <w:rPr>
          <w:lang w:val="fr-FR"/>
        </w:rPr>
        <w:t>il est dépourvu d</w:t>
      </w:r>
      <w:r w:rsidR="00CE4A8C" w:rsidRPr="00CE4A8C">
        <w:rPr>
          <w:lang w:val="fr-FR"/>
        </w:rPr>
        <w:t>’</w:t>
      </w:r>
      <w:r w:rsidRPr="00CE4A8C">
        <w:rPr>
          <w:lang w:val="fr-FR"/>
        </w:rPr>
        <w:t>effectivité dans leur cas car, selon eux, cette disposition concerne des situations dans lesquelles, contrairement à la situation en l</w:t>
      </w:r>
      <w:r w:rsidR="00CE4A8C" w:rsidRPr="00CE4A8C">
        <w:rPr>
          <w:lang w:val="fr-FR"/>
        </w:rPr>
        <w:t>’</w:t>
      </w:r>
      <w:r w:rsidRPr="00CE4A8C">
        <w:rPr>
          <w:lang w:val="fr-FR"/>
        </w:rPr>
        <w:t>espèce, les faits se déroulent en l</w:t>
      </w:r>
      <w:r w:rsidR="00CE4A8C" w:rsidRPr="00CE4A8C">
        <w:rPr>
          <w:lang w:val="fr-FR"/>
        </w:rPr>
        <w:t>’</w:t>
      </w:r>
      <w:r w:rsidRPr="00CE4A8C">
        <w:rPr>
          <w:lang w:val="fr-FR"/>
        </w:rPr>
        <w:t>absence d</w:t>
      </w:r>
      <w:r w:rsidR="00CE4A8C" w:rsidRPr="00CE4A8C">
        <w:rPr>
          <w:lang w:val="fr-FR"/>
        </w:rPr>
        <w:t>’</w:t>
      </w:r>
      <w:r w:rsidRPr="00CE4A8C">
        <w:rPr>
          <w:lang w:val="fr-FR"/>
        </w:rPr>
        <w:t>une autorisation légale ou administrative.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118</w:t>
      </w:r>
      <w:r w:rsidRPr="00CE4A8C">
        <w:rPr>
          <w:lang w:val="fr-FR"/>
        </w:rPr>
        <w:fldChar w:fldCharType="end"/>
      </w:r>
      <w:r w:rsidRPr="00CE4A8C">
        <w:rPr>
          <w:lang w:val="fr-FR"/>
        </w:rPr>
        <w:t>.  Ils ajoutent que, en tout état de cause, les tribunaux internes ont jusqu</w:t>
      </w:r>
      <w:r w:rsidR="00CE4A8C" w:rsidRPr="00CE4A8C">
        <w:rPr>
          <w:lang w:val="fr-FR"/>
        </w:rPr>
        <w:t>’</w:t>
      </w:r>
      <w:r w:rsidRPr="00CE4A8C">
        <w:rPr>
          <w:lang w:val="fr-FR"/>
        </w:rPr>
        <w:t>à présent rejeté les demandes en dédommagement introduites au civil et condamné les demandeurs aux frais et dépens (les requérants font mention d</w:t>
      </w:r>
      <w:r w:rsidR="00CE4A8C" w:rsidRPr="00CE4A8C">
        <w:rPr>
          <w:lang w:val="fr-FR"/>
        </w:rPr>
        <w:t>’</w:t>
      </w:r>
      <w:r w:rsidRPr="00CE4A8C">
        <w:rPr>
          <w:lang w:val="fr-FR"/>
        </w:rPr>
        <w:t>un jugement du tribunal de Tarente, n</w:t>
      </w:r>
      <w:r w:rsidRPr="00CE4A8C">
        <w:rPr>
          <w:vertAlign w:val="superscript"/>
          <w:lang w:val="fr-FR"/>
        </w:rPr>
        <w:t>o</w:t>
      </w:r>
      <w:r w:rsidRPr="00CE4A8C">
        <w:rPr>
          <w:lang w:val="fr-FR"/>
        </w:rPr>
        <w:t xml:space="preserve"> 2375, en date du 20 juillet 2016).</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119</w:t>
      </w:r>
      <w:r w:rsidRPr="00CE4A8C">
        <w:rPr>
          <w:lang w:val="fr-FR"/>
        </w:rPr>
        <w:fldChar w:fldCharType="end"/>
      </w:r>
      <w:r w:rsidRPr="00CE4A8C">
        <w:rPr>
          <w:lang w:val="fr-FR"/>
        </w:rPr>
        <w:t>.  De plus, ils estiment que le recours administratif indiqué par le Gouvernement (article 309 du décret législatif n</w:t>
      </w:r>
      <w:r w:rsidRPr="00CE4A8C">
        <w:rPr>
          <w:vertAlign w:val="superscript"/>
          <w:lang w:val="fr-FR"/>
        </w:rPr>
        <w:t>o</w:t>
      </w:r>
      <w:r w:rsidRPr="00CE4A8C">
        <w:rPr>
          <w:lang w:val="fr-FR"/>
        </w:rPr>
        <w:t> 152/2006) n</w:t>
      </w:r>
      <w:r w:rsidR="00CE4A8C" w:rsidRPr="00CE4A8C">
        <w:rPr>
          <w:lang w:val="fr-FR"/>
        </w:rPr>
        <w:t>’</w:t>
      </w:r>
      <w:r w:rsidRPr="00CE4A8C">
        <w:rPr>
          <w:lang w:val="fr-FR"/>
        </w:rPr>
        <w:t>aurait pas non plus de chances de succès, puisque, selon eux, le ministère de l</w:t>
      </w:r>
      <w:r w:rsidR="00CE4A8C" w:rsidRPr="00CE4A8C">
        <w:rPr>
          <w:lang w:val="fr-FR"/>
        </w:rPr>
        <w:t>’</w:t>
      </w:r>
      <w:r w:rsidRPr="00CE4A8C">
        <w:rPr>
          <w:lang w:val="fr-FR"/>
        </w:rPr>
        <w:t>Environnement serait appelé à remettre en question des décrets-lois émis par le gouvernement. De plus, l</w:t>
      </w:r>
      <w:r w:rsidR="00CE4A8C" w:rsidRPr="00CE4A8C">
        <w:rPr>
          <w:lang w:val="fr-FR"/>
        </w:rPr>
        <w:t>’</w:t>
      </w:r>
      <w:r w:rsidRPr="00CE4A8C">
        <w:rPr>
          <w:lang w:val="fr-FR"/>
        </w:rPr>
        <w:t>action en annulation d</w:t>
      </w:r>
      <w:r w:rsidR="00CE4A8C" w:rsidRPr="00CE4A8C">
        <w:rPr>
          <w:lang w:val="fr-FR"/>
        </w:rPr>
        <w:t>’</w:t>
      </w:r>
      <w:r w:rsidRPr="00CE4A8C">
        <w:rPr>
          <w:lang w:val="fr-FR"/>
        </w:rPr>
        <w:t>actes administratifs (article 29 du code de procédure administrative) ne pourrait pas être exercée pour contester des décrets.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120</w:t>
      </w:r>
      <w:r w:rsidRPr="00CE4A8C">
        <w:rPr>
          <w:lang w:val="fr-FR"/>
        </w:rPr>
        <w:fldChar w:fldCharType="end"/>
      </w:r>
      <w:r w:rsidRPr="00CE4A8C">
        <w:rPr>
          <w:lang w:val="fr-FR"/>
        </w:rPr>
        <w:t>.  Enfin, les requérants disent qu</w:t>
      </w:r>
      <w:r w:rsidR="00CE4A8C" w:rsidRPr="00CE4A8C">
        <w:rPr>
          <w:lang w:val="fr-FR"/>
        </w:rPr>
        <w:t>’</w:t>
      </w:r>
      <w:r w:rsidRPr="00CE4A8C">
        <w:rPr>
          <w:lang w:val="fr-FR"/>
        </w:rPr>
        <w:t>une action collective ne pourrait pas remédier à leurs griefs au motif qu</w:t>
      </w:r>
      <w:r w:rsidR="00CE4A8C" w:rsidRPr="00CE4A8C">
        <w:rPr>
          <w:lang w:val="fr-FR"/>
        </w:rPr>
        <w:t>’</w:t>
      </w:r>
      <w:r w:rsidRPr="00CE4A8C">
        <w:rPr>
          <w:lang w:val="fr-FR"/>
        </w:rPr>
        <w:t>ils demandent l</w:t>
      </w:r>
      <w:r w:rsidR="00CE4A8C" w:rsidRPr="00CE4A8C">
        <w:rPr>
          <w:lang w:val="fr-FR"/>
        </w:rPr>
        <w:t>’</w:t>
      </w:r>
      <w:r w:rsidRPr="00CE4A8C">
        <w:rPr>
          <w:lang w:val="fr-FR"/>
        </w:rPr>
        <w:t>adoption d</w:t>
      </w:r>
      <w:r w:rsidR="00CE4A8C" w:rsidRPr="00CE4A8C">
        <w:rPr>
          <w:lang w:val="fr-FR"/>
        </w:rPr>
        <w:t>’</w:t>
      </w:r>
      <w:r w:rsidRPr="00CE4A8C">
        <w:rPr>
          <w:lang w:val="fr-FR"/>
        </w:rPr>
        <w:t>actes normatifs, laquelle serait explicitement exclue par le décret législatif n</w:t>
      </w:r>
      <w:r w:rsidRPr="00CE4A8C">
        <w:rPr>
          <w:vertAlign w:val="superscript"/>
          <w:lang w:val="fr-FR"/>
        </w:rPr>
        <w:t>o</w:t>
      </w:r>
      <w:r w:rsidRPr="00CE4A8C">
        <w:rPr>
          <w:lang w:val="fr-FR"/>
        </w:rPr>
        <w:t> 198/2009 (introduisant ce moyen de recours).</w:t>
      </w:r>
    </w:p>
    <w:p w:rsidR="0059426D" w:rsidRPr="00CE4A8C" w:rsidRDefault="00C54644" w:rsidP="00CE4A8C">
      <w:pPr>
        <w:pStyle w:val="ECHRHeading4"/>
        <w:rPr>
          <w:lang w:val="fr-FR"/>
        </w:rPr>
      </w:pPr>
      <w:r w:rsidRPr="00CE4A8C">
        <w:rPr>
          <w:lang w:val="fr-FR"/>
        </w:rPr>
        <w:t>c)  </w:t>
      </w:r>
      <w:r w:rsidR="0059426D" w:rsidRPr="00CE4A8C">
        <w:rPr>
          <w:lang w:val="fr-FR"/>
        </w:rPr>
        <w:t>L</w:t>
      </w:r>
      <w:r w:rsidR="00CE4A8C" w:rsidRPr="00CE4A8C">
        <w:rPr>
          <w:lang w:val="fr-FR"/>
        </w:rPr>
        <w:t>’</w:t>
      </w:r>
      <w:r w:rsidR="0059426D" w:rsidRPr="00CE4A8C">
        <w:rPr>
          <w:lang w:val="fr-FR"/>
        </w:rPr>
        <w:t>appréciation de la Cour</w:t>
      </w:r>
    </w:p>
    <w:p w:rsidR="0059426D" w:rsidRPr="00CE4A8C" w:rsidRDefault="0059426D" w:rsidP="00CE4A8C">
      <w:pPr>
        <w:pStyle w:val="ECHRPara"/>
        <w:rPr>
          <w:i/>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121</w:t>
      </w:r>
      <w:r w:rsidRPr="00CE4A8C">
        <w:rPr>
          <w:lang w:val="fr-FR"/>
        </w:rPr>
        <w:fldChar w:fldCharType="end"/>
      </w:r>
      <w:r w:rsidRPr="00CE4A8C">
        <w:rPr>
          <w:lang w:val="fr-FR"/>
        </w:rPr>
        <w:t>.  La Cour rappelle que la règle de l</w:t>
      </w:r>
      <w:r w:rsidR="00CE4A8C" w:rsidRPr="00CE4A8C">
        <w:rPr>
          <w:lang w:val="fr-FR"/>
        </w:rPr>
        <w:t>’</w:t>
      </w:r>
      <w:r w:rsidRPr="00CE4A8C">
        <w:rPr>
          <w:lang w:val="fr-FR"/>
        </w:rPr>
        <w:t>épuisement des voies de recours internes inscrite à l</w:t>
      </w:r>
      <w:r w:rsidR="00CE4A8C" w:rsidRPr="00CE4A8C">
        <w:rPr>
          <w:lang w:val="fr-FR"/>
        </w:rPr>
        <w:t>’</w:t>
      </w:r>
      <w:r w:rsidRPr="00CE4A8C">
        <w:rPr>
          <w:lang w:val="fr-FR"/>
        </w:rPr>
        <w:t>article 35 § 1 de la Convention vise à ménager aux États contractants l</w:t>
      </w:r>
      <w:r w:rsidR="00CE4A8C" w:rsidRPr="00CE4A8C">
        <w:rPr>
          <w:lang w:val="fr-FR"/>
        </w:rPr>
        <w:t>’</w:t>
      </w:r>
      <w:r w:rsidRPr="00CE4A8C">
        <w:rPr>
          <w:lang w:val="fr-FR"/>
        </w:rPr>
        <w:t>occasion de prévenir ou de redresser les violations alléguées contre eux avant que celles-ci ne lui soient soumises. Cette règle se fonde sur l</w:t>
      </w:r>
      <w:r w:rsidR="00CE4A8C" w:rsidRPr="00CE4A8C">
        <w:rPr>
          <w:lang w:val="fr-FR"/>
        </w:rPr>
        <w:t>’</w:t>
      </w:r>
      <w:r w:rsidRPr="00CE4A8C">
        <w:rPr>
          <w:lang w:val="fr-FR"/>
        </w:rPr>
        <w:t>hypothèse, objet de l</w:t>
      </w:r>
      <w:r w:rsidR="00CE4A8C" w:rsidRPr="00CE4A8C">
        <w:rPr>
          <w:lang w:val="fr-FR"/>
        </w:rPr>
        <w:t>’</w:t>
      </w:r>
      <w:r w:rsidRPr="00CE4A8C">
        <w:rPr>
          <w:lang w:val="fr-FR"/>
        </w:rPr>
        <w:t>article 13 de la Convention – et avec lequel elle présente d</w:t>
      </w:r>
      <w:r w:rsidR="00CE4A8C" w:rsidRPr="00CE4A8C">
        <w:rPr>
          <w:lang w:val="fr-FR"/>
        </w:rPr>
        <w:t>’</w:t>
      </w:r>
      <w:r w:rsidRPr="00CE4A8C">
        <w:rPr>
          <w:lang w:val="fr-FR"/>
        </w:rPr>
        <w:t>étroites affinités – que l</w:t>
      </w:r>
      <w:r w:rsidR="00CE4A8C" w:rsidRPr="00CE4A8C">
        <w:rPr>
          <w:lang w:val="fr-FR"/>
        </w:rPr>
        <w:t>’</w:t>
      </w:r>
      <w:r w:rsidRPr="00CE4A8C">
        <w:rPr>
          <w:lang w:val="fr-FR"/>
        </w:rPr>
        <w:t>ordre interne offre un recours effectif quant à la violation alléguée. De la sorte, elle constitue un aspect important du principe voulant que le mécanisme de sauvegarde instauré par la Convention revête un caractère subsidiaire par rapport aux systèmes nationaux de garantie des droits de l</w:t>
      </w:r>
      <w:r w:rsidR="00CE4A8C" w:rsidRPr="00CE4A8C">
        <w:rPr>
          <w:lang w:val="fr-FR"/>
        </w:rPr>
        <w:t>’</w:t>
      </w:r>
      <w:r w:rsidRPr="00CE4A8C">
        <w:rPr>
          <w:lang w:val="fr-FR"/>
        </w:rPr>
        <w:t>homme (</w:t>
      </w:r>
      <w:r w:rsidRPr="00CE4A8C">
        <w:rPr>
          <w:i/>
          <w:lang w:val="fr-FR"/>
        </w:rPr>
        <w:t xml:space="preserve">Vučković et autres c. Serbie </w:t>
      </w:r>
      <w:r w:rsidRPr="00CE4A8C">
        <w:rPr>
          <w:lang w:val="fr-FR"/>
        </w:rPr>
        <w:t>(exception préliminaire) [GC], n</w:t>
      </w:r>
      <w:r w:rsidRPr="00CE4A8C">
        <w:rPr>
          <w:rFonts w:cs="Times New Roman"/>
          <w:vertAlign w:val="superscript"/>
          <w:lang w:val="fr-FR"/>
        </w:rPr>
        <w:t>os</w:t>
      </w:r>
      <w:r w:rsidRPr="00CE4A8C">
        <w:rPr>
          <w:lang w:val="fr-FR"/>
        </w:rPr>
        <w:t xml:space="preserve"> 17153/11 et 29 autres, §§ 69-77, 25 mars 2014).</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122</w:t>
      </w:r>
      <w:r w:rsidRPr="00CE4A8C">
        <w:rPr>
          <w:lang w:val="fr-FR"/>
        </w:rPr>
        <w:fldChar w:fldCharType="end"/>
      </w:r>
      <w:r w:rsidRPr="00CE4A8C">
        <w:rPr>
          <w:lang w:val="fr-FR"/>
        </w:rPr>
        <w:t>.  La Cour rappelle en outre que, en vertu de la règle de l</w:t>
      </w:r>
      <w:r w:rsidR="00CE4A8C" w:rsidRPr="00CE4A8C">
        <w:rPr>
          <w:lang w:val="fr-FR"/>
        </w:rPr>
        <w:t>’</w:t>
      </w:r>
      <w:r w:rsidRPr="00CE4A8C">
        <w:rPr>
          <w:lang w:val="fr-FR"/>
        </w:rPr>
        <w:t>épuisement des voies de recours internes énoncée à l</w:t>
      </w:r>
      <w:r w:rsidR="00CE4A8C" w:rsidRPr="00CE4A8C">
        <w:rPr>
          <w:lang w:val="fr-FR"/>
        </w:rPr>
        <w:t>’</w:t>
      </w:r>
      <w:r w:rsidRPr="00CE4A8C">
        <w:rPr>
          <w:lang w:val="fr-FR"/>
        </w:rPr>
        <w:t xml:space="preserve">article 35 § 1 de la Convention, un </w:t>
      </w:r>
      <w:r w:rsidRPr="00CE4A8C">
        <w:rPr>
          <w:lang w:val="fr-FR"/>
        </w:rPr>
        <w:lastRenderedPageBreak/>
        <w:t>requérant doit se prévaloir des recours normalement disponibles et suffisants pour lui permettre d</w:t>
      </w:r>
      <w:r w:rsidR="00CE4A8C" w:rsidRPr="00CE4A8C">
        <w:rPr>
          <w:lang w:val="fr-FR"/>
        </w:rPr>
        <w:t>’</w:t>
      </w:r>
      <w:r w:rsidRPr="00CE4A8C">
        <w:rPr>
          <w:lang w:val="fr-FR"/>
        </w:rPr>
        <w:t>obtenir réparation des violations qu</w:t>
      </w:r>
      <w:r w:rsidR="00CE4A8C" w:rsidRPr="00CE4A8C">
        <w:rPr>
          <w:lang w:val="fr-FR"/>
        </w:rPr>
        <w:t>’</w:t>
      </w:r>
      <w:r w:rsidRPr="00CE4A8C">
        <w:rPr>
          <w:lang w:val="fr-FR"/>
        </w:rPr>
        <w:t>il allègue, étant entendu qu</w:t>
      </w:r>
      <w:r w:rsidR="00CE4A8C" w:rsidRPr="00CE4A8C">
        <w:rPr>
          <w:lang w:val="fr-FR"/>
        </w:rPr>
        <w:t>’</w:t>
      </w:r>
      <w:r w:rsidRPr="00CE4A8C">
        <w:rPr>
          <w:lang w:val="fr-FR"/>
        </w:rPr>
        <w:t>il incombe au Gouvernement excipant du non</w:t>
      </w:r>
      <w:r w:rsidRPr="00CE4A8C">
        <w:rPr>
          <w:lang w:val="fr-FR"/>
        </w:rPr>
        <w:noBreakHyphen/>
        <w:t>épuisement de la convaincre que le recours évoqué était effectif et disponible tant en théorie qu</w:t>
      </w:r>
      <w:r w:rsidR="00CE4A8C" w:rsidRPr="00CE4A8C">
        <w:rPr>
          <w:lang w:val="fr-FR"/>
        </w:rPr>
        <w:t>’</w:t>
      </w:r>
      <w:r w:rsidRPr="00CE4A8C">
        <w:rPr>
          <w:lang w:val="fr-FR"/>
        </w:rPr>
        <w:t>en pratique à l</w:t>
      </w:r>
      <w:r w:rsidR="00CE4A8C" w:rsidRPr="00CE4A8C">
        <w:rPr>
          <w:lang w:val="fr-FR"/>
        </w:rPr>
        <w:t>’</w:t>
      </w:r>
      <w:r w:rsidRPr="00CE4A8C">
        <w:rPr>
          <w:lang w:val="fr-FR"/>
        </w:rPr>
        <w:t>époque des faits, c</w:t>
      </w:r>
      <w:r w:rsidR="00CE4A8C" w:rsidRPr="00CE4A8C">
        <w:rPr>
          <w:lang w:val="fr-FR"/>
        </w:rPr>
        <w:t>’</w:t>
      </w:r>
      <w:r w:rsidRPr="00CE4A8C">
        <w:rPr>
          <w:lang w:val="fr-FR"/>
        </w:rPr>
        <w:t>est-à-dire qu</w:t>
      </w:r>
      <w:r w:rsidR="00CE4A8C" w:rsidRPr="00CE4A8C">
        <w:rPr>
          <w:lang w:val="fr-FR"/>
        </w:rPr>
        <w:t>’</w:t>
      </w:r>
      <w:r w:rsidRPr="00CE4A8C">
        <w:rPr>
          <w:lang w:val="fr-FR"/>
        </w:rPr>
        <w:t>il était accessible et susceptible d</w:t>
      </w:r>
      <w:r w:rsidR="00CE4A8C" w:rsidRPr="00CE4A8C">
        <w:rPr>
          <w:lang w:val="fr-FR"/>
        </w:rPr>
        <w:t>’</w:t>
      </w:r>
      <w:r w:rsidRPr="00CE4A8C">
        <w:rPr>
          <w:lang w:val="fr-FR"/>
        </w:rPr>
        <w:t>offrir au requérant le redressement de ses griefs et qu</w:t>
      </w:r>
      <w:r w:rsidR="00CE4A8C" w:rsidRPr="00CE4A8C">
        <w:rPr>
          <w:lang w:val="fr-FR"/>
        </w:rPr>
        <w:t>’</w:t>
      </w:r>
      <w:r w:rsidRPr="00CE4A8C">
        <w:rPr>
          <w:lang w:val="fr-FR"/>
        </w:rPr>
        <w:t>il présentait des perspectives raisonnables de succès (voir, parmi d</w:t>
      </w:r>
      <w:r w:rsidR="00CE4A8C" w:rsidRPr="00CE4A8C">
        <w:rPr>
          <w:lang w:val="fr-FR"/>
        </w:rPr>
        <w:t>’</w:t>
      </w:r>
      <w:r w:rsidRPr="00CE4A8C">
        <w:rPr>
          <w:lang w:val="fr-FR"/>
        </w:rPr>
        <w:t xml:space="preserve">autres, </w:t>
      </w:r>
      <w:r w:rsidRPr="00CE4A8C">
        <w:rPr>
          <w:i/>
          <w:lang w:val="fr-FR"/>
        </w:rPr>
        <w:t>Akdivar et autres c. Turquie</w:t>
      </w:r>
      <w:r w:rsidRPr="00CE4A8C">
        <w:rPr>
          <w:lang w:val="fr-FR"/>
        </w:rPr>
        <w:t xml:space="preserve">, 16 septembre 1996, </w:t>
      </w:r>
      <w:r w:rsidRPr="00CE4A8C">
        <w:rPr>
          <w:i/>
          <w:lang w:val="fr-FR"/>
        </w:rPr>
        <w:t>Recueil</w:t>
      </w:r>
      <w:r w:rsidRPr="00CE4A8C">
        <w:rPr>
          <w:lang w:val="fr-FR"/>
        </w:rPr>
        <w:t xml:space="preserve">, § 66, et </w:t>
      </w:r>
      <w:r w:rsidRPr="00CE4A8C">
        <w:rPr>
          <w:i/>
          <w:lang w:val="fr-FR"/>
        </w:rPr>
        <w:t>Giacobbe et autres c. Italie</w:t>
      </w:r>
      <w:r w:rsidRPr="00CE4A8C">
        <w:rPr>
          <w:lang w:val="fr-FR"/>
        </w:rPr>
        <w:t>, n</w:t>
      </w:r>
      <w:r w:rsidRPr="00CE4A8C">
        <w:rPr>
          <w:vertAlign w:val="superscript"/>
          <w:lang w:val="fr-FR"/>
        </w:rPr>
        <w:t>o</w:t>
      </w:r>
      <w:r w:rsidRPr="00CE4A8C">
        <w:rPr>
          <w:lang w:val="fr-FR"/>
        </w:rPr>
        <w:t> 16041/02, § 63, 15 décembre 2005). De plus, selon les « principes de droit international généralement reconnus », certaines circonstances particulières peuvent dispenser le requérant de l</w:t>
      </w:r>
      <w:r w:rsidR="00CE4A8C" w:rsidRPr="00CE4A8C">
        <w:rPr>
          <w:lang w:val="fr-FR"/>
        </w:rPr>
        <w:t>’</w:t>
      </w:r>
      <w:r w:rsidRPr="00CE4A8C">
        <w:rPr>
          <w:lang w:val="fr-FR"/>
        </w:rPr>
        <w:t>obligation d</w:t>
      </w:r>
      <w:r w:rsidR="00CE4A8C" w:rsidRPr="00CE4A8C">
        <w:rPr>
          <w:lang w:val="fr-FR"/>
        </w:rPr>
        <w:t>’</w:t>
      </w:r>
      <w:r w:rsidRPr="00CE4A8C">
        <w:rPr>
          <w:lang w:val="fr-FR"/>
        </w:rPr>
        <w:t>épuiser les recours internes qui s</w:t>
      </w:r>
      <w:r w:rsidR="00CE4A8C" w:rsidRPr="00CE4A8C">
        <w:rPr>
          <w:lang w:val="fr-FR"/>
        </w:rPr>
        <w:t>’</w:t>
      </w:r>
      <w:r w:rsidRPr="00CE4A8C">
        <w:rPr>
          <w:lang w:val="fr-FR"/>
        </w:rPr>
        <w:t>offrent à lui (</w:t>
      </w:r>
      <w:r w:rsidRPr="00CE4A8C">
        <w:rPr>
          <w:i/>
          <w:iCs/>
          <w:lang w:val="fr-FR"/>
        </w:rPr>
        <w:t>Selmouni</w:t>
      </w:r>
      <w:r w:rsidRPr="00CE4A8C">
        <w:rPr>
          <w:lang w:val="fr-FR"/>
        </w:rPr>
        <w:t>, précité, § 75).</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123</w:t>
      </w:r>
      <w:r w:rsidRPr="00CE4A8C">
        <w:fldChar w:fldCharType="end"/>
      </w:r>
      <w:r w:rsidRPr="00CE4A8C">
        <w:rPr>
          <w:lang w:val="fr-FR"/>
        </w:rPr>
        <w:t>.  En l</w:t>
      </w:r>
      <w:r w:rsidR="00CE4A8C" w:rsidRPr="00CE4A8C">
        <w:rPr>
          <w:lang w:val="fr-FR"/>
        </w:rPr>
        <w:t>’</w:t>
      </w:r>
      <w:r w:rsidRPr="00CE4A8C">
        <w:rPr>
          <w:lang w:val="fr-FR"/>
        </w:rPr>
        <w:t>occurrence, la Cour relève que les griefs des requérants portent sur l</w:t>
      </w:r>
      <w:r w:rsidR="00CE4A8C" w:rsidRPr="00CE4A8C">
        <w:rPr>
          <w:lang w:val="fr-FR"/>
        </w:rPr>
        <w:t>’</w:t>
      </w:r>
      <w:r w:rsidRPr="00CE4A8C">
        <w:rPr>
          <w:lang w:val="fr-FR"/>
        </w:rPr>
        <w:t>absence de mesures visant à assurer la dépollution du territoire concerné. Elle relève aussi que l</w:t>
      </w:r>
      <w:r w:rsidR="00CE4A8C" w:rsidRPr="00CE4A8C">
        <w:rPr>
          <w:lang w:val="fr-FR"/>
        </w:rPr>
        <w:t>’</w:t>
      </w:r>
      <w:r w:rsidRPr="00CE4A8C">
        <w:rPr>
          <w:lang w:val="fr-FR"/>
        </w:rPr>
        <w:t>assainissement de la zone touchée est un objectif poursuivi depuis plusieurs années par les autorités compétentes, toutefois sans succès. Compte tenu aussi des éléments soumis par les requérants et en l</w:t>
      </w:r>
      <w:r w:rsidR="00CE4A8C" w:rsidRPr="00CE4A8C">
        <w:rPr>
          <w:lang w:val="fr-FR"/>
        </w:rPr>
        <w:t>’</w:t>
      </w:r>
      <w:r w:rsidRPr="00CE4A8C">
        <w:rPr>
          <w:lang w:val="fr-FR"/>
        </w:rPr>
        <w:t>absence de précédents jurisprudentiels pertinents, la Cour estime qu</w:t>
      </w:r>
      <w:r w:rsidR="00CE4A8C" w:rsidRPr="00CE4A8C">
        <w:rPr>
          <w:lang w:val="fr-FR"/>
        </w:rPr>
        <w:t>’</w:t>
      </w:r>
      <w:r w:rsidRPr="00CE4A8C">
        <w:rPr>
          <w:lang w:val="fr-FR"/>
        </w:rPr>
        <w:t>aucune démarche de nature pénale, civile ou administrative ne saurait répondre à cet objectif dans la présente espèce.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124</w:t>
      </w:r>
      <w:r w:rsidRPr="00CE4A8C">
        <w:rPr>
          <w:lang w:val="fr-FR"/>
        </w:rPr>
        <w:fldChar w:fldCharType="end"/>
      </w:r>
      <w:r w:rsidRPr="00CE4A8C">
        <w:rPr>
          <w:lang w:val="fr-FR"/>
        </w:rPr>
        <w:t>.  Dans ce contexte, la Cour ne saurait faire abstraction de l</w:t>
      </w:r>
      <w:r w:rsidR="00CE4A8C" w:rsidRPr="00CE4A8C">
        <w:rPr>
          <w:lang w:val="fr-FR"/>
        </w:rPr>
        <w:t>’</w:t>
      </w:r>
      <w:r w:rsidRPr="00CE4A8C">
        <w:rPr>
          <w:lang w:val="fr-FR"/>
        </w:rPr>
        <w:t>immunité pénale et administrative accordée à l</w:t>
      </w:r>
      <w:r w:rsidR="00CE4A8C" w:rsidRPr="00CE4A8C">
        <w:rPr>
          <w:lang w:val="fr-FR"/>
        </w:rPr>
        <w:t>’</w:t>
      </w:r>
      <w:r w:rsidRPr="00CE4A8C">
        <w:rPr>
          <w:lang w:val="fr-FR"/>
        </w:rPr>
        <w:t>administrateur provisoire dans la mise en place des mesures préconisées par le plan environnemental (prévue par le décret</w:t>
      </w:r>
      <w:r w:rsidRPr="00CE4A8C">
        <w:rPr>
          <w:lang w:val="fr-FR"/>
        </w:rPr>
        <w:noBreakHyphen/>
        <w:t>loi n</w:t>
      </w:r>
      <w:r w:rsidRPr="00CE4A8C">
        <w:rPr>
          <w:vertAlign w:val="superscript"/>
          <w:lang w:val="fr-FR"/>
        </w:rPr>
        <w:t>o</w:t>
      </w:r>
      <w:r w:rsidRPr="00CE4A8C">
        <w:rPr>
          <w:lang w:val="fr-FR"/>
        </w:rPr>
        <w:t xml:space="preserve"> 1 du 5 janvier 2015 – paragraphe </w:t>
      </w:r>
      <w:r w:rsidRPr="00CE4A8C">
        <w:rPr>
          <w:lang w:val="fr-FR"/>
        </w:rPr>
        <w:fldChar w:fldCharType="begin"/>
      </w:r>
      <w:r w:rsidRPr="00CE4A8C">
        <w:rPr>
          <w:lang w:val="fr-FR"/>
        </w:rPr>
        <w:instrText xml:space="preserve"> REF immunité_1 \h  \* MERGEFORMAT </w:instrText>
      </w:r>
      <w:r w:rsidRPr="00CE4A8C">
        <w:rPr>
          <w:lang w:val="fr-FR"/>
        </w:rPr>
      </w:r>
      <w:r w:rsidRPr="00CE4A8C">
        <w:rPr>
          <w:lang w:val="fr-FR"/>
        </w:rPr>
        <w:fldChar w:fldCharType="separate"/>
      </w:r>
      <w:r w:rsidR="00CE4A8C" w:rsidRPr="00CE4A8C">
        <w:rPr>
          <w:noProof/>
          <w:lang w:val="fr-FR"/>
        </w:rPr>
        <w:t>59</w:t>
      </w:r>
      <w:r w:rsidRPr="00CE4A8C">
        <w:rPr>
          <w:lang w:val="fr-FR"/>
        </w:rPr>
        <w:fldChar w:fldCharType="end"/>
      </w:r>
      <w:r w:rsidRPr="00CE4A8C">
        <w:rPr>
          <w:lang w:val="fr-FR"/>
        </w:rPr>
        <w:t xml:space="preserve"> ci-dessus) et de l</w:t>
      </w:r>
      <w:r w:rsidR="00CE4A8C" w:rsidRPr="00CE4A8C">
        <w:rPr>
          <w:lang w:val="fr-FR"/>
        </w:rPr>
        <w:t>’</w:t>
      </w:r>
      <w:r w:rsidRPr="00CE4A8C">
        <w:rPr>
          <w:lang w:val="fr-FR"/>
        </w:rPr>
        <w:t>élargissement de cette immunité au futur acquéreur de l</w:t>
      </w:r>
      <w:r w:rsidR="00CE4A8C" w:rsidRPr="00CE4A8C">
        <w:rPr>
          <w:lang w:val="fr-FR"/>
        </w:rPr>
        <w:t>’</w:t>
      </w:r>
      <w:r w:rsidRPr="00CE4A8C">
        <w:rPr>
          <w:lang w:val="fr-FR"/>
        </w:rPr>
        <w:t xml:space="preserve">établissement (paragraphe </w:t>
      </w:r>
      <w:r w:rsidRPr="00CE4A8C">
        <w:rPr>
          <w:lang w:val="fr-FR"/>
        </w:rPr>
        <w:fldChar w:fldCharType="begin"/>
      </w:r>
      <w:r w:rsidRPr="00CE4A8C">
        <w:rPr>
          <w:lang w:val="fr-FR"/>
        </w:rPr>
        <w:instrText xml:space="preserve"> REF immunité_2 \h  \* MERGEFORMAT </w:instrText>
      </w:r>
      <w:r w:rsidRPr="00CE4A8C">
        <w:rPr>
          <w:lang w:val="fr-FR"/>
        </w:rPr>
      </w:r>
      <w:r w:rsidRPr="00CE4A8C">
        <w:rPr>
          <w:lang w:val="fr-FR"/>
        </w:rPr>
        <w:fldChar w:fldCharType="separate"/>
      </w:r>
      <w:r w:rsidR="00CE4A8C" w:rsidRPr="00CE4A8C">
        <w:rPr>
          <w:noProof/>
          <w:lang w:val="fr-FR"/>
        </w:rPr>
        <w:t>68</w:t>
      </w:r>
      <w:r w:rsidRPr="00CE4A8C">
        <w:rPr>
          <w:lang w:val="fr-FR"/>
        </w:rPr>
        <w:fldChar w:fldCharType="end"/>
      </w:r>
      <w:r w:rsidRPr="00CE4A8C">
        <w:rPr>
          <w:lang w:val="fr-FR"/>
        </w:rPr>
        <w:t xml:space="preserve"> ci-dessus).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125</w:t>
      </w:r>
      <w:r w:rsidRPr="00CE4A8C">
        <w:rPr>
          <w:lang w:val="fr-FR"/>
        </w:rPr>
        <w:fldChar w:fldCharType="end"/>
      </w:r>
      <w:r w:rsidRPr="00CE4A8C">
        <w:rPr>
          <w:lang w:val="fr-FR"/>
        </w:rPr>
        <w:t xml:space="preserve">.  Quant à la possibilité de soulever les griefs devant la Cour constitutionnelle, il suffit de rappeler que </w:t>
      </w:r>
      <w:r w:rsidRPr="00CE4A8C">
        <w:rPr>
          <w:rFonts w:eastAsia="Times New Roman"/>
          <w:lang w:val="fr-FR"/>
        </w:rPr>
        <w:t xml:space="preserve">la Cour a </w:t>
      </w:r>
      <w:r w:rsidRPr="00CE4A8C">
        <w:rPr>
          <w:rFonts w:eastAsia="Times New Roman"/>
          <w:bCs/>
          <w:lang w:val="fr-FR"/>
        </w:rPr>
        <w:t xml:space="preserve">indiqué à maintes reprises que, </w:t>
      </w:r>
      <w:r w:rsidRPr="00CE4A8C">
        <w:rPr>
          <w:rFonts w:eastAsia="Times New Roman"/>
          <w:lang w:val="fr-FR"/>
        </w:rPr>
        <w:t>dans l</w:t>
      </w:r>
      <w:r w:rsidR="00CE4A8C" w:rsidRPr="00CE4A8C">
        <w:rPr>
          <w:rFonts w:eastAsia="Times New Roman"/>
          <w:lang w:val="fr-FR"/>
        </w:rPr>
        <w:t>’</w:t>
      </w:r>
      <w:r w:rsidRPr="00CE4A8C">
        <w:rPr>
          <w:rFonts w:eastAsia="Times New Roman"/>
          <w:lang w:val="fr-FR"/>
        </w:rPr>
        <w:t>ordre juridique italien, le justiciable ne jouit pas d</w:t>
      </w:r>
      <w:r w:rsidR="00CE4A8C" w:rsidRPr="00CE4A8C">
        <w:rPr>
          <w:rFonts w:eastAsia="Times New Roman"/>
          <w:lang w:val="fr-FR"/>
        </w:rPr>
        <w:t>’</w:t>
      </w:r>
      <w:r w:rsidRPr="00CE4A8C">
        <w:rPr>
          <w:rFonts w:eastAsia="Times New Roman"/>
          <w:lang w:val="fr-FR"/>
        </w:rPr>
        <w:t>un accès direct à la Cour constitutionnelle : en effet, seule une juridiction qui connaît du fond d</w:t>
      </w:r>
      <w:r w:rsidR="00CE4A8C" w:rsidRPr="00CE4A8C">
        <w:rPr>
          <w:rFonts w:eastAsia="Times New Roman"/>
          <w:lang w:val="fr-FR"/>
        </w:rPr>
        <w:t>’</w:t>
      </w:r>
      <w:r w:rsidRPr="00CE4A8C">
        <w:rPr>
          <w:rFonts w:eastAsia="Times New Roman"/>
          <w:lang w:val="fr-FR"/>
        </w:rPr>
        <w:t>une affaire a la faculté de saisir cette haute juridiction, à la demande d</w:t>
      </w:r>
      <w:r w:rsidR="00CE4A8C" w:rsidRPr="00CE4A8C">
        <w:rPr>
          <w:rFonts w:eastAsia="Times New Roman"/>
          <w:lang w:val="fr-FR"/>
        </w:rPr>
        <w:t>’</w:t>
      </w:r>
      <w:r w:rsidRPr="00CE4A8C">
        <w:rPr>
          <w:rFonts w:eastAsia="Times New Roman"/>
          <w:lang w:val="fr-FR"/>
        </w:rPr>
        <w:t>un plaideur ou d</w:t>
      </w:r>
      <w:r w:rsidR="00CE4A8C" w:rsidRPr="00CE4A8C">
        <w:rPr>
          <w:rFonts w:eastAsia="Times New Roman"/>
          <w:lang w:val="fr-FR"/>
        </w:rPr>
        <w:t>’</w:t>
      </w:r>
      <w:r w:rsidRPr="00CE4A8C">
        <w:rPr>
          <w:rFonts w:eastAsia="Times New Roman"/>
          <w:lang w:val="fr-FR"/>
        </w:rPr>
        <w:t>office. Dès lors, pareille demande ne saurait s</w:t>
      </w:r>
      <w:r w:rsidR="00CE4A8C" w:rsidRPr="00CE4A8C">
        <w:rPr>
          <w:rFonts w:eastAsia="Times New Roman"/>
          <w:lang w:val="fr-FR"/>
        </w:rPr>
        <w:t>’</w:t>
      </w:r>
      <w:r w:rsidRPr="00CE4A8C">
        <w:rPr>
          <w:rFonts w:eastAsia="Times New Roman"/>
          <w:lang w:val="fr-FR"/>
        </w:rPr>
        <w:t>analyser en un recours dont la Convention exige l</w:t>
      </w:r>
      <w:r w:rsidR="00CE4A8C" w:rsidRPr="00CE4A8C">
        <w:rPr>
          <w:rFonts w:eastAsia="Times New Roman"/>
          <w:lang w:val="fr-FR"/>
        </w:rPr>
        <w:t>’</w:t>
      </w:r>
      <w:r w:rsidRPr="00CE4A8C">
        <w:rPr>
          <w:rFonts w:eastAsia="Times New Roman"/>
          <w:lang w:val="fr-FR"/>
        </w:rPr>
        <w:t xml:space="preserve">exercice (voir, entre autres, </w:t>
      </w:r>
      <w:r w:rsidRPr="00CE4A8C">
        <w:rPr>
          <w:rFonts w:eastAsia="Times New Roman"/>
          <w:i/>
          <w:lang w:val="fr-FR"/>
        </w:rPr>
        <w:t>Brozicek c. Italie</w:t>
      </w:r>
      <w:r w:rsidRPr="00CE4A8C">
        <w:rPr>
          <w:rFonts w:eastAsia="Times New Roman"/>
          <w:lang w:val="fr-FR"/>
        </w:rPr>
        <w:t xml:space="preserve"> n</w:t>
      </w:r>
      <w:r w:rsidRPr="00CE4A8C">
        <w:rPr>
          <w:rFonts w:eastAsia="Times New Roman"/>
          <w:vertAlign w:val="superscript"/>
          <w:lang w:val="fr-FR"/>
        </w:rPr>
        <w:t>o</w:t>
      </w:r>
      <w:r w:rsidRPr="00CE4A8C">
        <w:rPr>
          <w:rFonts w:eastAsia="Times New Roman"/>
          <w:lang w:val="fr-FR"/>
        </w:rPr>
        <w:t> 10964/84, 19 décembre 1989, § 34, série A n</w:t>
      </w:r>
      <w:r w:rsidRPr="00CE4A8C">
        <w:rPr>
          <w:rFonts w:eastAsia="Times New Roman"/>
          <w:vertAlign w:val="superscript"/>
          <w:lang w:val="fr-FR"/>
        </w:rPr>
        <w:t>o</w:t>
      </w:r>
      <w:r w:rsidRPr="00CE4A8C">
        <w:rPr>
          <w:rFonts w:eastAsia="Times New Roman"/>
          <w:lang w:val="fr-FR"/>
        </w:rPr>
        <w:t xml:space="preserve"> 167, </w:t>
      </w:r>
      <w:r w:rsidRPr="00CE4A8C">
        <w:rPr>
          <w:rFonts w:eastAsia="Times New Roman"/>
          <w:i/>
          <w:lang w:val="fr-FR"/>
        </w:rPr>
        <w:t>Immobiliare Saffi c. Italie</w:t>
      </w:r>
      <w:r w:rsidRPr="00CE4A8C">
        <w:rPr>
          <w:rFonts w:eastAsia="Times New Roman"/>
          <w:lang w:val="fr-FR"/>
        </w:rPr>
        <w:t xml:space="preserve"> [GC], n</w:t>
      </w:r>
      <w:r w:rsidRPr="00CE4A8C">
        <w:rPr>
          <w:rFonts w:eastAsia="Times New Roman"/>
          <w:vertAlign w:val="superscript"/>
          <w:lang w:val="fr-FR"/>
        </w:rPr>
        <w:t>o </w:t>
      </w:r>
      <w:r w:rsidRPr="00CE4A8C">
        <w:rPr>
          <w:rFonts w:eastAsia="Times New Roman"/>
          <w:lang w:val="fr-FR"/>
        </w:rPr>
        <w:t>22774/93, § 42, CEDH 1999</w:t>
      </w:r>
      <w:r w:rsidRPr="00CE4A8C">
        <w:rPr>
          <w:rFonts w:eastAsia="Times New Roman"/>
          <w:lang w:val="fr-FR"/>
        </w:rPr>
        <w:noBreakHyphen/>
        <w:t xml:space="preserve">V, </w:t>
      </w:r>
      <w:r w:rsidR="00CE4A8C" w:rsidRPr="00CE4A8C">
        <w:rPr>
          <w:rFonts w:eastAsia="Times New Roman"/>
          <w:i/>
          <w:lang w:val="fr-FR"/>
        </w:rPr>
        <w:t xml:space="preserve">C.G.I.L. et Cofferati </w:t>
      </w:r>
      <w:r w:rsidRPr="00CE4A8C">
        <w:rPr>
          <w:rFonts w:eastAsia="Times New Roman"/>
          <w:i/>
          <w:lang w:val="fr-FR"/>
        </w:rPr>
        <w:t>c. Italie</w:t>
      </w:r>
      <w:r w:rsidRPr="00CE4A8C">
        <w:rPr>
          <w:rFonts w:eastAsia="Times New Roman"/>
          <w:lang w:val="fr-FR"/>
        </w:rPr>
        <w:t>, n</w:t>
      </w:r>
      <w:r w:rsidRPr="00CE4A8C">
        <w:rPr>
          <w:rFonts w:eastAsia="Times New Roman"/>
          <w:vertAlign w:val="superscript"/>
          <w:lang w:val="fr-FR"/>
        </w:rPr>
        <w:t>o </w:t>
      </w:r>
      <w:r w:rsidRPr="00CE4A8C">
        <w:rPr>
          <w:rFonts w:eastAsia="Times New Roman"/>
          <w:lang w:val="fr-FR"/>
        </w:rPr>
        <w:t xml:space="preserve">46967/07, </w:t>
      </w:r>
      <w:r w:rsidRPr="00CE4A8C">
        <w:rPr>
          <w:rFonts w:eastAsia="Times New Roman"/>
          <w:snapToGrid w:val="0"/>
          <w:lang w:val="fr-FR"/>
        </w:rPr>
        <w:t xml:space="preserve">§ 48, 24 </w:t>
      </w:r>
      <w:r w:rsidRPr="00CE4A8C">
        <w:rPr>
          <w:rFonts w:eastAsia="Times New Roman"/>
          <w:lang w:val="fr-FR"/>
        </w:rPr>
        <w:t>février</w:t>
      </w:r>
      <w:r w:rsidRPr="00CE4A8C">
        <w:rPr>
          <w:rFonts w:eastAsia="Times New Roman"/>
          <w:snapToGrid w:val="0"/>
          <w:lang w:val="fr-FR"/>
        </w:rPr>
        <w:t xml:space="preserve"> 2009, </w:t>
      </w:r>
      <w:r w:rsidRPr="00CE4A8C">
        <w:rPr>
          <w:i/>
          <w:lang w:val="fr-FR" w:eastAsia="fr-FR"/>
        </w:rPr>
        <w:t>Scoppola c. Italie</w:t>
      </w:r>
      <w:r w:rsidRPr="00CE4A8C">
        <w:rPr>
          <w:lang w:val="fr-FR" w:eastAsia="fr-FR"/>
        </w:rPr>
        <w:t xml:space="preserve"> (n</w:t>
      </w:r>
      <w:r w:rsidRPr="00CE4A8C">
        <w:rPr>
          <w:vertAlign w:val="superscript"/>
          <w:lang w:val="fr-FR" w:eastAsia="fr-FR"/>
        </w:rPr>
        <w:t>o </w:t>
      </w:r>
      <w:r w:rsidRPr="00CE4A8C">
        <w:rPr>
          <w:rFonts w:ascii="Times New (W1)" w:hAnsi="Times New (W1)"/>
          <w:lang w:val="fr-FR" w:eastAsia="fr-FR"/>
        </w:rPr>
        <w:t>2)</w:t>
      </w:r>
      <w:r w:rsidRPr="00CE4A8C">
        <w:rPr>
          <w:lang w:val="fr-FR" w:eastAsia="fr-FR"/>
        </w:rPr>
        <w:t xml:space="preserve"> [GC], n</w:t>
      </w:r>
      <w:r w:rsidRPr="00CE4A8C">
        <w:rPr>
          <w:vertAlign w:val="superscript"/>
          <w:lang w:val="fr-FR" w:eastAsia="fr-FR"/>
        </w:rPr>
        <w:t>o </w:t>
      </w:r>
      <w:r w:rsidRPr="00CE4A8C">
        <w:rPr>
          <w:lang w:val="fr-FR" w:eastAsia="fr-FR"/>
        </w:rPr>
        <w:t>10249/03, § 75, 17 septembre 2009,</w:t>
      </w:r>
      <w:r w:rsidRPr="00CE4A8C">
        <w:rPr>
          <w:rFonts w:eastAsia="Times New Roman"/>
          <w:lang w:val="fr-FR"/>
        </w:rPr>
        <w:t xml:space="preserve"> et </w:t>
      </w:r>
      <w:r w:rsidRPr="00CE4A8C">
        <w:rPr>
          <w:rFonts w:eastAsia="Times New Roman"/>
          <w:i/>
          <w:snapToGrid w:val="0"/>
          <w:lang w:val="fr-FR"/>
        </w:rPr>
        <w:t>M.C. et autres c. Italie</w:t>
      </w:r>
      <w:r w:rsidRPr="00CE4A8C">
        <w:rPr>
          <w:rFonts w:eastAsia="Times New Roman"/>
          <w:snapToGrid w:val="0"/>
          <w:lang w:val="fr-FR"/>
        </w:rPr>
        <w:t>, n</w:t>
      </w:r>
      <w:r w:rsidRPr="00CE4A8C">
        <w:rPr>
          <w:rFonts w:eastAsia="Times New Roman"/>
          <w:snapToGrid w:val="0"/>
          <w:vertAlign w:val="superscript"/>
          <w:lang w:val="fr-FR"/>
        </w:rPr>
        <w:t>o</w:t>
      </w:r>
      <w:r w:rsidRPr="00CE4A8C">
        <w:rPr>
          <w:rFonts w:eastAsia="Times New Roman"/>
          <w:snapToGrid w:val="0"/>
          <w:lang w:val="fr-FR"/>
        </w:rPr>
        <w:t xml:space="preserve"> 5376/11, § 47, 3 septembre 2013).</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126</w:t>
      </w:r>
      <w:r w:rsidRPr="00CE4A8C">
        <w:fldChar w:fldCharType="end"/>
      </w:r>
      <w:r w:rsidRPr="00CE4A8C">
        <w:rPr>
          <w:lang w:val="fr-FR"/>
        </w:rPr>
        <w:t>.  La Cour note aussi que, selon le décret-loi n</w:t>
      </w:r>
      <w:r w:rsidRPr="00CE4A8C">
        <w:rPr>
          <w:vertAlign w:val="superscript"/>
          <w:lang w:val="fr-FR"/>
        </w:rPr>
        <w:t>o</w:t>
      </w:r>
      <w:r w:rsidRPr="00CE4A8C">
        <w:rPr>
          <w:lang w:val="fr-FR"/>
        </w:rPr>
        <w:t> 152/06, seul le ministère de l</w:t>
      </w:r>
      <w:r w:rsidR="00CE4A8C" w:rsidRPr="00CE4A8C">
        <w:rPr>
          <w:lang w:val="fr-FR"/>
        </w:rPr>
        <w:t>’</w:t>
      </w:r>
      <w:r w:rsidRPr="00CE4A8C">
        <w:rPr>
          <w:lang w:val="fr-FR"/>
        </w:rPr>
        <w:t>Environnement peut demander réparation du préjudice écologique, les particuliers ne pouvant que l</w:t>
      </w:r>
      <w:r w:rsidR="00CE4A8C" w:rsidRPr="00CE4A8C">
        <w:rPr>
          <w:lang w:val="fr-FR"/>
        </w:rPr>
        <w:t>’</w:t>
      </w:r>
      <w:r w:rsidRPr="00CE4A8C">
        <w:rPr>
          <w:lang w:val="fr-FR"/>
        </w:rPr>
        <w:t>inviter à saisir les autorités judiciaires. Il s</w:t>
      </w:r>
      <w:r w:rsidR="00CE4A8C" w:rsidRPr="00CE4A8C">
        <w:rPr>
          <w:lang w:val="fr-FR"/>
        </w:rPr>
        <w:t>’</w:t>
      </w:r>
      <w:r w:rsidRPr="00CE4A8C">
        <w:rPr>
          <w:lang w:val="fr-FR"/>
        </w:rPr>
        <w:t>ensuit que, en tout état de cause, les recours prévus par les dispositions en question n</w:t>
      </w:r>
      <w:r w:rsidR="00CE4A8C" w:rsidRPr="00CE4A8C">
        <w:rPr>
          <w:lang w:val="fr-FR"/>
        </w:rPr>
        <w:t>’</w:t>
      </w:r>
      <w:r w:rsidRPr="00CE4A8C">
        <w:rPr>
          <w:lang w:val="fr-FR"/>
        </w:rPr>
        <w:t xml:space="preserve">auraient pas permis aux requérants de se </w:t>
      </w:r>
      <w:r w:rsidRPr="00CE4A8C">
        <w:rPr>
          <w:lang w:val="fr-FR"/>
        </w:rPr>
        <w:lastRenderedPageBreak/>
        <w:t>prévaloir du préjudice découlant des dommages à l</w:t>
      </w:r>
      <w:r w:rsidR="00CE4A8C" w:rsidRPr="00CE4A8C">
        <w:rPr>
          <w:lang w:val="fr-FR"/>
        </w:rPr>
        <w:t>’</w:t>
      </w:r>
      <w:r w:rsidRPr="00CE4A8C">
        <w:rPr>
          <w:lang w:val="fr-FR"/>
        </w:rPr>
        <w:t>environnement. En conséquence, ces recours ne sauraient passer pour des recours utiles au sens de l</w:t>
      </w:r>
      <w:r w:rsidR="00CE4A8C" w:rsidRPr="00CE4A8C">
        <w:rPr>
          <w:lang w:val="fr-FR"/>
        </w:rPr>
        <w:t>’</w:t>
      </w:r>
      <w:r w:rsidRPr="00CE4A8C">
        <w:rPr>
          <w:lang w:val="fr-FR"/>
        </w:rPr>
        <w:t>article 35 § 1 de la Convention (</w:t>
      </w:r>
      <w:r w:rsidRPr="00CE4A8C">
        <w:rPr>
          <w:i/>
          <w:lang w:val="fr-FR"/>
        </w:rPr>
        <w:t>Di Sarno</w:t>
      </w:r>
      <w:r w:rsidRPr="00CE4A8C">
        <w:rPr>
          <w:lang w:val="fr-FR"/>
        </w:rPr>
        <w:t>, précité, § 89).</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127</w:t>
      </w:r>
      <w:r w:rsidRPr="00CE4A8C">
        <w:rPr>
          <w:lang w:val="fr-FR"/>
        </w:rPr>
        <w:fldChar w:fldCharType="end"/>
      </w:r>
      <w:r w:rsidRPr="00CE4A8C">
        <w:rPr>
          <w:lang w:val="fr-FR"/>
        </w:rPr>
        <w:t>.  Eu égard à ce qui précède, la Cour estime qu</w:t>
      </w:r>
      <w:r w:rsidR="00CE4A8C" w:rsidRPr="00CE4A8C">
        <w:rPr>
          <w:lang w:val="fr-FR"/>
        </w:rPr>
        <w:t>’</w:t>
      </w:r>
      <w:r w:rsidRPr="00CE4A8C">
        <w:rPr>
          <w:lang w:val="fr-FR"/>
        </w:rPr>
        <w:t>il y a lieu de rejeter l</w:t>
      </w:r>
      <w:r w:rsidR="00CE4A8C" w:rsidRPr="00CE4A8C">
        <w:rPr>
          <w:lang w:val="fr-FR"/>
        </w:rPr>
        <w:t>’</w:t>
      </w:r>
      <w:r w:rsidRPr="00CE4A8C">
        <w:rPr>
          <w:lang w:val="fr-FR"/>
        </w:rPr>
        <w:t>exception du Gouvernement tirée du non-épuisement des voies de recours internes.</w:t>
      </w:r>
    </w:p>
    <w:p w:rsidR="0059426D" w:rsidRPr="00CE4A8C" w:rsidRDefault="0059426D" w:rsidP="00CE4A8C">
      <w:pPr>
        <w:pStyle w:val="ECHRHeading3"/>
        <w:rPr>
          <w:lang w:val="fr-FR"/>
        </w:rPr>
      </w:pPr>
      <w:r w:rsidRPr="00CE4A8C">
        <w:rPr>
          <w:lang w:val="fr-FR"/>
        </w:rPr>
        <w:t>3.  Sur l</w:t>
      </w:r>
      <w:r w:rsidR="00CE4A8C" w:rsidRPr="00CE4A8C">
        <w:rPr>
          <w:lang w:val="fr-FR"/>
        </w:rPr>
        <w:t>’</w:t>
      </w:r>
      <w:r w:rsidRPr="00CE4A8C">
        <w:rPr>
          <w:lang w:val="fr-FR"/>
        </w:rPr>
        <w:t>observation du délai de six mois</w:t>
      </w:r>
    </w:p>
    <w:p w:rsidR="0059426D" w:rsidRPr="00CE4A8C" w:rsidRDefault="00C54644" w:rsidP="00CE4A8C">
      <w:pPr>
        <w:pStyle w:val="ECHRHeading4"/>
        <w:rPr>
          <w:lang w:val="fr-FR"/>
        </w:rPr>
      </w:pPr>
      <w:r w:rsidRPr="00CE4A8C">
        <w:rPr>
          <w:lang w:val="fr-FR"/>
        </w:rPr>
        <w:t>a)  </w:t>
      </w:r>
      <w:r w:rsidR="0059426D" w:rsidRPr="00CE4A8C">
        <w:rPr>
          <w:lang w:val="fr-FR"/>
        </w:rPr>
        <w:t>La thèse du Gouvernement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128</w:t>
      </w:r>
      <w:r w:rsidRPr="00CE4A8C">
        <w:rPr>
          <w:lang w:val="fr-FR"/>
        </w:rPr>
        <w:fldChar w:fldCharType="end"/>
      </w:r>
      <w:r w:rsidRPr="00CE4A8C">
        <w:rPr>
          <w:lang w:val="fr-FR"/>
        </w:rPr>
        <w:t>.  Le Gouvernement indique que les requérants ont vécu pendant des décennies dans les zones concernées, et que, jusque-là, ils n</w:t>
      </w:r>
      <w:r w:rsidR="00CE4A8C" w:rsidRPr="00CE4A8C">
        <w:rPr>
          <w:lang w:val="fr-FR"/>
        </w:rPr>
        <w:t>’</w:t>
      </w:r>
      <w:r w:rsidRPr="00CE4A8C">
        <w:rPr>
          <w:lang w:val="fr-FR"/>
        </w:rPr>
        <w:t>ont jamais soulevé leurs griefs. Ainsi, les intéressés n</w:t>
      </w:r>
      <w:r w:rsidR="00CE4A8C" w:rsidRPr="00CE4A8C">
        <w:rPr>
          <w:lang w:val="fr-FR"/>
        </w:rPr>
        <w:t>’</w:t>
      </w:r>
      <w:r w:rsidRPr="00CE4A8C">
        <w:rPr>
          <w:lang w:val="fr-FR"/>
        </w:rPr>
        <w:t>auraient pas respecté la règle des six mois prévue par l</w:t>
      </w:r>
      <w:r w:rsidR="00CE4A8C" w:rsidRPr="00CE4A8C">
        <w:rPr>
          <w:lang w:val="fr-FR"/>
        </w:rPr>
        <w:t>’</w:t>
      </w:r>
      <w:r w:rsidRPr="00CE4A8C">
        <w:rPr>
          <w:lang w:val="fr-FR"/>
        </w:rPr>
        <w:t>article 35 de la Convention.</w:t>
      </w:r>
    </w:p>
    <w:p w:rsidR="0059426D" w:rsidRPr="00CE4A8C" w:rsidRDefault="00C54644" w:rsidP="00CE4A8C">
      <w:pPr>
        <w:pStyle w:val="ECHRHeading4"/>
        <w:rPr>
          <w:lang w:val="fr-FR"/>
        </w:rPr>
      </w:pPr>
      <w:r w:rsidRPr="00CE4A8C">
        <w:rPr>
          <w:lang w:val="fr-FR"/>
        </w:rPr>
        <w:t>b)  </w:t>
      </w:r>
      <w:r w:rsidR="0059426D" w:rsidRPr="00CE4A8C">
        <w:rPr>
          <w:lang w:val="fr-FR"/>
        </w:rPr>
        <w:t>La thèse des requérants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129</w:t>
      </w:r>
      <w:r w:rsidRPr="00CE4A8C">
        <w:rPr>
          <w:lang w:val="fr-FR"/>
        </w:rPr>
        <w:fldChar w:fldCharType="end"/>
      </w:r>
      <w:r w:rsidRPr="00CE4A8C">
        <w:rPr>
          <w:lang w:val="fr-FR"/>
        </w:rPr>
        <w:t>.  Les requérants contestent avoir introduit tardivement leurs requêtes. Ils soutiennent ne disposer d</w:t>
      </w:r>
      <w:r w:rsidR="00CE4A8C" w:rsidRPr="00CE4A8C">
        <w:rPr>
          <w:lang w:val="fr-FR"/>
        </w:rPr>
        <w:t>’</w:t>
      </w:r>
      <w:r w:rsidRPr="00CE4A8C">
        <w:rPr>
          <w:lang w:val="fr-FR"/>
        </w:rPr>
        <w:t>aucun remède effectif pour se plaindre des effets nocifs de l</w:t>
      </w:r>
      <w:r w:rsidR="00CE4A8C" w:rsidRPr="00CE4A8C">
        <w:rPr>
          <w:lang w:val="fr-FR"/>
        </w:rPr>
        <w:t>’</w:t>
      </w:r>
      <w:r w:rsidRPr="00CE4A8C">
        <w:rPr>
          <w:lang w:val="fr-FR"/>
        </w:rPr>
        <w:t>activité productive de la société Ilva sur leur santé et sur l</w:t>
      </w:r>
      <w:r w:rsidR="00CE4A8C" w:rsidRPr="00CE4A8C">
        <w:rPr>
          <w:lang w:val="fr-FR"/>
        </w:rPr>
        <w:t>’</w:t>
      </w:r>
      <w:r w:rsidRPr="00CE4A8C">
        <w:rPr>
          <w:lang w:val="fr-FR"/>
        </w:rPr>
        <w:t>environnement. Ils allèguent d</w:t>
      </w:r>
      <w:r w:rsidR="00CE4A8C" w:rsidRPr="00CE4A8C">
        <w:rPr>
          <w:lang w:val="fr-FR"/>
        </w:rPr>
        <w:t>’</w:t>
      </w:r>
      <w:r w:rsidRPr="00CE4A8C">
        <w:rPr>
          <w:lang w:val="fr-FR"/>
        </w:rPr>
        <w:t>ailleurs que les procédures entamées par certains d</w:t>
      </w:r>
      <w:r w:rsidR="00CE4A8C" w:rsidRPr="00CE4A8C">
        <w:rPr>
          <w:lang w:val="fr-FR"/>
        </w:rPr>
        <w:t>’</w:t>
      </w:r>
      <w:r w:rsidRPr="00CE4A8C">
        <w:rPr>
          <w:lang w:val="fr-FR"/>
        </w:rPr>
        <w:t xml:space="preserve">entre eux pour faire valoir leurs droits (paragraphe </w:t>
      </w:r>
      <w:r w:rsidRPr="00CE4A8C">
        <w:rPr>
          <w:lang w:val="fr-FR"/>
        </w:rPr>
        <w:fldChar w:fldCharType="begin"/>
      </w:r>
      <w:r w:rsidRPr="00CE4A8C">
        <w:rPr>
          <w:lang w:val="fr-FR"/>
        </w:rPr>
        <w:instrText xml:space="preserve"> REF procédure_interne \h  \* MERGEFORMAT </w:instrText>
      </w:r>
      <w:r w:rsidRPr="00CE4A8C">
        <w:rPr>
          <w:lang w:val="fr-FR"/>
        </w:rPr>
      </w:r>
      <w:r w:rsidRPr="00CE4A8C">
        <w:rPr>
          <w:lang w:val="fr-FR"/>
        </w:rPr>
        <w:fldChar w:fldCharType="separate"/>
      </w:r>
      <w:r w:rsidR="00CE4A8C" w:rsidRPr="00CE4A8C">
        <w:rPr>
          <w:noProof/>
          <w:lang w:val="fr-FR"/>
        </w:rPr>
        <w:t>74</w:t>
      </w:r>
      <w:r w:rsidRPr="00CE4A8C">
        <w:rPr>
          <w:lang w:val="fr-FR"/>
        </w:rPr>
        <w:fldChar w:fldCharType="end"/>
      </w:r>
      <w:r w:rsidRPr="00CE4A8C">
        <w:rPr>
          <w:lang w:val="fr-FR"/>
        </w:rPr>
        <w:t xml:space="preserve"> ci</w:t>
      </w:r>
      <w:r w:rsidRPr="00CE4A8C">
        <w:rPr>
          <w:lang w:val="fr-FR"/>
        </w:rPr>
        <w:noBreakHyphen/>
        <w:t>dessus) ont été dépourvues d</w:t>
      </w:r>
      <w:r w:rsidR="00CE4A8C" w:rsidRPr="00CE4A8C">
        <w:rPr>
          <w:lang w:val="fr-FR"/>
        </w:rPr>
        <w:t>’</w:t>
      </w:r>
      <w:r w:rsidRPr="00CE4A8C">
        <w:rPr>
          <w:lang w:val="fr-FR"/>
        </w:rPr>
        <w:t>effectivité.</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130</w:t>
      </w:r>
      <w:r w:rsidRPr="00CE4A8C">
        <w:rPr>
          <w:lang w:val="fr-FR"/>
        </w:rPr>
        <w:fldChar w:fldCharType="end"/>
      </w:r>
      <w:r w:rsidRPr="00CE4A8C">
        <w:rPr>
          <w:lang w:val="fr-FR"/>
        </w:rPr>
        <w:t>.  Les requérants indiquent que, en tout état de cause, les violations dénoncées par eux ont un caractère continu, car elles découleraient d</w:t>
      </w:r>
      <w:r w:rsidR="00CE4A8C" w:rsidRPr="00CE4A8C">
        <w:rPr>
          <w:lang w:val="fr-FR"/>
        </w:rPr>
        <w:t>’</w:t>
      </w:r>
      <w:r w:rsidRPr="00CE4A8C">
        <w:rPr>
          <w:lang w:val="fr-FR"/>
        </w:rPr>
        <w:t>un manquement de l</w:t>
      </w:r>
      <w:r w:rsidR="00CE4A8C" w:rsidRPr="00CE4A8C">
        <w:rPr>
          <w:lang w:val="fr-FR"/>
        </w:rPr>
        <w:t>’</w:t>
      </w:r>
      <w:r w:rsidRPr="00CE4A8C">
        <w:rPr>
          <w:lang w:val="fr-FR"/>
        </w:rPr>
        <w:t>État à mettre en place les mesures prévues par l</w:t>
      </w:r>
      <w:r w:rsidR="00CE4A8C" w:rsidRPr="00CE4A8C">
        <w:rPr>
          <w:lang w:val="fr-FR"/>
        </w:rPr>
        <w:t>’</w:t>
      </w:r>
      <w:r w:rsidRPr="00CE4A8C">
        <w:rPr>
          <w:lang w:val="fr-FR"/>
        </w:rPr>
        <w:t>AIA et par le plan environnemental. Ils estiment par conséquent que le délai de six mois ne devrait courir, dans ce cas, qu</w:t>
      </w:r>
      <w:r w:rsidR="00CE4A8C" w:rsidRPr="00CE4A8C">
        <w:rPr>
          <w:lang w:val="fr-FR"/>
        </w:rPr>
        <w:t>’</w:t>
      </w:r>
      <w:r w:rsidRPr="00CE4A8C">
        <w:rPr>
          <w:lang w:val="fr-FR"/>
        </w:rPr>
        <w:t>à partir de la cessation des violations alléguées.</w:t>
      </w:r>
    </w:p>
    <w:p w:rsidR="0059426D" w:rsidRPr="00CE4A8C" w:rsidRDefault="0059426D" w:rsidP="00CE4A8C">
      <w:pPr>
        <w:pStyle w:val="ECHRHeading4"/>
        <w:rPr>
          <w:lang w:val="fr-FR"/>
        </w:rPr>
      </w:pPr>
      <w:r w:rsidRPr="00CE4A8C">
        <w:rPr>
          <w:lang w:val="fr-FR"/>
        </w:rPr>
        <w:t>c)</w:t>
      </w:r>
      <w:r w:rsidR="00C54644" w:rsidRPr="00CE4A8C">
        <w:rPr>
          <w:lang w:val="fr-FR"/>
        </w:rPr>
        <w:t>  </w:t>
      </w:r>
      <w:r w:rsidRPr="00CE4A8C">
        <w:rPr>
          <w:lang w:val="fr-FR"/>
        </w:rPr>
        <w:t>L</w:t>
      </w:r>
      <w:r w:rsidR="00CE4A8C" w:rsidRPr="00CE4A8C">
        <w:rPr>
          <w:lang w:val="fr-FR"/>
        </w:rPr>
        <w:t>’</w:t>
      </w:r>
      <w:r w:rsidRPr="00CE4A8C">
        <w:rPr>
          <w:lang w:val="fr-FR"/>
        </w:rPr>
        <w:t>appréciation de la Cour</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131</w:t>
      </w:r>
      <w:r w:rsidRPr="00CE4A8C">
        <w:rPr>
          <w:lang w:val="fr-FR"/>
        </w:rPr>
        <w:fldChar w:fldCharType="end"/>
      </w:r>
      <w:r w:rsidRPr="00CE4A8C">
        <w:rPr>
          <w:lang w:val="fr-FR"/>
        </w:rPr>
        <w:t>.  La Cour relève que les requérants ne se plaignent pas d</w:t>
      </w:r>
      <w:r w:rsidR="00CE4A8C" w:rsidRPr="00CE4A8C">
        <w:rPr>
          <w:lang w:val="fr-FR"/>
        </w:rPr>
        <w:t>’</w:t>
      </w:r>
      <w:r w:rsidRPr="00CE4A8C">
        <w:rPr>
          <w:lang w:val="fr-FR"/>
        </w:rPr>
        <w:t>un acte instantané mais d</w:t>
      </w:r>
      <w:r w:rsidR="00CE4A8C" w:rsidRPr="00CE4A8C">
        <w:rPr>
          <w:lang w:val="fr-FR"/>
        </w:rPr>
        <w:t>’</w:t>
      </w:r>
      <w:r w:rsidRPr="00CE4A8C">
        <w:rPr>
          <w:lang w:val="fr-FR"/>
        </w:rPr>
        <w:t>une situation de pollution environnementale perdurant depuis des décennies. Elle rappelle que, lorsque la violation alléguée constitue, comme en l</w:t>
      </w:r>
      <w:r w:rsidR="00CE4A8C" w:rsidRPr="00CE4A8C">
        <w:rPr>
          <w:lang w:val="fr-FR"/>
        </w:rPr>
        <w:t>’</w:t>
      </w:r>
      <w:r w:rsidRPr="00CE4A8C">
        <w:rPr>
          <w:lang w:val="fr-FR"/>
        </w:rPr>
        <w:t>espèce, une situation continue, le délai de six mois ne commence à courir qu</w:t>
      </w:r>
      <w:r w:rsidR="00CE4A8C" w:rsidRPr="00CE4A8C">
        <w:rPr>
          <w:lang w:val="fr-FR"/>
        </w:rPr>
        <w:t>’</w:t>
      </w:r>
      <w:r w:rsidRPr="00CE4A8C">
        <w:rPr>
          <w:lang w:val="fr-FR"/>
        </w:rPr>
        <w:t>à partir du moment où cette situation continue a pris fin (voir, parmi d</w:t>
      </w:r>
      <w:r w:rsidR="00CE4A8C" w:rsidRPr="00CE4A8C">
        <w:rPr>
          <w:lang w:val="fr-FR"/>
        </w:rPr>
        <w:t>’</w:t>
      </w:r>
      <w:r w:rsidRPr="00CE4A8C">
        <w:rPr>
          <w:lang w:val="fr-FR"/>
        </w:rPr>
        <w:t xml:space="preserve">autres, </w:t>
      </w:r>
      <w:r w:rsidRPr="00CE4A8C">
        <w:rPr>
          <w:i/>
          <w:iCs/>
          <w:lang w:val="fr-FR"/>
        </w:rPr>
        <w:t>Çınar c. Turquie</w:t>
      </w:r>
      <w:r w:rsidRPr="00CE4A8C">
        <w:rPr>
          <w:lang w:val="fr-FR"/>
        </w:rPr>
        <w:t>, n</w:t>
      </w:r>
      <w:r w:rsidRPr="00CE4A8C">
        <w:rPr>
          <w:vertAlign w:val="superscript"/>
          <w:lang w:val="fr-FR"/>
        </w:rPr>
        <w:t>o</w:t>
      </w:r>
      <w:r w:rsidRPr="00CE4A8C">
        <w:rPr>
          <w:lang w:val="fr-FR"/>
        </w:rPr>
        <w:t xml:space="preserve"> 17864/91, décision de la Commission du 5 septembre 1994, et </w:t>
      </w:r>
      <w:r w:rsidRPr="00CE4A8C">
        <w:rPr>
          <w:i/>
          <w:lang w:val="fr-FR"/>
        </w:rPr>
        <w:t>Ülke c. Turquie</w:t>
      </w:r>
      <w:r w:rsidRPr="00CE4A8C">
        <w:rPr>
          <w:lang w:val="fr-FR"/>
        </w:rPr>
        <w:t xml:space="preserve"> (déc.), n</w:t>
      </w:r>
      <w:r w:rsidRPr="00CE4A8C">
        <w:rPr>
          <w:vertAlign w:val="superscript"/>
          <w:lang w:val="fr-FR"/>
        </w:rPr>
        <w:t>o</w:t>
      </w:r>
      <w:r w:rsidRPr="00CE4A8C">
        <w:rPr>
          <w:lang w:val="fr-FR"/>
        </w:rPr>
        <w:t xml:space="preserve"> 39437/98, 1</w:t>
      </w:r>
      <w:r w:rsidRPr="00CE4A8C">
        <w:rPr>
          <w:vertAlign w:val="superscript"/>
          <w:lang w:val="fr-FR"/>
        </w:rPr>
        <w:t>er </w:t>
      </w:r>
      <w:r w:rsidRPr="00CE4A8C">
        <w:rPr>
          <w:lang w:val="fr-FR"/>
        </w:rPr>
        <w:t>juin 2004).</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132</w:t>
      </w:r>
      <w:r w:rsidRPr="00CE4A8C">
        <w:rPr>
          <w:lang w:val="fr-FR"/>
        </w:rPr>
        <w:fldChar w:fldCharType="end"/>
      </w:r>
      <w:r w:rsidRPr="00CE4A8C">
        <w:rPr>
          <w:lang w:val="fr-FR"/>
        </w:rPr>
        <w:t>.  Dès lors, elle estime qu</w:t>
      </w:r>
      <w:r w:rsidR="00CE4A8C" w:rsidRPr="00CE4A8C">
        <w:rPr>
          <w:lang w:val="fr-FR"/>
        </w:rPr>
        <w:t>’</w:t>
      </w:r>
      <w:r w:rsidRPr="00CE4A8C">
        <w:rPr>
          <w:lang w:val="fr-FR"/>
        </w:rPr>
        <w:t>il y a lieu de rejeter l</w:t>
      </w:r>
      <w:r w:rsidR="00CE4A8C" w:rsidRPr="00CE4A8C">
        <w:rPr>
          <w:lang w:val="fr-FR"/>
        </w:rPr>
        <w:t>’</w:t>
      </w:r>
      <w:r w:rsidRPr="00CE4A8C">
        <w:rPr>
          <w:lang w:val="fr-FR"/>
        </w:rPr>
        <w:t>exception du Gouvernement.</w:t>
      </w:r>
    </w:p>
    <w:p w:rsidR="0059426D" w:rsidRPr="00CE4A8C" w:rsidRDefault="0059426D" w:rsidP="00CE4A8C">
      <w:pPr>
        <w:pStyle w:val="ECHRHeading3"/>
        <w:rPr>
          <w:lang w:val="fr-FR"/>
        </w:rPr>
      </w:pPr>
      <w:r w:rsidRPr="00CE4A8C">
        <w:rPr>
          <w:lang w:val="fr-FR"/>
        </w:rPr>
        <w:lastRenderedPageBreak/>
        <w:t>4.  Sur l</w:t>
      </w:r>
      <w:r w:rsidR="00CE4A8C" w:rsidRPr="00CE4A8C">
        <w:rPr>
          <w:lang w:val="fr-FR"/>
        </w:rPr>
        <w:t>’</w:t>
      </w:r>
      <w:r w:rsidRPr="00CE4A8C">
        <w:rPr>
          <w:lang w:val="fr-FR"/>
        </w:rPr>
        <w:t>existence d</w:t>
      </w:r>
      <w:r w:rsidR="00CE4A8C" w:rsidRPr="00CE4A8C">
        <w:rPr>
          <w:lang w:val="fr-FR"/>
        </w:rPr>
        <w:t>’</w:t>
      </w:r>
      <w:r w:rsidRPr="00CE4A8C">
        <w:rPr>
          <w:lang w:val="fr-FR"/>
        </w:rPr>
        <w:t>un préjudice important</w:t>
      </w:r>
    </w:p>
    <w:p w:rsidR="0059426D" w:rsidRPr="00CE4A8C" w:rsidRDefault="00C54644" w:rsidP="00CE4A8C">
      <w:pPr>
        <w:pStyle w:val="ECHRHeading4"/>
        <w:rPr>
          <w:lang w:val="fr-FR"/>
        </w:rPr>
      </w:pPr>
      <w:r w:rsidRPr="00CE4A8C">
        <w:rPr>
          <w:lang w:val="fr-FR"/>
        </w:rPr>
        <w:t>a)  </w:t>
      </w:r>
      <w:r w:rsidR="0059426D" w:rsidRPr="00CE4A8C">
        <w:rPr>
          <w:lang w:val="fr-FR"/>
        </w:rPr>
        <w:t>La thèse du Gouvernement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133</w:t>
      </w:r>
      <w:r w:rsidRPr="00CE4A8C">
        <w:rPr>
          <w:lang w:val="fr-FR"/>
        </w:rPr>
        <w:fldChar w:fldCharType="end"/>
      </w:r>
      <w:r w:rsidRPr="00CE4A8C">
        <w:rPr>
          <w:lang w:val="fr-FR"/>
        </w:rPr>
        <w:t>.  Se fondant sur l</w:t>
      </w:r>
      <w:r w:rsidR="00CE4A8C" w:rsidRPr="00CE4A8C">
        <w:rPr>
          <w:lang w:val="fr-FR"/>
        </w:rPr>
        <w:t>’</w:t>
      </w:r>
      <w:r w:rsidRPr="00CE4A8C">
        <w:rPr>
          <w:lang w:val="fr-FR"/>
        </w:rPr>
        <w:t>article 35 § 3 b) de la Convention, le Gouvernement soutient enfin que la référence faite selon lui en termes généraux à la pollution et à son impact sur la santé des requérants, sans l</w:t>
      </w:r>
      <w:r w:rsidR="00CE4A8C" w:rsidRPr="00CE4A8C">
        <w:rPr>
          <w:lang w:val="fr-FR"/>
        </w:rPr>
        <w:t>’</w:t>
      </w:r>
      <w:r w:rsidRPr="00CE4A8C">
        <w:rPr>
          <w:lang w:val="fr-FR"/>
        </w:rPr>
        <w:t>indication d</w:t>
      </w:r>
      <w:r w:rsidR="00CE4A8C" w:rsidRPr="00CE4A8C">
        <w:rPr>
          <w:lang w:val="fr-FR"/>
        </w:rPr>
        <w:t>’</w:t>
      </w:r>
      <w:r w:rsidRPr="00CE4A8C">
        <w:rPr>
          <w:lang w:val="fr-FR"/>
        </w:rPr>
        <w:t>éléments factuels étayant la thèse des intéressés, n</w:t>
      </w:r>
      <w:r w:rsidR="00CE4A8C" w:rsidRPr="00CE4A8C">
        <w:rPr>
          <w:lang w:val="fr-FR"/>
        </w:rPr>
        <w:t>’</w:t>
      </w:r>
      <w:r w:rsidRPr="00CE4A8C">
        <w:rPr>
          <w:lang w:val="fr-FR"/>
        </w:rPr>
        <w:t>est pas suffisante pour que le préjudice allégué puisse être qualifié d</w:t>
      </w:r>
      <w:r w:rsidR="00CE4A8C" w:rsidRPr="00CE4A8C">
        <w:rPr>
          <w:lang w:val="fr-FR"/>
        </w:rPr>
        <w:t>’</w:t>
      </w:r>
      <w:r w:rsidRPr="00CE4A8C">
        <w:rPr>
          <w:lang w:val="fr-FR"/>
        </w:rPr>
        <w:t>important.</w:t>
      </w:r>
    </w:p>
    <w:p w:rsidR="0059426D" w:rsidRPr="00CE4A8C" w:rsidRDefault="00C54644" w:rsidP="00CE4A8C">
      <w:pPr>
        <w:pStyle w:val="ECHRHeading4"/>
        <w:rPr>
          <w:lang w:val="fr-FR"/>
        </w:rPr>
      </w:pPr>
      <w:r w:rsidRPr="00CE4A8C">
        <w:rPr>
          <w:lang w:val="fr-FR"/>
        </w:rPr>
        <w:t>b)  </w:t>
      </w:r>
      <w:r w:rsidR="0059426D" w:rsidRPr="00CE4A8C">
        <w:rPr>
          <w:lang w:val="fr-FR"/>
        </w:rPr>
        <w:t>La thèse des requérants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134</w:t>
      </w:r>
      <w:r w:rsidRPr="00CE4A8C">
        <w:rPr>
          <w:lang w:val="fr-FR"/>
        </w:rPr>
        <w:fldChar w:fldCharType="end"/>
      </w:r>
      <w:r w:rsidRPr="00CE4A8C">
        <w:rPr>
          <w:lang w:val="fr-FR"/>
        </w:rPr>
        <w:t>.  Les requérants contestent cette thèse.</w:t>
      </w:r>
    </w:p>
    <w:p w:rsidR="0059426D" w:rsidRPr="00CE4A8C" w:rsidRDefault="00C54644" w:rsidP="00CE4A8C">
      <w:pPr>
        <w:pStyle w:val="ECHRHeading4"/>
        <w:rPr>
          <w:lang w:val="fr-FR"/>
        </w:rPr>
      </w:pPr>
      <w:r w:rsidRPr="00CE4A8C">
        <w:rPr>
          <w:lang w:val="fr-FR"/>
        </w:rPr>
        <w:t>c)  </w:t>
      </w:r>
      <w:r w:rsidR="0059426D" w:rsidRPr="00CE4A8C">
        <w:rPr>
          <w:lang w:val="fr-FR"/>
        </w:rPr>
        <w:t>L</w:t>
      </w:r>
      <w:r w:rsidR="00CE4A8C" w:rsidRPr="00CE4A8C">
        <w:rPr>
          <w:lang w:val="fr-FR"/>
        </w:rPr>
        <w:t>’</w:t>
      </w:r>
      <w:r w:rsidR="0059426D" w:rsidRPr="00CE4A8C">
        <w:rPr>
          <w:lang w:val="fr-FR"/>
        </w:rPr>
        <w:t>appréciation de la Cour</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135</w:t>
      </w:r>
      <w:r w:rsidRPr="00CE4A8C">
        <w:rPr>
          <w:lang w:val="fr-FR"/>
        </w:rPr>
        <w:fldChar w:fldCharType="end"/>
      </w:r>
      <w:r w:rsidRPr="00CE4A8C">
        <w:rPr>
          <w:lang w:val="fr-FR"/>
        </w:rPr>
        <w:t>.  La Cour rappelle que le critère du manque de préjudice important a été conçu pour lui permettre de traiter rapidement les requêtes à caractère futile afin de se concentrer sur sa mission essentielle, qui est d</w:t>
      </w:r>
      <w:r w:rsidR="00CE4A8C" w:rsidRPr="00CE4A8C">
        <w:rPr>
          <w:lang w:val="fr-FR"/>
        </w:rPr>
        <w:t>’</w:t>
      </w:r>
      <w:r w:rsidRPr="00CE4A8C">
        <w:rPr>
          <w:lang w:val="fr-FR"/>
        </w:rPr>
        <w:t>assurer au niveau européen la protection juridique des droits garantis par la Convention et ses Protocoles (</w:t>
      </w:r>
      <w:r w:rsidRPr="00CE4A8C">
        <w:rPr>
          <w:i/>
          <w:iCs/>
          <w:lang w:val="fr-FR"/>
        </w:rPr>
        <w:t>Stefanescu c. Roumanie</w:t>
      </w:r>
      <w:r w:rsidRPr="00CE4A8C">
        <w:rPr>
          <w:lang w:val="fr-FR"/>
        </w:rPr>
        <w:t xml:space="preserve"> (déc.), no 11774/04, 12 avril 2011, § 35).</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136</w:t>
      </w:r>
      <w:r w:rsidRPr="00CE4A8C">
        <w:rPr>
          <w:lang w:val="fr-FR"/>
        </w:rPr>
        <w:fldChar w:fldCharType="end"/>
      </w:r>
      <w:r w:rsidRPr="00CE4A8C">
        <w:rPr>
          <w:lang w:val="fr-FR"/>
        </w:rPr>
        <w:t xml:space="preserve">.  Issue du principe </w:t>
      </w:r>
      <w:r w:rsidRPr="00CE4A8C">
        <w:rPr>
          <w:i/>
          <w:iCs/>
          <w:lang w:val="fr-FR"/>
        </w:rPr>
        <w:t>de minimis non curat praetor</w:t>
      </w:r>
      <w:r w:rsidRPr="00CE4A8C">
        <w:rPr>
          <w:lang w:val="fr-FR"/>
        </w:rPr>
        <w:t>, la condition de recevabilité renvoie à l</w:t>
      </w:r>
      <w:r w:rsidR="00CE4A8C" w:rsidRPr="00CE4A8C">
        <w:rPr>
          <w:lang w:val="fr-FR"/>
        </w:rPr>
        <w:t>’</w:t>
      </w:r>
      <w:r w:rsidRPr="00CE4A8C">
        <w:rPr>
          <w:lang w:val="fr-FR"/>
        </w:rPr>
        <w:t>idée que la violation d</w:t>
      </w:r>
      <w:r w:rsidR="00CE4A8C" w:rsidRPr="00CE4A8C">
        <w:rPr>
          <w:lang w:val="fr-FR"/>
        </w:rPr>
        <w:t>’</w:t>
      </w:r>
      <w:r w:rsidRPr="00CE4A8C">
        <w:rPr>
          <w:lang w:val="fr-FR"/>
        </w:rPr>
        <w:t>un droit, quelle que soit sa réalité d</w:t>
      </w:r>
      <w:r w:rsidR="00CE4A8C" w:rsidRPr="00CE4A8C">
        <w:rPr>
          <w:lang w:val="fr-FR"/>
        </w:rPr>
        <w:t>’</w:t>
      </w:r>
      <w:r w:rsidRPr="00CE4A8C">
        <w:rPr>
          <w:lang w:val="fr-FR"/>
        </w:rPr>
        <w:t>un point de vue strictement juridique, doit atteindre un seuil minimum de gravité pour justifier un examen par une juridiction internationale (</w:t>
      </w:r>
      <w:r w:rsidRPr="00CE4A8C">
        <w:rPr>
          <w:i/>
          <w:iCs/>
          <w:lang w:val="fr-FR"/>
        </w:rPr>
        <w:t>Korolev c. Russie</w:t>
      </w:r>
      <w:r w:rsidRPr="00CE4A8C">
        <w:rPr>
          <w:lang w:val="fr-FR"/>
        </w:rPr>
        <w:t xml:space="preserve"> (déc), nº 25551/05, 1 juillet 2010). L</w:t>
      </w:r>
      <w:r w:rsidR="00CE4A8C" w:rsidRPr="00CE4A8C">
        <w:rPr>
          <w:lang w:val="fr-FR"/>
        </w:rPr>
        <w:t>’</w:t>
      </w:r>
      <w:r w:rsidRPr="00CE4A8C">
        <w:rPr>
          <w:lang w:val="fr-FR"/>
        </w:rPr>
        <w:t>appréciation de ce seuil est, par nature, relative et dépend des circonstances de l</w:t>
      </w:r>
      <w:r w:rsidR="00CE4A8C" w:rsidRPr="00CE4A8C">
        <w:rPr>
          <w:lang w:val="fr-FR"/>
        </w:rPr>
        <w:t>’</w:t>
      </w:r>
      <w:r w:rsidRPr="00CE4A8C">
        <w:rPr>
          <w:lang w:val="fr-FR"/>
        </w:rPr>
        <w:t>espèce (</w:t>
      </w:r>
      <w:r w:rsidRPr="00CE4A8C">
        <w:rPr>
          <w:i/>
          <w:iCs/>
          <w:lang w:val="fr-FR"/>
        </w:rPr>
        <w:t>Korolev</w:t>
      </w:r>
      <w:r w:rsidRPr="00CE4A8C">
        <w:rPr>
          <w:lang w:val="fr-FR"/>
        </w:rPr>
        <w:t xml:space="preserve">, précitée, et, </w:t>
      </w:r>
      <w:r w:rsidRPr="00CE4A8C">
        <w:rPr>
          <w:i/>
          <w:lang w:val="fr-FR"/>
        </w:rPr>
        <w:t>mutatis mutandis</w:t>
      </w:r>
      <w:r w:rsidRPr="00CE4A8C">
        <w:rPr>
          <w:lang w:val="fr-FR"/>
        </w:rPr>
        <w:t xml:space="preserve">, </w:t>
      </w:r>
      <w:r w:rsidRPr="00CE4A8C">
        <w:rPr>
          <w:i/>
          <w:iCs/>
          <w:lang w:val="fr-FR"/>
        </w:rPr>
        <w:t>Soering c. Royaume-Uni</w:t>
      </w:r>
      <w:r w:rsidRPr="00CE4A8C">
        <w:rPr>
          <w:lang w:val="fr-FR"/>
        </w:rPr>
        <w:t>, 7 juillet 1989, § 100, série A no 161). Cette appréciation doit tenir compte tant de la perception subjective du requérant que de l</w:t>
      </w:r>
      <w:r w:rsidR="00CE4A8C" w:rsidRPr="00CE4A8C">
        <w:rPr>
          <w:lang w:val="fr-FR"/>
        </w:rPr>
        <w:t>’</w:t>
      </w:r>
      <w:r w:rsidRPr="00CE4A8C">
        <w:rPr>
          <w:lang w:val="fr-FR"/>
        </w:rPr>
        <w:t>enjeu objectif du litige.</w:t>
      </w:r>
    </w:p>
    <w:p w:rsidR="00E206E4"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137</w:t>
      </w:r>
      <w:r w:rsidRPr="00CE4A8C">
        <w:rPr>
          <w:lang w:val="fr-FR"/>
        </w:rPr>
        <w:fldChar w:fldCharType="end"/>
      </w:r>
      <w:r w:rsidRPr="00CE4A8C">
        <w:rPr>
          <w:lang w:val="fr-FR"/>
        </w:rPr>
        <w:t>.  La Cour rappelle qu</w:t>
      </w:r>
      <w:r w:rsidR="00CE4A8C" w:rsidRPr="00CE4A8C">
        <w:rPr>
          <w:lang w:val="fr-FR"/>
        </w:rPr>
        <w:t>’</w:t>
      </w:r>
      <w:r w:rsidRPr="00CE4A8C">
        <w:rPr>
          <w:lang w:val="fr-FR"/>
        </w:rPr>
        <w:t>afin de vérifier si la violation d</w:t>
      </w:r>
      <w:r w:rsidR="00CE4A8C" w:rsidRPr="00CE4A8C">
        <w:rPr>
          <w:lang w:val="fr-FR"/>
        </w:rPr>
        <w:t>’</w:t>
      </w:r>
      <w:r w:rsidRPr="00CE4A8C">
        <w:rPr>
          <w:lang w:val="fr-FR"/>
        </w:rPr>
        <w:t>un droit a atteint le seuil minimum de gravité il y a lieu de prendre en compte notamment les éléments suivants : la nature du droit prétendument violé, la gravité de l</w:t>
      </w:r>
      <w:r w:rsidR="00CE4A8C" w:rsidRPr="00CE4A8C">
        <w:rPr>
          <w:lang w:val="fr-FR"/>
        </w:rPr>
        <w:t>’</w:t>
      </w:r>
      <w:r w:rsidRPr="00CE4A8C">
        <w:rPr>
          <w:lang w:val="fr-FR"/>
        </w:rPr>
        <w:t>incidence de la violation alléguée dans l</w:t>
      </w:r>
      <w:r w:rsidR="00CE4A8C" w:rsidRPr="00CE4A8C">
        <w:rPr>
          <w:lang w:val="fr-FR"/>
        </w:rPr>
        <w:t>’</w:t>
      </w:r>
      <w:r w:rsidRPr="00CE4A8C">
        <w:rPr>
          <w:lang w:val="fr-FR"/>
        </w:rPr>
        <w:t>exercice d</w:t>
      </w:r>
      <w:r w:rsidR="00CE4A8C" w:rsidRPr="00CE4A8C">
        <w:rPr>
          <w:lang w:val="fr-FR"/>
        </w:rPr>
        <w:t>’</w:t>
      </w:r>
      <w:r w:rsidRPr="00CE4A8C">
        <w:rPr>
          <w:lang w:val="fr-FR"/>
        </w:rPr>
        <w:t>un droit et/ou les conséquences éventuelles de la violation sur la situation personnelle du requérant (</w:t>
      </w:r>
      <w:r w:rsidRPr="00CE4A8C">
        <w:rPr>
          <w:i/>
          <w:lang w:val="fr-FR"/>
        </w:rPr>
        <w:t>Giusti c. Italie</w:t>
      </w:r>
      <w:r w:rsidRPr="00CE4A8C">
        <w:rPr>
          <w:lang w:val="fr-FR"/>
        </w:rPr>
        <w:t>, n</w:t>
      </w:r>
      <w:r w:rsidRPr="00CE4A8C">
        <w:rPr>
          <w:vertAlign w:val="superscript"/>
          <w:lang w:val="fr-FR"/>
        </w:rPr>
        <w:t>o</w:t>
      </w:r>
      <w:r w:rsidRPr="00CE4A8C">
        <w:rPr>
          <w:lang w:val="fr-FR"/>
        </w:rPr>
        <w:t xml:space="preserve"> 13175/03</w:t>
      </w:r>
      <w:r w:rsidRPr="00CE4A8C">
        <w:rPr>
          <w:snapToGrid w:val="0"/>
          <w:szCs w:val="24"/>
          <w:lang w:val="fr-FR"/>
        </w:rPr>
        <w:t>, § 34, 1</w:t>
      </w:r>
      <w:r w:rsidRPr="00CE4A8C">
        <w:rPr>
          <w:szCs w:val="24"/>
          <w:lang w:val="fr-FR"/>
        </w:rPr>
        <w:t>8</w:t>
      </w:r>
      <w:r w:rsidRPr="00CE4A8C">
        <w:rPr>
          <w:snapToGrid w:val="0"/>
          <w:szCs w:val="24"/>
          <w:lang w:val="fr-FR"/>
        </w:rPr>
        <w:t xml:space="preserve"> </w:t>
      </w:r>
      <w:r w:rsidRPr="00CE4A8C">
        <w:rPr>
          <w:szCs w:val="24"/>
          <w:lang w:val="fr-FR"/>
        </w:rPr>
        <w:t>octobre</w:t>
      </w:r>
      <w:r w:rsidRPr="00CE4A8C">
        <w:rPr>
          <w:snapToGrid w:val="0"/>
          <w:szCs w:val="24"/>
          <w:lang w:val="fr-FR"/>
        </w:rPr>
        <w:t xml:space="preserve"> 2011)</w:t>
      </w:r>
      <w:r w:rsidRPr="00CE4A8C">
        <w:rPr>
          <w:lang w:val="fr-FR"/>
        </w:rPr>
        <w: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138</w:t>
      </w:r>
      <w:r w:rsidRPr="00CE4A8C">
        <w:rPr>
          <w:lang w:val="fr-FR"/>
        </w:rPr>
        <w:fldChar w:fldCharType="end"/>
      </w:r>
      <w:r w:rsidRPr="00CE4A8C">
        <w:rPr>
          <w:lang w:val="fr-FR"/>
        </w:rPr>
        <w:t>.  En l</w:t>
      </w:r>
      <w:r w:rsidR="00CE4A8C" w:rsidRPr="00CE4A8C">
        <w:rPr>
          <w:lang w:val="fr-FR"/>
        </w:rPr>
        <w:t>’</w:t>
      </w:r>
      <w:r w:rsidRPr="00CE4A8C">
        <w:rPr>
          <w:lang w:val="fr-FR"/>
        </w:rPr>
        <w:t>espèce, compte tenu de la nature des griefs soulevés par les requérants et des nombreux rapports scientifiques attestant l</w:t>
      </w:r>
      <w:r w:rsidR="00CE4A8C" w:rsidRPr="00CE4A8C">
        <w:rPr>
          <w:lang w:val="fr-FR"/>
        </w:rPr>
        <w:t>’</w:t>
      </w:r>
      <w:r w:rsidRPr="00CE4A8C">
        <w:rPr>
          <w:lang w:val="fr-FR"/>
        </w:rPr>
        <w:t>impact des nuisances de la société Ilva sur l</w:t>
      </w:r>
      <w:r w:rsidR="00CE4A8C" w:rsidRPr="00CE4A8C">
        <w:rPr>
          <w:lang w:val="fr-FR"/>
        </w:rPr>
        <w:t>’</w:t>
      </w:r>
      <w:r w:rsidRPr="00CE4A8C">
        <w:rPr>
          <w:lang w:val="fr-FR"/>
        </w:rPr>
        <w:t>environnement et sur la santé des personnes, la Cour estime que la première condition de l</w:t>
      </w:r>
      <w:r w:rsidR="00CE4A8C" w:rsidRPr="00CE4A8C">
        <w:rPr>
          <w:lang w:val="fr-FR"/>
        </w:rPr>
        <w:t>’</w:t>
      </w:r>
      <w:r w:rsidRPr="00CE4A8C">
        <w:rPr>
          <w:lang w:val="fr-FR"/>
        </w:rPr>
        <w:t>article 35 § 3 b) de la Convention, à savoir l</w:t>
      </w:r>
      <w:r w:rsidR="00CE4A8C" w:rsidRPr="00CE4A8C">
        <w:rPr>
          <w:lang w:val="fr-FR"/>
        </w:rPr>
        <w:t>’</w:t>
      </w:r>
      <w:r w:rsidRPr="00CE4A8C">
        <w:rPr>
          <w:lang w:val="fr-FR"/>
        </w:rPr>
        <w:t>absence de préjudice important, n</w:t>
      </w:r>
      <w:r w:rsidR="00CE4A8C" w:rsidRPr="00CE4A8C">
        <w:rPr>
          <w:lang w:val="fr-FR"/>
        </w:rPr>
        <w:t>’</w:t>
      </w:r>
      <w:r w:rsidRPr="00CE4A8C">
        <w:rPr>
          <w:lang w:val="fr-FR"/>
        </w:rPr>
        <w:t>est pas remplie.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139</w:t>
      </w:r>
      <w:r w:rsidRPr="00CE4A8C">
        <w:rPr>
          <w:lang w:val="fr-FR"/>
        </w:rPr>
        <w:fldChar w:fldCharType="end"/>
      </w:r>
      <w:r w:rsidRPr="00CE4A8C">
        <w:rPr>
          <w:lang w:val="fr-FR"/>
        </w:rPr>
        <w:t>.  Compte tenu de ce qui précède, la Cour estime qu</w:t>
      </w:r>
      <w:r w:rsidR="00CE4A8C" w:rsidRPr="00CE4A8C">
        <w:rPr>
          <w:lang w:val="fr-FR"/>
        </w:rPr>
        <w:t>’</w:t>
      </w:r>
      <w:r w:rsidRPr="00CE4A8C">
        <w:rPr>
          <w:lang w:val="fr-FR"/>
        </w:rPr>
        <w:t>il y a lieu de rejeter l</w:t>
      </w:r>
      <w:r w:rsidR="00CE4A8C" w:rsidRPr="00CE4A8C">
        <w:rPr>
          <w:lang w:val="fr-FR"/>
        </w:rPr>
        <w:t>’</w:t>
      </w:r>
      <w:r w:rsidRPr="00CE4A8C">
        <w:rPr>
          <w:lang w:val="fr-FR"/>
        </w:rPr>
        <w:t>exception du Gouvernement.</w:t>
      </w:r>
    </w:p>
    <w:p w:rsidR="0059426D" w:rsidRPr="00CE4A8C" w:rsidRDefault="0059426D" w:rsidP="00CE4A8C">
      <w:pPr>
        <w:pStyle w:val="ECHRHeading2"/>
        <w:rPr>
          <w:lang w:val="fr-FR"/>
        </w:rPr>
      </w:pPr>
      <w:r w:rsidRPr="00CE4A8C">
        <w:rPr>
          <w:lang w:val="fr-FR"/>
        </w:rPr>
        <w:lastRenderedPageBreak/>
        <w:t>B.  Conclusion sur la recevabilité des requêtes</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140</w:t>
      </w:r>
      <w:r w:rsidRPr="00CE4A8C">
        <w:fldChar w:fldCharType="end"/>
      </w:r>
      <w:r w:rsidRPr="00CE4A8C">
        <w:rPr>
          <w:lang w:val="fr-FR"/>
        </w:rPr>
        <w:t>.  Tout en rappelant ses conclusions concernant l</w:t>
      </w:r>
      <w:r w:rsidR="00CE4A8C" w:rsidRPr="00CE4A8C">
        <w:rPr>
          <w:lang w:val="fr-FR"/>
        </w:rPr>
        <w:t>’</w:t>
      </w:r>
      <w:r w:rsidRPr="00CE4A8C">
        <w:rPr>
          <w:lang w:val="fr-FR"/>
        </w:rPr>
        <w:t>irrecevabilité d</w:t>
      </w:r>
      <w:r w:rsidR="00CE4A8C" w:rsidRPr="00CE4A8C">
        <w:rPr>
          <w:lang w:val="fr-FR"/>
        </w:rPr>
        <w:t>’</w:t>
      </w:r>
      <w:r w:rsidRPr="00CE4A8C">
        <w:rPr>
          <w:lang w:val="fr-FR"/>
        </w:rPr>
        <w:t xml:space="preserve">une partie des requêtes (paragraphe </w:t>
      </w:r>
      <w:r w:rsidRPr="00CE4A8C">
        <w:rPr>
          <w:lang w:val="fr-FR"/>
        </w:rPr>
        <w:fldChar w:fldCharType="begin"/>
      </w:r>
      <w:r w:rsidRPr="00CE4A8C">
        <w:rPr>
          <w:lang w:val="fr-FR"/>
        </w:rPr>
        <w:instrText xml:space="preserve"> REF IRR \h  \* MERGEFORMAT </w:instrText>
      </w:r>
      <w:r w:rsidRPr="00CE4A8C">
        <w:rPr>
          <w:lang w:val="fr-FR"/>
        </w:rPr>
      </w:r>
      <w:r w:rsidRPr="00CE4A8C">
        <w:rPr>
          <w:lang w:val="fr-FR"/>
        </w:rPr>
        <w:fldChar w:fldCharType="separate"/>
      </w:r>
      <w:r w:rsidR="00CE4A8C" w:rsidRPr="00CE4A8C">
        <w:rPr>
          <w:noProof/>
          <w:lang w:val="fr-FR"/>
        </w:rPr>
        <w:t>103</w:t>
      </w:r>
      <w:r w:rsidRPr="00CE4A8C">
        <w:rPr>
          <w:lang w:val="fr-FR"/>
        </w:rPr>
        <w:fldChar w:fldCharType="end"/>
      </w:r>
      <w:r w:rsidRPr="00CE4A8C">
        <w:rPr>
          <w:lang w:val="fr-FR"/>
        </w:rPr>
        <w:t xml:space="preserve"> ci-dessus), la Cour constate que l</w:t>
      </w:r>
      <w:r w:rsidR="00CE4A8C" w:rsidRPr="00CE4A8C">
        <w:rPr>
          <w:lang w:val="fr-FR"/>
        </w:rPr>
        <w:t>’</w:t>
      </w:r>
      <w:r w:rsidRPr="00CE4A8C">
        <w:rPr>
          <w:lang w:val="fr-FR"/>
        </w:rPr>
        <w:t>autre partie de celles-ci n</w:t>
      </w:r>
      <w:r w:rsidR="00CE4A8C" w:rsidRPr="00CE4A8C">
        <w:rPr>
          <w:lang w:val="fr-FR"/>
        </w:rPr>
        <w:t>’</w:t>
      </w:r>
      <w:r w:rsidRPr="00CE4A8C">
        <w:rPr>
          <w:lang w:val="fr-FR"/>
        </w:rPr>
        <w:t>est pas manifestement mal fondée au sens de l</w:t>
      </w:r>
      <w:r w:rsidR="00CE4A8C" w:rsidRPr="00CE4A8C">
        <w:rPr>
          <w:lang w:val="fr-FR"/>
        </w:rPr>
        <w:t>’</w:t>
      </w:r>
      <w:r w:rsidR="00DE67CB" w:rsidRPr="00CE4A8C">
        <w:rPr>
          <w:lang w:val="fr-FR"/>
        </w:rPr>
        <w:t xml:space="preserve">article 35 </w:t>
      </w:r>
      <w:r w:rsidRPr="00CE4A8C">
        <w:rPr>
          <w:lang w:val="fr-FR"/>
        </w:rPr>
        <w:t>§ 3 de la Convention et qu</w:t>
      </w:r>
      <w:r w:rsidR="00CE4A8C" w:rsidRPr="00CE4A8C">
        <w:rPr>
          <w:lang w:val="fr-FR"/>
        </w:rPr>
        <w:t>’</w:t>
      </w:r>
      <w:r w:rsidRPr="00CE4A8C">
        <w:rPr>
          <w:lang w:val="fr-FR"/>
        </w:rPr>
        <w:t>elle ne se heurte à aucun autre motif d</w:t>
      </w:r>
      <w:r w:rsidR="00CE4A8C" w:rsidRPr="00CE4A8C">
        <w:rPr>
          <w:lang w:val="fr-FR"/>
        </w:rPr>
        <w:t>’</w:t>
      </w:r>
      <w:r w:rsidRPr="00CE4A8C">
        <w:rPr>
          <w:lang w:val="fr-FR"/>
        </w:rPr>
        <w:t>irrecevabilité. Il convient donc de la déclarer recevable.</w:t>
      </w:r>
    </w:p>
    <w:p w:rsidR="0059426D" w:rsidRPr="00CE4A8C" w:rsidRDefault="0059426D" w:rsidP="00CE4A8C">
      <w:pPr>
        <w:pStyle w:val="ECHRHeading2"/>
        <w:rPr>
          <w:lang w:val="fr-FR"/>
        </w:rPr>
      </w:pPr>
      <w:r w:rsidRPr="00CE4A8C">
        <w:rPr>
          <w:lang w:val="fr-FR"/>
        </w:rPr>
        <w:t>C.  Sur le fond</w:t>
      </w:r>
    </w:p>
    <w:p w:rsidR="00E206E4" w:rsidRPr="00CE4A8C" w:rsidRDefault="0059426D" w:rsidP="00CE4A8C">
      <w:pPr>
        <w:pStyle w:val="ECHRHeading3"/>
        <w:rPr>
          <w:lang w:val="fr-FR"/>
        </w:rPr>
      </w:pPr>
      <w:r w:rsidRPr="00CE4A8C">
        <w:rPr>
          <w:lang w:val="fr-FR"/>
        </w:rPr>
        <w:t>1.  Article 8 de la Convention</w:t>
      </w:r>
    </w:p>
    <w:p w:rsidR="0059426D" w:rsidRPr="00CE4A8C" w:rsidRDefault="00C54644" w:rsidP="00CE4A8C">
      <w:pPr>
        <w:pStyle w:val="ECHRHeading4"/>
        <w:rPr>
          <w:lang w:val="fr-FR"/>
        </w:rPr>
      </w:pPr>
      <w:r w:rsidRPr="00CE4A8C">
        <w:rPr>
          <w:lang w:val="fr-FR"/>
        </w:rPr>
        <w:t>a)  </w:t>
      </w:r>
      <w:r w:rsidR="0059426D" w:rsidRPr="00CE4A8C">
        <w:rPr>
          <w:lang w:val="fr-FR"/>
        </w:rPr>
        <w:t>Les thèses des parties</w:t>
      </w:r>
    </w:p>
    <w:p w:rsidR="0059426D" w:rsidRPr="00CE4A8C" w:rsidRDefault="0059426D" w:rsidP="00CE4A8C">
      <w:pPr>
        <w:pStyle w:val="ECHRHeading5"/>
        <w:rPr>
          <w:lang w:val="fr-FR"/>
        </w:rPr>
      </w:pPr>
      <w:r w:rsidRPr="00CE4A8C">
        <w:rPr>
          <w:lang w:val="fr-FR"/>
        </w:rPr>
        <w:t>i.  Les requérants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141</w:t>
      </w:r>
      <w:r w:rsidRPr="00CE4A8C">
        <w:rPr>
          <w:lang w:val="fr-FR"/>
        </w:rPr>
        <w:fldChar w:fldCharType="end"/>
      </w:r>
      <w:r w:rsidRPr="00CE4A8C">
        <w:rPr>
          <w:lang w:val="fr-FR"/>
        </w:rPr>
        <w:t>.  Les requérants réitèrent leurs griefs, et ils maintiennent que les autorités italiennes ont omis de prendre toutes les mesures appropriées pour protéger leur vie et leur santé. Ils soutiennent être affectés par la pollution et être plus susceptibles de contracter diverses pathologies, tel que cela aurait été démontré par de nombreux rapports.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142</w:t>
      </w:r>
      <w:r w:rsidRPr="00CE4A8C">
        <w:rPr>
          <w:lang w:val="fr-FR"/>
        </w:rPr>
        <w:fldChar w:fldCharType="end"/>
      </w:r>
      <w:r w:rsidRPr="00CE4A8C">
        <w:rPr>
          <w:lang w:val="fr-FR"/>
        </w:rPr>
        <w:t>.  Les requérants disent aussi que la présente affaire diffère de l</w:t>
      </w:r>
      <w:r w:rsidR="00CE4A8C" w:rsidRPr="00CE4A8C">
        <w:rPr>
          <w:lang w:val="fr-FR"/>
        </w:rPr>
        <w:t>’</w:t>
      </w:r>
      <w:r w:rsidRPr="00CE4A8C">
        <w:rPr>
          <w:lang w:val="fr-FR"/>
        </w:rPr>
        <w:t xml:space="preserve">affaire </w:t>
      </w:r>
      <w:r w:rsidRPr="00CE4A8C">
        <w:rPr>
          <w:i/>
          <w:lang w:val="fr-FR"/>
        </w:rPr>
        <w:t>Smaltini c. Italie</w:t>
      </w:r>
      <w:r w:rsidRPr="00CE4A8C">
        <w:rPr>
          <w:lang w:val="fr-FR"/>
        </w:rPr>
        <w:t xml:space="preserve"> ((déc.) n</w:t>
      </w:r>
      <w:r w:rsidRPr="00CE4A8C">
        <w:rPr>
          <w:vertAlign w:val="superscript"/>
          <w:lang w:val="fr-FR"/>
        </w:rPr>
        <w:t>o</w:t>
      </w:r>
      <w:r w:rsidRPr="00CE4A8C">
        <w:rPr>
          <w:lang w:val="fr-FR"/>
        </w:rPr>
        <w:t xml:space="preserve"> 43961/09, 24 mars 2015) en ce que, dans cette dernière espèce, contrairement à eux, la requérante se plaignait d</w:t>
      </w:r>
      <w:r w:rsidR="00CE4A8C" w:rsidRPr="00CE4A8C">
        <w:rPr>
          <w:lang w:val="fr-FR"/>
        </w:rPr>
        <w:t>’</w:t>
      </w:r>
      <w:r w:rsidRPr="00CE4A8C">
        <w:rPr>
          <w:lang w:val="fr-FR"/>
        </w:rPr>
        <w:t>avoir contracté une pathologie en raison de son exposition à la pollution causée par la société Ilva. Cette affaire aurait donc porté sur le lien de causalité entre la maladie de cette requérante et les émissions nocives, et non, comme en l</w:t>
      </w:r>
      <w:r w:rsidR="00CE4A8C" w:rsidRPr="00CE4A8C">
        <w:rPr>
          <w:lang w:val="fr-FR"/>
        </w:rPr>
        <w:t>’</w:t>
      </w:r>
      <w:r w:rsidRPr="00CE4A8C">
        <w:rPr>
          <w:lang w:val="fr-FR"/>
        </w:rPr>
        <w:t>espèce, sur un manquement de l</w:t>
      </w:r>
      <w:r w:rsidR="00CE4A8C" w:rsidRPr="00CE4A8C">
        <w:rPr>
          <w:lang w:val="fr-FR"/>
        </w:rPr>
        <w:t>’</w:t>
      </w:r>
      <w:r w:rsidRPr="00CE4A8C">
        <w:rPr>
          <w:lang w:val="fr-FR"/>
        </w:rPr>
        <w:t>État à prendre les mesures visant à protéger la santé des requérants et leur environnement.</w:t>
      </w:r>
    </w:p>
    <w:p w:rsidR="0059426D" w:rsidRPr="00CE4A8C" w:rsidRDefault="00C54644" w:rsidP="00CE4A8C">
      <w:pPr>
        <w:pStyle w:val="ECHRHeading5"/>
        <w:rPr>
          <w:lang w:val="fr-FR"/>
        </w:rPr>
      </w:pPr>
      <w:r w:rsidRPr="00CE4A8C">
        <w:rPr>
          <w:lang w:val="fr-FR"/>
        </w:rPr>
        <w:t>ii.  </w:t>
      </w:r>
      <w:r w:rsidR="0059426D" w:rsidRPr="00CE4A8C">
        <w:rPr>
          <w:lang w:val="fr-FR"/>
        </w:rPr>
        <w:t>Le Gouvernement</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143</w:t>
      </w:r>
      <w:r w:rsidRPr="00CE4A8C">
        <w:rPr>
          <w:lang w:val="fr-FR"/>
        </w:rPr>
        <w:fldChar w:fldCharType="end"/>
      </w:r>
      <w:r w:rsidRPr="00CE4A8C">
        <w:rPr>
          <w:lang w:val="fr-FR"/>
        </w:rPr>
        <w:t>.  Le Gouvernement soutient que les juridictions nationales ont mené des procédures impartiales en poursuivant les responsables des conduites délictueuses concernant l</w:t>
      </w:r>
      <w:r w:rsidR="00CE4A8C" w:rsidRPr="00CE4A8C">
        <w:rPr>
          <w:lang w:val="fr-FR"/>
        </w:rPr>
        <w:t>’</w:t>
      </w:r>
      <w:r w:rsidRPr="00CE4A8C">
        <w:rPr>
          <w:lang w:val="fr-FR"/>
        </w:rPr>
        <w:t>environnement et la santé des personnes.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144</w:t>
      </w:r>
      <w:r w:rsidRPr="00CE4A8C">
        <w:rPr>
          <w:lang w:val="fr-FR"/>
        </w:rPr>
        <w:fldChar w:fldCharType="end"/>
      </w:r>
      <w:r w:rsidRPr="00CE4A8C">
        <w:rPr>
          <w:lang w:val="fr-FR"/>
        </w:rPr>
        <w:t>.  De plus, il dit que, selon un rapport du ministère de la Santé de 2014, le taux de PM10 a diminué.</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145</w:t>
      </w:r>
      <w:r w:rsidRPr="00CE4A8C">
        <w:rPr>
          <w:lang w:val="fr-FR"/>
        </w:rPr>
        <w:fldChar w:fldCharType="end"/>
      </w:r>
      <w:r w:rsidRPr="00CE4A8C">
        <w:rPr>
          <w:lang w:val="fr-FR"/>
        </w:rPr>
        <w:t>.  Le Gouvernement indique en outre que dans l</w:t>
      </w:r>
      <w:r w:rsidR="00CE4A8C" w:rsidRPr="00CE4A8C">
        <w:rPr>
          <w:lang w:val="fr-FR"/>
        </w:rPr>
        <w:t>’</w:t>
      </w:r>
      <w:r w:rsidRPr="00CE4A8C">
        <w:rPr>
          <w:lang w:val="fr-FR"/>
        </w:rPr>
        <w:t xml:space="preserve">affaire </w:t>
      </w:r>
      <w:r w:rsidRPr="00CE4A8C">
        <w:rPr>
          <w:i/>
          <w:lang w:val="fr-FR"/>
        </w:rPr>
        <w:t>Smaltini c. Italie</w:t>
      </w:r>
      <w:r w:rsidRPr="00CE4A8C">
        <w:rPr>
          <w:lang w:val="fr-FR"/>
        </w:rPr>
        <w:t>, précitée, la Cour avait conclu à l</w:t>
      </w:r>
      <w:r w:rsidR="00CE4A8C" w:rsidRPr="00CE4A8C">
        <w:rPr>
          <w:lang w:val="fr-FR"/>
        </w:rPr>
        <w:t>’</w:t>
      </w:r>
      <w:r w:rsidRPr="00CE4A8C">
        <w:rPr>
          <w:lang w:val="fr-FR"/>
        </w:rPr>
        <w:t>absence de preuve d</w:t>
      </w:r>
      <w:r w:rsidR="00CE4A8C" w:rsidRPr="00CE4A8C">
        <w:rPr>
          <w:lang w:val="fr-FR"/>
        </w:rPr>
        <w:t>’</w:t>
      </w:r>
      <w:r w:rsidRPr="00CE4A8C">
        <w:rPr>
          <w:lang w:val="fr-FR"/>
        </w:rPr>
        <w:t>un lien de causalité entre la pathologie contractée par la requérante et les émissions nocives de l</w:t>
      </w:r>
      <w:r w:rsidR="00CE4A8C" w:rsidRPr="00CE4A8C">
        <w:rPr>
          <w:lang w:val="fr-FR"/>
        </w:rPr>
        <w:t>’</w:t>
      </w:r>
      <w:r w:rsidRPr="00CE4A8C">
        <w:rPr>
          <w:lang w:val="fr-FR"/>
        </w:rPr>
        <w:t>usine Ilva et, par conséquent, au défaut manifeste de fondement de la requête. À plus forte raison, cette conclusion est, selon lui, valable dans le cas présentement soumis à la Cour.</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146</w:t>
      </w:r>
      <w:r w:rsidRPr="00CE4A8C">
        <w:rPr>
          <w:lang w:val="fr-FR"/>
        </w:rPr>
        <w:fldChar w:fldCharType="end"/>
      </w:r>
      <w:r w:rsidRPr="00CE4A8C">
        <w:rPr>
          <w:lang w:val="fr-FR"/>
        </w:rPr>
        <w:t xml:space="preserve">.  Le Gouvernement soutient également que la société Ilva a toujours mené son activité de production en se conformant aux autorisations accordées par la municipalité, la région et la province. Il ajoute que des </w:t>
      </w:r>
      <w:r w:rsidRPr="00CE4A8C">
        <w:rPr>
          <w:lang w:val="fr-FR"/>
        </w:rPr>
        <w:lastRenderedPageBreak/>
        <w:t>plans de prévention de la pollution et d</w:t>
      </w:r>
      <w:r w:rsidR="00CE4A8C" w:rsidRPr="00CE4A8C">
        <w:rPr>
          <w:lang w:val="fr-FR"/>
        </w:rPr>
        <w:t>’</w:t>
      </w:r>
      <w:r w:rsidRPr="00CE4A8C">
        <w:rPr>
          <w:lang w:val="fr-FR"/>
        </w:rPr>
        <w:t>adoption de mesures visant à assurer la qualité de l</w:t>
      </w:r>
      <w:r w:rsidR="00CE4A8C" w:rsidRPr="00CE4A8C">
        <w:rPr>
          <w:lang w:val="fr-FR"/>
        </w:rPr>
        <w:t>’</w:t>
      </w:r>
      <w:r w:rsidRPr="00CE4A8C">
        <w:rPr>
          <w:lang w:val="fr-FR"/>
        </w:rPr>
        <w:t>air dans le quartier Tamburi (Tarente) ont été mis en place. Plusieurs mesures auraient d</w:t>
      </w:r>
      <w:r w:rsidR="00CE4A8C" w:rsidRPr="00CE4A8C">
        <w:rPr>
          <w:lang w:val="fr-FR"/>
        </w:rPr>
        <w:t>’</w:t>
      </w:r>
      <w:r w:rsidRPr="00CE4A8C">
        <w:rPr>
          <w:lang w:val="fr-FR"/>
        </w:rPr>
        <w:t>ailleurs été adoptées, permettant une amélioration considérable de la qualité de l</w:t>
      </w:r>
      <w:r w:rsidR="00CE4A8C" w:rsidRPr="00CE4A8C">
        <w:rPr>
          <w:lang w:val="fr-FR"/>
        </w:rPr>
        <w:t>’</w:t>
      </w:r>
      <w:r w:rsidRPr="00CE4A8C">
        <w:rPr>
          <w:lang w:val="fr-FR"/>
        </w:rPr>
        <w:t>air.</w:t>
      </w:r>
    </w:p>
    <w:p w:rsidR="0059426D" w:rsidRPr="00CE4A8C" w:rsidRDefault="00C54644" w:rsidP="00CE4A8C">
      <w:pPr>
        <w:pStyle w:val="ECHRHeading4"/>
        <w:rPr>
          <w:lang w:val="fr-FR"/>
        </w:rPr>
      </w:pPr>
      <w:r w:rsidRPr="00CE4A8C">
        <w:rPr>
          <w:lang w:val="fr-FR"/>
        </w:rPr>
        <w:t>b)  </w:t>
      </w:r>
      <w:r w:rsidR="0059426D" w:rsidRPr="00CE4A8C">
        <w:rPr>
          <w:lang w:val="fr-FR"/>
        </w:rPr>
        <w:t>Les observations des tiers intervenants</w:t>
      </w:r>
    </w:p>
    <w:p w:rsidR="0059426D" w:rsidRPr="00CE4A8C" w:rsidRDefault="0059426D" w:rsidP="00CE4A8C">
      <w:pPr>
        <w:pStyle w:val="ECHRHeading5"/>
        <w:rPr>
          <w:lang w:val="fr-FR"/>
        </w:rPr>
      </w:pPr>
      <w:r w:rsidRPr="00CE4A8C">
        <w:rPr>
          <w:lang w:val="fr-FR"/>
        </w:rPr>
        <w:t xml:space="preserve">i.  Le </w:t>
      </w:r>
      <w:r w:rsidRPr="00CE4A8C">
        <w:rPr>
          <w:i w:val="0"/>
          <w:lang w:val="fr-FR"/>
        </w:rPr>
        <w:t>Clinical program</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147</w:t>
      </w:r>
      <w:r w:rsidRPr="00CE4A8C">
        <w:rPr>
          <w:lang w:val="fr-FR"/>
        </w:rPr>
        <w:fldChar w:fldCharType="end"/>
      </w:r>
      <w:r w:rsidRPr="00CE4A8C">
        <w:rPr>
          <w:lang w:val="fr-FR"/>
        </w:rPr>
        <w:t xml:space="preserve">.  Le </w:t>
      </w:r>
      <w:r w:rsidRPr="00CE4A8C">
        <w:rPr>
          <w:i/>
          <w:lang w:val="fr-FR"/>
        </w:rPr>
        <w:t>Clinical program</w:t>
      </w:r>
      <w:r w:rsidRPr="00CE4A8C">
        <w:rPr>
          <w:lang w:val="fr-FR"/>
        </w:rPr>
        <w:t xml:space="preserve"> reprend la chronologie des décrets-lois « </w:t>
      </w:r>
      <w:r w:rsidRPr="00CE4A8C">
        <w:rPr>
          <w:i/>
          <w:lang w:val="fr-FR"/>
        </w:rPr>
        <w:t>salva-Ilva</w:t>
      </w:r>
      <w:r w:rsidRPr="00CE4A8C">
        <w:rPr>
          <w:lang w:val="fr-FR"/>
        </w:rPr>
        <w:t> » et pointe du doigt l</w:t>
      </w:r>
      <w:r w:rsidR="00CE4A8C" w:rsidRPr="00CE4A8C">
        <w:rPr>
          <w:lang w:val="fr-FR"/>
        </w:rPr>
        <w:t>’</w:t>
      </w:r>
      <w:r w:rsidRPr="00CE4A8C">
        <w:rPr>
          <w:lang w:val="fr-FR"/>
        </w:rPr>
        <w:t>immunité judiciaire reconnue aux personnes chargées de garantir le respect des prescriptions en matière environnementale, ainsi que la prorogation continue des délais pour la mise en œuvre du plan environnemental.</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148</w:t>
      </w:r>
      <w:r w:rsidRPr="00CE4A8C">
        <w:rPr>
          <w:lang w:val="fr-FR"/>
        </w:rPr>
        <w:fldChar w:fldCharType="end"/>
      </w:r>
      <w:r w:rsidRPr="00CE4A8C">
        <w:rPr>
          <w:lang w:val="fr-FR"/>
        </w:rPr>
        <w:t>.  Selon le Gouvernement, les informations fournies par cette tierce partie ne sont pas pertinentes et font tout au plus état des actions de prévention et de réparation des problèmes environnementaux menées par les autorités.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149</w:t>
      </w:r>
      <w:r w:rsidRPr="00CE4A8C">
        <w:rPr>
          <w:lang w:val="fr-FR"/>
        </w:rPr>
        <w:fldChar w:fldCharType="end"/>
      </w:r>
      <w:r w:rsidRPr="00CE4A8C">
        <w:rPr>
          <w:lang w:val="fr-FR"/>
        </w:rPr>
        <w:t>.  Les requérants partagent la position de cette tierce partie.</w:t>
      </w:r>
    </w:p>
    <w:p w:rsidR="0059426D" w:rsidRPr="00CE4A8C" w:rsidRDefault="0059426D" w:rsidP="00CE4A8C">
      <w:pPr>
        <w:pStyle w:val="ECHRHeading5"/>
        <w:rPr>
          <w:lang w:val="fr-FR"/>
        </w:rPr>
      </w:pPr>
      <w:r w:rsidRPr="00CE4A8C">
        <w:rPr>
          <w:lang w:val="fr-FR"/>
        </w:rPr>
        <w:t>ii.  L</w:t>
      </w:r>
      <w:r w:rsidR="00CE4A8C" w:rsidRPr="00CE4A8C">
        <w:rPr>
          <w:lang w:val="fr-FR"/>
        </w:rPr>
        <w:t>’</w:t>
      </w:r>
      <w:r w:rsidRPr="00CE4A8C">
        <w:rPr>
          <w:lang w:val="fr-FR"/>
        </w:rPr>
        <w:t>ISDE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150</w:t>
      </w:r>
      <w:r w:rsidRPr="00CE4A8C">
        <w:rPr>
          <w:lang w:val="fr-FR"/>
        </w:rPr>
        <w:fldChar w:fldCharType="end"/>
      </w:r>
      <w:r w:rsidRPr="00CE4A8C">
        <w:rPr>
          <w:lang w:val="fr-FR"/>
        </w:rPr>
        <w:t>.  L</w:t>
      </w:r>
      <w:r w:rsidR="00CE4A8C" w:rsidRPr="00CE4A8C">
        <w:rPr>
          <w:lang w:val="fr-FR"/>
        </w:rPr>
        <w:t>’</w:t>
      </w:r>
      <w:r w:rsidRPr="00CE4A8C">
        <w:rPr>
          <w:szCs w:val="24"/>
          <w:lang w:val="fr-FR"/>
        </w:rPr>
        <w:t>ISDE</w:t>
      </w:r>
      <w:r w:rsidRPr="00CE4A8C">
        <w:rPr>
          <w:lang w:val="fr-FR"/>
        </w:rPr>
        <w:t xml:space="preserve"> se réfère à plusieurs études attestant la pollution dans des zones se situant à proximité de la région concernée.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151</w:t>
      </w:r>
      <w:r w:rsidRPr="00CE4A8C">
        <w:rPr>
          <w:lang w:val="fr-FR"/>
        </w:rPr>
        <w:fldChar w:fldCharType="end"/>
      </w:r>
      <w:r w:rsidRPr="00CE4A8C">
        <w:rPr>
          <w:lang w:val="fr-FR"/>
        </w:rPr>
        <w:t>.  Cette tierce partie se reporte aussi à certaines données du rapport SENTIERI de 2014, faisant état d</w:t>
      </w:r>
      <w:r w:rsidR="00CE4A8C" w:rsidRPr="00CE4A8C">
        <w:rPr>
          <w:lang w:val="fr-FR"/>
        </w:rPr>
        <w:t>’</w:t>
      </w:r>
      <w:r w:rsidRPr="00CE4A8C">
        <w:rPr>
          <w:lang w:val="fr-FR"/>
        </w:rPr>
        <w:t>un taux de mortalité infantile plus élevé dans la région de Tarente par rapport au taux des autres régions (taux supérieur de 20 % s</w:t>
      </w:r>
      <w:r w:rsidR="00CE4A8C" w:rsidRPr="00CE4A8C">
        <w:rPr>
          <w:lang w:val="fr-FR"/>
        </w:rPr>
        <w:t>’</w:t>
      </w:r>
      <w:r w:rsidRPr="00CE4A8C">
        <w:rPr>
          <w:lang w:val="fr-FR"/>
        </w:rPr>
        <w:t>agissant des décès dans la première année de vie et de 45 % s</w:t>
      </w:r>
      <w:r w:rsidR="00CE4A8C" w:rsidRPr="00CE4A8C">
        <w:rPr>
          <w:lang w:val="fr-FR"/>
        </w:rPr>
        <w:t>’</w:t>
      </w:r>
      <w:r w:rsidRPr="00CE4A8C">
        <w:rPr>
          <w:lang w:val="fr-FR"/>
        </w:rPr>
        <w:t xml:space="preserve">agissant des décès </w:t>
      </w:r>
      <w:r w:rsidRPr="00CE4A8C">
        <w:rPr>
          <w:i/>
          <w:lang w:val="fr-FR"/>
        </w:rPr>
        <w:t>in utero</w:t>
      </w:r>
      <w:r w:rsidRPr="00CE4A8C">
        <w:rPr>
          <w:lang w:val="fr-FR"/>
        </w:rPr>
        <w:t>) ainsi que d</w:t>
      </w:r>
      <w:r w:rsidR="00CE4A8C" w:rsidRPr="00CE4A8C">
        <w:rPr>
          <w:lang w:val="fr-FR"/>
        </w:rPr>
        <w:t>’</w:t>
      </w:r>
      <w:r w:rsidRPr="00CE4A8C">
        <w:rPr>
          <w:lang w:val="fr-FR"/>
        </w:rPr>
        <w:t>un risque de cancer plus élevé dans la tranche d</w:t>
      </w:r>
      <w:r w:rsidR="00CE4A8C" w:rsidRPr="00CE4A8C">
        <w:rPr>
          <w:lang w:val="fr-FR"/>
        </w:rPr>
        <w:t>’</w:t>
      </w:r>
      <w:r w:rsidRPr="00CE4A8C">
        <w:rPr>
          <w:lang w:val="fr-FR"/>
        </w:rPr>
        <w:t>âge des 0</w:t>
      </w:r>
      <w:r w:rsidRPr="00CE4A8C">
        <w:rPr>
          <w:lang w:val="fr-FR"/>
        </w:rPr>
        <w:noBreakHyphen/>
        <w:t>14 ans.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152</w:t>
      </w:r>
      <w:r w:rsidRPr="00CE4A8C">
        <w:rPr>
          <w:lang w:val="fr-FR"/>
        </w:rPr>
        <w:fldChar w:fldCharType="end"/>
      </w:r>
      <w:r w:rsidRPr="00CE4A8C">
        <w:rPr>
          <w:lang w:val="fr-FR"/>
        </w:rPr>
        <w:t>.  L</w:t>
      </w:r>
      <w:r w:rsidR="00CE4A8C" w:rsidRPr="00CE4A8C">
        <w:rPr>
          <w:lang w:val="fr-FR"/>
        </w:rPr>
        <w:t>’</w:t>
      </w:r>
      <w:r w:rsidRPr="00CE4A8C">
        <w:rPr>
          <w:lang w:val="fr-FR"/>
        </w:rPr>
        <w:t>ISDE se réfère également à l</w:t>
      </w:r>
      <w:r w:rsidR="00CE4A8C" w:rsidRPr="00CE4A8C">
        <w:rPr>
          <w:lang w:val="fr-FR"/>
        </w:rPr>
        <w:t>’</w:t>
      </w:r>
      <w:r w:rsidRPr="00CE4A8C">
        <w:rPr>
          <w:lang w:val="fr-FR"/>
        </w:rPr>
        <w:t xml:space="preserve">étude de cohorte, concernant le lien de causalité entre la pollution et la survenue de nombreuses pathologies (paragraphe </w:t>
      </w:r>
      <w:r w:rsidRPr="00CE4A8C">
        <w:rPr>
          <w:lang w:val="fr-FR"/>
        </w:rPr>
        <w:fldChar w:fldCharType="begin"/>
      </w:r>
      <w:r w:rsidRPr="00CE4A8C">
        <w:rPr>
          <w:lang w:val="fr-FR"/>
        </w:rPr>
        <w:instrText xml:space="preserve"> REF coohrte \h  \* MERGEFORMAT </w:instrText>
      </w:r>
      <w:r w:rsidRPr="00CE4A8C">
        <w:rPr>
          <w:lang w:val="fr-FR"/>
        </w:rPr>
      </w:r>
      <w:r w:rsidRPr="00CE4A8C">
        <w:rPr>
          <w:lang w:val="fr-FR"/>
        </w:rPr>
        <w:fldChar w:fldCharType="separate"/>
      </w:r>
      <w:r w:rsidR="00CE4A8C" w:rsidRPr="00CE4A8C">
        <w:rPr>
          <w:noProof/>
          <w:lang w:val="fr-FR"/>
        </w:rPr>
        <w:t>25</w:t>
      </w:r>
      <w:r w:rsidRPr="00CE4A8C">
        <w:rPr>
          <w:lang w:val="fr-FR"/>
        </w:rPr>
        <w:fldChar w:fldCharType="end"/>
      </w:r>
      <w:r w:rsidRPr="00CE4A8C">
        <w:rPr>
          <w:lang w:val="fr-FR"/>
        </w:rPr>
        <w:t xml:space="preserve"> ci-dessus), et indique que, selon des données du registre régional des malformations congénitales, dans la région de Tarente, lesdites malformations sont supérieures de 10 % par rapport à la moyenne régionale.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153</w:t>
      </w:r>
      <w:r w:rsidRPr="00CE4A8C">
        <w:rPr>
          <w:lang w:val="fr-FR"/>
        </w:rPr>
        <w:fldChar w:fldCharType="end"/>
      </w:r>
      <w:r w:rsidRPr="00CE4A8C">
        <w:rPr>
          <w:lang w:val="fr-FR"/>
        </w:rPr>
        <w:t>.  L</w:t>
      </w:r>
      <w:r w:rsidR="00CE4A8C" w:rsidRPr="00CE4A8C">
        <w:rPr>
          <w:lang w:val="fr-FR"/>
        </w:rPr>
        <w:t>’</w:t>
      </w:r>
      <w:r w:rsidRPr="00CE4A8C">
        <w:rPr>
          <w:lang w:val="fr-FR"/>
        </w:rPr>
        <w:t>ISDE indique en outre que, selon une étude concernant des femmes résidant dans cinq villes industrielles des Pouilles, dont Tarente, il existe une corrélation entre, d</w:t>
      </w:r>
      <w:r w:rsidR="00CE4A8C" w:rsidRPr="00CE4A8C">
        <w:rPr>
          <w:lang w:val="fr-FR"/>
        </w:rPr>
        <w:t>’</w:t>
      </w:r>
      <w:r w:rsidRPr="00CE4A8C">
        <w:rPr>
          <w:lang w:val="fr-FR"/>
        </w:rPr>
        <w:t>une part, la présence de PM10 et les niveaux d</w:t>
      </w:r>
      <w:r w:rsidR="00CE4A8C" w:rsidRPr="00CE4A8C">
        <w:rPr>
          <w:lang w:val="fr-FR"/>
        </w:rPr>
        <w:t>’</w:t>
      </w:r>
      <w:r w:rsidRPr="00CE4A8C">
        <w:rPr>
          <w:lang w:val="fr-FR"/>
        </w:rPr>
        <w:t>ozone et, d</w:t>
      </w:r>
      <w:r w:rsidR="00CE4A8C" w:rsidRPr="00CE4A8C">
        <w:rPr>
          <w:lang w:val="fr-FR"/>
        </w:rPr>
        <w:t>’</w:t>
      </w:r>
      <w:r w:rsidRPr="00CE4A8C">
        <w:rPr>
          <w:lang w:val="fr-FR"/>
        </w:rPr>
        <w:t>autre part, le taux de fausses couches.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154</w:t>
      </w:r>
      <w:r w:rsidRPr="00CE4A8C">
        <w:rPr>
          <w:lang w:val="fr-FR"/>
        </w:rPr>
        <w:fldChar w:fldCharType="end"/>
      </w:r>
      <w:r w:rsidRPr="00CE4A8C">
        <w:rPr>
          <w:lang w:val="fr-FR"/>
        </w:rPr>
        <w:t>.  L</w:t>
      </w:r>
      <w:r w:rsidR="00CE4A8C" w:rsidRPr="00CE4A8C">
        <w:rPr>
          <w:lang w:val="fr-FR"/>
        </w:rPr>
        <w:t>’</w:t>
      </w:r>
      <w:r w:rsidRPr="00CE4A8C">
        <w:rPr>
          <w:lang w:val="fr-FR"/>
        </w:rPr>
        <w:t>ISDE indique aussi que l</w:t>
      </w:r>
      <w:r w:rsidR="00CE4A8C" w:rsidRPr="00CE4A8C">
        <w:rPr>
          <w:lang w:val="fr-FR"/>
        </w:rPr>
        <w:t>’</w:t>
      </w:r>
      <w:r w:rsidRPr="00CE4A8C">
        <w:rPr>
          <w:lang w:val="fr-FR"/>
        </w:rPr>
        <w:t>observatoire régional des troubles autistiques a conclu en 2016 à un taux de troubles plus important dans la province de Tarente par rapport au taux moyen de la région et au taux d</w:t>
      </w:r>
      <w:r w:rsidR="00CE4A8C" w:rsidRPr="00CE4A8C">
        <w:rPr>
          <w:lang w:val="fr-FR"/>
        </w:rPr>
        <w:t>’</w:t>
      </w:r>
      <w:r w:rsidRPr="00CE4A8C">
        <w:rPr>
          <w:lang w:val="fr-FR"/>
        </w:rPr>
        <w:t>autres provinces des Pouilles.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155</w:t>
      </w:r>
      <w:r w:rsidRPr="00CE4A8C">
        <w:rPr>
          <w:lang w:val="fr-FR"/>
        </w:rPr>
        <w:fldChar w:fldCharType="end"/>
      </w:r>
      <w:r w:rsidRPr="00CE4A8C">
        <w:rPr>
          <w:lang w:val="fr-FR"/>
        </w:rPr>
        <w:t>.  L</w:t>
      </w:r>
      <w:r w:rsidR="00CE4A8C" w:rsidRPr="00CE4A8C">
        <w:rPr>
          <w:lang w:val="fr-FR"/>
        </w:rPr>
        <w:t>’</w:t>
      </w:r>
      <w:r w:rsidRPr="00CE4A8C">
        <w:rPr>
          <w:lang w:val="fr-FR"/>
        </w:rPr>
        <w:t>ISDE renvoie enfin aux décrets-lois « </w:t>
      </w:r>
      <w:r w:rsidRPr="00CE4A8C">
        <w:rPr>
          <w:i/>
          <w:lang w:val="fr-FR"/>
        </w:rPr>
        <w:t>salva-Ilva</w:t>
      </w:r>
      <w:r w:rsidRPr="00CE4A8C">
        <w:rPr>
          <w:lang w:val="fr-FR"/>
        </w:rPr>
        <w:t> », en particulier au décret-loi n</w:t>
      </w:r>
      <w:r w:rsidRPr="00CE4A8C">
        <w:rPr>
          <w:vertAlign w:val="superscript"/>
          <w:lang w:val="fr-FR"/>
        </w:rPr>
        <w:t>o</w:t>
      </w:r>
      <w:r w:rsidRPr="00CE4A8C">
        <w:rPr>
          <w:lang w:val="fr-FR"/>
        </w:rPr>
        <w:t xml:space="preserve"> 98/2016 ayant décidé d</w:t>
      </w:r>
      <w:r w:rsidR="00CE4A8C" w:rsidRPr="00CE4A8C">
        <w:rPr>
          <w:lang w:val="fr-FR"/>
        </w:rPr>
        <w:t>’</w:t>
      </w:r>
      <w:r w:rsidRPr="00CE4A8C">
        <w:rPr>
          <w:lang w:val="fr-FR"/>
        </w:rPr>
        <w:t>un nouveau report du délai de mise en œuvre du plan environnemental.</w:t>
      </w:r>
    </w:p>
    <w:p w:rsidR="0059426D"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156</w:t>
      </w:r>
      <w:r w:rsidRPr="00CE4A8C">
        <w:rPr>
          <w:lang w:val="fr-FR"/>
        </w:rPr>
        <w:fldChar w:fldCharType="end"/>
      </w:r>
      <w:r w:rsidRPr="00CE4A8C">
        <w:rPr>
          <w:lang w:val="fr-FR"/>
        </w:rPr>
        <w:t>.  Le Gouvernement estime que l</w:t>
      </w:r>
      <w:r w:rsidR="00CE4A8C" w:rsidRPr="00CE4A8C">
        <w:rPr>
          <w:lang w:val="fr-FR"/>
        </w:rPr>
        <w:t>’</w:t>
      </w:r>
      <w:r w:rsidRPr="00CE4A8C">
        <w:rPr>
          <w:lang w:val="fr-FR"/>
        </w:rPr>
        <w:t>ISDE a présenté des allégations de nature générale concernant le lien de causalité entre les pathologies indiquées et les émissions de l</w:t>
      </w:r>
      <w:r w:rsidR="00CE4A8C" w:rsidRPr="00CE4A8C">
        <w:rPr>
          <w:lang w:val="fr-FR"/>
        </w:rPr>
        <w:t>’</w:t>
      </w:r>
      <w:r w:rsidRPr="00CE4A8C">
        <w:rPr>
          <w:lang w:val="fr-FR"/>
        </w:rPr>
        <w:t>usine Ilva, et que cette tierce partie n</w:t>
      </w:r>
      <w:r w:rsidR="00CE4A8C" w:rsidRPr="00CE4A8C">
        <w:rPr>
          <w:lang w:val="fr-FR"/>
        </w:rPr>
        <w:t>’</w:t>
      </w:r>
      <w:r w:rsidRPr="00CE4A8C">
        <w:rPr>
          <w:lang w:val="fr-FR"/>
        </w:rPr>
        <w:t>a pas fourni une preuve scientifique irréfutable.</w:t>
      </w:r>
    </w:p>
    <w:p w:rsidR="0059426D" w:rsidRPr="00CE4A8C" w:rsidRDefault="00C54644" w:rsidP="00CE4A8C">
      <w:pPr>
        <w:pStyle w:val="ECHRHeading4"/>
        <w:rPr>
          <w:lang w:val="fr-FR"/>
        </w:rPr>
      </w:pPr>
      <w:r w:rsidRPr="00CE4A8C">
        <w:rPr>
          <w:lang w:val="fr-FR"/>
        </w:rPr>
        <w:t>c)  </w:t>
      </w:r>
      <w:r w:rsidR="0059426D" w:rsidRPr="00CE4A8C">
        <w:rPr>
          <w:lang w:val="fr-FR"/>
        </w:rPr>
        <w:t>L</w:t>
      </w:r>
      <w:r w:rsidR="00CE4A8C" w:rsidRPr="00CE4A8C">
        <w:rPr>
          <w:lang w:val="fr-FR"/>
        </w:rPr>
        <w:t>’</w:t>
      </w:r>
      <w:r w:rsidR="0059426D" w:rsidRPr="00CE4A8C">
        <w:rPr>
          <w:lang w:val="fr-FR"/>
        </w:rPr>
        <w:t>appréciation de la Cour</w:t>
      </w:r>
    </w:p>
    <w:p w:rsidR="0059426D" w:rsidRPr="00CE4A8C" w:rsidRDefault="0059426D" w:rsidP="00CE4A8C">
      <w:pPr>
        <w:pStyle w:val="ECHRHeading5"/>
        <w:rPr>
          <w:lang w:val="fr-FR"/>
        </w:rPr>
      </w:pPr>
      <w:r w:rsidRPr="00CE4A8C">
        <w:rPr>
          <w:lang w:val="fr-FR"/>
        </w:rPr>
        <w:t>i.  Principes généraux</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157</w:t>
      </w:r>
      <w:r w:rsidRPr="00CE4A8C">
        <w:fldChar w:fldCharType="end"/>
      </w:r>
      <w:r w:rsidRPr="00CE4A8C">
        <w:rPr>
          <w:lang w:val="fr-FR"/>
        </w:rPr>
        <w:t>.  La Cour rappelle que des atteintes graves à l</w:t>
      </w:r>
      <w:r w:rsidR="00CE4A8C" w:rsidRPr="00CE4A8C">
        <w:rPr>
          <w:lang w:val="fr-FR"/>
        </w:rPr>
        <w:t>’</w:t>
      </w:r>
      <w:r w:rsidRPr="00CE4A8C">
        <w:rPr>
          <w:lang w:val="fr-FR"/>
        </w:rPr>
        <w:t>environnement peuvent affecter le bien-être des personnes et les priver de la jouissance de leur domicile de manière à nuire à leur vie privée (</w:t>
      </w:r>
      <w:r w:rsidRPr="00CE4A8C">
        <w:rPr>
          <w:i/>
          <w:lang w:val="fr-FR"/>
        </w:rPr>
        <w:t>L</w:t>
      </w:r>
      <w:r w:rsidRPr="00CE4A8C">
        <w:rPr>
          <w:i/>
        </w:rPr>
        <w:t>ό</w:t>
      </w:r>
      <w:r w:rsidRPr="00CE4A8C">
        <w:rPr>
          <w:i/>
          <w:lang w:val="fr-FR"/>
        </w:rPr>
        <w:t>pez Ostra c. Espagne</w:t>
      </w:r>
      <w:r w:rsidRPr="00CE4A8C">
        <w:rPr>
          <w:lang w:val="fr-FR"/>
        </w:rPr>
        <w:t>, 9 décembre 1994, série A n</w:t>
      </w:r>
      <w:r w:rsidRPr="00CE4A8C">
        <w:rPr>
          <w:vertAlign w:val="superscript"/>
          <w:lang w:val="fr-FR"/>
        </w:rPr>
        <w:t>o</w:t>
      </w:r>
      <w:r w:rsidRPr="00CE4A8C">
        <w:rPr>
          <w:lang w:val="fr-FR"/>
        </w:rPr>
        <w:t xml:space="preserve"> 303-C, § 51, et </w:t>
      </w:r>
      <w:r w:rsidRPr="00CE4A8C">
        <w:rPr>
          <w:i/>
          <w:lang w:val="fr-FR"/>
        </w:rPr>
        <w:t>Guerra et autres c. Italie</w:t>
      </w:r>
      <w:r w:rsidRPr="00CE4A8C">
        <w:rPr>
          <w:lang w:val="fr-FR"/>
        </w:rPr>
        <w:t xml:space="preserve">, 19 février 1998, § 60, </w:t>
      </w:r>
      <w:r w:rsidRPr="00CE4A8C">
        <w:rPr>
          <w:i/>
          <w:lang w:val="fr-FR"/>
        </w:rPr>
        <w:t xml:space="preserve">Recueil </w:t>
      </w:r>
      <w:r w:rsidRPr="00CE4A8C">
        <w:rPr>
          <w:lang w:val="fr-FR"/>
        </w:rPr>
        <w:t>1998</w:t>
      </w:r>
      <w:r w:rsidRPr="00CE4A8C">
        <w:rPr>
          <w:lang w:val="fr-FR"/>
        </w:rPr>
        <w:noBreakHyphen/>
        <w:t>I).</w:t>
      </w:r>
    </w:p>
    <w:p w:rsidR="0059426D" w:rsidRPr="00CE4A8C" w:rsidRDefault="0059426D" w:rsidP="00CE4A8C">
      <w:pPr>
        <w:pStyle w:val="ECHRPara"/>
        <w:rPr>
          <w:lang w:val="fr-FR"/>
        </w:rPr>
      </w:pPr>
      <w:r w:rsidRPr="00CE4A8C">
        <w:rPr>
          <w:lang w:val="fr-FR"/>
        </w:rPr>
        <w:t>À cet égard la Cour rappelle également que, dans les affaires où la notion de seuil de gravité a été spécifiquement examinée en matière d</w:t>
      </w:r>
      <w:r w:rsidR="00CE4A8C" w:rsidRPr="00CE4A8C">
        <w:rPr>
          <w:lang w:val="fr-FR"/>
        </w:rPr>
        <w:t>’</w:t>
      </w:r>
      <w:r w:rsidRPr="00CE4A8C">
        <w:rPr>
          <w:lang w:val="fr-FR"/>
        </w:rPr>
        <w:t>environnement, la Cour a jugé que un grief défendable sur le terrain de l</w:t>
      </w:r>
      <w:r w:rsidR="00CE4A8C" w:rsidRPr="00CE4A8C">
        <w:rPr>
          <w:lang w:val="fr-FR"/>
        </w:rPr>
        <w:t>’</w:t>
      </w:r>
      <w:r w:rsidRPr="00CE4A8C">
        <w:rPr>
          <w:lang w:val="fr-FR"/>
        </w:rPr>
        <w:t>article 8 peut naître si un risque écologique atteint un niveau de gravité diminuant notablement la capacité du requérant à jouir de son domicile ou de sa vie privée ou familiale. L</w:t>
      </w:r>
      <w:r w:rsidR="00CE4A8C" w:rsidRPr="00CE4A8C">
        <w:rPr>
          <w:lang w:val="fr-FR"/>
        </w:rPr>
        <w:t>’</w:t>
      </w:r>
      <w:r w:rsidRPr="00CE4A8C">
        <w:rPr>
          <w:lang w:val="fr-FR"/>
        </w:rPr>
        <w:t>appréciation de ce niveau minimum dans ce type d</w:t>
      </w:r>
      <w:r w:rsidR="00CE4A8C" w:rsidRPr="00CE4A8C">
        <w:rPr>
          <w:lang w:val="fr-FR"/>
        </w:rPr>
        <w:t>’</w:t>
      </w:r>
      <w:r w:rsidRPr="00CE4A8C">
        <w:rPr>
          <w:lang w:val="fr-FR"/>
        </w:rPr>
        <w:t>affaires est relative et dépend de l</w:t>
      </w:r>
      <w:r w:rsidR="00CE4A8C" w:rsidRPr="00CE4A8C">
        <w:rPr>
          <w:lang w:val="fr-FR"/>
        </w:rPr>
        <w:t>’</w:t>
      </w:r>
      <w:r w:rsidRPr="00CE4A8C">
        <w:rPr>
          <w:lang w:val="fr-FR"/>
        </w:rPr>
        <w:t>ensemble des données de la cause, notamment de l</w:t>
      </w:r>
      <w:r w:rsidR="00CE4A8C" w:rsidRPr="00CE4A8C">
        <w:rPr>
          <w:lang w:val="fr-FR"/>
        </w:rPr>
        <w:t>’</w:t>
      </w:r>
      <w:r w:rsidRPr="00CE4A8C">
        <w:rPr>
          <w:lang w:val="fr-FR"/>
        </w:rPr>
        <w:t>intensité et de la durée des nuisances ainsi que de leurs conséquences physiques ou psychologiques sur la santé ou la qualité de vie de l</w:t>
      </w:r>
      <w:r w:rsidR="00CE4A8C" w:rsidRPr="00CE4A8C">
        <w:rPr>
          <w:lang w:val="fr-FR"/>
        </w:rPr>
        <w:t>’</w:t>
      </w:r>
      <w:r w:rsidRPr="00CE4A8C">
        <w:rPr>
          <w:lang w:val="fr-FR"/>
        </w:rPr>
        <w:t>intéressé (</w:t>
      </w:r>
      <w:r w:rsidRPr="00CE4A8C">
        <w:rPr>
          <w:i/>
          <w:iCs/>
          <w:lang w:val="fr-FR"/>
        </w:rPr>
        <w:t>Fadeïeva</w:t>
      </w:r>
      <w:r w:rsidRPr="00CE4A8C">
        <w:rPr>
          <w:lang w:val="fr-FR"/>
        </w:rPr>
        <w:t xml:space="preserve">, précité, §§ 68 et 69, </w:t>
      </w:r>
      <w:r w:rsidRPr="00CE4A8C">
        <w:rPr>
          <w:i/>
          <w:iCs/>
          <w:lang w:val="fr-FR"/>
        </w:rPr>
        <w:t>Dubetska et autres c. Ukraine</w:t>
      </w:r>
      <w:r w:rsidRPr="00CE4A8C">
        <w:rPr>
          <w:lang w:val="fr-FR"/>
        </w:rPr>
        <w:t>, n</w:t>
      </w:r>
      <w:r w:rsidR="00E206E4" w:rsidRPr="00CE4A8C">
        <w:rPr>
          <w:vertAlign w:val="superscript"/>
          <w:lang w:val="fr-FR"/>
        </w:rPr>
        <w:t>o</w:t>
      </w:r>
      <w:r w:rsidRPr="00CE4A8C">
        <w:rPr>
          <w:lang w:val="fr-FR"/>
        </w:rPr>
        <w:t xml:space="preserve"> 30499/03, § 105, 10 février 2011, et </w:t>
      </w:r>
      <w:r w:rsidRPr="00CE4A8C">
        <w:rPr>
          <w:i/>
          <w:iCs/>
          <w:lang w:val="fr-FR"/>
        </w:rPr>
        <w:t>Grimkovskaya c. Ukraine</w:t>
      </w:r>
      <w:r w:rsidRPr="00CE4A8C">
        <w:rPr>
          <w:lang w:val="fr-FR"/>
        </w:rPr>
        <w:t>, n</w:t>
      </w:r>
      <w:r w:rsidR="00E206E4" w:rsidRPr="00CE4A8C">
        <w:rPr>
          <w:vertAlign w:val="superscript"/>
          <w:lang w:val="fr-FR"/>
        </w:rPr>
        <w:t>o</w:t>
      </w:r>
      <w:r w:rsidRPr="00CE4A8C">
        <w:rPr>
          <w:lang w:val="fr-FR"/>
        </w:rPr>
        <w:t> 38182/03, § 58, 21 juillet 2011).</w:t>
      </w:r>
    </w:p>
    <w:p w:rsidR="0059426D" w:rsidRPr="00CE4A8C" w:rsidRDefault="0059426D" w:rsidP="00CE4A8C">
      <w:pPr>
        <w:pStyle w:val="ECHRPara"/>
        <w:rPr>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158</w:t>
      </w:r>
      <w:r w:rsidRPr="00CE4A8C">
        <w:fldChar w:fldCharType="end"/>
      </w:r>
      <w:r w:rsidRPr="00CE4A8C">
        <w:rPr>
          <w:lang w:val="fr-FR"/>
        </w:rPr>
        <w:t>.  L</w:t>
      </w:r>
      <w:r w:rsidR="00CE4A8C" w:rsidRPr="00CE4A8C">
        <w:rPr>
          <w:lang w:val="fr-FR"/>
        </w:rPr>
        <w:t>’</w:t>
      </w:r>
      <w:r w:rsidRPr="00CE4A8C">
        <w:rPr>
          <w:lang w:val="fr-FR"/>
        </w:rPr>
        <w:t>article 8 ne se borne pas à astreindre l</w:t>
      </w:r>
      <w:r w:rsidR="00CE4A8C" w:rsidRPr="00CE4A8C">
        <w:rPr>
          <w:lang w:val="fr-FR"/>
        </w:rPr>
        <w:t>’</w:t>
      </w:r>
      <w:r w:rsidRPr="00CE4A8C">
        <w:rPr>
          <w:lang w:val="fr-FR"/>
        </w:rPr>
        <w:t>État à s</w:t>
      </w:r>
      <w:r w:rsidR="00CE4A8C" w:rsidRPr="00CE4A8C">
        <w:rPr>
          <w:lang w:val="fr-FR"/>
        </w:rPr>
        <w:t>’</w:t>
      </w:r>
      <w:r w:rsidRPr="00CE4A8C">
        <w:rPr>
          <w:lang w:val="fr-FR"/>
        </w:rPr>
        <w:t>abstenir d</w:t>
      </w:r>
      <w:r w:rsidR="00CE4A8C" w:rsidRPr="00CE4A8C">
        <w:rPr>
          <w:lang w:val="fr-FR"/>
        </w:rPr>
        <w:t>’</w:t>
      </w:r>
      <w:r w:rsidRPr="00CE4A8C">
        <w:rPr>
          <w:lang w:val="fr-FR"/>
        </w:rPr>
        <w:t>ingérences arbitraires : à cet engagement plutôt négatif peuvent s</w:t>
      </w:r>
      <w:r w:rsidR="00CE4A8C" w:rsidRPr="00CE4A8C">
        <w:rPr>
          <w:lang w:val="fr-FR"/>
        </w:rPr>
        <w:t>’</w:t>
      </w:r>
      <w:r w:rsidRPr="00CE4A8C">
        <w:rPr>
          <w:lang w:val="fr-FR"/>
        </w:rPr>
        <w:t>ajouter des obligations positives inhérentes à un respect effectif de la vie privée. En tout état de cause, que l</w:t>
      </w:r>
      <w:r w:rsidR="00CE4A8C" w:rsidRPr="00CE4A8C">
        <w:rPr>
          <w:lang w:val="fr-FR"/>
        </w:rPr>
        <w:t>’</w:t>
      </w:r>
      <w:r w:rsidRPr="00CE4A8C">
        <w:rPr>
          <w:lang w:val="fr-FR"/>
        </w:rPr>
        <w:t>on aborde la question sous l</w:t>
      </w:r>
      <w:r w:rsidR="00CE4A8C" w:rsidRPr="00CE4A8C">
        <w:rPr>
          <w:lang w:val="fr-FR"/>
        </w:rPr>
        <w:t>’</w:t>
      </w:r>
      <w:r w:rsidRPr="00CE4A8C">
        <w:rPr>
          <w:lang w:val="fr-FR"/>
        </w:rPr>
        <w:t>angle de l</w:t>
      </w:r>
      <w:r w:rsidR="00CE4A8C" w:rsidRPr="00CE4A8C">
        <w:rPr>
          <w:lang w:val="fr-FR"/>
        </w:rPr>
        <w:t>’</w:t>
      </w:r>
      <w:r w:rsidRPr="00CE4A8C">
        <w:rPr>
          <w:lang w:val="fr-FR"/>
        </w:rPr>
        <w:t>obligation positive de l</w:t>
      </w:r>
      <w:r w:rsidR="00CE4A8C" w:rsidRPr="00CE4A8C">
        <w:rPr>
          <w:lang w:val="fr-FR"/>
        </w:rPr>
        <w:t>’</w:t>
      </w:r>
      <w:r w:rsidRPr="00CE4A8C">
        <w:rPr>
          <w:lang w:val="fr-FR"/>
        </w:rPr>
        <w:t>État d</w:t>
      </w:r>
      <w:r w:rsidR="00CE4A8C" w:rsidRPr="00CE4A8C">
        <w:rPr>
          <w:lang w:val="fr-FR"/>
        </w:rPr>
        <w:t>’</w:t>
      </w:r>
      <w:r w:rsidRPr="00CE4A8C">
        <w:rPr>
          <w:lang w:val="fr-FR"/>
        </w:rPr>
        <w:t>adopter des mesures raisonnables et adéquates pour protéger les droits de l</w:t>
      </w:r>
      <w:r w:rsidR="00CE4A8C" w:rsidRPr="00CE4A8C">
        <w:rPr>
          <w:lang w:val="fr-FR"/>
        </w:rPr>
        <w:t>’</w:t>
      </w:r>
      <w:r w:rsidRPr="00CE4A8C">
        <w:rPr>
          <w:lang w:val="fr-FR"/>
        </w:rPr>
        <w:t>individu, en vertu du premier paragraphe de l</w:t>
      </w:r>
      <w:r w:rsidR="00CE4A8C" w:rsidRPr="00CE4A8C">
        <w:rPr>
          <w:lang w:val="fr-FR"/>
        </w:rPr>
        <w:t>’</w:t>
      </w:r>
      <w:r w:rsidR="00DE67CB" w:rsidRPr="00CE4A8C">
        <w:rPr>
          <w:lang w:val="fr-FR"/>
        </w:rPr>
        <w:t xml:space="preserve">article 8, ou sous </w:t>
      </w:r>
      <w:r w:rsidRPr="00CE4A8C">
        <w:rPr>
          <w:lang w:val="fr-FR"/>
        </w:rPr>
        <w:t>celui d</w:t>
      </w:r>
      <w:r w:rsidR="00CE4A8C" w:rsidRPr="00CE4A8C">
        <w:rPr>
          <w:lang w:val="fr-FR"/>
        </w:rPr>
        <w:t>’</w:t>
      </w:r>
      <w:r w:rsidRPr="00CE4A8C">
        <w:rPr>
          <w:lang w:val="fr-FR"/>
        </w:rPr>
        <w:t>une ingérence d</w:t>
      </w:r>
      <w:r w:rsidR="00CE4A8C" w:rsidRPr="00CE4A8C">
        <w:rPr>
          <w:lang w:val="fr-FR"/>
        </w:rPr>
        <w:t>’</w:t>
      </w:r>
      <w:r w:rsidRPr="00CE4A8C">
        <w:rPr>
          <w:lang w:val="fr-FR"/>
        </w:rPr>
        <w:t xml:space="preserve">une autorité publique, à </w:t>
      </w:r>
      <w:r w:rsidR="00DE67CB" w:rsidRPr="00CE4A8C">
        <w:rPr>
          <w:lang w:val="fr-FR"/>
        </w:rPr>
        <w:t xml:space="preserve">justifier selon le </w:t>
      </w:r>
      <w:r w:rsidRPr="00CE4A8C">
        <w:rPr>
          <w:lang w:val="fr-FR"/>
        </w:rPr>
        <w:t>second paragraphe, les principes applicables sont assez voisins. Dans les deux cas, il faut avoir égard au juste équilibre à ménager entre les intérêts concurrents de l</w:t>
      </w:r>
      <w:r w:rsidR="00CE4A8C" w:rsidRPr="00CE4A8C">
        <w:rPr>
          <w:lang w:val="fr-FR"/>
        </w:rPr>
        <w:t>’</w:t>
      </w:r>
      <w:r w:rsidRPr="00CE4A8C">
        <w:rPr>
          <w:lang w:val="fr-FR"/>
        </w:rPr>
        <w:t>individu et de la société dans son ensemble, l</w:t>
      </w:r>
      <w:r w:rsidR="00CE4A8C" w:rsidRPr="00CE4A8C">
        <w:rPr>
          <w:lang w:val="fr-FR"/>
        </w:rPr>
        <w:t>’</w:t>
      </w:r>
      <w:r w:rsidRPr="00CE4A8C">
        <w:rPr>
          <w:lang w:val="fr-FR"/>
        </w:rPr>
        <w:t>État jouissant en toute hypothèse d</w:t>
      </w:r>
      <w:r w:rsidR="00CE4A8C" w:rsidRPr="00CE4A8C">
        <w:rPr>
          <w:lang w:val="fr-FR"/>
        </w:rPr>
        <w:t>’</w:t>
      </w:r>
      <w:r w:rsidRPr="00CE4A8C">
        <w:rPr>
          <w:lang w:val="fr-FR"/>
        </w:rPr>
        <w:t>une certaine marge d</w:t>
      </w:r>
      <w:r w:rsidR="00CE4A8C" w:rsidRPr="00CE4A8C">
        <w:rPr>
          <w:lang w:val="fr-FR"/>
        </w:rPr>
        <w:t>’</w:t>
      </w:r>
      <w:r w:rsidRPr="00CE4A8C">
        <w:rPr>
          <w:lang w:val="fr-FR"/>
        </w:rPr>
        <w:t>appréciation (</w:t>
      </w:r>
      <w:r w:rsidRPr="00CE4A8C">
        <w:rPr>
          <w:i/>
          <w:lang w:val="fr-FR"/>
        </w:rPr>
        <w:t xml:space="preserve">López Ostra, </w:t>
      </w:r>
      <w:r w:rsidRPr="00CE4A8C">
        <w:rPr>
          <w:lang w:val="fr-FR"/>
        </w:rPr>
        <w:t>précité, § 51, et</w:t>
      </w:r>
      <w:r w:rsidRPr="00CE4A8C">
        <w:rPr>
          <w:i/>
          <w:lang w:val="fr-FR"/>
        </w:rPr>
        <w:t xml:space="preserve"> Guerra et autres</w:t>
      </w:r>
      <w:r w:rsidRPr="00CE4A8C">
        <w:rPr>
          <w:lang w:val="fr-FR"/>
        </w:rPr>
        <w:t>, précité, § 58).</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159</w:t>
      </w:r>
      <w:r w:rsidRPr="00CE4A8C">
        <w:rPr>
          <w:lang w:val="fr-FR"/>
        </w:rPr>
        <w:fldChar w:fldCharType="end"/>
      </w:r>
      <w:r w:rsidRPr="00CE4A8C">
        <w:rPr>
          <w:lang w:val="fr-FR"/>
        </w:rPr>
        <w:t>.  Les États ont avant tout l</w:t>
      </w:r>
      <w:r w:rsidR="00CE4A8C" w:rsidRPr="00CE4A8C">
        <w:rPr>
          <w:lang w:val="fr-FR"/>
        </w:rPr>
        <w:t>’</w:t>
      </w:r>
      <w:r w:rsidRPr="00CE4A8C">
        <w:rPr>
          <w:lang w:val="fr-FR"/>
        </w:rPr>
        <w:t>obligation positive, en particulier dans le cas d</w:t>
      </w:r>
      <w:r w:rsidR="00CE4A8C" w:rsidRPr="00CE4A8C">
        <w:rPr>
          <w:lang w:val="fr-FR"/>
        </w:rPr>
        <w:t>’</w:t>
      </w:r>
      <w:r w:rsidRPr="00CE4A8C">
        <w:rPr>
          <w:lang w:val="fr-FR"/>
        </w:rPr>
        <w:t>une activité dangereuse, de mettre en place une réglementation adaptée aux spécificités de ladite activité, notamment au niveau du risque qui pourrait en résulter. Cette règlementation doit régir l</w:t>
      </w:r>
      <w:r w:rsidR="00CE4A8C" w:rsidRPr="00CE4A8C">
        <w:rPr>
          <w:lang w:val="fr-FR"/>
        </w:rPr>
        <w:t>’</w:t>
      </w:r>
      <w:r w:rsidRPr="00CE4A8C">
        <w:rPr>
          <w:lang w:val="fr-FR"/>
        </w:rPr>
        <w:t>autorisation, la mise en fonctionnement, l</w:t>
      </w:r>
      <w:r w:rsidR="00CE4A8C" w:rsidRPr="00CE4A8C">
        <w:rPr>
          <w:lang w:val="fr-FR"/>
        </w:rPr>
        <w:t>’</w:t>
      </w:r>
      <w:r w:rsidRPr="00CE4A8C">
        <w:rPr>
          <w:lang w:val="fr-FR"/>
        </w:rPr>
        <w:t>exploitation, la sécurité et le contrôle de l</w:t>
      </w:r>
      <w:r w:rsidR="00CE4A8C" w:rsidRPr="00CE4A8C">
        <w:rPr>
          <w:lang w:val="fr-FR"/>
        </w:rPr>
        <w:t>’</w:t>
      </w:r>
      <w:r w:rsidRPr="00CE4A8C">
        <w:rPr>
          <w:lang w:val="fr-FR"/>
        </w:rPr>
        <w:t>activité en question, ainsi qu</w:t>
      </w:r>
      <w:r w:rsidR="00CE4A8C" w:rsidRPr="00CE4A8C">
        <w:rPr>
          <w:lang w:val="fr-FR"/>
        </w:rPr>
        <w:t>’</w:t>
      </w:r>
      <w:r w:rsidRPr="00CE4A8C">
        <w:rPr>
          <w:lang w:val="fr-FR"/>
        </w:rPr>
        <w:t>imposer à toute personne concernée par celle-ci l</w:t>
      </w:r>
      <w:r w:rsidR="00CE4A8C" w:rsidRPr="00CE4A8C">
        <w:rPr>
          <w:lang w:val="fr-FR"/>
        </w:rPr>
        <w:t>’</w:t>
      </w:r>
      <w:r w:rsidRPr="00CE4A8C">
        <w:rPr>
          <w:lang w:val="fr-FR"/>
        </w:rPr>
        <w:t>adoption de mesures d</w:t>
      </w:r>
      <w:r w:rsidR="00CE4A8C" w:rsidRPr="00CE4A8C">
        <w:rPr>
          <w:lang w:val="fr-FR"/>
        </w:rPr>
        <w:t>’</w:t>
      </w:r>
      <w:r w:rsidRPr="00CE4A8C">
        <w:rPr>
          <w:lang w:val="fr-FR"/>
        </w:rPr>
        <w:t xml:space="preserve">ordre pratique propres à assurer la protection </w:t>
      </w:r>
      <w:r w:rsidRPr="00CE4A8C">
        <w:rPr>
          <w:lang w:val="fr-FR"/>
        </w:rPr>
        <w:lastRenderedPageBreak/>
        <w:t>effective des citoyens dont la vie risque d</w:t>
      </w:r>
      <w:r w:rsidR="00CE4A8C" w:rsidRPr="00CE4A8C">
        <w:rPr>
          <w:lang w:val="fr-FR"/>
        </w:rPr>
        <w:t>’</w:t>
      </w:r>
      <w:r w:rsidRPr="00CE4A8C">
        <w:rPr>
          <w:lang w:val="fr-FR"/>
        </w:rPr>
        <w:t xml:space="preserve">être exposée aux dangers inhérents au domaine en cause (voir, </w:t>
      </w:r>
      <w:r w:rsidRPr="00CE4A8C">
        <w:rPr>
          <w:i/>
          <w:lang w:val="fr-FR"/>
        </w:rPr>
        <w:t>mutatis mutandis</w:t>
      </w:r>
      <w:r w:rsidRPr="00CE4A8C">
        <w:rPr>
          <w:lang w:val="fr-FR"/>
        </w:rPr>
        <w:t xml:space="preserve">, </w:t>
      </w:r>
      <w:r w:rsidRPr="00CE4A8C">
        <w:rPr>
          <w:i/>
          <w:lang w:val="fr-FR"/>
        </w:rPr>
        <w:t>Oneryildiz c. Turquie</w:t>
      </w:r>
      <w:r w:rsidRPr="00CE4A8C">
        <w:rPr>
          <w:lang w:val="fr-FR"/>
        </w:rPr>
        <w:t>, [GC], n</w:t>
      </w:r>
      <w:r w:rsidRPr="00CE4A8C">
        <w:rPr>
          <w:vertAlign w:val="superscript"/>
          <w:lang w:val="fr-FR"/>
        </w:rPr>
        <w:t>o</w:t>
      </w:r>
      <w:r w:rsidRPr="00CE4A8C">
        <w:rPr>
          <w:lang w:val="fr-FR"/>
        </w:rPr>
        <w:t xml:space="preserve"> 48939/99, § 90, CEDH 2004-XII, et </w:t>
      </w:r>
      <w:r w:rsidRPr="00CE4A8C">
        <w:rPr>
          <w:i/>
          <w:lang w:val="fr-FR"/>
        </w:rPr>
        <w:t>Brincat et autres c. Malte</w:t>
      </w:r>
      <w:r w:rsidRPr="00CE4A8C">
        <w:rPr>
          <w:lang w:val="fr-FR"/>
        </w:rPr>
        <w:t>, n</w:t>
      </w:r>
      <w:r w:rsidRPr="00CE4A8C">
        <w:rPr>
          <w:vertAlign w:val="superscript"/>
          <w:lang w:val="fr-FR"/>
        </w:rPr>
        <w:t>os</w:t>
      </w:r>
      <w:r w:rsidRPr="00CE4A8C">
        <w:rPr>
          <w:lang w:val="fr-FR"/>
        </w:rPr>
        <w:t xml:space="preserve"> 60908/11 et 4 autres, </w:t>
      </w:r>
      <w:r w:rsidRPr="00CE4A8C">
        <w:rPr>
          <w:snapToGrid w:val="0"/>
          <w:lang w:val="fr-FR"/>
        </w:rPr>
        <w:t xml:space="preserve">§§ 101-102, 24 </w:t>
      </w:r>
      <w:r w:rsidRPr="00CE4A8C">
        <w:rPr>
          <w:lang w:val="fr-FR"/>
        </w:rPr>
        <w:t>juillet</w:t>
      </w:r>
      <w:r w:rsidRPr="00CE4A8C">
        <w:rPr>
          <w:snapToGrid w:val="0"/>
          <w:lang w:val="fr-FR"/>
        </w:rPr>
        <w:t xml:space="preserve"> 2014</w:t>
      </w:r>
      <w:r w:rsidRPr="00CE4A8C">
        <w:rPr>
          <w:lang w:val="fr-FR"/>
        </w:rPr>
        <w:t>).</w:t>
      </w:r>
    </w:p>
    <w:p w:rsidR="0059426D" w:rsidRPr="00CE4A8C" w:rsidRDefault="0059426D" w:rsidP="00CE4A8C">
      <w:pPr>
        <w:pStyle w:val="ECHRPara"/>
        <w:rPr>
          <w:i/>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160</w:t>
      </w:r>
      <w:r w:rsidRPr="00CE4A8C">
        <w:rPr>
          <w:lang w:val="fr-FR"/>
        </w:rPr>
        <w:fldChar w:fldCharType="end"/>
      </w:r>
      <w:r w:rsidRPr="00CE4A8C">
        <w:rPr>
          <w:lang w:val="fr-FR"/>
        </w:rPr>
        <w:t>.  Enfin, il est souvent impossible de quantifier les effets d</w:t>
      </w:r>
      <w:r w:rsidR="00CE4A8C" w:rsidRPr="00CE4A8C">
        <w:rPr>
          <w:lang w:val="fr-FR"/>
        </w:rPr>
        <w:t>’</w:t>
      </w:r>
      <w:r w:rsidRPr="00CE4A8C">
        <w:rPr>
          <w:lang w:val="fr-FR"/>
        </w:rPr>
        <w:t>une pollution industrielle importante dans chaque situation individuelle et de distinguer l</w:t>
      </w:r>
      <w:r w:rsidR="00CE4A8C" w:rsidRPr="00CE4A8C">
        <w:rPr>
          <w:lang w:val="fr-FR"/>
        </w:rPr>
        <w:t>’</w:t>
      </w:r>
      <w:r w:rsidRPr="00CE4A8C">
        <w:rPr>
          <w:lang w:val="fr-FR"/>
        </w:rPr>
        <w:t>influence d</w:t>
      </w:r>
      <w:r w:rsidR="00CE4A8C" w:rsidRPr="00CE4A8C">
        <w:rPr>
          <w:lang w:val="fr-FR"/>
        </w:rPr>
        <w:t>’</w:t>
      </w:r>
      <w:r w:rsidRPr="00CE4A8C">
        <w:rPr>
          <w:lang w:val="fr-FR"/>
        </w:rPr>
        <w:t>autres facteurs, tels que, par exemple, l</w:t>
      </w:r>
      <w:r w:rsidR="00CE4A8C" w:rsidRPr="00CE4A8C">
        <w:rPr>
          <w:lang w:val="fr-FR"/>
        </w:rPr>
        <w:t>’</w:t>
      </w:r>
      <w:r w:rsidRPr="00CE4A8C">
        <w:rPr>
          <w:lang w:val="fr-FR"/>
        </w:rPr>
        <w:t>âge et la profession. Il en va de même chose s</w:t>
      </w:r>
      <w:r w:rsidR="00CE4A8C" w:rsidRPr="00CE4A8C">
        <w:rPr>
          <w:lang w:val="fr-FR"/>
        </w:rPr>
        <w:t>’</w:t>
      </w:r>
      <w:r w:rsidRPr="00CE4A8C">
        <w:rPr>
          <w:lang w:val="fr-FR"/>
        </w:rPr>
        <w:t>agissant de la dégradation de la qualité de vie résultant de la pollution industrielle. La « qualité de vie » est un concept très subjectif qui ne se prête pas à une définition précise. Partant, en vue de l</w:t>
      </w:r>
      <w:r w:rsidR="00CE4A8C" w:rsidRPr="00CE4A8C">
        <w:rPr>
          <w:lang w:val="fr-FR"/>
        </w:rPr>
        <w:t>’</w:t>
      </w:r>
      <w:r w:rsidRPr="00CE4A8C">
        <w:rPr>
          <w:lang w:val="fr-FR"/>
        </w:rPr>
        <w:t>établissement des circonstances factuelles des affaires qui lui sont soumises, la Cour n</w:t>
      </w:r>
      <w:r w:rsidR="00CE4A8C" w:rsidRPr="00CE4A8C">
        <w:rPr>
          <w:lang w:val="fr-FR"/>
        </w:rPr>
        <w:t>’</w:t>
      </w:r>
      <w:r w:rsidRPr="00CE4A8C">
        <w:rPr>
          <w:lang w:val="fr-FR"/>
        </w:rPr>
        <w:t>a pas d</w:t>
      </w:r>
      <w:r w:rsidR="00CE4A8C" w:rsidRPr="00CE4A8C">
        <w:rPr>
          <w:lang w:val="fr-FR"/>
        </w:rPr>
        <w:t>’</w:t>
      </w:r>
      <w:r w:rsidRPr="00CE4A8C">
        <w:rPr>
          <w:lang w:val="fr-FR"/>
        </w:rPr>
        <w:t>autre choix que celui de se baser avant tout, bien que non exclusivement, sur les conclusions des juridictions et des autres autorités internes compétentes (</w:t>
      </w:r>
      <w:r w:rsidRPr="00CE4A8C">
        <w:rPr>
          <w:i/>
          <w:lang w:val="fr-FR"/>
        </w:rPr>
        <w:t>Lediaïeva et autres c. Russie</w:t>
      </w:r>
      <w:r w:rsidRPr="00CE4A8C">
        <w:rPr>
          <w:lang w:val="fr-FR"/>
        </w:rPr>
        <w:t>, n</w:t>
      </w:r>
      <w:r w:rsidRPr="00CE4A8C">
        <w:rPr>
          <w:vertAlign w:val="superscript"/>
          <w:lang w:val="fr-FR"/>
        </w:rPr>
        <w:t>os</w:t>
      </w:r>
      <w:r w:rsidRPr="00CE4A8C">
        <w:rPr>
          <w:lang w:val="fr-FR"/>
        </w:rPr>
        <w:t xml:space="preserve"> 53157/99 et 3 autres, § 90, 26 octobre 2006, et </w:t>
      </w:r>
      <w:r w:rsidRPr="00CE4A8C">
        <w:rPr>
          <w:i/>
          <w:iCs/>
          <w:lang w:val="fr-FR"/>
        </w:rPr>
        <w:t>Jugheli et autres c. Géorgie</w:t>
      </w:r>
      <w:r w:rsidRPr="00CE4A8C">
        <w:rPr>
          <w:lang w:val="fr-FR" w:eastAsia="en-GB"/>
        </w:rPr>
        <w:t>, n</w:t>
      </w:r>
      <w:r w:rsidRPr="00CE4A8C">
        <w:rPr>
          <w:vertAlign w:val="superscript"/>
          <w:lang w:val="fr-FR"/>
        </w:rPr>
        <w:t>o</w:t>
      </w:r>
      <w:r w:rsidRPr="00CE4A8C">
        <w:rPr>
          <w:lang w:val="fr-FR" w:eastAsia="en-GB"/>
        </w:rPr>
        <w:t xml:space="preserve"> </w:t>
      </w:r>
      <w:r w:rsidRPr="00CE4A8C">
        <w:rPr>
          <w:lang w:val="fr-FR"/>
        </w:rPr>
        <w:t>38342/05</w:t>
      </w:r>
      <w:r w:rsidRPr="00CE4A8C">
        <w:rPr>
          <w:lang w:val="fr-FR" w:eastAsia="en-GB"/>
        </w:rPr>
        <w:t xml:space="preserve">, </w:t>
      </w:r>
      <w:r w:rsidRPr="00CE4A8C">
        <w:rPr>
          <w:lang w:val="fr-FR"/>
        </w:rPr>
        <w:t>§ 63, 13 juillet 2017).</w:t>
      </w:r>
    </w:p>
    <w:p w:rsidR="0059426D" w:rsidRPr="00CE4A8C" w:rsidRDefault="0059426D" w:rsidP="00CE4A8C">
      <w:pPr>
        <w:pStyle w:val="ECHRHeading5"/>
        <w:rPr>
          <w:lang w:val="fr-FR"/>
        </w:rPr>
      </w:pPr>
      <w:r w:rsidRPr="00CE4A8C">
        <w:rPr>
          <w:lang w:val="fr-FR"/>
        </w:rPr>
        <w:t>ii.  Application des principes précités en l</w:t>
      </w:r>
      <w:r w:rsidR="00CE4A8C" w:rsidRPr="00CE4A8C">
        <w:rPr>
          <w:lang w:val="fr-FR"/>
        </w:rPr>
        <w:t>’</w:t>
      </w:r>
      <w:r w:rsidRPr="00CE4A8C">
        <w:rPr>
          <w:lang w:val="fr-FR"/>
        </w:rPr>
        <w:t>espèce</w:t>
      </w:r>
    </w:p>
    <w:bookmarkStart w:id="27" w:name="violation_8"/>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161</w:t>
      </w:r>
      <w:r w:rsidRPr="00CE4A8C">
        <w:rPr>
          <w:lang w:val="fr-FR"/>
        </w:rPr>
        <w:fldChar w:fldCharType="end"/>
      </w:r>
      <w:bookmarkEnd w:id="27"/>
      <w:r w:rsidRPr="00CE4A8C">
        <w:rPr>
          <w:lang w:val="fr-FR"/>
        </w:rPr>
        <w:t>.  La Cour relève que, s</w:t>
      </w:r>
      <w:r w:rsidR="00CE4A8C" w:rsidRPr="00CE4A8C">
        <w:rPr>
          <w:lang w:val="fr-FR"/>
        </w:rPr>
        <w:t>’</w:t>
      </w:r>
      <w:r w:rsidRPr="00CE4A8C">
        <w:rPr>
          <w:lang w:val="fr-FR"/>
        </w:rPr>
        <w:t>il ne lui appartient pas de déterminer précisément les mesures qu</w:t>
      </w:r>
      <w:r w:rsidR="00CE4A8C" w:rsidRPr="00CE4A8C">
        <w:rPr>
          <w:lang w:val="fr-FR"/>
        </w:rPr>
        <w:t>’</w:t>
      </w:r>
      <w:r w:rsidRPr="00CE4A8C">
        <w:rPr>
          <w:lang w:val="fr-FR"/>
        </w:rPr>
        <w:t>il aurait fallu prendre en l</w:t>
      </w:r>
      <w:r w:rsidR="00CE4A8C" w:rsidRPr="00CE4A8C">
        <w:rPr>
          <w:lang w:val="fr-FR"/>
        </w:rPr>
        <w:t>’</w:t>
      </w:r>
      <w:r w:rsidRPr="00CE4A8C">
        <w:rPr>
          <w:lang w:val="fr-FR"/>
        </w:rPr>
        <w:t>espèce pour réduire plus efficacement le niveau de la pollution, il lui incombe sans conteste de rechercher si les autorités nationales ont abordé la question avec la diligence voulue et si elles ont pris en considération l</w:t>
      </w:r>
      <w:r w:rsidR="00CE4A8C" w:rsidRPr="00CE4A8C">
        <w:rPr>
          <w:lang w:val="fr-FR"/>
        </w:rPr>
        <w:t>’</w:t>
      </w:r>
      <w:r w:rsidRPr="00CE4A8C">
        <w:rPr>
          <w:lang w:val="fr-FR"/>
        </w:rPr>
        <w:t>ensemble des intérêts concurrents. À ce propos, la Cour rappelle qu</w:t>
      </w:r>
      <w:r w:rsidR="00CE4A8C" w:rsidRPr="00CE4A8C">
        <w:rPr>
          <w:lang w:val="fr-FR"/>
        </w:rPr>
        <w:t>’</w:t>
      </w:r>
      <w:r w:rsidRPr="00CE4A8C">
        <w:rPr>
          <w:lang w:val="fr-FR"/>
        </w:rPr>
        <w:t>il revient à l</w:t>
      </w:r>
      <w:r w:rsidR="00CE4A8C" w:rsidRPr="00CE4A8C">
        <w:rPr>
          <w:lang w:val="fr-FR"/>
        </w:rPr>
        <w:t>’</w:t>
      </w:r>
      <w:r w:rsidRPr="00CE4A8C">
        <w:rPr>
          <w:lang w:val="fr-FR"/>
        </w:rPr>
        <w:t>État de justifier par des éléments précis et circonstanciés les situations dans lesquelles certains individus se trouvent devoir supporter de lourdes charges au nom de l</w:t>
      </w:r>
      <w:r w:rsidR="00CE4A8C" w:rsidRPr="00CE4A8C">
        <w:rPr>
          <w:lang w:val="fr-FR"/>
        </w:rPr>
        <w:t>’</w:t>
      </w:r>
      <w:r w:rsidRPr="00CE4A8C">
        <w:rPr>
          <w:lang w:val="fr-FR"/>
        </w:rPr>
        <w:t>intérêt de la société. L</w:t>
      </w:r>
      <w:r w:rsidR="00CE4A8C" w:rsidRPr="00CE4A8C">
        <w:rPr>
          <w:lang w:val="fr-FR"/>
        </w:rPr>
        <w:t>’</w:t>
      </w:r>
      <w:r w:rsidRPr="00CE4A8C">
        <w:rPr>
          <w:lang w:val="fr-FR"/>
        </w:rPr>
        <w:t>examen de la présente affaire sous cet angle conduit la Cour à formuler les observations qui suivent (</w:t>
      </w:r>
      <w:r w:rsidRPr="00CE4A8C">
        <w:rPr>
          <w:i/>
          <w:szCs w:val="24"/>
          <w:lang w:val="fr-FR"/>
        </w:rPr>
        <w:t>Fadeïeva</w:t>
      </w:r>
      <w:r w:rsidRPr="00CE4A8C">
        <w:rPr>
          <w:lang w:val="fr-FR"/>
        </w:rPr>
        <w:t>, précité, § 128).</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162</w:t>
      </w:r>
      <w:r w:rsidRPr="00CE4A8C">
        <w:rPr>
          <w:lang w:val="fr-FR"/>
        </w:rPr>
        <w:fldChar w:fldCharType="end"/>
      </w:r>
      <w:r w:rsidRPr="00CE4A8C">
        <w:rPr>
          <w:lang w:val="fr-FR"/>
        </w:rPr>
        <w:t>.  À titre liminaire, la Cour convient avec les requérants que l</w:t>
      </w:r>
      <w:r w:rsidR="00CE4A8C" w:rsidRPr="00CE4A8C">
        <w:rPr>
          <w:lang w:val="fr-FR"/>
        </w:rPr>
        <w:t>’</w:t>
      </w:r>
      <w:r w:rsidRPr="00CE4A8C">
        <w:rPr>
          <w:lang w:val="fr-FR"/>
        </w:rPr>
        <w:t>objet de la présente affaire diffère de celui de l</w:t>
      </w:r>
      <w:r w:rsidR="00CE4A8C" w:rsidRPr="00CE4A8C">
        <w:rPr>
          <w:lang w:val="fr-FR"/>
        </w:rPr>
        <w:t>’</w:t>
      </w:r>
      <w:r w:rsidRPr="00CE4A8C">
        <w:rPr>
          <w:lang w:val="fr-FR"/>
        </w:rPr>
        <w:t xml:space="preserve">affaire </w:t>
      </w:r>
      <w:r w:rsidRPr="00CE4A8C">
        <w:rPr>
          <w:i/>
          <w:lang w:val="fr-FR"/>
        </w:rPr>
        <w:t>Smaltini</w:t>
      </w:r>
      <w:r w:rsidRPr="00CE4A8C">
        <w:rPr>
          <w:lang w:val="fr-FR"/>
        </w:rPr>
        <w:t>, précitée, dans laquelle la requérante, décédée d</w:t>
      </w:r>
      <w:r w:rsidR="00CE4A8C" w:rsidRPr="00CE4A8C">
        <w:rPr>
          <w:lang w:val="fr-FR"/>
        </w:rPr>
        <w:t>’</w:t>
      </w:r>
      <w:r w:rsidRPr="00CE4A8C">
        <w:rPr>
          <w:lang w:val="fr-FR"/>
        </w:rPr>
        <w:t>une leucémie au cours de la procédure devant elle, reprochait aux autorités nationales de ne pas avoir reconnu, à l</w:t>
      </w:r>
      <w:r w:rsidR="00CE4A8C" w:rsidRPr="00CE4A8C">
        <w:rPr>
          <w:lang w:val="fr-FR"/>
        </w:rPr>
        <w:t>’</w:t>
      </w:r>
      <w:r w:rsidRPr="00CE4A8C">
        <w:rPr>
          <w:lang w:val="fr-FR"/>
        </w:rPr>
        <w:t>issue de la procédure pénale engagée par elle, l</w:t>
      </w:r>
      <w:r w:rsidR="00CE4A8C" w:rsidRPr="00CE4A8C">
        <w:rPr>
          <w:lang w:val="fr-FR"/>
        </w:rPr>
        <w:t>’</w:t>
      </w:r>
      <w:r w:rsidRPr="00CE4A8C">
        <w:rPr>
          <w:lang w:val="fr-FR"/>
        </w:rPr>
        <w:t>existence d</w:t>
      </w:r>
      <w:r w:rsidR="00CE4A8C" w:rsidRPr="00CE4A8C">
        <w:rPr>
          <w:lang w:val="fr-FR"/>
        </w:rPr>
        <w:t>’</w:t>
      </w:r>
      <w:r w:rsidRPr="00CE4A8C">
        <w:rPr>
          <w:lang w:val="fr-FR"/>
        </w:rPr>
        <w:t>un lien de causalité entre les émissions de l</w:t>
      </w:r>
      <w:r w:rsidR="00CE4A8C" w:rsidRPr="00CE4A8C">
        <w:rPr>
          <w:lang w:val="fr-FR"/>
        </w:rPr>
        <w:t>’</w:t>
      </w:r>
      <w:r w:rsidRPr="00CE4A8C">
        <w:rPr>
          <w:lang w:val="fr-FR"/>
        </w:rPr>
        <w:t>usine Ilva de Tarente et sa pathologie. Dans cette affaire, la Cour avait notamment souligné que, à la lumière des connaissances scientifiques disponibles à l</w:t>
      </w:r>
      <w:r w:rsidR="00CE4A8C" w:rsidRPr="00CE4A8C">
        <w:rPr>
          <w:lang w:val="fr-FR"/>
        </w:rPr>
        <w:t>’</w:t>
      </w:r>
      <w:r w:rsidRPr="00CE4A8C">
        <w:rPr>
          <w:lang w:val="fr-FR"/>
        </w:rPr>
        <w:t>époque des faits et sans préjudice des résultats des études scientifiques à venir, les décisions internes avaient été dûment motivées. Or, dans la présente affaire, les requérants dénoncent l</w:t>
      </w:r>
      <w:r w:rsidR="00CE4A8C" w:rsidRPr="00CE4A8C">
        <w:rPr>
          <w:lang w:val="fr-FR"/>
        </w:rPr>
        <w:t>’</w:t>
      </w:r>
      <w:r w:rsidRPr="00CE4A8C">
        <w:rPr>
          <w:lang w:val="fr-FR"/>
        </w:rPr>
        <w:t>absence de mesures étatiques visant à protéger leur santé et l</w:t>
      </w:r>
      <w:r w:rsidR="00CE4A8C" w:rsidRPr="00CE4A8C">
        <w:rPr>
          <w:lang w:val="fr-FR"/>
        </w:rPr>
        <w:t>’</w:t>
      </w:r>
      <w:r w:rsidRPr="00CE4A8C">
        <w:rPr>
          <w:lang w:val="fr-FR"/>
        </w:rPr>
        <w:t>environnement. C</w:t>
      </w:r>
      <w:r w:rsidR="00CE4A8C" w:rsidRPr="00CE4A8C">
        <w:rPr>
          <w:lang w:val="fr-FR"/>
        </w:rPr>
        <w:t>’</w:t>
      </w:r>
      <w:r w:rsidRPr="00CE4A8C">
        <w:rPr>
          <w:lang w:val="fr-FR"/>
        </w:rPr>
        <w:t>est uniquement sur cette dernière question, différente de celle en cause dans l</w:t>
      </w:r>
      <w:r w:rsidR="00CE4A8C" w:rsidRPr="00CE4A8C">
        <w:rPr>
          <w:lang w:val="fr-FR"/>
        </w:rPr>
        <w:t>’</w:t>
      </w:r>
      <w:r w:rsidRPr="00CE4A8C">
        <w:rPr>
          <w:lang w:val="fr-FR"/>
        </w:rPr>
        <w:t xml:space="preserve">affaire </w:t>
      </w:r>
      <w:r w:rsidRPr="00CE4A8C">
        <w:rPr>
          <w:i/>
          <w:lang w:val="fr-FR"/>
        </w:rPr>
        <w:t>Smaltini</w:t>
      </w:r>
      <w:r w:rsidRPr="00CE4A8C">
        <w:rPr>
          <w:lang w:val="fr-FR"/>
        </w:rPr>
        <w:t>, précitée, que la Cour est appelée à statuer.</w:t>
      </w:r>
    </w:p>
    <w:p w:rsidR="0059426D"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163</w:t>
      </w:r>
      <w:r w:rsidRPr="00CE4A8C">
        <w:rPr>
          <w:lang w:val="fr-FR"/>
        </w:rPr>
        <w:fldChar w:fldCharType="end"/>
      </w:r>
      <w:r w:rsidRPr="00CE4A8C">
        <w:rPr>
          <w:lang w:val="fr-FR"/>
        </w:rPr>
        <w:t>.  La Cour constate que, depuis les années 1970, des études scientifiques font état des effets polluants des émissions de l</w:t>
      </w:r>
      <w:r w:rsidR="00CE4A8C" w:rsidRPr="00CE4A8C">
        <w:rPr>
          <w:lang w:val="fr-FR"/>
        </w:rPr>
        <w:t>’</w:t>
      </w:r>
      <w:r w:rsidRPr="00CE4A8C">
        <w:rPr>
          <w:lang w:val="fr-FR"/>
        </w:rPr>
        <w:t>usine Ilva de Tarente sur l</w:t>
      </w:r>
      <w:r w:rsidR="00CE4A8C" w:rsidRPr="00CE4A8C">
        <w:rPr>
          <w:lang w:val="fr-FR"/>
        </w:rPr>
        <w:t>’</w:t>
      </w:r>
      <w:r w:rsidRPr="00CE4A8C">
        <w:rPr>
          <w:lang w:val="fr-FR"/>
        </w:rPr>
        <w:t xml:space="preserve">environnement et sur la santé des personnes (paragraphes </w:t>
      </w:r>
      <w:r w:rsidRPr="00CE4A8C">
        <w:rPr>
          <w:lang w:val="fr-FR"/>
        </w:rPr>
        <w:fldChar w:fldCharType="begin"/>
      </w:r>
      <w:r w:rsidRPr="00CE4A8C">
        <w:rPr>
          <w:lang w:val="fr-FR"/>
        </w:rPr>
        <w:instrText xml:space="preserve"> REF rapports_scientifiques \h  \* MERGEFORMAT </w:instrText>
      </w:r>
      <w:r w:rsidRPr="00CE4A8C">
        <w:rPr>
          <w:lang w:val="fr-FR"/>
        </w:rPr>
      </w:r>
      <w:r w:rsidRPr="00CE4A8C">
        <w:rPr>
          <w:lang w:val="fr-FR"/>
        </w:rPr>
        <w:fldChar w:fldCharType="separate"/>
      </w:r>
      <w:r w:rsidR="00CE4A8C" w:rsidRPr="00CE4A8C">
        <w:rPr>
          <w:noProof/>
          <w:lang w:val="fr-FR"/>
        </w:rPr>
        <w:t>15</w:t>
      </w:r>
      <w:r w:rsidRPr="00CE4A8C">
        <w:rPr>
          <w:lang w:val="fr-FR"/>
        </w:rPr>
        <w:fldChar w:fldCharType="end"/>
      </w:r>
      <w:r w:rsidRPr="00CE4A8C">
        <w:rPr>
          <w:lang w:val="fr-FR"/>
        </w:rPr>
        <w:t xml:space="preserve"> et suivants ci</w:t>
      </w:r>
      <w:r w:rsidRPr="00CE4A8C">
        <w:rPr>
          <w:lang w:val="fr-FR"/>
        </w:rPr>
        <w:noBreakHyphen/>
        <w:t>dessus). Les résultats de ces rapports, émanant en grande partie d</w:t>
      </w:r>
      <w:r w:rsidR="00CE4A8C" w:rsidRPr="00CE4A8C">
        <w:rPr>
          <w:lang w:val="fr-FR"/>
        </w:rPr>
        <w:t>’</w:t>
      </w:r>
      <w:r w:rsidRPr="00CE4A8C">
        <w:rPr>
          <w:lang w:val="fr-FR"/>
        </w:rPr>
        <w:t>organismes étatiques et régionaux, ne font d</w:t>
      </w:r>
      <w:r w:rsidR="00CE4A8C" w:rsidRPr="00CE4A8C">
        <w:rPr>
          <w:lang w:val="fr-FR"/>
        </w:rPr>
        <w:t>’</w:t>
      </w:r>
      <w:r w:rsidRPr="00CE4A8C">
        <w:rPr>
          <w:lang w:val="fr-FR"/>
        </w:rPr>
        <w:t>ailleurs pas l</w:t>
      </w:r>
      <w:r w:rsidR="00CE4A8C" w:rsidRPr="00CE4A8C">
        <w:rPr>
          <w:lang w:val="fr-FR"/>
        </w:rPr>
        <w:t>’</w:t>
      </w:r>
      <w:r w:rsidRPr="00CE4A8C">
        <w:rPr>
          <w:lang w:val="fr-FR"/>
        </w:rPr>
        <w:t>objet de contestation entre les parties.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164</w:t>
      </w:r>
      <w:r w:rsidRPr="00CE4A8C">
        <w:rPr>
          <w:lang w:val="fr-FR"/>
        </w:rPr>
        <w:fldChar w:fldCharType="end"/>
      </w:r>
      <w:r w:rsidRPr="00CE4A8C">
        <w:rPr>
          <w:lang w:val="fr-FR"/>
        </w:rPr>
        <w:t>.  Dans ce contexte, il convient de rappeler en particulier le rapport SENTIERI de 2012, attestant l</w:t>
      </w:r>
      <w:r w:rsidR="00CE4A8C" w:rsidRPr="00CE4A8C">
        <w:rPr>
          <w:lang w:val="fr-FR"/>
        </w:rPr>
        <w:t>’</w:t>
      </w:r>
      <w:r w:rsidRPr="00CE4A8C">
        <w:rPr>
          <w:lang w:val="fr-FR"/>
        </w:rPr>
        <w:t>existence d</w:t>
      </w:r>
      <w:r w:rsidR="00CE4A8C" w:rsidRPr="00CE4A8C">
        <w:rPr>
          <w:lang w:val="fr-FR"/>
        </w:rPr>
        <w:t>’</w:t>
      </w:r>
      <w:r w:rsidRPr="00CE4A8C">
        <w:rPr>
          <w:lang w:val="fr-FR"/>
        </w:rPr>
        <w:t>un lien de causalité entre l</w:t>
      </w:r>
      <w:r w:rsidR="00CE4A8C" w:rsidRPr="00CE4A8C">
        <w:rPr>
          <w:lang w:val="fr-FR"/>
        </w:rPr>
        <w:t>’</w:t>
      </w:r>
      <w:r w:rsidRPr="00CE4A8C">
        <w:rPr>
          <w:lang w:val="fr-FR"/>
        </w:rPr>
        <w:t xml:space="preserve">exposition environnementale aux substances cancérogènes inhalables produites par la société Ilva et le développement de tumeurs des poumons et de la plèvre ainsi que de pathologies du système cardiocirculatoire chez les personnes résidant dans les zones touchées (paragraphes </w:t>
      </w:r>
      <w:r w:rsidRPr="00CE4A8C">
        <w:rPr>
          <w:lang w:val="fr-FR"/>
        </w:rPr>
        <w:fldChar w:fldCharType="begin"/>
      </w:r>
      <w:r w:rsidRPr="00CE4A8C">
        <w:rPr>
          <w:lang w:val="fr-FR"/>
        </w:rPr>
        <w:instrText xml:space="preserve"> REF SENTIERI \h  \* MERGEFORMAT </w:instrText>
      </w:r>
      <w:r w:rsidRPr="00CE4A8C">
        <w:rPr>
          <w:lang w:val="fr-FR"/>
        </w:rPr>
      </w:r>
      <w:r w:rsidRPr="00CE4A8C">
        <w:rPr>
          <w:lang w:val="fr-FR"/>
        </w:rPr>
        <w:fldChar w:fldCharType="separate"/>
      </w:r>
      <w:r w:rsidR="00CE4A8C" w:rsidRPr="00CE4A8C">
        <w:rPr>
          <w:noProof/>
          <w:lang w:val="fr-FR"/>
        </w:rPr>
        <w:t>20</w:t>
      </w:r>
      <w:r w:rsidRPr="00CE4A8C">
        <w:rPr>
          <w:lang w:val="fr-FR"/>
        </w:rPr>
        <w:fldChar w:fldCharType="end"/>
      </w:r>
      <w:r w:rsidRPr="00CE4A8C">
        <w:rPr>
          <w:lang w:val="fr-FR"/>
        </w:rPr>
        <w:t xml:space="preserve"> et suivants ci-dessus).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165</w:t>
      </w:r>
      <w:r w:rsidRPr="00CE4A8C">
        <w:rPr>
          <w:lang w:val="fr-FR"/>
        </w:rPr>
        <w:fldChar w:fldCharType="end"/>
      </w:r>
      <w:r w:rsidRPr="00CE4A8C">
        <w:rPr>
          <w:lang w:val="fr-FR"/>
        </w:rPr>
        <w:t>.  Par ailleurs, une étude de cohorte effectuée en 2016 a démontré un lien de causalité entre l</w:t>
      </w:r>
      <w:r w:rsidR="00CE4A8C" w:rsidRPr="00CE4A8C">
        <w:rPr>
          <w:lang w:val="fr-FR"/>
        </w:rPr>
        <w:t>’</w:t>
      </w:r>
      <w:r w:rsidRPr="00CE4A8C">
        <w:rPr>
          <w:lang w:val="fr-FR"/>
        </w:rPr>
        <w:t>exposition aux PM10 et au SO</w:t>
      </w:r>
      <w:r w:rsidRPr="00CE4A8C">
        <w:rPr>
          <w:vertAlign w:val="subscript"/>
          <w:lang w:val="fr-FR"/>
        </w:rPr>
        <w:t>2</w:t>
      </w:r>
      <w:r w:rsidRPr="00CE4A8C">
        <w:rPr>
          <w:lang w:val="fr-FR"/>
        </w:rPr>
        <w:t xml:space="preserve"> d</w:t>
      </w:r>
      <w:r w:rsidR="00CE4A8C" w:rsidRPr="00CE4A8C">
        <w:rPr>
          <w:lang w:val="fr-FR"/>
        </w:rPr>
        <w:t>’</w:t>
      </w:r>
      <w:r w:rsidRPr="00CE4A8C">
        <w:rPr>
          <w:lang w:val="fr-FR"/>
        </w:rPr>
        <w:t>origine industrielle, due à l</w:t>
      </w:r>
      <w:r w:rsidR="00CE4A8C" w:rsidRPr="00CE4A8C">
        <w:rPr>
          <w:lang w:val="fr-FR"/>
        </w:rPr>
        <w:t>’</w:t>
      </w:r>
      <w:r w:rsidRPr="00CE4A8C">
        <w:rPr>
          <w:lang w:val="fr-FR"/>
        </w:rPr>
        <w:t>activité productive de la société Ilva, et l</w:t>
      </w:r>
      <w:r w:rsidR="00CE4A8C" w:rsidRPr="00CE4A8C">
        <w:rPr>
          <w:lang w:val="fr-FR"/>
        </w:rPr>
        <w:t>’</w:t>
      </w:r>
      <w:r w:rsidRPr="00CE4A8C">
        <w:rPr>
          <w:lang w:val="fr-FR"/>
        </w:rPr>
        <w:t xml:space="preserve">augmentation de la mortalité pour causes naturelles, tumeurs, maladies rénales et cardiovasculaires chez les personnes résidant à Tarente (paragraphes </w:t>
      </w:r>
      <w:r w:rsidRPr="00CE4A8C">
        <w:rPr>
          <w:lang w:val="fr-FR"/>
        </w:rPr>
        <w:fldChar w:fldCharType="begin"/>
      </w:r>
      <w:r w:rsidRPr="00CE4A8C">
        <w:rPr>
          <w:lang w:val="fr-FR"/>
        </w:rPr>
        <w:instrText xml:space="preserve"> REF coohrte \h  \* MERGEFORMAT </w:instrText>
      </w:r>
      <w:r w:rsidRPr="00CE4A8C">
        <w:rPr>
          <w:lang w:val="fr-FR"/>
        </w:rPr>
      </w:r>
      <w:r w:rsidRPr="00CE4A8C">
        <w:rPr>
          <w:lang w:val="fr-FR"/>
        </w:rPr>
        <w:fldChar w:fldCharType="separate"/>
      </w:r>
      <w:r w:rsidR="00CE4A8C" w:rsidRPr="00CE4A8C">
        <w:rPr>
          <w:noProof/>
          <w:lang w:val="fr-FR"/>
        </w:rPr>
        <w:t>25</w:t>
      </w:r>
      <w:r w:rsidRPr="00CE4A8C">
        <w:rPr>
          <w:lang w:val="fr-FR"/>
        </w:rPr>
        <w:fldChar w:fldCharType="end"/>
      </w:r>
      <w:r w:rsidRPr="00CE4A8C">
        <w:rPr>
          <w:lang w:val="fr-FR"/>
        </w:rPr>
        <w:t xml:space="preserve"> et </w:t>
      </w:r>
      <w:r w:rsidRPr="00CE4A8C">
        <w:rPr>
          <w:lang w:val="fr-FR"/>
        </w:rPr>
        <w:fldChar w:fldCharType="begin"/>
      </w:r>
      <w:r w:rsidRPr="00CE4A8C">
        <w:rPr>
          <w:lang w:val="fr-FR"/>
        </w:rPr>
        <w:instrText xml:space="preserve"> REF cohorte_2 \h  \* MERGEFORMAT </w:instrText>
      </w:r>
      <w:r w:rsidRPr="00CE4A8C">
        <w:rPr>
          <w:lang w:val="fr-FR"/>
        </w:rPr>
      </w:r>
      <w:r w:rsidRPr="00CE4A8C">
        <w:rPr>
          <w:lang w:val="fr-FR"/>
        </w:rPr>
        <w:fldChar w:fldCharType="separate"/>
      </w:r>
      <w:r w:rsidR="00CE4A8C" w:rsidRPr="00CE4A8C">
        <w:rPr>
          <w:noProof/>
          <w:lang w:val="fr-FR"/>
        </w:rPr>
        <w:t>26</w:t>
      </w:r>
      <w:r w:rsidRPr="00CE4A8C">
        <w:rPr>
          <w:lang w:val="fr-FR"/>
        </w:rPr>
        <w:fldChar w:fldCharType="end"/>
      </w:r>
      <w:r w:rsidRPr="00CE4A8C">
        <w:rPr>
          <w:lang w:val="fr-FR"/>
        </w:rPr>
        <w:t xml:space="preserve"> ci-dessus).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166</w:t>
      </w:r>
      <w:r w:rsidRPr="00CE4A8C">
        <w:rPr>
          <w:lang w:val="fr-FR"/>
        </w:rPr>
        <w:fldChar w:fldCharType="end"/>
      </w:r>
      <w:r w:rsidRPr="00CE4A8C">
        <w:rPr>
          <w:lang w:val="fr-FR"/>
        </w:rPr>
        <w:t>.  Enfin, le même lien entre les émissions industrielles de la société Ilva et le préjudice sanitaire dans la région de Tarente est attesté dans le rapport de l</w:t>
      </w:r>
      <w:r w:rsidR="00CE4A8C" w:rsidRPr="00CE4A8C">
        <w:rPr>
          <w:lang w:val="fr-FR"/>
        </w:rPr>
        <w:t>’</w:t>
      </w:r>
      <w:r w:rsidRPr="00CE4A8C">
        <w:rPr>
          <w:lang w:val="fr-FR"/>
        </w:rPr>
        <w:t>ARPA de 2017. Ce dernier fait d</w:t>
      </w:r>
      <w:r w:rsidR="00CE4A8C" w:rsidRPr="00CE4A8C">
        <w:rPr>
          <w:lang w:val="fr-FR"/>
        </w:rPr>
        <w:t>’</w:t>
      </w:r>
      <w:r w:rsidRPr="00CE4A8C">
        <w:rPr>
          <w:lang w:val="fr-FR"/>
        </w:rPr>
        <w:t>ailleurs aussi état de la permanence d</w:t>
      </w:r>
      <w:r w:rsidR="00CE4A8C" w:rsidRPr="00CE4A8C">
        <w:rPr>
          <w:lang w:val="fr-FR"/>
        </w:rPr>
        <w:t>’</w:t>
      </w:r>
      <w:r w:rsidRPr="00CE4A8C">
        <w:rPr>
          <w:lang w:val="fr-FR"/>
        </w:rPr>
        <w:t>une situation de criticité sanitaire dans la zone « à haut risque environnemental » et dans le SIN de Tarente, où le taux de mortalité et d</w:t>
      </w:r>
      <w:r w:rsidR="00CE4A8C" w:rsidRPr="00CE4A8C">
        <w:rPr>
          <w:lang w:val="fr-FR"/>
        </w:rPr>
        <w:t>’</w:t>
      </w:r>
      <w:r w:rsidRPr="00CE4A8C">
        <w:rPr>
          <w:lang w:val="fr-FR"/>
        </w:rPr>
        <w:t xml:space="preserve">hospitalisation pour certaines pathologies oncologiques, cardiovasculaires, respiratoires et digestives était supérieur par rapport à la moyenne régionale (paragraphe </w:t>
      </w:r>
      <w:r w:rsidRPr="00CE4A8C">
        <w:rPr>
          <w:lang w:val="fr-FR"/>
        </w:rPr>
        <w:fldChar w:fldCharType="begin"/>
      </w:r>
      <w:r w:rsidRPr="00CE4A8C">
        <w:rPr>
          <w:lang w:val="fr-FR"/>
        </w:rPr>
        <w:instrText xml:space="preserve"> REF ARPA_2017 \h  \* MERGEFORMAT </w:instrText>
      </w:r>
      <w:r w:rsidRPr="00CE4A8C">
        <w:rPr>
          <w:lang w:val="fr-FR"/>
        </w:rPr>
      </w:r>
      <w:r w:rsidRPr="00CE4A8C">
        <w:rPr>
          <w:lang w:val="fr-FR"/>
        </w:rPr>
        <w:fldChar w:fldCharType="separate"/>
      </w:r>
      <w:r w:rsidR="00CE4A8C" w:rsidRPr="00CE4A8C">
        <w:rPr>
          <w:noProof/>
          <w:lang w:val="fr-FR"/>
        </w:rPr>
        <w:t>29</w:t>
      </w:r>
      <w:r w:rsidRPr="00CE4A8C">
        <w:rPr>
          <w:lang w:val="fr-FR"/>
        </w:rPr>
        <w:fldChar w:fldCharType="end"/>
      </w:r>
      <w:r w:rsidRPr="00CE4A8C">
        <w:rPr>
          <w:lang w:val="fr-FR"/>
        </w:rPr>
        <w:t xml:space="preserve"> ci-dessus).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167</w:t>
      </w:r>
      <w:r w:rsidRPr="00CE4A8C">
        <w:rPr>
          <w:lang w:val="fr-FR"/>
        </w:rPr>
        <w:fldChar w:fldCharType="end"/>
      </w:r>
      <w:r w:rsidRPr="00CE4A8C">
        <w:rPr>
          <w:lang w:val="fr-FR"/>
        </w:rPr>
        <w:t>.  Il y a lieu de relever que, malgré les tentatives des autorités nationales d</w:t>
      </w:r>
      <w:r w:rsidR="00CE4A8C" w:rsidRPr="00CE4A8C">
        <w:rPr>
          <w:lang w:val="fr-FR"/>
        </w:rPr>
        <w:t>’</w:t>
      </w:r>
      <w:r w:rsidRPr="00CE4A8C">
        <w:rPr>
          <w:lang w:val="fr-FR"/>
        </w:rPr>
        <w:t>aboutir à la dépollution de la région concernée, les projets mis en place n</w:t>
      </w:r>
      <w:r w:rsidR="00CE4A8C" w:rsidRPr="00CE4A8C">
        <w:rPr>
          <w:lang w:val="fr-FR"/>
        </w:rPr>
        <w:t>’</w:t>
      </w:r>
      <w:r w:rsidRPr="00CE4A8C">
        <w:rPr>
          <w:lang w:val="fr-FR"/>
        </w:rPr>
        <w:t>ont, à ce jour, pas produit les effets escomptés.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168</w:t>
      </w:r>
      <w:r w:rsidRPr="00CE4A8C">
        <w:rPr>
          <w:lang w:val="fr-FR"/>
        </w:rPr>
        <w:fldChar w:fldCharType="end"/>
      </w:r>
      <w:r w:rsidRPr="00CE4A8C">
        <w:rPr>
          <w:lang w:val="fr-FR"/>
        </w:rPr>
        <w:t>.  Les mesures préconisées à partir de 2012 dans le cadre de l</w:t>
      </w:r>
      <w:r w:rsidR="00CE4A8C" w:rsidRPr="00CE4A8C">
        <w:rPr>
          <w:lang w:val="fr-FR"/>
        </w:rPr>
        <w:t>’</w:t>
      </w:r>
      <w:r w:rsidRPr="00CE4A8C">
        <w:rPr>
          <w:lang w:val="fr-FR"/>
        </w:rPr>
        <w:t>AIA afin d</w:t>
      </w:r>
      <w:r w:rsidR="00CE4A8C" w:rsidRPr="00CE4A8C">
        <w:rPr>
          <w:lang w:val="fr-FR"/>
        </w:rPr>
        <w:t>’</w:t>
      </w:r>
      <w:r w:rsidRPr="00CE4A8C">
        <w:rPr>
          <w:lang w:val="fr-FR"/>
        </w:rPr>
        <w:t>améliorer l</w:t>
      </w:r>
      <w:r w:rsidR="00CE4A8C" w:rsidRPr="00CE4A8C">
        <w:rPr>
          <w:lang w:val="fr-FR"/>
        </w:rPr>
        <w:t>’</w:t>
      </w:r>
      <w:r w:rsidRPr="00CE4A8C">
        <w:rPr>
          <w:lang w:val="fr-FR"/>
        </w:rPr>
        <w:t>impact environnemental de l</w:t>
      </w:r>
      <w:r w:rsidR="00CE4A8C" w:rsidRPr="00CE4A8C">
        <w:rPr>
          <w:lang w:val="fr-FR"/>
        </w:rPr>
        <w:t>’</w:t>
      </w:r>
      <w:r w:rsidRPr="00CE4A8C">
        <w:rPr>
          <w:lang w:val="fr-FR"/>
        </w:rPr>
        <w:t>usine n</w:t>
      </w:r>
      <w:r w:rsidR="00CE4A8C" w:rsidRPr="00CE4A8C">
        <w:rPr>
          <w:lang w:val="fr-FR"/>
        </w:rPr>
        <w:t>’</w:t>
      </w:r>
      <w:r w:rsidRPr="00CE4A8C">
        <w:rPr>
          <w:lang w:val="fr-FR"/>
        </w:rPr>
        <w:t>ont finalement pas été réalisées ; cette défaillance a été du reste à l</w:t>
      </w:r>
      <w:r w:rsidR="00CE4A8C" w:rsidRPr="00CE4A8C">
        <w:rPr>
          <w:lang w:val="fr-FR"/>
        </w:rPr>
        <w:t>’</w:t>
      </w:r>
      <w:r w:rsidRPr="00CE4A8C">
        <w:rPr>
          <w:lang w:val="fr-FR"/>
        </w:rPr>
        <w:t>origine d</w:t>
      </w:r>
      <w:r w:rsidR="00CE4A8C" w:rsidRPr="00CE4A8C">
        <w:rPr>
          <w:lang w:val="fr-FR"/>
        </w:rPr>
        <w:t>’</w:t>
      </w:r>
      <w:r w:rsidRPr="00CE4A8C">
        <w:rPr>
          <w:lang w:val="fr-FR"/>
        </w:rPr>
        <w:t>une procédure d</w:t>
      </w:r>
      <w:r w:rsidR="00CE4A8C" w:rsidRPr="00CE4A8C">
        <w:rPr>
          <w:lang w:val="fr-FR"/>
        </w:rPr>
        <w:t>’</w:t>
      </w:r>
      <w:r w:rsidRPr="00CE4A8C">
        <w:rPr>
          <w:lang w:val="fr-FR"/>
        </w:rPr>
        <w:t>infraction devant les instances de l</w:t>
      </w:r>
      <w:r w:rsidR="00CE4A8C" w:rsidRPr="00CE4A8C">
        <w:rPr>
          <w:lang w:val="fr-FR"/>
        </w:rPr>
        <w:t>’</w:t>
      </w:r>
      <w:r w:rsidRPr="00CE4A8C">
        <w:rPr>
          <w:lang w:val="fr-FR"/>
        </w:rPr>
        <w:t>Union européenne. Par ailleurs, la réalisation du plan environnemental approuvé en 2014 a été reportée au mois d</w:t>
      </w:r>
      <w:r w:rsidR="00CE4A8C" w:rsidRPr="00CE4A8C">
        <w:rPr>
          <w:lang w:val="fr-FR"/>
        </w:rPr>
        <w:t>’</w:t>
      </w:r>
      <w:r w:rsidRPr="00CE4A8C">
        <w:rPr>
          <w:lang w:val="fr-FR"/>
        </w:rPr>
        <w:t xml:space="preserve">août 2023 (paragraphe </w:t>
      </w:r>
      <w:r w:rsidRPr="00CE4A8C">
        <w:rPr>
          <w:lang w:val="fr-FR"/>
        </w:rPr>
        <w:fldChar w:fldCharType="begin"/>
      </w:r>
      <w:r w:rsidRPr="00CE4A8C">
        <w:rPr>
          <w:lang w:val="fr-FR"/>
        </w:rPr>
        <w:instrText xml:space="preserve"> REF anno2023 \h  \* MERGEFORMAT </w:instrText>
      </w:r>
      <w:r w:rsidRPr="00CE4A8C">
        <w:rPr>
          <w:lang w:val="fr-FR"/>
        </w:rPr>
      </w:r>
      <w:r w:rsidRPr="00CE4A8C">
        <w:rPr>
          <w:lang w:val="fr-FR"/>
        </w:rPr>
        <w:fldChar w:fldCharType="separate"/>
      </w:r>
      <w:r w:rsidR="00CE4A8C" w:rsidRPr="00CE4A8C">
        <w:rPr>
          <w:noProof/>
          <w:lang w:val="fr-FR"/>
        </w:rPr>
        <w:t>69</w:t>
      </w:r>
      <w:r w:rsidRPr="00CE4A8C">
        <w:rPr>
          <w:lang w:val="fr-FR"/>
        </w:rPr>
        <w:fldChar w:fldCharType="end"/>
      </w:r>
      <w:r w:rsidRPr="00CE4A8C">
        <w:rPr>
          <w:lang w:val="fr-FR"/>
        </w:rPr>
        <w:t xml:space="preserve"> ci-dessus). La procédure permettant d</w:t>
      </w:r>
      <w:r w:rsidR="00CE4A8C" w:rsidRPr="00CE4A8C">
        <w:rPr>
          <w:lang w:val="fr-FR"/>
        </w:rPr>
        <w:t>’</w:t>
      </w:r>
      <w:r w:rsidRPr="00CE4A8C">
        <w:rPr>
          <w:lang w:val="fr-FR"/>
        </w:rPr>
        <w:t>atteindre les objectifs d</w:t>
      </w:r>
      <w:r w:rsidR="00CE4A8C" w:rsidRPr="00CE4A8C">
        <w:rPr>
          <w:lang w:val="fr-FR"/>
        </w:rPr>
        <w:t>’</w:t>
      </w:r>
      <w:r w:rsidRPr="00CE4A8C">
        <w:rPr>
          <w:lang w:val="fr-FR"/>
        </w:rPr>
        <w:t>assainissement poursuivis se révèle donc d</w:t>
      </w:r>
      <w:r w:rsidR="00CE4A8C" w:rsidRPr="00CE4A8C">
        <w:rPr>
          <w:lang w:val="fr-FR"/>
        </w:rPr>
        <w:t>’</w:t>
      </w:r>
      <w:r w:rsidRPr="00CE4A8C">
        <w:rPr>
          <w:lang w:val="fr-FR"/>
        </w:rPr>
        <w:t>une lenteur extrême (</w:t>
      </w:r>
      <w:r w:rsidRPr="00CE4A8C">
        <w:rPr>
          <w:i/>
          <w:szCs w:val="24"/>
          <w:lang w:val="fr-FR"/>
        </w:rPr>
        <w:t>Fadeïeva</w:t>
      </w:r>
      <w:r w:rsidRPr="00CE4A8C">
        <w:rPr>
          <w:lang w:val="fr-FR"/>
        </w:rPr>
        <w:t>, précité, §§ 126-127).</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169</w:t>
      </w:r>
      <w:r w:rsidRPr="00CE4A8C">
        <w:rPr>
          <w:lang w:val="fr-FR"/>
        </w:rPr>
        <w:fldChar w:fldCharType="end"/>
      </w:r>
      <w:r w:rsidRPr="00CE4A8C">
        <w:rPr>
          <w:lang w:val="fr-FR"/>
        </w:rPr>
        <w:t>.  Entre-temps, le gouvernement est intervenu à maintes reprises par le biais de mesures urgentes (les décrets-lois « </w:t>
      </w:r>
      <w:r w:rsidRPr="00CE4A8C">
        <w:rPr>
          <w:i/>
          <w:lang w:val="fr-FR"/>
        </w:rPr>
        <w:t>salva-Ilva</w:t>
      </w:r>
      <w:r w:rsidRPr="00CE4A8C">
        <w:rPr>
          <w:lang w:val="fr-FR"/>
        </w:rPr>
        <w:t xml:space="preserve"> » – paragraphes </w:t>
      </w:r>
      <w:r w:rsidRPr="00CE4A8C">
        <w:rPr>
          <w:lang w:val="fr-FR"/>
        </w:rPr>
        <w:fldChar w:fldCharType="begin"/>
      </w:r>
      <w:r w:rsidRPr="00CE4A8C">
        <w:rPr>
          <w:lang w:val="fr-FR"/>
        </w:rPr>
        <w:instrText xml:space="preserve"> REF Salva_Ilva \h  \* MERGEFORMAT </w:instrText>
      </w:r>
      <w:r w:rsidRPr="00CE4A8C">
        <w:rPr>
          <w:lang w:val="fr-FR"/>
        </w:rPr>
      </w:r>
      <w:r w:rsidRPr="00CE4A8C">
        <w:rPr>
          <w:lang w:val="fr-FR"/>
        </w:rPr>
        <w:fldChar w:fldCharType="separate"/>
      </w:r>
      <w:r w:rsidR="00CE4A8C" w:rsidRPr="00CE4A8C">
        <w:rPr>
          <w:noProof/>
          <w:lang w:val="fr-FR"/>
        </w:rPr>
        <w:t>47</w:t>
      </w:r>
      <w:r w:rsidRPr="00CE4A8C">
        <w:rPr>
          <w:lang w:val="fr-FR"/>
        </w:rPr>
        <w:fldChar w:fldCharType="end"/>
      </w:r>
      <w:r w:rsidR="00DE67CB" w:rsidRPr="00CE4A8C">
        <w:rPr>
          <w:lang w:val="fr-FR"/>
        </w:rPr>
        <w:t xml:space="preserve"> et </w:t>
      </w:r>
      <w:r w:rsidRPr="00CE4A8C">
        <w:rPr>
          <w:lang w:val="fr-FR"/>
        </w:rPr>
        <w:t>suivants ci-dessus) afin de garantir la continuation de l</w:t>
      </w:r>
      <w:r w:rsidR="00CE4A8C" w:rsidRPr="00CE4A8C">
        <w:rPr>
          <w:lang w:val="fr-FR"/>
        </w:rPr>
        <w:t>’</w:t>
      </w:r>
      <w:r w:rsidRPr="00CE4A8C">
        <w:rPr>
          <w:lang w:val="fr-FR"/>
        </w:rPr>
        <w:t>activité de production de l</w:t>
      </w:r>
      <w:r w:rsidR="00CE4A8C" w:rsidRPr="00CE4A8C">
        <w:rPr>
          <w:lang w:val="fr-FR"/>
        </w:rPr>
        <w:t>’</w:t>
      </w:r>
      <w:r w:rsidRPr="00CE4A8C">
        <w:rPr>
          <w:lang w:val="fr-FR"/>
        </w:rPr>
        <w:t>aciérie, et ce en dépit du constat par les autorités judiciaires compétentes, fondé sur des expertises chimiques et épidémiologiques, de l</w:t>
      </w:r>
      <w:r w:rsidR="00CE4A8C" w:rsidRPr="00CE4A8C">
        <w:rPr>
          <w:lang w:val="fr-FR"/>
        </w:rPr>
        <w:t>’</w:t>
      </w:r>
      <w:r w:rsidRPr="00CE4A8C">
        <w:rPr>
          <w:lang w:val="fr-FR"/>
        </w:rPr>
        <w:t>existence de risques graves pour la santé et pour l</w:t>
      </w:r>
      <w:r w:rsidR="00CE4A8C" w:rsidRPr="00CE4A8C">
        <w:rPr>
          <w:lang w:val="fr-FR"/>
        </w:rPr>
        <w:t>’</w:t>
      </w:r>
      <w:r w:rsidRPr="00CE4A8C">
        <w:rPr>
          <w:lang w:val="fr-FR"/>
        </w:rPr>
        <w:t xml:space="preserve">environnement </w:t>
      </w:r>
      <w:r w:rsidRPr="00CE4A8C">
        <w:rPr>
          <w:lang w:val="fr-FR"/>
        </w:rPr>
        <w:lastRenderedPageBreak/>
        <w:t>(paragraphe </w:t>
      </w:r>
      <w:r w:rsidRPr="00CE4A8C">
        <w:rPr>
          <w:lang w:val="fr-FR"/>
        </w:rPr>
        <w:fldChar w:fldCharType="begin"/>
      </w:r>
      <w:r w:rsidRPr="00CE4A8C">
        <w:rPr>
          <w:lang w:val="fr-FR"/>
        </w:rPr>
        <w:instrText xml:space="preserve"> REF expértises \h  \* MERGEFORMAT </w:instrText>
      </w:r>
      <w:r w:rsidRPr="00CE4A8C">
        <w:rPr>
          <w:lang w:val="fr-FR"/>
        </w:rPr>
      </w:r>
      <w:r w:rsidRPr="00CE4A8C">
        <w:rPr>
          <w:lang w:val="fr-FR"/>
        </w:rPr>
        <w:fldChar w:fldCharType="separate"/>
      </w:r>
      <w:r w:rsidR="00CE4A8C" w:rsidRPr="00CE4A8C">
        <w:rPr>
          <w:noProof/>
          <w:lang w:val="fr-FR"/>
        </w:rPr>
        <w:t>76</w:t>
      </w:r>
      <w:r w:rsidRPr="00CE4A8C">
        <w:rPr>
          <w:lang w:val="fr-FR"/>
        </w:rPr>
        <w:fldChar w:fldCharType="end"/>
      </w:r>
      <w:r w:rsidRPr="00CE4A8C">
        <w:rPr>
          <w:lang w:val="fr-FR"/>
        </w:rPr>
        <w:t xml:space="preserve"> ci-dessus, et, en ce qui concerne le rejet de la question de constitutionnalité, paragraphe </w:t>
      </w:r>
      <w:r w:rsidRPr="00CE4A8C">
        <w:rPr>
          <w:lang w:val="fr-FR"/>
        </w:rPr>
        <w:fldChar w:fldCharType="begin"/>
      </w:r>
      <w:r w:rsidRPr="00CE4A8C">
        <w:rPr>
          <w:lang w:val="fr-FR"/>
        </w:rPr>
        <w:instrText xml:space="preserve"> REF cour_constitutionnelle \h  \* MERGEFORMAT </w:instrText>
      </w:r>
      <w:r w:rsidRPr="00CE4A8C">
        <w:rPr>
          <w:lang w:val="fr-FR"/>
        </w:rPr>
      </w:r>
      <w:r w:rsidRPr="00CE4A8C">
        <w:rPr>
          <w:lang w:val="fr-FR"/>
        </w:rPr>
        <w:fldChar w:fldCharType="separate"/>
      </w:r>
      <w:r w:rsidR="00CE4A8C" w:rsidRPr="00CE4A8C">
        <w:rPr>
          <w:noProof/>
          <w:lang w:val="fr-FR"/>
        </w:rPr>
        <w:t>51</w:t>
      </w:r>
      <w:r w:rsidRPr="00CE4A8C">
        <w:rPr>
          <w:lang w:val="fr-FR"/>
        </w:rPr>
        <w:fldChar w:fldCharType="end"/>
      </w:r>
      <w:r w:rsidRPr="00CE4A8C">
        <w:rPr>
          <w:lang w:val="fr-FR"/>
        </w:rPr>
        <w:t xml:space="preserve"> ci</w:t>
      </w:r>
      <w:r w:rsidRPr="00CE4A8C">
        <w:rPr>
          <w:lang w:val="fr-FR"/>
        </w:rPr>
        <w:noBreakHyphen/>
        <w:t>dessus). Qui plus est, une immunité administrative et pénale a été reconnue aux personnes chargées de garantir le respect des prescriptions en matière environnementale, à savoir l</w:t>
      </w:r>
      <w:r w:rsidR="00CE4A8C" w:rsidRPr="00CE4A8C">
        <w:rPr>
          <w:lang w:val="fr-FR"/>
        </w:rPr>
        <w:t>’</w:t>
      </w:r>
      <w:r w:rsidRPr="00CE4A8C">
        <w:rPr>
          <w:lang w:val="fr-FR"/>
        </w:rPr>
        <w:t xml:space="preserve">administrateur provisoire et le futur acquéreur de la société (paragraphes </w:t>
      </w:r>
      <w:r w:rsidRPr="00CE4A8C">
        <w:rPr>
          <w:lang w:val="fr-FR"/>
        </w:rPr>
        <w:fldChar w:fldCharType="begin"/>
      </w:r>
      <w:r w:rsidRPr="00CE4A8C">
        <w:rPr>
          <w:lang w:val="fr-FR"/>
        </w:rPr>
        <w:instrText xml:space="preserve"> REF immunité_1 \h  \* MERGEFORMAT </w:instrText>
      </w:r>
      <w:r w:rsidRPr="00CE4A8C">
        <w:rPr>
          <w:lang w:val="fr-FR"/>
        </w:rPr>
      </w:r>
      <w:r w:rsidRPr="00CE4A8C">
        <w:rPr>
          <w:lang w:val="fr-FR"/>
        </w:rPr>
        <w:fldChar w:fldCharType="separate"/>
      </w:r>
      <w:r w:rsidR="00CE4A8C" w:rsidRPr="00CE4A8C">
        <w:rPr>
          <w:noProof/>
          <w:lang w:val="fr-FR"/>
        </w:rPr>
        <w:t>59</w:t>
      </w:r>
      <w:r w:rsidRPr="00CE4A8C">
        <w:rPr>
          <w:lang w:val="fr-FR"/>
        </w:rPr>
        <w:fldChar w:fldCharType="end"/>
      </w:r>
      <w:r w:rsidRPr="00CE4A8C">
        <w:rPr>
          <w:lang w:val="fr-FR"/>
        </w:rPr>
        <w:t xml:space="preserve"> et </w:t>
      </w:r>
      <w:r w:rsidRPr="00CE4A8C">
        <w:rPr>
          <w:lang w:val="fr-FR"/>
        </w:rPr>
        <w:fldChar w:fldCharType="begin"/>
      </w:r>
      <w:r w:rsidRPr="00CE4A8C">
        <w:rPr>
          <w:lang w:val="fr-FR"/>
        </w:rPr>
        <w:instrText xml:space="preserve"> REF immunité_2 \h  \* MERGEFORMAT </w:instrText>
      </w:r>
      <w:r w:rsidRPr="00CE4A8C">
        <w:rPr>
          <w:lang w:val="fr-FR"/>
        </w:rPr>
      </w:r>
      <w:r w:rsidRPr="00CE4A8C">
        <w:rPr>
          <w:lang w:val="fr-FR"/>
        </w:rPr>
        <w:fldChar w:fldCharType="separate"/>
      </w:r>
      <w:r w:rsidR="00CE4A8C" w:rsidRPr="00CE4A8C">
        <w:rPr>
          <w:noProof/>
          <w:lang w:val="fr-FR"/>
        </w:rPr>
        <w:t>68</w:t>
      </w:r>
      <w:r w:rsidRPr="00CE4A8C">
        <w:rPr>
          <w:lang w:val="fr-FR"/>
        </w:rPr>
        <w:fldChar w:fldCharType="end"/>
      </w:r>
      <w:r w:rsidRPr="00CE4A8C">
        <w:rPr>
          <w:lang w:val="fr-FR"/>
        </w:rPr>
        <w:t xml:space="preserve"> ci-dessus).</w:t>
      </w:r>
    </w:p>
    <w:p w:rsidR="00E206E4"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170</w:t>
      </w:r>
      <w:r w:rsidRPr="00CE4A8C">
        <w:rPr>
          <w:lang w:val="fr-FR"/>
        </w:rPr>
        <w:fldChar w:fldCharType="end"/>
      </w:r>
      <w:r w:rsidRPr="00CE4A8C">
        <w:rPr>
          <w:lang w:val="fr-FR"/>
        </w:rPr>
        <w:t>.  À cela s</w:t>
      </w:r>
      <w:r w:rsidR="00CE4A8C" w:rsidRPr="00CE4A8C">
        <w:rPr>
          <w:lang w:val="fr-FR"/>
        </w:rPr>
        <w:t>’</w:t>
      </w:r>
      <w:r w:rsidRPr="00CE4A8C">
        <w:rPr>
          <w:lang w:val="fr-FR"/>
        </w:rPr>
        <w:t>ajoute une situation d</w:t>
      </w:r>
      <w:r w:rsidR="00CE4A8C" w:rsidRPr="00CE4A8C">
        <w:rPr>
          <w:lang w:val="fr-FR"/>
        </w:rPr>
        <w:t>’</w:t>
      </w:r>
      <w:r w:rsidRPr="00CE4A8C">
        <w:rPr>
          <w:lang w:val="fr-FR"/>
        </w:rPr>
        <w:t>incertitude découlant, d</w:t>
      </w:r>
      <w:r w:rsidR="00CE4A8C" w:rsidRPr="00CE4A8C">
        <w:rPr>
          <w:lang w:val="fr-FR"/>
        </w:rPr>
        <w:t>’</w:t>
      </w:r>
      <w:r w:rsidRPr="00CE4A8C">
        <w:rPr>
          <w:lang w:val="fr-FR"/>
        </w:rPr>
        <w:t xml:space="preserve">une part, de la débâcle financière de la société (paragraphe </w:t>
      </w:r>
      <w:r w:rsidRPr="00CE4A8C">
        <w:rPr>
          <w:lang w:val="fr-FR"/>
        </w:rPr>
        <w:fldChar w:fldCharType="begin"/>
      </w:r>
      <w:r w:rsidRPr="00CE4A8C">
        <w:rPr>
          <w:lang w:val="fr-FR"/>
        </w:rPr>
        <w:instrText xml:space="preserve"> REF administration_extraordinaire \h  \* MERGEFORMAT </w:instrText>
      </w:r>
      <w:r w:rsidRPr="00CE4A8C">
        <w:rPr>
          <w:lang w:val="fr-FR"/>
        </w:rPr>
      </w:r>
      <w:r w:rsidRPr="00CE4A8C">
        <w:rPr>
          <w:lang w:val="fr-FR"/>
        </w:rPr>
        <w:fldChar w:fldCharType="separate"/>
      </w:r>
      <w:r w:rsidR="00CE4A8C" w:rsidRPr="00CE4A8C">
        <w:rPr>
          <w:noProof/>
          <w:lang w:val="fr-FR"/>
        </w:rPr>
        <w:t>60</w:t>
      </w:r>
      <w:r w:rsidRPr="00CE4A8C">
        <w:rPr>
          <w:lang w:val="fr-FR"/>
        </w:rPr>
        <w:fldChar w:fldCharType="end"/>
      </w:r>
      <w:r w:rsidRPr="00CE4A8C">
        <w:rPr>
          <w:lang w:val="fr-FR"/>
        </w:rPr>
        <w:t xml:space="preserve"> ci-dessus) et, d</w:t>
      </w:r>
      <w:r w:rsidR="00CE4A8C" w:rsidRPr="00CE4A8C">
        <w:rPr>
          <w:lang w:val="fr-FR"/>
        </w:rPr>
        <w:t>’</w:t>
      </w:r>
      <w:r w:rsidRPr="00CE4A8C">
        <w:rPr>
          <w:lang w:val="fr-FR"/>
        </w:rPr>
        <w:t>autre part, de la possibilité, accordée au futur acquéreur, de reporter la réalisation de l</w:t>
      </w:r>
      <w:r w:rsidR="00CE4A8C" w:rsidRPr="00CE4A8C">
        <w:rPr>
          <w:lang w:val="fr-FR"/>
        </w:rPr>
        <w:t>’</w:t>
      </w:r>
      <w:r w:rsidRPr="00CE4A8C">
        <w:rPr>
          <w:lang w:val="fr-FR"/>
        </w:rPr>
        <w:t>assainissement de l</w:t>
      </w:r>
      <w:r w:rsidR="00CE4A8C" w:rsidRPr="00CE4A8C">
        <w:rPr>
          <w:lang w:val="fr-FR"/>
        </w:rPr>
        <w:t>’</w:t>
      </w:r>
      <w:r w:rsidRPr="00CE4A8C">
        <w:rPr>
          <w:lang w:val="fr-FR"/>
        </w:rPr>
        <w:t xml:space="preserve">usine (paragraphe </w:t>
      </w:r>
      <w:r w:rsidRPr="00CE4A8C">
        <w:rPr>
          <w:lang w:val="fr-FR"/>
        </w:rPr>
        <w:fldChar w:fldCharType="begin"/>
      </w:r>
      <w:r w:rsidRPr="00CE4A8C">
        <w:rPr>
          <w:lang w:val="fr-FR"/>
        </w:rPr>
        <w:instrText xml:space="preserve"> REF report_nouvel_acquereur \h  \* MERGEFORMAT </w:instrText>
      </w:r>
      <w:r w:rsidRPr="00CE4A8C">
        <w:rPr>
          <w:lang w:val="fr-FR"/>
        </w:rPr>
      </w:r>
      <w:r w:rsidRPr="00CE4A8C">
        <w:rPr>
          <w:lang w:val="fr-FR"/>
        </w:rPr>
        <w:fldChar w:fldCharType="separate"/>
      </w:r>
      <w:r w:rsidR="00CE4A8C" w:rsidRPr="00CE4A8C">
        <w:rPr>
          <w:noProof/>
          <w:lang w:val="fr-FR"/>
        </w:rPr>
        <w:t>67</w:t>
      </w:r>
      <w:r w:rsidRPr="00CE4A8C">
        <w:rPr>
          <w:lang w:val="fr-FR"/>
        </w:rPr>
        <w:fldChar w:fldCharType="end"/>
      </w:r>
      <w:r w:rsidRPr="00CE4A8C">
        <w:rPr>
          <w:lang w:val="fr-FR"/>
        </w:rPr>
        <w:t xml:space="preserve"> ci-dessus).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171</w:t>
      </w:r>
      <w:r w:rsidRPr="00CE4A8C">
        <w:rPr>
          <w:lang w:val="fr-FR"/>
        </w:rPr>
        <w:fldChar w:fldCharType="end"/>
      </w:r>
      <w:r w:rsidRPr="00CE4A8C">
        <w:rPr>
          <w:lang w:val="fr-FR"/>
        </w:rPr>
        <w:t>.  Le fait est que la gestion de la part des autorités nationales des questions environnementales tenant à l</w:t>
      </w:r>
      <w:r w:rsidR="00CE4A8C" w:rsidRPr="00CE4A8C">
        <w:rPr>
          <w:lang w:val="fr-FR"/>
        </w:rPr>
        <w:t>’</w:t>
      </w:r>
      <w:r w:rsidRPr="00CE4A8C">
        <w:rPr>
          <w:lang w:val="fr-FR"/>
        </w:rPr>
        <w:t>activité de production de la société Ilva de Tarente est, aujourd</w:t>
      </w:r>
      <w:r w:rsidR="00CE4A8C" w:rsidRPr="00CE4A8C">
        <w:rPr>
          <w:lang w:val="fr-FR"/>
        </w:rPr>
        <w:t>’</w:t>
      </w:r>
      <w:r w:rsidRPr="00CE4A8C">
        <w:rPr>
          <w:lang w:val="fr-FR"/>
        </w:rPr>
        <w:t>hui, dans l</w:t>
      </w:r>
      <w:r w:rsidR="00CE4A8C" w:rsidRPr="00CE4A8C">
        <w:rPr>
          <w:lang w:val="fr-FR"/>
        </w:rPr>
        <w:t>’</w:t>
      </w:r>
      <w:r w:rsidRPr="00CE4A8C">
        <w:rPr>
          <w:lang w:val="fr-FR"/>
        </w:rPr>
        <w:t>impasse.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172</w:t>
      </w:r>
      <w:r w:rsidRPr="00CE4A8C">
        <w:rPr>
          <w:lang w:val="fr-FR"/>
        </w:rPr>
        <w:fldChar w:fldCharType="end"/>
      </w:r>
      <w:r w:rsidRPr="00CE4A8C">
        <w:rPr>
          <w:lang w:val="fr-FR"/>
        </w:rPr>
        <w:t>.  La Cour ne peut que constater la prolongation d</w:t>
      </w:r>
      <w:r w:rsidR="00CE4A8C" w:rsidRPr="00CE4A8C">
        <w:rPr>
          <w:lang w:val="fr-FR"/>
        </w:rPr>
        <w:t>’</w:t>
      </w:r>
      <w:r w:rsidRPr="00CE4A8C">
        <w:rPr>
          <w:lang w:val="fr-FR"/>
        </w:rPr>
        <w:t>une situation de pollution environnementale mettant en danger la santé des requérants et, plus généralement, celle de l</w:t>
      </w:r>
      <w:r w:rsidR="00CE4A8C" w:rsidRPr="00CE4A8C">
        <w:rPr>
          <w:lang w:val="fr-FR"/>
        </w:rPr>
        <w:t>’</w:t>
      </w:r>
      <w:r w:rsidRPr="00CE4A8C">
        <w:rPr>
          <w:lang w:val="fr-FR"/>
        </w:rPr>
        <w:t>ensemble de la population résidant dans les zones à risque, laquelle reste, en l</w:t>
      </w:r>
      <w:r w:rsidR="00CE4A8C" w:rsidRPr="00CE4A8C">
        <w:rPr>
          <w:lang w:val="fr-FR"/>
        </w:rPr>
        <w:t>’</w:t>
      </w:r>
      <w:r w:rsidRPr="00CE4A8C">
        <w:rPr>
          <w:lang w:val="fr-FR"/>
        </w:rPr>
        <w:t>état actuel, privée d</w:t>
      </w:r>
      <w:r w:rsidR="00CE4A8C" w:rsidRPr="00CE4A8C">
        <w:rPr>
          <w:lang w:val="fr-FR"/>
        </w:rPr>
        <w:t>’</w:t>
      </w:r>
      <w:r w:rsidRPr="00CE4A8C">
        <w:rPr>
          <w:lang w:val="fr-FR"/>
        </w:rPr>
        <w:t>informations quant au déroulement de l</w:t>
      </w:r>
      <w:r w:rsidR="00CE4A8C" w:rsidRPr="00CE4A8C">
        <w:rPr>
          <w:lang w:val="fr-FR"/>
        </w:rPr>
        <w:t>’</w:t>
      </w:r>
      <w:r w:rsidRPr="00CE4A8C">
        <w:rPr>
          <w:lang w:val="fr-FR"/>
        </w:rPr>
        <w:t>assainissement du territoire concerné, notamment pour ce qui est des délais de mise en œuvre des travaux y afférents.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173</w:t>
      </w:r>
      <w:r w:rsidRPr="00CE4A8C">
        <w:rPr>
          <w:lang w:val="fr-FR"/>
        </w:rPr>
        <w:fldChar w:fldCharType="end"/>
      </w:r>
      <w:r w:rsidRPr="00CE4A8C">
        <w:rPr>
          <w:lang w:val="fr-FR"/>
        </w:rPr>
        <w:t>.  Eu égard à ce qui précède, la Cour constate que les autorités nationales ont omis de prendre toutes les mesures nécessaires pour assurer la protection effective du droit des intéressés au respect de leur vie privée.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174</w:t>
      </w:r>
      <w:r w:rsidRPr="00CE4A8C">
        <w:rPr>
          <w:lang w:val="fr-FR"/>
        </w:rPr>
        <w:fldChar w:fldCharType="end"/>
      </w:r>
      <w:r w:rsidRPr="00CE4A8C">
        <w:rPr>
          <w:lang w:val="fr-FR"/>
        </w:rPr>
        <w:t>.  Ainsi, le juste équilibre à ménager entre, d</w:t>
      </w:r>
      <w:r w:rsidR="00CE4A8C" w:rsidRPr="00CE4A8C">
        <w:rPr>
          <w:lang w:val="fr-FR"/>
        </w:rPr>
        <w:t>’</w:t>
      </w:r>
      <w:r w:rsidRPr="00CE4A8C">
        <w:rPr>
          <w:lang w:val="fr-FR"/>
        </w:rPr>
        <w:t>une part, l</w:t>
      </w:r>
      <w:r w:rsidR="00CE4A8C" w:rsidRPr="00CE4A8C">
        <w:rPr>
          <w:lang w:val="fr-FR"/>
        </w:rPr>
        <w:t>’</w:t>
      </w:r>
      <w:r w:rsidRPr="00CE4A8C">
        <w:rPr>
          <w:lang w:val="fr-FR"/>
        </w:rPr>
        <w:t>intérêt des requérants de ne pas subir des atteintes graves à l</w:t>
      </w:r>
      <w:r w:rsidR="00CE4A8C" w:rsidRPr="00CE4A8C">
        <w:rPr>
          <w:lang w:val="fr-FR"/>
        </w:rPr>
        <w:t>’</w:t>
      </w:r>
      <w:r w:rsidRPr="00CE4A8C">
        <w:rPr>
          <w:lang w:val="fr-FR"/>
        </w:rPr>
        <w:t>environnement pouvant affecter leur bien-être et leur vie privée et, d</w:t>
      </w:r>
      <w:r w:rsidR="00CE4A8C" w:rsidRPr="00CE4A8C">
        <w:rPr>
          <w:lang w:val="fr-FR"/>
        </w:rPr>
        <w:t>’</w:t>
      </w:r>
      <w:r w:rsidRPr="00CE4A8C">
        <w:rPr>
          <w:lang w:val="fr-FR"/>
        </w:rPr>
        <w:t>autre part, l</w:t>
      </w:r>
      <w:r w:rsidR="00CE4A8C" w:rsidRPr="00CE4A8C">
        <w:rPr>
          <w:lang w:val="fr-FR"/>
        </w:rPr>
        <w:t>’</w:t>
      </w:r>
      <w:r w:rsidRPr="00CE4A8C">
        <w:rPr>
          <w:lang w:val="fr-FR"/>
        </w:rPr>
        <w:t>intérêt de la société dans son ensemble n</w:t>
      </w:r>
      <w:r w:rsidR="00CE4A8C" w:rsidRPr="00CE4A8C">
        <w:rPr>
          <w:lang w:val="fr-FR"/>
        </w:rPr>
        <w:t>’</w:t>
      </w:r>
      <w:r w:rsidRPr="00CE4A8C">
        <w:rPr>
          <w:lang w:val="fr-FR"/>
        </w:rPr>
        <w:t>a pas été respecté. Dès lors, il y a eu violation de l</w:t>
      </w:r>
      <w:r w:rsidR="00CE4A8C" w:rsidRPr="00CE4A8C">
        <w:rPr>
          <w:lang w:val="fr-FR"/>
        </w:rPr>
        <w:t>’</w:t>
      </w:r>
      <w:r w:rsidRPr="00CE4A8C">
        <w:rPr>
          <w:lang w:val="fr-FR"/>
        </w:rPr>
        <w:t>article 8 de la Convention en l</w:t>
      </w:r>
      <w:r w:rsidR="00CE4A8C" w:rsidRPr="00CE4A8C">
        <w:rPr>
          <w:lang w:val="fr-FR"/>
        </w:rPr>
        <w:t>’</w:t>
      </w:r>
      <w:r w:rsidRPr="00CE4A8C">
        <w:rPr>
          <w:lang w:val="fr-FR"/>
        </w:rPr>
        <w:t>espèce.</w:t>
      </w:r>
    </w:p>
    <w:p w:rsidR="0059426D" w:rsidRPr="00CE4A8C" w:rsidRDefault="0059426D" w:rsidP="00CE4A8C">
      <w:pPr>
        <w:pStyle w:val="ECHRHeading3"/>
        <w:rPr>
          <w:lang w:val="fr-FR"/>
        </w:rPr>
      </w:pPr>
      <w:r w:rsidRPr="00CE4A8C">
        <w:rPr>
          <w:lang w:val="fr-FR"/>
        </w:rPr>
        <w:t>2.  Article 13 de la Convention</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175</w:t>
      </w:r>
      <w:r w:rsidRPr="00CE4A8C">
        <w:rPr>
          <w:lang w:val="fr-FR"/>
        </w:rPr>
        <w:fldChar w:fldCharType="end"/>
      </w:r>
      <w:r w:rsidRPr="00CE4A8C">
        <w:rPr>
          <w:lang w:val="fr-FR"/>
        </w:rPr>
        <w:t>.  La Cour rappelle que l</w:t>
      </w:r>
      <w:r w:rsidR="00CE4A8C" w:rsidRPr="00CE4A8C">
        <w:rPr>
          <w:lang w:val="fr-FR"/>
        </w:rPr>
        <w:t>’</w:t>
      </w:r>
      <w:r w:rsidRPr="00CE4A8C">
        <w:rPr>
          <w:lang w:val="fr-FR"/>
        </w:rPr>
        <w:t>article 13 de la Convention garantit l</w:t>
      </w:r>
      <w:r w:rsidR="00CE4A8C" w:rsidRPr="00CE4A8C">
        <w:rPr>
          <w:lang w:val="fr-FR"/>
        </w:rPr>
        <w:t>’</w:t>
      </w:r>
      <w:r w:rsidRPr="00CE4A8C">
        <w:rPr>
          <w:lang w:val="fr-FR"/>
        </w:rPr>
        <w:t>existence en droit interne d</w:t>
      </w:r>
      <w:r w:rsidR="00CE4A8C" w:rsidRPr="00CE4A8C">
        <w:rPr>
          <w:lang w:val="fr-FR"/>
        </w:rPr>
        <w:t>’</w:t>
      </w:r>
      <w:r w:rsidRPr="00CE4A8C">
        <w:rPr>
          <w:lang w:val="fr-FR"/>
        </w:rPr>
        <w:t>un recours permettant à l</w:t>
      </w:r>
      <w:r w:rsidR="00CE4A8C" w:rsidRPr="00CE4A8C">
        <w:rPr>
          <w:lang w:val="fr-FR"/>
        </w:rPr>
        <w:t>’</w:t>
      </w:r>
      <w:r w:rsidRPr="00CE4A8C">
        <w:rPr>
          <w:lang w:val="fr-FR"/>
        </w:rPr>
        <w:t>autorité nationale compétente de connaître du contenu d</w:t>
      </w:r>
      <w:r w:rsidR="00CE4A8C" w:rsidRPr="00CE4A8C">
        <w:rPr>
          <w:lang w:val="fr-FR"/>
        </w:rPr>
        <w:t>’</w:t>
      </w:r>
      <w:r w:rsidRPr="00CE4A8C">
        <w:rPr>
          <w:lang w:val="fr-FR"/>
        </w:rPr>
        <w:t>un « grief défendable » fondé sur la Convention (</w:t>
      </w:r>
      <w:r w:rsidRPr="00CE4A8C">
        <w:rPr>
          <w:i/>
          <w:lang w:val="fr-FR"/>
        </w:rPr>
        <w:t xml:space="preserve">Z. et autres c. Royaume-Uni </w:t>
      </w:r>
      <w:r w:rsidRPr="00CE4A8C">
        <w:rPr>
          <w:lang w:val="fr-FR"/>
        </w:rPr>
        <w:t>[GC], n</w:t>
      </w:r>
      <w:r w:rsidRPr="00CE4A8C">
        <w:rPr>
          <w:vertAlign w:val="superscript"/>
          <w:lang w:val="fr-FR"/>
        </w:rPr>
        <w:t>o</w:t>
      </w:r>
      <w:r w:rsidRPr="00CE4A8C">
        <w:rPr>
          <w:lang w:val="fr-FR"/>
        </w:rPr>
        <w:t xml:space="preserve"> 29392/95, § 108, CEDH 2001</w:t>
      </w:r>
      <w:r w:rsidRPr="00CE4A8C">
        <w:rPr>
          <w:lang w:val="fr-FR"/>
        </w:rPr>
        <w:noBreakHyphen/>
        <w:t>V). L</w:t>
      </w:r>
      <w:r w:rsidR="00CE4A8C" w:rsidRPr="00CE4A8C">
        <w:rPr>
          <w:lang w:val="fr-FR"/>
        </w:rPr>
        <w:t>’</w:t>
      </w:r>
      <w:r w:rsidRPr="00CE4A8C">
        <w:rPr>
          <w:lang w:val="fr-FR"/>
        </w:rPr>
        <w:t>objet de cet article est de fournir un moyen au travers duquel les justiciables peuvent obtenir, au niveau national, le redressement des violations de leurs droits garantis par la Convention, avant d</w:t>
      </w:r>
      <w:r w:rsidR="00CE4A8C" w:rsidRPr="00CE4A8C">
        <w:rPr>
          <w:lang w:val="fr-FR"/>
        </w:rPr>
        <w:t>’</w:t>
      </w:r>
      <w:r w:rsidRPr="00CE4A8C">
        <w:rPr>
          <w:lang w:val="fr-FR"/>
        </w:rPr>
        <w:t>avoir à mettre en œuvre le mécanisme international de plainte devant la Cour (</w:t>
      </w:r>
      <w:r w:rsidRPr="00CE4A8C">
        <w:rPr>
          <w:i/>
          <w:lang w:val="fr-FR"/>
        </w:rPr>
        <w:t xml:space="preserve">Kudła c. Pologne </w:t>
      </w:r>
      <w:r w:rsidRPr="00CE4A8C">
        <w:rPr>
          <w:lang w:val="fr-FR"/>
        </w:rPr>
        <w:t>[GC], n</w:t>
      </w:r>
      <w:r w:rsidRPr="00CE4A8C">
        <w:rPr>
          <w:vertAlign w:val="superscript"/>
          <w:lang w:val="fr-FR"/>
        </w:rPr>
        <w:t>o</w:t>
      </w:r>
      <w:r w:rsidRPr="00CE4A8C">
        <w:rPr>
          <w:lang w:val="fr-FR"/>
        </w:rPr>
        <w:t xml:space="preserve"> 30210/96, § 152, CEDH 2000</w:t>
      </w:r>
      <w:r w:rsidRPr="00CE4A8C">
        <w:rPr>
          <w:lang w:val="fr-FR"/>
        </w:rPr>
        <w:noBreakHyphen/>
        <w:t>XI).</w:t>
      </w:r>
    </w:p>
    <w:p w:rsidR="0059426D" w:rsidRPr="00CE4A8C" w:rsidRDefault="0059426D" w:rsidP="00CE4A8C">
      <w:pPr>
        <w:pStyle w:val="ECHRPara"/>
        <w:rPr>
          <w:noProof/>
          <w:lang w:val="fr-FR"/>
        </w:rPr>
      </w:pPr>
      <w:r w:rsidRPr="00CE4A8C">
        <w:fldChar w:fldCharType="begin"/>
      </w:r>
      <w:r w:rsidRPr="00CE4A8C">
        <w:rPr>
          <w:lang w:val="fr-FR"/>
        </w:rPr>
        <w:instrText xml:space="preserve"> SEQ level0 \*arabic </w:instrText>
      </w:r>
      <w:r w:rsidRPr="00CE4A8C">
        <w:fldChar w:fldCharType="separate"/>
      </w:r>
      <w:r w:rsidR="00CE4A8C" w:rsidRPr="00CE4A8C">
        <w:rPr>
          <w:noProof/>
          <w:lang w:val="fr-FR"/>
        </w:rPr>
        <w:t>176</w:t>
      </w:r>
      <w:r w:rsidRPr="00CE4A8C">
        <w:fldChar w:fldCharType="end"/>
      </w:r>
      <w:r w:rsidRPr="00CE4A8C">
        <w:rPr>
          <w:lang w:val="fr-FR"/>
        </w:rPr>
        <w:t>.  Eu égard aux conclusions auxquelles elle est parvenue quant à l</w:t>
      </w:r>
      <w:r w:rsidR="00CE4A8C" w:rsidRPr="00CE4A8C">
        <w:rPr>
          <w:lang w:val="fr-FR"/>
        </w:rPr>
        <w:t>’</w:t>
      </w:r>
      <w:r w:rsidRPr="00CE4A8C">
        <w:rPr>
          <w:lang w:val="fr-FR"/>
        </w:rPr>
        <w:t>existence de voies de recours utiles et effectives permettant de soulever, devant les autorités nationales, des griefs ayant trait à l</w:t>
      </w:r>
      <w:r w:rsidR="00CE4A8C" w:rsidRPr="00CE4A8C">
        <w:rPr>
          <w:lang w:val="fr-FR"/>
        </w:rPr>
        <w:t>’</w:t>
      </w:r>
      <w:r w:rsidRPr="00CE4A8C">
        <w:rPr>
          <w:lang w:val="fr-FR"/>
        </w:rPr>
        <w:t>impossibilité d</w:t>
      </w:r>
      <w:r w:rsidR="00CE4A8C" w:rsidRPr="00CE4A8C">
        <w:rPr>
          <w:lang w:val="fr-FR"/>
        </w:rPr>
        <w:t>’</w:t>
      </w:r>
      <w:r w:rsidRPr="00CE4A8C">
        <w:rPr>
          <w:lang w:val="fr-FR"/>
        </w:rPr>
        <w:t>obtenir des mesures garantissant la dépollution des zones concernées par les émissions nocives de l</w:t>
      </w:r>
      <w:r w:rsidR="00CE4A8C" w:rsidRPr="00CE4A8C">
        <w:rPr>
          <w:lang w:val="fr-FR"/>
        </w:rPr>
        <w:t>’</w:t>
      </w:r>
      <w:r w:rsidRPr="00CE4A8C">
        <w:rPr>
          <w:lang w:val="fr-FR"/>
        </w:rPr>
        <w:t>usine Ilva (paragraphes</w:t>
      </w:r>
      <w:r w:rsidR="00A65E2A" w:rsidRPr="00CE4A8C">
        <w:rPr>
          <w:lang w:val="fr-FR"/>
        </w:rPr>
        <w:t xml:space="preserve"> 110</w:t>
      </w:r>
      <w:r w:rsidRPr="00CE4A8C">
        <w:rPr>
          <w:lang w:val="fr-FR"/>
        </w:rPr>
        <w:t xml:space="preserve"> </w:t>
      </w:r>
      <w:r w:rsidR="003E1EFF" w:rsidRPr="00CE4A8C">
        <w:rPr>
          <w:lang w:val="fr-FR"/>
        </w:rPr>
        <w:t xml:space="preserve">et suivants </w:t>
      </w:r>
      <w:r w:rsidR="003E1EFF" w:rsidRPr="00CE4A8C">
        <w:rPr>
          <w:lang w:val="fr-FR"/>
        </w:rPr>
        <w:lastRenderedPageBreak/>
        <w:t>ci</w:t>
      </w:r>
      <w:r w:rsidR="00A65E2A" w:rsidRPr="00CE4A8C">
        <w:rPr>
          <w:lang w:val="fr-FR"/>
        </w:rPr>
        <w:noBreakHyphen/>
        <w:t>d</w:t>
      </w:r>
      <w:r w:rsidRPr="00CE4A8C">
        <w:rPr>
          <w:lang w:val="fr-FR"/>
        </w:rPr>
        <w:t>essus), la Cour estime qu</w:t>
      </w:r>
      <w:r w:rsidR="00CE4A8C" w:rsidRPr="00CE4A8C">
        <w:rPr>
          <w:lang w:val="fr-FR"/>
        </w:rPr>
        <w:t>’</w:t>
      </w:r>
      <w:r w:rsidRPr="00CE4A8C">
        <w:rPr>
          <w:lang w:val="fr-FR"/>
        </w:rPr>
        <w:t>il y a lieu de conclure à la violation de l</w:t>
      </w:r>
      <w:r w:rsidR="00CE4A8C" w:rsidRPr="00CE4A8C">
        <w:rPr>
          <w:lang w:val="fr-FR"/>
        </w:rPr>
        <w:t>’</w:t>
      </w:r>
      <w:r w:rsidR="00A65E2A" w:rsidRPr="00CE4A8C">
        <w:rPr>
          <w:lang w:val="fr-FR"/>
        </w:rPr>
        <w:t>article </w:t>
      </w:r>
      <w:r w:rsidRPr="00CE4A8C">
        <w:rPr>
          <w:lang w:val="fr-FR"/>
        </w:rPr>
        <w:t>13 de la Convention en l</w:t>
      </w:r>
      <w:r w:rsidR="00CE4A8C" w:rsidRPr="00CE4A8C">
        <w:rPr>
          <w:lang w:val="fr-FR"/>
        </w:rPr>
        <w:t>’</w:t>
      </w:r>
      <w:r w:rsidRPr="00CE4A8C">
        <w:rPr>
          <w:lang w:val="fr-FR"/>
        </w:rPr>
        <w:t>espèce (</w:t>
      </w:r>
      <w:r w:rsidRPr="00CE4A8C">
        <w:rPr>
          <w:i/>
          <w:lang w:val="fr-FR"/>
        </w:rPr>
        <w:t>Di Sarno</w:t>
      </w:r>
      <w:r w:rsidRPr="00CE4A8C">
        <w:rPr>
          <w:lang w:val="fr-FR"/>
        </w:rPr>
        <w:t>, précité, §§ 116-118).</w:t>
      </w:r>
    </w:p>
    <w:p w:rsidR="0059426D" w:rsidRPr="00CE4A8C" w:rsidRDefault="0059426D" w:rsidP="00CE4A8C">
      <w:pPr>
        <w:pStyle w:val="ECHRHeading1"/>
        <w:rPr>
          <w:lang w:val="fr-FR"/>
        </w:rPr>
      </w:pPr>
      <w:r w:rsidRPr="00CE4A8C">
        <w:rPr>
          <w:lang w:val="fr-FR"/>
        </w:rPr>
        <w:t>III.  APPLICATION DE L</w:t>
      </w:r>
      <w:r w:rsidR="00CE4A8C" w:rsidRPr="00CE4A8C">
        <w:rPr>
          <w:lang w:val="fr-FR"/>
        </w:rPr>
        <w:t>’</w:t>
      </w:r>
      <w:r w:rsidRPr="00CE4A8C">
        <w:rPr>
          <w:lang w:val="fr-FR"/>
        </w:rPr>
        <w:t>ARTICLE 46 DE LA CONVENTION</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177</w:t>
      </w:r>
      <w:r w:rsidRPr="00CE4A8C">
        <w:rPr>
          <w:lang w:val="fr-FR"/>
        </w:rPr>
        <w:fldChar w:fldCharType="end"/>
      </w:r>
      <w:r w:rsidRPr="00CE4A8C">
        <w:rPr>
          <w:lang w:val="fr-FR"/>
        </w:rPr>
        <w:t>.  Les requérants de la requête n</w:t>
      </w:r>
      <w:r w:rsidRPr="00CE4A8C">
        <w:rPr>
          <w:vertAlign w:val="superscript"/>
          <w:lang w:val="fr-FR"/>
        </w:rPr>
        <w:t>o</w:t>
      </w:r>
      <w:r w:rsidRPr="00CE4A8C">
        <w:rPr>
          <w:lang w:val="fr-FR"/>
        </w:rPr>
        <w:t> 54264/15 sollicitent l</w:t>
      </w:r>
      <w:r w:rsidR="00CE4A8C" w:rsidRPr="00CE4A8C">
        <w:rPr>
          <w:lang w:val="fr-FR"/>
        </w:rPr>
        <w:t>’</w:t>
      </w:r>
      <w:r w:rsidRPr="00CE4A8C">
        <w:rPr>
          <w:lang w:val="fr-FR"/>
        </w:rPr>
        <w:t>application de la procédure d</w:t>
      </w:r>
      <w:r w:rsidR="00CE4A8C" w:rsidRPr="00CE4A8C">
        <w:rPr>
          <w:lang w:val="fr-FR"/>
        </w:rPr>
        <w:t>’</w:t>
      </w:r>
      <w:r w:rsidRPr="00CE4A8C">
        <w:rPr>
          <w:lang w:val="fr-FR"/>
        </w:rPr>
        <w:t>arrêt pilote, compte tenu du nombre de personnes potentiellement touchées par la situation en cause. Ils demandent notamment à ce que les autorités italiennes adoptent toutes les mesures législatives et administratives afin, d</w:t>
      </w:r>
      <w:r w:rsidR="00CE4A8C" w:rsidRPr="00CE4A8C">
        <w:rPr>
          <w:lang w:val="fr-FR"/>
        </w:rPr>
        <w:t>’</w:t>
      </w:r>
      <w:r w:rsidRPr="00CE4A8C">
        <w:rPr>
          <w:lang w:val="fr-FR"/>
        </w:rPr>
        <w:t>une part, de cesser les activités à l</w:t>
      </w:r>
      <w:r w:rsidR="00CE4A8C" w:rsidRPr="00CE4A8C">
        <w:rPr>
          <w:lang w:val="fr-FR"/>
        </w:rPr>
        <w:t>’</w:t>
      </w:r>
      <w:r w:rsidRPr="00CE4A8C">
        <w:rPr>
          <w:lang w:val="fr-FR"/>
        </w:rPr>
        <w:t>origine des violations qu</w:t>
      </w:r>
      <w:r w:rsidR="00CE4A8C" w:rsidRPr="00CE4A8C">
        <w:rPr>
          <w:lang w:val="fr-FR"/>
        </w:rPr>
        <w:t>’</w:t>
      </w:r>
      <w:r w:rsidRPr="00CE4A8C">
        <w:rPr>
          <w:lang w:val="fr-FR"/>
        </w:rPr>
        <w:t>ils allèguent et, d</w:t>
      </w:r>
      <w:r w:rsidR="00CE4A8C" w:rsidRPr="00CE4A8C">
        <w:rPr>
          <w:lang w:val="fr-FR"/>
        </w:rPr>
        <w:t>’</w:t>
      </w:r>
      <w:r w:rsidRPr="00CE4A8C">
        <w:rPr>
          <w:lang w:val="fr-FR"/>
        </w:rPr>
        <w:t>autre part, d</w:t>
      </w:r>
      <w:r w:rsidR="00CE4A8C" w:rsidRPr="00CE4A8C">
        <w:rPr>
          <w:lang w:val="fr-FR"/>
        </w:rPr>
        <w:t>’</w:t>
      </w:r>
      <w:r w:rsidRPr="00CE4A8C">
        <w:rPr>
          <w:lang w:val="fr-FR"/>
        </w:rPr>
        <w:t>éliminer les conséquences dérivant de celles-ci. Les requérants demandent notamment que les autorités nationales procèdent à la suspension immédiate de l</w:t>
      </w:r>
      <w:r w:rsidR="00CE4A8C" w:rsidRPr="00CE4A8C">
        <w:rPr>
          <w:lang w:val="fr-FR"/>
        </w:rPr>
        <w:t>’</w:t>
      </w:r>
      <w:r w:rsidRPr="00CE4A8C">
        <w:rPr>
          <w:lang w:val="fr-FR"/>
        </w:rPr>
        <w:t>activité la plus polluante (à savoir l</w:t>
      </w:r>
      <w:r w:rsidR="00CE4A8C" w:rsidRPr="00CE4A8C">
        <w:rPr>
          <w:lang w:val="fr-FR"/>
        </w:rPr>
        <w:t>’</w:t>
      </w:r>
      <w:r w:rsidRPr="00CE4A8C">
        <w:rPr>
          <w:lang w:val="fr-FR"/>
        </w:rPr>
        <w:t>activité de six secteurs de l</w:t>
      </w:r>
      <w:r w:rsidR="00CE4A8C" w:rsidRPr="00CE4A8C">
        <w:rPr>
          <w:lang w:val="fr-FR"/>
        </w:rPr>
        <w:t>’</w:t>
      </w:r>
      <w:r w:rsidRPr="00CE4A8C">
        <w:rPr>
          <w:lang w:val="fr-FR"/>
        </w:rPr>
        <w:t>établissement) et à la mise en place d</w:t>
      </w:r>
      <w:r w:rsidR="00CE4A8C" w:rsidRPr="00CE4A8C">
        <w:rPr>
          <w:lang w:val="fr-FR"/>
        </w:rPr>
        <w:t>’</w:t>
      </w:r>
      <w:r w:rsidRPr="00CE4A8C">
        <w:rPr>
          <w:lang w:val="fr-FR"/>
        </w:rPr>
        <w:t>un plan de décontamination de l</w:t>
      </w:r>
      <w:r w:rsidR="00CE4A8C" w:rsidRPr="00CE4A8C">
        <w:rPr>
          <w:lang w:val="fr-FR"/>
        </w:rPr>
        <w:t>’</w:t>
      </w:r>
      <w:r w:rsidRPr="00CE4A8C">
        <w:rPr>
          <w:lang w:val="fr-FR"/>
        </w:rPr>
        <w:t>usine et de la région limitrophe.</w:t>
      </w:r>
    </w:p>
    <w:p w:rsidR="00E206E4"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178</w:t>
      </w:r>
      <w:r w:rsidRPr="00CE4A8C">
        <w:rPr>
          <w:lang w:val="fr-FR"/>
        </w:rPr>
        <w:fldChar w:fldCharType="end"/>
      </w:r>
      <w:r w:rsidRPr="00CE4A8C">
        <w:rPr>
          <w:lang w:val="fr-FR"/>
        </w:rPr>
        <w:t>.  Le Gouvernement conteste cette demande et allègue avoir déjà adopté toutes les mesures nécessaires afin de faire face aux conséquences environnementales de l</w:t>
      </w:r>
      <w:r w:rsidR="00CE4A8C" w:rsidRPr="00CE4A8C">
        <w:rPr>
          <w:lang w:val="fr-FR"/>
        </w:rPr>
        <w:t>’</w:t>
      </w:r>
      <w:r w:rsidRPr="00CE4A8C">
        <w:rPr>
          <w:lang w:val="fr-FR"/>
        </w:rPr>
        <w:t>activité de l</w:t>
      </w:r>
      <w:r w:rsidR="00CE4A8C" w:rsidRPr="00CE4A8C">
        <w:rPr>
          <w:lang w:val="fr-FR"/>
        </w:rPr>
        <w:t>’</w:t>
      </w:r>
      <w:r w:rsidRPr="00CE4A8C">
        <w:rPr>
          <w:lang w:val="fr-FR"/>
        </w:rPr>
        <w:t>usine Ilva. Il fait aussi valoir que la solution de cette question environnementale implique une connaissance accrue de son contexte et du territoire qui ne peut être assurée que par l</w:t>
      </w:r>
      <w:r w:rsidR="00CE4A8C" w:rsidRPr="00CE4A8C">
        <w:rPr>
          <w:lang w:val="fr-FR"/>
        </w:rPr>
        <w:t>’</w:t>
      </w:r>
      <w:r w:rsidRPr="00CE4A8C">
        <w:rPr>
          <w:lang w:val="fr-FR"/>
        </w:rPr>
        <w:t>État lui-même.</w:t>
      </w:r>
    </w:p>
    <w:p w:rsidR="0059426D" w:rsidRPr="00CE4A8C" w:rsidRDefault="0059426D" w:rsidP="00CE4A8C">
      <w:pPr>
        <w:pStyle w:val="ECHRPara"/>
        <w:rPr>
          <w:lang w:val="pl-PL"/>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179</w:t>
      </w:r>
      <w:r w:rsidRPr="00CE4A8C">
        <w:rPr>
          <w:lang w:val="fr-FR"/>
        </w:rPr>
        <w:fldChar w:fldCharType="end"/>
      </w:r>
      <w:r w:rsidRPr="00CE4A8C">
        <w:rPr>
          <w:lang w:val="fr-FR"/>
        </w:rPr>
        <w:t>.  La Cour rappelle qu</w:t>
      </w:r>
      <w:r w:rsidR="00CE4A8C" w:rsidRPr="00CE4A8C">
        <w:rPr>
          <w:lang w:val="fr-FR"/>
        </w:rPr>
        <w:t>’</w:t>
      </w:r>
      <w:r w:rsidRPr="00CE4A8C">
        <w:rPr>
          <w:lang w:val="fr-FR"/>
        </w:rPr>
        <w:t>un arrêt constatant une violation de la Convention entraîne pour l</w:t>
      </w:r>
      <w:r w:rsidR="00CE4A8C" w:rsidRPr="00CE4A8C">
        <w:rPr>
          <w:lang w:val="fr-FR"/>
        </w:rPr>
        <w:t>’</w:t>
      </w:r>
      <w:r w:rsidRPr="00CE4A8C">
        <w:rPr>
          <w:lang w:val="fr-FR"/>
        </w:rPr>
        <w:t>État défendeur l</w:t>
      </w:r>
      <w:r w:rsidR="00CE4A8C" w:rsidRPr="00CE4A8C">
        <w:rPr>
          <w:lang w:val="fr-FR"/>
        </w:rPr>
        <w:t>’</w:t>
      </w:r>
      <w:r w:rsidRPr="00CE4A8C">
        <w:rPr>
          <w:lang w:val="fr-FR"/>
        </w:rPr>
        <w:t>obligation juridique non seulement de verser aux intéressés les sommes allouées à titre de satisfaction équitable, mais aussi de choisir, sous le contrôle du Comité des Ministres, les mesures générales à adopter dans son ordre juridique interne afin de mettre un terme à la violation constatée par la Cour et d</w:t>
      </w:r>
      <w:r w:rsidR="00CE4A8C" w:rsidRPr="00CE4A8C">
        <w:rPr>
          <w:lang w:val="fr-FR"/>
        </w:rPr>
        <w:t>’</w:t>
      </w:r>
      <w:r w:rsidRPr="00CE4A8C">
        <w:rPr>
          <w:lang w:val="fr-FR"/>
        </w:rPr>
        <w:t>en effacer autant que possible les conséquences. Il appartient au premier chef à l</w:t>
      </w:r>
      <w:r w:rsidR="00CE4A8C" w:rsidRPr="00CE4A8C">
        <w:rPr>
          <w:lang w:val="fr-FR"/>
        </w:rPr>
        <w:t>’</w:t>
      </w:r>
      <w:r w:rsidRPr="00CE4A8C">
        <w:rPr>
          <w:lang w:val="fr-FR"/>
        </w:rPr>
        <w:t>État en cause de choisir, sous réserve du contrôle du Comité des Ministres, les moyens à utiliser dans son ordre juridique interne pour s</w:t>
      </w:r>
      <w:r w:rsidR="00CE4A8C" w:rsidRPr="00CE4A8C">
        <w:rPr>
          <w:lang w:val="fr-FR"/>
        </w:rPr>
        <w:t>’</w:t>
      </w:r>
      <w:r w:rsidRPr="00CE4A8C">
        <w:rPr>
          <w:lang w:val="fr-FR"/>
        </w:rPr>
        <w:t>acquitter de son obligation au regard de l</w:t>
      </w:r>
      <w:r w:rsidR="00CE4A8C" w:rsidRPr="00CE4A8C">
        <w:rPr>
          <w:lang w:val="fr-FR"/>
        </w:rPr>
        <w:t>’</w:t>
      </w:r>
      <w:r w:rsidRPr="00CE4A8C">
        <w:rPr>
          <w:lang w:val="fr-FR"/>
        </w:rPr>
        <w:t>article 46 de la Convention. Toutefois, pour aider l</w:t>
      </w:r>
      <w:r w:rsidR="00CE4A8C" w:rsidRPr="00CE4A8C">
        <w:rPr>
          <w:lang w:val="fr-FR"/>
        </w:rPr>
        <w:t>’</w:t>
      </w:r>
      <w:r w:rsidRPr="00CE4A8C">
        <w:rPr>
          <w:rFonts w:cstheme="minorHAnsi"/>
          <w:lang w:val="fr-FR"/>
        </w:rPr>
        <w:t>É</w:t>
      </w:r>
      <w:r w:rsidRPr="00CE4A8C">
        <w:rPr>
          <w:lang w:val="fr-FR"/>
        </w:rPr>
        <w:t>tat défendeur à remplir ses obligations au titre de l</w:t>
      </w:r>
      <w:r w:rsidR="00CE4A8C" w:rsidRPr="00CE4A8C">
        <w:rPr>
          <w:lang w:val="fr-FR"/>
        </w:rPr>
        <w:t>’</w:t>
      </w:r>
      <w:r w:rsidRPr="00CE4A8C">
        <w:rPr>
          <w:lang w:val="fr-FR"/>
        </w:rPr>
        <w:t>article 46, la Cour peut chercher à lui indiquer le type de mesures générales, qu</w:t>
      </w:r>
      <w:r w:rsidR="00CE4A8C" w:rsidRPr="00CE4A8C">
        <w:rPr>
          <w:lang w:val="fr-FR"/>
        </w:rPr>
        <w:t>’</w:t>
      </w:r>
      <w:r w:rsidRPr="00CE4A8C">
        <w:rPr>
          <w:lang w:val="fr-FR"/>
        </w:rPr>
        <w:t>il pourrait prendre pour mettre un terme à la situation constatée (</w:t>
      </w:r>
      <w:r w:rsidR="00A65E2A" w:rsidRPr="00CE4A8C">
        <w:rPr>
          <w:i/>
          <w:lang w:val="pl-PL"/>
        </w:rPr>
        <w:t>Broniowski c. Pologne</w:t>
      </w:r>
      <w:r w:rsidR="00A65E2A" w:rsidRPr="00CE4A8C">
        <w:rPr>
          <w:lang w:val="pl-PL"/>
        </w:rPr>
        <w:t xml:space="preserve"> [GC], n</w:t>
      </w:r>
      <w:r w:rsidR="00A65E2A" w:rsidRPr="00CE4A8C">
        <w:rPr>
          <w:vertAlign w:val="superscript"/>
          <w:lang w:val="pl-PL"/>
        </w:rPr>
        <w:t>o</w:t>
      </w:r>
      <w:r w:rsidR="00A65E2A" w:rsidRPr="00CE4A8C">
        <w:rPr>
          <w:lang w:val="pl-PL"/>
        </w:rPr>
        <w:t xml:space="preserve"> 31443/96, § 194, CEDH 2004</w:t>
      </w:r>
      <w:r w:rsidR="00A65E2A" w:rsidRPr="00CE4A8C">
        <w:rPr>
          <w:lang w:val="pl-PL"/>
        </w:rPr>
        <w:noBreakHyphen/>
        <w:t>V;</w:t>
      </w:r>
      <w:r w:rsidR="00A65E2A" w:rsidRPr="00CE4A8C">
        <w:rPr>
          <w:lang w:val="fr-FR"/>
        </w:rPr>
        <w:t xml:space="preserve"> </w:t>
      </w:r>
      <w:r w:rsidRPr="00CE4A8C">
        <w:rPr>
          <w:i/>
          <w:lang w:val="fr-FR"/>
        </w:rPr>
        <w:t>Scoppola c. Italie (n</w:t>
      </w:r>
      <w:r w:rsidRPr="00CE4A8C">
        <w:rPr>
          <w:rFonts w:cs="Times New Roman"/>
          <w:i/>
          <w:vertAlign w:val="superscript"/>
          <w:lang w:val="fr-FR"/>
        </w:rPr>
        <w:t>o </w:t>
      </w:r>
      <w:r w:rsidRPr="00CE4A8C">
        <w:rPr>
          <w:i/>
          <w:lang w:val="fr-FR"/>
        </w:rPr>
        <w:t>2)</w:t>
      </w:r>
      <w:r w:rsidRPr="00CE4A8C">
        <w:rPr>
          <w:lang w:val="fr-FR"/>
        </w:rPr>
        <w:t xml:space="preserve"> [GC], n</w:t>
      </w:r>
      <w:r w:rsidRPr="00CE4A8C">
        <w:rPr>
          <w:vertAlign w:val="superscript"/>
          <w:lang w:val="fr-FR"/>
        </w:rPr>
        <w:t>o</w:t>
      </w:r>
      <w:r w:rsidRPr="00CE4A8C">
        <w:rPr>
          <w:lang w:val="fr-FR"/>
        </w:rPr>
        <w:t xml:space="preserve"> 1024</w:t>
      </w:r>
      <w:r w:rsidR="00A65E2A" w:rsidRPr="00CE4A8C">
        <w:rPr>
          <w:lang w:val="fr-FR"/>
        </w:rPr>
        <w:t>9/03, § 148, 17 septembre 2009 et</w:t>
      </w:r>
      <w:r w:rsidRPr="00CE4A8C">
        <w:rPr>
          <w:lang w:val="fr-FR"/>
        </w:rPr>
        <w:t xml:space="preserve"> </w:t>
      </w:r>
      <w:r w:rsidRPr="00CE4A8C">
        <w:rPr>
          <w:i/>
          <w:iCs/>
          <w:lang w:val="fr-FR"/>
        </w:rPr>
        <w:t>Volokitin et autres c. Russie</w:t>
      </w:r>
      <w:r w:rsidRPr="00CE4A8C">
        <w:rPr>
          <w:lang w:val="fr-FR" w:eastAsia="en-GB"/>
        </w:rPr>
        <w:t>, n</w:t>
      </w:r>
      <w:r w:rsidRPr="00CE4A8C">
        <w:rPr>
          <w:vertAlign w:val="superscript"/>
          <w:lang w:val="fr-FR" w:eastAsia="en-GB"/>
        </w:rPr>
        <w:t>os</w:t>
      </w:r>
      <w:r w:rsidRPr="00CE4A8C">
        <w:rPr>
          <w:lang w:val="fr-FR"/>
        </w:rPr>
        <w:t xml:space="preserve"> 74087/10 et 13 autres</w:t>
      </w:r>
      <w:r w:rsidRPr="00CE4A8C">
        <w:rPr>
          <w:lang w:val="fr-FR" w:eastAsia="en-GB"/>
        </w:rPr>
        <w:t xml:space="preserve">, </w:t>
      </w:r>
      <w:r w:rsidRPr="00CE4A8C">
        <w:rPr>
          <w:lang w:val="fr-FR"/>
        </w:rPr>
        <w:t>§ 46, 3 juillet 2018).</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180</w:t>
      </w:r>
      <w:r w:rsidRPr="00CE4A8C">
        <w:rPr>
          <w:lang w:val="fr-FR"/>
        </w:rPr>
        <w:fldChar w:fldCharType="end"/>
      </w:r>
      <w:r w:rsidRPr="00CE4A8C">
        <w:rPr>
          <w:lang w:val="fr-FR"/>
        </w:rPr>
        <w:t xml:space="preserve">.  Or, </w:t>
      </w:r>
      <w:r w:rsidRPr="00CE4A8C">
        <w:rPr>
          <w:rFonts w:cstheme="minorHAnsi"/>
          <w:lang w:val="fr-FR"/>
        </w:rPr>
        <w:t xml:space="preserve">à </w:t>
      </w:r>
      <w:r w:rsidRPr="00CE4A8C">
        <w:rPr>
          <w:lang w:val="fr-FR"/>
        </w:rPr>
        <w:t>la lumière de ces principes, compte tenu de l</w:t>
      </w:r>
      <w:r w:rsidR="00CE4A8C" w:rsidRPr="00CE4A8C">
        <w:rPr>
          <w:lang w:val="fr-FR"/>
        </w:rPr>
        <w:t>’</w:t>
      </w:r>
      <w:r w:rsidRPr="00CE4A8C">
        <w:rPr>
          <w:lang w:val="fr-FR"/>
        </w:rPr>
        <w:t>ensemble des circonstances de cette affaire et en particulier de la complexité technique des mesures nécessaires à l</w:t>
      </w:r>
      <w:r w:rsidR="00CE4A8C" w:rsidRPr="00CE4A8C">
        <w:rPr>
          <w:lang w:val="fr-FR"/>
        </w:rPr>
        <w:t>’</w:t>
      </w:r>
      <w:r w:rsidRPr="00CE4A8C">
        <w:rPr>
          <w:lang w:val="fr-FR"/>
        </w:rPr>
        <w:t>assainissement de la zone concernée, qui relève de la compétence des autorités internes, la Cour estime qu</w:t>
      </w:r>
      <w:r w:rsidR="00CE4A8C" w:rsidRPr="00CE4A8C">
        <w:rPr>
          <w:lang w:val="fr-FR"/>
        </w:rPr>
        <w:t>’</w:t>
      </w:r>
      <w:r w:rsidRPr="00CE4A8C">
        <w:rPr>
          <w:lang w:val="fr-FR"/>
        </w:rPr>
        <w:t>il n</w:t>
      </w:r>
      <w:r w:rsidR="00CE4A8C" w:rsidRPr="00CE4A8C">
        <w:rPr>
          <w:lang w:val="fr-FR"/>
        </w:rPr>
        <w:t>’</w:t>
      </w:r>
      <w:r w:rsidRPr="00CE4A8C">
        <w:rPr>
          <w:lang w:val="fr-FR"/>
        </w:rPr>
        <w:t>est pas nécessaire d</w:t>
      </w:r>
      <w:r w:rsidR="00CE4A8C" w:rsidRPr="00CE4A8C">
        <w:rPr>
          <w:lang w:val="fr-FR"/>
        </w:rPr>
        <w:t>’</w:t>
      </w:r>
      <w:r w:rsidRPr="00CE4A8C">
        <w:rPr>
          <w:lang w:val="fr-FR"/>
        </w:rPr>
        <w:t>appliquer la procédure d</w:t>
      </w:r>
      <w:r w:rsidR="00CE4A8C" w:rsidRPr="00CE4A8C">
        <w:rPr>
          <w:lang w:val="fr-FR"/>
        </w:rPr>
        <w:t>’</w:t>
      </w:r>
      <w:r w:rsidRPr="00CE4A8C">
        <w:rPr>
          <w:lang w:val="fr-FR"/>
        </w:rPr>
        <w:t xml:space="preserve">arrêt pilote (voir, </w:t>
      </w:r>
      <w:r w:rsidRPr="00CE4A8C">
        <w:rPr>
          <w:i/>
          <w:lang w:val="fr-FR"/>
        </w:rPr>
        <w:t>mutatis mutandis</w:t>
      </w:r>
      <w:r w:rsidRPr="00CE4A8C">
        <w:rPr>
          <w:lang w:val="fr-FR"/>
        </w:rPr>
        <w:t xml:space="preserve">, </w:t>
      </w:r>
      <w:r w:rsidRPr="00CE4A8C">
        <w:rPr>
          <w:i/>
          <w:iCs/>
          <w:lang w:val="fr-FR"/>
        </w:rPr>
        <w:t>Lakatos c. Hongrie</w:t>
      </w:r>
      <w:r w:rsidRPr="00CE4A8C">
        <w:rPr>
          <w:lang w:val="fr-FR" w:eastAsia="en-GB"/>
        </w:rPr>
        <w:t>, n</w:t>
      </w:r>
      <w:r w:rsidRPr="00CE4A8C">
        <w:rPr>
          <w:vertAlign w:val="superscript"/>
          <w:lang w:val="fr-FR" w:eastAsia="en-GB"/>
        </w:rPr>
        <w:t>o</w:t>
      </w:r>
      <w:r w:rsidRPr="00CE4A8C">
        <w:rPr>
          <w:lang w:val="fr-FR"/>
        </w:rPr>
        <w:t xml:space="preserve"> 21786/15</w:t>
      </w:r>
      <w:r w:rsidRPr="00CE4A8C">
        <w:rPr>
          <w:lang w:val="fr-FR" w:eastAsia="en-GB"/>
        </w:rPr>
        <w:t xml:space="preserve">, </w:t>
      </w:r>
      <w:r w:rsidRPr="00CE4A8C">
        <w:rPr>
          <w:lang w:val="fr-FR"/>
        </w:rPr>
        <w:t>§§ 89-91, 26 juin 2018).</w:t>
      </w:r>
    </w:p>
    <w:p w:rsidR="00E206E4"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181</w:t>
      </w:r>
      <w:r w:rsidRPr="00CE4A8C">
        <w:rPr>
          <w:lang w:val="fr-FR"/>
        </w:rPr>
        <w:fldChar w:fldCharType="end"/>
      </w:r>
      <w:r w:rsidRPr="00CE4A8C">
        <w:rPr>
          <w:lang w:val="fr-FR"/>
        </w:rPr>
        <w:t>.  En effet, il ne revient pas à la Cour d</w:t>
      </w:r>
      <w:r w:rsidR="00CE4A8C" w:rsidRPr="00CE4A8C">
        <w:rPr>
          <w:lang w:val="fr-FR"/>
        </w:rPr>
        <w:t>’</w:t>
      </w:r>
      <w:r w:rsidRPr="00CE4A8C">
        <w:rPr>
          <w:lang w:val="fr-FR"/>
        </w:rPr>
        <w:t>adresser au Gouvernement des recommandations détaillées et à contenu prescriptif, telles que celles indiquées par les requérants. C</w:t>
      </w:r>
      <w:r w:rsidR="00CE4A8C" w:rsidRPr="00CE4A8C">
        <w:rPr>
          <w:lang w:val="fr-FR"/>
        </w:rPr>
        <w:t>’</w:t>
      </w:r>
      <w:r w:rsidRPr="00CE4A8C">
        <w:rPr>
          <w:lang w:val="fr-FR"/>
        </w:rPr>
        <w:t>est au Comité des Ministres, agissant au sens de l</w:t>
      </w:r>
      <w:r w:rsidR="00CE4A8C" w:rsidRPr="00CE4A8C">
        <w:rPr>
          <w:lang w:val="fr-FR"/>
        </w:rPr>
        <w:t>’</w:t>
      </w:r>
      <w:r w:rsidRPr="00CE4A8C">
        <w:rPr>
          <w:lang w:val="fr-FR"/>
        </w:rPr>
        <w:t>article 46 de la Convention, qu</w:t>
      </w:r>
      <w:r w:rsidR="00CE4A8C" w:rsidRPr="00CE4A8C">
        <w:rPr>
          <w:lang w:val="fr-FR"/>
        </w:rPr>
        <w:t>’</w:t>
      </w:r>
      <w:r w:rsidRPr="00CE4A8C">
        <w:rPr>
          <w:lang w:val="fr-FR"/>
        </w:rPr>
        <w:t>il appartient d</w:t>
      </w:r>
      <w:r w:rsidR="00CE4A8C" w:rsidRPr="00CE4A8C">
        <w:rPr>
          <w:lang w:val="fr-FR"/>
        </w:rPr>
        <w:t>’</w:t>
      </w:r>
      <w:r w:rsidRPr="00CE4A8C">
        <w:rPr>
          <w:lang w:val="fr-FR"/>
        </w:rPr>
        <w:t>indiquer au gouvernement défendeur les mesures qui, en termes pratiques, doivent être adoptées par celui-ci afin d</w:t>
      </w:r>
      <w:r w:rsidR="00CE4A8C" w:rsidRPr="00CE4A8C">
        <w:rPr>
          <w:lang w:val="fr-FR"/>
        </w:rPr>
        <w:t>’</w:t>
      </w:r>
      <w:r w:rsidRPr="00CE4A8C">
        <w:rPr>
          <w:lang w:val="fr-FR"/>
        </w:rPr>
        <w:t>assurer l</w:t>
      </w:r>
      <w:r w:rsidR="00CE4A8C" w:rsidRPr="00CE4A8C">
        <w:rPr>
          <w:lang w:val="fr-FR"/>
        </w:rPr>
        <w:t>’</w:t>
      </w:r>
      <w:r w:rsidRPr="00CE4A8C">
        <w:rPr>
          <w:lang w:val="fr-FR"/>
        </w:rPr>
        <w:t>exécution de ce jugement.</w:t>
      </w:r>
    </w:p>
    <w:p w:rsidR="0059426D" w:rsidRPr="00CE4A8C" w:rsidRDefault="0059426D" w:rsidP="00CE4A8C">
      <w:pPr>
        <w:pStyle w:val="ECHRPara"/>
        <w:rPr>
          <w:i/>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182</w:t>
      </w:r>
      <w:r w:rsidRPr="00CE4A8C">
        <w:rPr>
          <w:lang w:val="fr-FR"/>
        </w:rPr>
        <w:fldChar w:fldCharType="end"/>
      </w:r>
      <w:r w:rsidRPr="00CE4A8C">
        <w:rPr>
          <w:lang w:val="fr-FR"/>
        </w:rPr>
        <w:t>.  Dans ce contexte, il convient en tout cas de souligner que les travaux d</w:t>
      </w:r>
      <w:r w:rsidR="00CE4A8C" w:rsidRPr="00CE4A8C">
        <w:rPr>
          <w:lang w:val="fr-FR"/>
        </w:rPr>
        <w:t>’</w:t>
      </w:r>
      <w:r w:rsidRPr="00CE4A8C">
        <w:rPr>
          <w:lang w:val="fr-FR"/>
        </w:rPr>
        <w:t>assainissement de l</w:t>
      </w:r>
      <w:r w:rsidR="00CE4A8C" w:rsidRPr="00CE4A8C">
        <w:rPr>
          <w:lang w:val="fr-FR"/>
        </w:rPr>
        <w:t>’</w:t>
      </w:r>
      <w:r w:rsidRPr="00CE4A8C">
        <w:rPr>
          <w:lang w:val="fr-FR"/>
        </w:rPr>
        <w:t xml:space="preserve">usine et du territoire touché par la pollution environnementale occupent une place primordiale et urgente (voir, </w:t>
      </w:r>
      <w:r w:rsidRPr="00CE4A8C">
        <w:rPr>
          <w:i/>
          <w:lang w:val="fr-FR"/>
        </w:rPr>
        <w:t>mutatis mutandis</w:t>
      </w:r>
      <w:r w:rsidRPr="00CE4A8C">
        <w:rPr>
          <w:lang w:val="fr-FR"/>
        </w:rPr>
        <w:t xml:space="preserve">, </w:t>
      </w:r>
      <w:r w:rsidRPr="00CE4A8C">
        <w:rPr>
          <w:i/>
          <w:lang w:val="fr-FR"/>
        </w:rPr>
        <w:t>Torreggiani et autres c. Italie</w:t>
      </w:r>
      <w:r w:rsidRPr="00CE4A8C">
        <w:rPr>
          <w:lang w:val="fr-FR"/>
        </w:rPr>
        <w:t>, n</w:t>
      </w:r>
      <w:r w:rsidRPr="00CE4A8C">
        <w:rPr>
          <w:rFonts w:cs="Times New Roman"/>
          <w:vertAlign w:val="superscript"/>
          <w:lang w:val="fr-FR"/>
        </w:rPr>
        <w:t>os</w:t>
      </w:r>
      <w:r w:rsidRPr="00CE4A8C">
        <w:rPr>
          <w:lang w:val="fr-FR"/>
        </w:rPr>
        <w:t xml:space="preserve"> 43517/09 et 6 autres</w:t>
      </w:r>
      <w:r w:rsidRPr="00CE4A8C">
        <w:rPr>
          <w:snapToGrid w:val="0"/>
          <w:lang w:val="fr-FR"/>
        </w:rPr>
        <w:t>, § 99, 8 </w:t>
      </w:r>
      <w:r w:rsidRPr="00CE4A8C">
        <w:rPr>
          <w:lang w:val="fr-FR"/>
        </w:rPr>
        <w:t>janvier</w:t>
      </w:r>
      <w:r w:rsidRPr="00CE4A8C">
        <w:rPr>
          <w:snapToGrid w:val="0"/>
          <w:lang w:val="fr-FR"/>
        </w:rPr>
        <w:t xml:space="preserve"> 2013). Ainsi, le plan environnemental approuvé par les autorités nationales, et contenant l</w:t>
      </w:r>
      <w:r w:rsidR="00CE4A8C" w:rsidRPr="00CE4A8C">
        <w:rPr>
          <w:snapToGrid w:val="0"/>
          <w:lang w:val="fr-FR"/>
        </w:rPr>
        <w:t>’</w:t>
      </w:r>
      <w:r w:rsidRPr="00CE4A8C">
        <w:rPr>
          <w:snapToGrid w:val="0"/>
          <w:lang w:val="fr-FR"/>
        </w:rPr>
        <w:t>indication des mesures et des actions nécessaires à assurer la protection environnementale et sanitaire de la population, devra être mis en exécution dans les plus brefs délais</w:t>
      </w:r>
      <w:r w:rsidRPr="00CE4A8C">
        <w:rPr>
          <w:lang w:val="fr-FR"/>
        </w:rPr>
        <w:t>.</w:t>
      </w:r>
    </w:p>
    <w:p w:rsidR="0059426D" w:rsidRPr="00CE4A8C" w:rsidRDefault="0059426D" w:rsidP="00CE4A8C">
      <w:pPr>
        <w:pStyle w:val="ECHRHeading1"/>
        <w:rPr>
          <w:lang w:val="fr-FR"/>
        </w:rPr>
      </w:pPr>
      <w:r w:rsidRPr="00CE4A8C">
        <w:rPr>
          <w:lang w:val="fr-FR"/>
        </w:rPr>
        <w:t>IV.  SUR L</w:t>
      </w:r>
      <w:r w:rsidR="00CE4A8C" w:rsidRPr="00CE4A8C">
        <w:rPr>
          <w:lang w:val="fr-FR"/>
        </w:rPr>
        <w:t>’</w:t>
      </w:r>
      <w:r w:rsidRPr="00CE4A8C">
        <w:rPr>
          <w:lang w:val="fr-FR"/>
        </w:rPr>
        <w:t>APPLICATION DE L</w:t>
      </w:r>
      <w:r w:rsidR="00CE4A8C" w:rsidRPr="00CE4A8C">
        <w:rPr>
          <w:lang w:val="fr-FR"/>
        </w:rPr>
        <w:t>’</w:t>
      </w:r>
      <w:r w:rsidRPr="00CE4A8C">
        <w:rPr>
          <w:lang w:val="fr-FR"/>
        </w:rPr>
        <w:t>ARTICLE 41 DE LA CONVENTION</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183</w:t>
      </w:r>
      <w:r w:rsidRPr="00CE4A8C">
        <w:rPr>
          <w:lang w:val="fr-FR"/>
        </w:rPr>
        <w:fldChar w:fldCharType="end"/>
      </w:r>
      <w:r w:rsidRPr="00CE4A8C">
        <w:rPr>
          <w:lang w:val="fr-FR"/>
        </w:rPr>
        <w:t>.  Aux termes de l</w:t>
      </w:r>
      <w:r w:rsidR="00CE4A8C" w:rsidRPr="00CE4A8C">
        <w:rPr>
          <w:lang w:val="fr-FR"/>
        </w:rPr>
        <w:t>’</w:t>
      </w:r>
      <w:r w:rsidRPr="00CE4A8C">
        <w:rPr>
          <w:lang w:val="fr-FR"/>
        </w:rPr>
        <w:t>article 41 de la Convention,</w:t>
      </w:r>
    </w:p>
    <w:p w:rsidR="0059426D" w:rsidRPr="00CE4A8C" w:rsidRDefault="0059426D" w:rsidP="00CE4A8C">
      <w:pPr>
        <w:pStyle w:val="ECHRParaQuote"/>
        <w:keepNext/>
        <w:keepLines/>
        <w:rPr>
          <w:lang w:val="fr-FR"/>
        </w:rPr>
      </w:pPr>
      <w:r w:rsidRPr="00CE4A8C">
        <w:rPr>
          <w:lang w:val="fr-FR"/>
        </w:rPr>
        <w:t>« Si la Cour déclare qu</w:t>
      </w:r>
      <w:r w:rsidR="00CE4A8C" w:rsidRPr="00CE4A8C">
        <w:rPr>
          <w:lang w:val="fr-FR"/>
        </w:rPr>
        <w:t>’</w:t>
      </w:r>
      <w:r w:rsidRPr="00CE4A8C">
        <w:rPr>
          <w:lang w:val="fr-FR"/>
        </w:rPr>
        <w:t>il y a eu violation de la Convention ou de ses Protocoles, et si le droit interne de la Haute Partie contractante ne permet d</w:t>
      </w:r>
      <w:r w:rsidR="00CE4A8C" w:rsidRPr="00CE4A8C">
        <w:rPr>
          <w:lang w:val="fr-FR"/>
        </w:rPr>
        <w:t>’</w:t>
      </w:r>
      <w:r w:rsidRPr="00CE4A8C">
        <w:rPr>
          <w:lang w:val="fr-FR"/>
        </w:rPr>
        <w:t>effacer qu</w:t>
      </w:r>
      <w:r w:rsidR="00CE4A8C" w:rsidRPr="00CE4A8C">
        <w:rPr>
          <w:lang w:val="fr-FR"/>
        </w:rPr>
        <w:t>’</w:t>
      </w:r>
      <w:r w:rsidRPr="00CE4A8C">
        <w:rPr>
          <w:lang w:val="fr-FR"/>
        </w:rPr>
        <w:t>imparfaitement les conséquences de cette violation, la Cour accorde à la partie lésée, s</w:t>
      </w:r>
      <w:r w:rsidR="00CE4A8C" w:rsidRPr="00CE4A8C">
        <w:rPr>
          <w:lang w:val="fr-FR"/>
        </w:rPr>
        <w:t>’</w:t>
      </w:r>
      <w:r w:rsidRPr="00CE4A8C">
        <w:rPr>
          <w:lang w:val="fr-FR"/>
        </w:rPr>
        <w:t>il y a lieu, une satisfaction équitable. »</w:t>
      </w:r>
    </w:p>
    <w:p w:rsidR="0059426D" w:rsidRPr="00CE4A8C" w:rsidRDefault="0059426D" w:rsidP="00CE4A8C">
      <w:pPr>
        <w:pStyle w:val="ECHRHeading2"/>
        <w:rPr>
          <w:lang w:val="fr-FR"/>
        </w:rPr>
      </w:pPr>
      <w:r w:rsidRPr="00CE4A8C">
        <w:rPr>
          <w:lang w:val="fr-FR"/>
        </w:rPr>
        <w:t>A.  Dommage</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184</w:t>
      </w:r>
      <w:r w:rsidRPr="00CE4A8C">
        <w:rPr>
          <w:lang w:val="fr-FR"/>
        </w:rPr>
        <w:fldChar w:fldCharType="end"/>
      </w:r>
      <w:r w:rsidRPr="00CE4A8C">
        <w:rPr>
          <w:lang w:val="fr-FR"/>
        </w:rPr>
        <w:t>.  Les requérants de la requête n</w:t>
      </w:r>
      <w:r w:rsidRPr="00CE4A8C">
        <w:rPr>
          <w:vertAlign w:val="superscript"/>
          <w:lang w:val="fr-FR"/>
        </w:rPr>
        <w:t>o</w:t>
      </w:r>
      <w:r w:rsidRPr="00CE4A8C">
        <w:rPr>
          <w:lang w:val="fr-FR"/>
        </w:rPr>
        <w:t xml:space="preserve"> 54414/13 et ceux de la requête n</w:t>
      </w:r>
      <w:r w:rsidRPr="00CE4A8C">
        <w:rPr>
          <w:vertAlign w:val="superscript"/>
          <w:lang w:val="fr-FR"/>
        </w:rPr>
        <w:t>o</w:t>
      </w:r>
      <w:r w:rsidRPr="00CE4A8C">
        <w:rPr>
          <w:lang w:val="fr-FR"/>
        </w:rPr>
        <w:t> 54264/15 réclament respectivement 100 000 euros (EUR) et 20 000 EUR chacun pour dommage moral.</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185</w:t>
      </w:r>
      <w:r w:rsidRPr="00CE4A8C">
        <w:rPr>
          <w:lang w:val="fr-FR"/>
        </w:rPr>
        <w:fldChar w:fldCharType="end"/>
      </w:r>
      <w:r w:rsidRPr="00CE4A8C">
        <w:rPr>
          <w:lang w:val="fr-FR"/>
        </w:rPr>
        <w:t>.  De plus, les requérants de la requête n</w:t>
      </w:r>
      <w:r w:rsidRPr="00CE4A8C">
        <w:rPr>
          <w:vertAlign w:val="superscript"/>
          <w:lang w:val="fr-FR"/>
        </w:rPr>
        <w:t>o</w:t>
      </w:r>
      <w:r w:rsidRPr="00CE4A8C">
        <w:rPr>
          <w:lang w:val="fr-FR"/>
        </w:rPr>
        <w:t xml:space="preserve"> 54264/15 demandent une somme supplémentaire de 20 000 EUR, également pour dommage moral, pour chacun de ceux d</w:t>
      </w:r>
      <w:r w:rsidR="00CE4A8C" w:rsidRPr="00CE4A8C">
        <w:rPr>
          <w:lang w:val="fr-FR"/>
        </w:rPr>
        <w:t>’</w:t>
      </w:r>
      <w:r w:rsidRPr="00CE4A8C">
        <w:rPr>
          <w:lang w:val="fr-FR"/>
        </w:rPr>
        <w:t>entre eux qui souffrent d</w:t>
      </w:r>
      <w:r w:rsidR="00CE4A8C" w:rsidRPr="00CE4A8C">
        <w:rPr>
          <w:lang w:val="fr-FR"/>
        </w:rPr>
        <w:t>’</w:t>
      </w:r>
      <w:r w:rsidRPr="00CE4A8C">
        <w:rPr>
          <w:lang w:val="fr-FR"/>
        </w:rPr>
        <w:t>une pathologie ou qui ont perdu un proche en raison des émissions nocives de l</w:t>
      </w:r>
      <w:r w:rsidR="00CE4A8C" w:rsidRPr="00CE4A8C">
        <w:rPr>
          <w:lang w:val="fr-FR"/>
        </w:rPr>
        <w:t>’</w:t>
      </w:r>
      <w:r w:rsidRPr="00CE4A8C">
        <w:rPr>
          <w:lang w:val="fr-FR"/>
        </w:rPr>
        <w:t>usine Ilva.</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186</w:t>
      </w:r>
      <w:r w:rsidRPr="00CE4A8C">
        <w:rPr>
          <w:lang w:val="fr-FR"/>
        </w:rPr>
        <w:fldChar w:fldCharType="end"/>
      </w:r>
      <w:r w:rsidRPr="00CE4A8C">
        <w:rPr>
          <w:lang w:val="fr-FR"/>
        </w:rPr>
        <w:t>.  Le Gouvernement conteste ces prétentions.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187</w:t>
      </w:r>
      <w:r w:rsidRPr="00CE4A8C">
        <w:rPr>
          <w:lang w:val="fr-FR"/>
        </w:rPr>
        <w:fldChar w:fldCharType="end"/>
      </w:r>
      <w:r w:rsidRPr="00CE4A8C">
        <w:rPr>
          <w:lang w:val="fr-FR"/>
        </w:rPr>
        <w:t>.   Dans les circonstances de l</w:t>
      </w:r>
      <w:r w:rsidR="00CE4A8C" w:rsidRPr="00CE4A8C">
        <w:rPr>
          <w:lang w:val="fr-FR"/>
        </w:rPr>
        <w:t>’</w:t>
      </w:r>
      <w:r w:rsidRPr="00CE4A8C">
        <w:rPr>
          <w:lang w:val="fr-FR"/>
        </w:rPr>
        <w:t>espèce, la Cour estime que les constats de violation de la Convention auxquels elle est parvenue constituent une réparation suffisante pour le dommage moral subi par les requérants.</w:t>
      </w:r>
    </w:p>
    <w:p w:rsidR="0059426D" w:rsidRPr="00CE4A8C" w:rsidRDefault="0059426D" w:rsidP="00CE4A8C">
      <w:pPr>
        <w:pStyle w:val="ECHRHeading2"/>
        <w:rPr>
          <w:lang w:val="fr-FR"/>
        </w:rPr>
      </w:pPr>
      <w:r w:rsidRPr="00CE4A8C">
        <w:rPr>
          <w:lang w:val="fr-FR"/>
        </w:rPr>
        <w:t>B.  Frais et dépens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188</w:t>
      </w:r>
      <w:r w:rsidRPr="00CE4A8C">
        <w:rPr>
          <w:lang w:val="fr-FR"/>
        </w:rPr>
        <w:fldChar w:fldCharType="end"/>
      </w:r>
      <w:r w:rsidRPr="00CE4A8C">
        <w:rPr>
          <w:lang w:val="fr-FR"/>
        </w:rPr>
        <w:t>.  Dans le cadre de la requête n</w:t>
      </w:r>
      <w:r w:rsidRPr="00CE4A8C">
        <w:rPr>
          <w:vertAlign w:val="superscript"/>
          <w:lang w:val="fr-FR"/>
        </w:rPr>
        <w:t>o</w:t>
      </w:r>
      <w:r w:rsidRPr="00CE4A8C">
        <w:rPr>
          <w:lang w:val="fr-FR"/>
        </w:rPr>
        <w:t xml:space="preserve"> 54414/13, M</w:t>
      </w:r>
      <w:r w:rsidRPr="00CE4A8C">
        <w:rPr>
          <w:vertAlign w:val="superscript"/>
          <w:lang w:val="fr-FR"/>
        </w:rPr>
        <w:t xml:space="preserve">es </w:t>
      </w:r>
      <w:r w:rsidRPr="00CE4A8C">
        <w:rPr>
          <w:lang w:val="fr-FR"/>
        </w:rPr>
        <w:t>Maggio et La Porta demandent respectivement 96 807,51 EUR et 29 335,61 EUR pour les frais et dépens engagés devant la Cour.</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189</w:t>
      </w:r>
      <w:r w:rsidRPr="00CE4A8C">
        <w:rPr>
          <w:lang w:val="fr-FR"/>
        </w:rPr>
        <w:fldChar w:fldCharType="end"/>
      </w:r>
      <w:r w:rsidRPr="00CE4A8C">
        <w:rPr>
          <w:lang w:val="fr-FR"/>
        </w:rPr>
        <w:t>.  Quant aux requérants de la requête n</w:t>
      </w:r>
      <w:r w:rsidRPr="00CE4A8C">
        <w:rPr>
          <w:vertAlign w:val="superscript"/>
          <w:lang w:val="fr-FR"/>
        </w:rPr>
        <w:t>o</w:t>
      </w:r>
      <w:r w:rsidRPr="00CE4A8C">
        <w:rPr>
          <w:lang w:val="fr-FR"/>
        </w:rPr>
        <w:t> 54264/15, ils réclament 41 535 EUR au même titre.</w:t>
      </w:r>
    </w:p>
    <w:p w:rsidR="0059426D" w:rsidRPr="00CE4A8C" w:rsidRDefault="0059426D" w:rsidP="00CE4A8C">
      <w:pPr>
        <w:pStyle w:val="ECHRPara"/>
        <w:rPr>
          <w:lang w:val="fr-FR"/>
        </w:rPr>
      </w:pPr>
      <w:r w:rsidRPr="00CE4A8C">
        <w:rPr>
          <w:lang w:val="fr-FR"/>
        </w:rPr>
        <w:lastRenderedPageBreak/>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190</w:t>
      </w:r>
      <w:r w:rsidRPr="00CE4A8C">
        <w:rPr>
          <w:lang w:val="fr-FR"/>
        </w:rPr>
        <w:fldChar w:fldCharType="end"/>
      </w:r>
      <w:r w:rsidRPr="00CE4A8C">
        <w:rPr>
          <w:lang w:val="fr-FR"/>
        </w:rPr>
        <w:t>.  Le Gouvernement conteste ces prétentions.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191</w:t>
      </w:r>
      <w:r w:rsidRPr="00CE4A8C">
        <w:rPr>
          <w:lang w:val="fr-FR"/>
        </w:rPr>
        <w:fldChar w:fldCharType="end"/>
      </w:r>
      <w:r w:rsidRPr="00CE4A8C">
        <w:rPr>
          <w:lang w:val="fr-FR"/>
        </w:rPr>
        <w:t>.  Selon la jurisprudence de la Cour, un requérant ne peut obtenir le remboursement de ses frais et dépens que dans la mesure où se trouvent établis leur réalité, leur nécessité et le caractère raisonnable de leur taux. En l</w:t>
      </w:r>
      <w:r w:rsidR="00CE4A8C" w:rsidRPr="00CE4A8C">
        <w:rPr>
          <w:lang w:val="fr-FR"/>
        </w:rPr>
        <w:t>’</w:t>
      </w:r>
      <w:r w:rsidRPr="00CE4A8C">
        <w:rPr>
          <w:lang w:val="fr-FR"/>
        </w:rPr>
        <w:t>espèce, compte tenu des documents dont elle dispose et de sa jurisprudence, la Cour estime raisonnable la somme de 5 000 EUR par requête pour la procédure devant elle et l</w:t>
      </w:r>
      <w:r w:rsidR="00CE4A8C" w:rsidRPr="00CE4A8C">
        <w:rPr>
          <w:lang w:val="fr-FR"/>
        </w:rPr>
        <w:t>’</w:t>
      </w:r>
      <w:r w:rsidRPr="00CE4A8C">
        <w:rPr>
          <w:lang w:val="fr-FR"/>
        </w:rPr>
        <w:t>accorde aux requérants.</w:t>
      </w:r>
    </w:p>
    <w:p w:rsidR="0059426D" w:rsidRPr="00CE4A8C" w:rsidRDefault="0059426D" w:rsidP="00CE4A8C">
      <w:pPr>
        <w:pStyle w:val="ECHRHeading2"/>
        <w:rPr>
          <w:lang w:val="fr-FR"/>
        </w:rPr>
      </w:pPr>
      <w:r w:rsidRPr="00CE4A8C">
        <w:rPr>
          <w:lang w:val="fr-FR"/>
        </w:rPr>
        <w:t>C.  Intérêts moratoires</w:t>
      </w:r>
    </w:p>
    <w:p w:rsidR="0059426D" w:rsidRPr="00CE4A8C" w:rsidRDefault="0059426D" w:rsidP="00CE4A8C">
      <w:pPr>
        <w:pStyle w:val="ECHRPara"/>
        <w:rPr>
          <w:lang w:val="fr-FR"/>
        </w:rPr>
      </w:pPr>
      <w:r w:rsidRPr="00CE4A8C">
        <w:rPr>
          <w:lang w:val="fr-FR"/>
        </w:rPr>
        <w:fldChar w:fldCharType="begin"/>
      </w:r>
      <w:r w:rsidRPr="00CE4A8C">
        <w:rPr>
          <w:lang w:val="fr-FR"/>
        </w:rPr>
        <w:instrText xml:space="preserve"> SEQ level0 \*arabic </w:instrText>
      </w:r>
      <w:r w:rsidRPr="00CE4A8C">
        <w:rPr>
          <w:lang w:val="fr-FR"/>
        </w:rPr>
        <w:fldChar w:fldCharType="separate"/>
      </w:r>
      <w:r w:rsidR="00CE4A8C" w:rsidRPr="00CE4A8C">
        <w:rPr>
          <w:noProof/>
          <w:lang w:val="fr-FR"/>
        </w:rPr>
        <w:t>192</w:t>
      </w:r>
      <w:r w:rsidRPr="00CE4A8C">
        <w:rPr>
          <w:lang w:val="fr-FR"/>
        </w:rPr>
        <w:fldChar w:fldCharType="end"/>
      </w:r>
      <w:r w:rsidRPr="00CE4A8C">
        <w:rPr>
          <w:lang w:val="fr-FR"/>
        </w:rPr>
        <w:t>.  La Cour juge approprié de calquer le taux des intérêts moratoires sur le taux d</w:t>
      </w:r>
      <w:r w:rsidR="00CE4A8C" w:rsidRPr="00CE4A8C">
        <w:rPr>
          <w:lang w:val="fr-FR"/>
        </w:rPr>
        <w:t>’</w:t>
      </w:r>
      <w:r w:rsidRPr="00CE4A8C">
        <w:rPr>
          <w:lang w:val="fr-FR"/>
        </w:rPr>
        <w:t>intérêt de la facilité de prêt marginal de la Banque centrale européenne majoré de trois points de pourcentage.</w:t>
      </w:r>
    </w:p>
    <w:p w:rsidR="0059426D" w:rsidRPr="00CE4A8C" w:rsidRDefault="0059426D" w:rsidP="00CE4A8C">
      <w:pPr>
        <w:pStyle w:val="ECHRTitle1"/>
        <w:rPr>
          <w:lang w:val="fr-FR"/>
        </w:rPr>
      </w:pPr>
      <w:r w:rsidRPr="00CE4A8C">
        <w:rPr>
          <w:lang w:val="fr-FR"/>
        </w:rPr>
        <w:t>PAR CES</w:t>
      </w:r>
      <w:r w:rsidR="0011461C" w:rsidRPr="00CE4A8C">
        <w:rPr>
          <w:lang w:val="fr-FR"/>
        </w:rPr>
        <w:t xml:space="preserve"> MOTIFS, LA COUR</w:t>
      </w:r>
      <w:r w:rsidR="00B41DB2" w:rsidRPr="00CE4A8C">
        <w:rPr>
          <w:lang w:val="fr-FR"/>
        </w:rPr>
        <w:t>, À L</w:t>
      </w:r>
      <w:r w:rsidR="00CE4A8C" w:rsidRPr="00CE4A8C">
        <w:rPr>
          <w:lang w:val="fr-FR"/>
        </w:rPr>
        <w:t>’</w:t>
      </w:r>
      <w:r w:rsidR="00B41DB2" w:rsidRPr="00CE4A8C">
        <w:rPr>
          <w:lang w:val="fr-FR"/>
        </w:rPr>
        <w:t>UNANIMITÉ,</w:t>
      </w:r>
    </w:p>
    <w:p w:rsidR="0059426D" w:rsidRPr="00CE4A8C" w:rsidRDefault="0059426D" w:rsidP="00CE4A8C">
      <w:pPr>
        <w:pStyle w:val="JuList"/>
        <w:ind w:left="0" w:firstLine="0"/>
        <w:rPr>
          <w:lang w:val="fr-FR"/>
        </w:rPr>
      </w:pPr>
      <w:r w:rsidRPr="00CE4A8C">
        <w:rPr>
          <w:lang w:val="fr-FR"/>
        </w:rPr>
        <w:t>1.  </w:t>
      </w:r>
      <w:r w:rsidRPr="00CE4A8C">
        <w:rPr>
          <w:i/>
          <w:lang w:val="fr-FR"/>
        </w:rPr>
        <w:t>Décide</w:t>
      </w:r>
      <w:r w:rsidRPr="00CE4A8C">
        <w:rPr>
          <w:lang w:val="fr-FR"/>
        </w:rPr>
        <w:t xml:space="preserve"> de joindre les requêtes</w:t>
      </w:r>
      <w:r w:rsidRPr="00CE4A8C">
        <w:rPr>
          <w:i/>
          <w:lang w:val="fr-FR"/>
        </w:rPr>
        <w:t> </w:t>
      </w:r>
      <w:r w:rsidRPr="00CE4A8C">
        <w:rPr>
          <w:lang w:val="fr-FR"/>
        </w:rPr>
        <w:t>;</w:t>
      </w:r>
    </w:p>
    <w:p w:rsidR="0059426D" w:rsidRPr="00CE4A8C" w:rsidRDefault="0059426D" w:rsidP="00CE4A8C">
      <w:pPr>
        <w:pStyle w:val="JuList"/>
        <w:rPr>
          <w:lang w:val="fr-FR"/>
        </w:rPr>
      </w:pPr>
    </w:p>
    <w:p w:rsidR="0059426D" w:rsidRPr="00CE4A8C" w:rsidRDefault="0059426D" w:rsidP="00CE4A8C">
      <w:pPr>
        <w:pStyle w:val="JuList"/>
        <w:rPr>
          <w:lang w:val="fr-FR"/>
        </w:rPr>
      </w:pPr>
      <w:r w:rsidRPr="00CE4A8C">
        <w:rPr>
          <w:lang w:val="fr-FR"/>
        </w:rPr>
        <w:t>2.  </w:t>
      </w:r>
      <w:r w:rsidRPr="00CE4A8C">
        <w:rPr>
          <w:i/>
          <w:lang w:val="fr-FR"/>
        </w:rPr>
        <w:t>Déclare</w:t>
      </w:r>
      <w:r w:rsidRPr="00CE4A8C">
        <w:rPr>
          <w:lang w:val="fr-FR"/>
        </w:rPr>
        <w:t xml:space="preserve"> les requêtes irrecevables quant à la partie de celles-ci introduite par les requérants de la requête n</w:t>
      </w:r>
      <w:r w:rsidRPr="00CE4A8C">
        <w:rPr>
          <w:vertAlign w:val="superscript"/>
          <w:lang w:val="fr-FR"/>
        </w:rPr>
        <w:t>o</w:t>
      </w:r>
      <w:r w:rsidRPr="00CE4A8C">
        <w:rPr>
          <w:lang w:val="fr-FR"/>
        </w:rPr>
        <w:t> 54414/13 figurant sous les numéros</w:t>
      </w:r>
      <w:r w:rsidRPr="00CE4A8C">
        <w:rPr>
          <w:vertAlign w:val="superscript"/>
          <w:lang w:val="fr-FR"/>
        </w:rPr>
        <w:t xml:space="preserve">  </w:t>
      </w:r>
      <w:r w:rsidRPr="00CE4A8C">
        <w:rPr>
          <w:lang w:val="fr-FR"/>
        </w:rPr>
        <w:t>23, 35, 43 et 45 et par ceux de la requête n</w:t>
      </w:r>
      <w:r w:rsidRPr="00CE4A8C">
        <w:rPr>
          <w:vertAlign w:val="superscript"/>
          <w:lang w:val="fr-FR"/>
        </w:rPr>
        <w:t>o</w:t>
      </w:r>
      <w:r w:rsidRPr="00CE4A8C">
        <w:rPr>
          <w:lang w:val="fr-FR"/>
        </w:rPr>
        <w:t xml:space="preserve"> 54264/15 figurant sous les numéros</w:t>
      </w:r>
      <w:r w:rsidRPr="00CE4A8C">
        <w:rPr>
          <w:vertAlign w:val="superscript"/>
          <w:lang w:val="fr-FR"/>
        </w:rPr>
        <w:t> </w:t>
      </w:r>
      <w:r w:rsidRPr="00CE4A8C">
        <w:rPr>
          <w:lang w:val="fr-FR"/>
        </w:rPr>
        <w:t xml:space="preserve"> 4, 9, 18, 24, 25, 34, 40, 41, 42, 56, 88, 107, 111, 113 et 128 ;</w:t>
      </w:r>
    </w:p>
    <w:p w:rsidR="0059426D" w:rsidRPr="00CE4A8C" w:rsidRDefault="0059426D" w:rsidP="00CE4A8C">
      <w:pPr>
        <w:pStyle w:val="JuList"/>
        <w:rPr>
          <w:lang w:val="fr-FR"/>
        </w:rPr>
      </w:pPr>
    </w:p>
    <w:p w:rsidR="0059426D" w:rsidRPr="00CE4A8C" w:rsidRDefault="0059426D" w:rsidP="00CE4A8C">
      <w:pPr>
        <w:pStyle w:val="JuList"/>
        <w:rPr>
          <w:lang w:val="fr-FR"/>
        </w:rPr>
      </w:pPr>
      <w:r w:rsidRPr="00CE4A8C">
        <w:rPr>
          <w:lang w:val="fr-FR"/>
        </w:rPr>
        <w:t>3.  </w:t>
      </w:r>
      <w:r w:rsidRPr="00CE4A8C">
        <w:rPr>
          <w:i/>
          <w:lang w:val="fr-FR"/>
        </w:rPr>
        <w:t>Déclare</w:t>
      </w:r>
      <w:r w:rsidR="0011461C" w:rsidRPr="00CE4A8C">
        <w:rPr>
          <w:lang w:val="fr-FR"/>
        </w:rPr>
        <w:t xml:space="preserve"> </w:t>
      </w:r>
      <w:r w:rsidRPr="00CE4A8C">
        <w:rPr>
          <w:lang w:val="fr-FR"/>
        </w:rPr>
        <w:t>le restant des requêtes recevable ;</w:t>
      </w:r>
    </w:p>
    <w:p w:rsidR="0059426D" w:rsidRPr="00CE4A8C" w:rsidRDefault="0059426D" w:rsidP="00CE4A8C">
      <w:pPr>
        <w:pStyle w:val="JuList"/>
        <w:rPr>
          <w:lang w:val="fr-FR"/>
        </w:rPr>
      </w:pPr>
    </w:p>
    <w:p w:rsidR="0059426D" w:rsidRPr="00CE4A8C" w:rsidRDefault="0059426D" w:rsidP="00CE4A8C">
      <w:pPr>
        <w:pStyle w:val="JuList"/>
        <w:rPr>
          <w:lang w:val="fr-FR"/>
        </w:rPr>
      </w:pPr>
      <w:r w:rsidRPr="00CE4A8C">
        <w:rPr>
          <w:lang w:val="fr-FR"/>
        </w:rPr>
        <w:t>4.  </w:t>
      </w:r>
      <w:r w:rsidRPr="00CE4A8C">
        <w:rPr>
          <w:i/>
          <w:lang w:val="fr-FR"/>
        </w:rPr>
        <w:t>Dit</w:t>
      </w:r>
      <w:r w:rsidRPr="00CE4A8C">
        <w:rPr>
          <w:lang w:val="fr-FR"/>
        </w:rPr>
        <w:t xml:space="preserve"> qu</w:t>
      </w:r>
      <w:r w:rsidR="00CE4A8C" w:rsidRPr="00CE4A8C">
        <w:rPr>
          <w:lang w:val="fr-FR"/>
        </w:rPr>
        <w:t>’</w:t>
      </w:r>
      <w:r w:rsidRPr="00CE4A8C">
        <w:rPr>
          <w:lang w:val="fr-FR"/>
        </w:rPr>
        <w:t>il y a eu violation de l</w:t>
      </w:r>
      <w:r w:rsidR="00CE4A8C" w:rsidRPr="00CE4A8C">
        <w:rPr>
          <w:lang w:val="fr-FR"/>
        </w:rPr>
        <w:t>’</w:t>
      </w:r>
      <w:r w:rsidRPr="00CE4A8C">
        <w:rPr>
          <w:lang w:val="fr-FR"/>
        </w:rPr>
        <w:t>article 8 de la Convention ;</w:t>
      </w:r>
    </w:p>
    <w:p w:rsidR="0059426D" w:rsidRPr="00CE4A8C" w:rsidRDefault="0059426D" w:rsidP="00CE4A8C">
      <w:pPr>
        <w:pStyle w:val="JuList"/>
        <w:rPr>
          <w:lang w:val="fr-FR"/>
        </w:rPr>
      </w:pPr>
    </w:p>
    <w:p w:rsidR="0059426D" w:rsidRPr="00CE4A8C" w:rsidRDefault="0059426D" w:rsidP="00CE4A8C">
      <w:pPr>
        <w:pStyle w:val="JuList"/>
        <w:rPr>
          <w:lang w:val="fr-FR"/>
        </w:rPr>
      </w:pPr>
      <w:r w:rsidRPr="00CE4A8C">
        <w:rPr>
          <w:lang w:val="fr-FR"/>
        </w:rPr>
        <w:t>5.  </w:t>
      </w:r>
      <w:r w:rsidRPr="00CE4A8C">
        <w:rPr>
          <w:i/>
          <w:lang w:val="fr-FR"/>
        </w:rPr>
        <w:t>Dit</w:t>
      </w:r>
      <w:r w:rsidR="0011461C" w:rsidRPr="00CE4A8C">
        <w:rPr>
          <w:lang w:val="fr-FR"/>
        </w:rPr>
        <w:t xml:space="preserve"> </w:t>
      </w:r>
      <w:r w:rsidRPr="00CE4A8C">
        <w:rPr>
          <w:lang w:val="fr-FR"/>
        </w:rPr>
        <w:t>qu</w:t>
      </w:r>
      <w:r w:rsidR="00CE4A8C" w:rsidRPr="00CE4A8C">
        <w:rPr>
          <w:lang w:val="fr-FR"/>
        </w:rPr>
        <w:t>’</w:t>
      </w:r>
      <w:r w:rsidRPr="00CE4A8C">
        <w:rPr>
          <w:lang w:val="fr-FR"/>
        </w:rPr>
        <w:t>il y a eu violation de l</w:t>
      </w:r>
      <w:r w:rsidR="00CE4A8C" w:rsidRPr="00CE4A8C">
        <w:rPr>
          <w:lang w:val="fr-FR"/>
        </w:rPr>
        <w:t>’</w:t>
      </w:r>
      <w:r w:rsidRPr="00CE4A8C">
        <w:rPr>
          <w:lang w:val="fr-FR"/>
        </w:rPr>
        <w:t>article 13 de la Convention ;</w:t>
      </w:r>
    </w:p>
    <w:p w:rsidR="0059426D" w:rsidRPr="00CE4A8C" w:rsidRDefault="0059426D" w:rsidP="00CE4A8C">
      <w:pPr>
        <w:pStyle w:val="JuList"/>
        <w:rPr>
          <w:lang w:val="fr-FR"/>
        </w:rPr>
      </w:pPr>
    </w:p>
    <w:p w:rsidR="0059426D" w:rsidRPr="00CE4A8C" w:rsidRDefault="0059426D" w:rsidP="00CE4A8C">
      <w:pPr>
        <w:pStyle w:val="JuList"/>
        <w:rPr>
          <w:lang w:val="fr-FR"/>
        </w:rPr>
      </w:pPr>
      <w:r w:rsidRPr="00CE4A8C">
        <w:rPr>
          <w:lang w:val="fr-FR"/>
        </w:rPr>
        <w:t>6.  </w:t>
      </w:r>
      <w:r w:rsidRPr="00CE4A8C">
        <w:rPr>
          <w:i/>
          <w:lang w:val="fr-FR"/>
        </w:rPr>
        <w:t>Dit</w:t>
      </w:r>
      <w:r w:rsidRPr="00CE4A8C">
        <w:rPr>
          <w:lang w:val="fr-FR"/>
        </w:rPr>
        <w:t xml:space="preserve"> que le constat d</w:t>
      </w:r>
      <w:r w:rsidR="00CE4A8C" w:rsidRPr="00CE4A8C">
        <w:rPr>
          <w:lang w:val="fr-FR"/>
        </w:rPr>
        <w:t>’</w:t>
      </w:r>
      <w:r w:rsidRPr="00CE4A8C">
        <w:rPr>
          <w:lang w:val="fr-FR"/>
        </w:rPr>
        <w:t>une violation fournit en soi une satisfaction équitable suffisante pour le dommage moral subi par les requérants concernés ;</w:t>
      </w:r>
    </w:p>
    <w:p w:rsidR="0059426D" w:rsidRPr="00CE4A8C" w:rsidRDefault="0059426D" w:rsidP="00CE4A8C">
      <w:pPr>
        <w:pStyle w:val="JuList"/>
        <w:rPr>
          <w:lang w:val="fr-FR"/>
        </w:rPr>
      </w:pPr>
    </w:p>
    <w:p w:rsidR="0059426D" w:rsidRPr="00CE4A8C" w:rsidRDefault="0059426D" w:rsidP="00CE4A8C">
      <w:pPr>
        <w:pStyle w:val="JuList"/>
        <w:rPr>
          <w:lang w:val="fr-FR"/>
        </w:rPr>
      </w:pPr>
      <w:r w:rsidRPr="00CE4A8C">
        <w:rPr>
          <w:lang w:val="fr-FR"/>
        </w:rPr>
        <w:t>7.  </w:t>
      </w:r>
      <w:r w:rsidRPr="00CE4A8C">
        <w:rPr>
          <w:i/>
          <w:lang w:val="fr-FR"/>
        </w:rPr>
        <w:t>Dit</w:t>
      </w:r>
    </w:p>
    <w:p w:rsidR="0059426D" w:rsidRPr="00CE4A8C" w:rsidRDefault="0059426D" w:rsidP="00CE4A8C">
      <w:pPr>
        <w:pStyle w:val="JuLista"/>
        <w:rPr>
          <w:lang w:val="fr-FR" w:eastAsia="en-GB"/>
        </w:rPr>
      </w:pPr>
      <w:r w:rsidRPr="00CE4A8C">
        <w:rPr>
          <w:lang w:val="fr-FR"/>
        </w:rPr>
        <w:t>a)  que l</w:t>
      </w:r>
      <w:r w:rsidR="00CE4A8C" w:rsidRPr="00CE4A8C">
        <w:rPr>
          <w:lang w:val="fr-FR"/>
        </w:rPr>
        <w:t>’</w:t>
      </w:r>
      <w:r w:rsidRPr="00CE4A8C">
        <w:rPr>
          <w:lang w:val="fr-FR"/>
        </w:rPr>
        <w:t>État défendeur doit verser par requête, dans les trois mois à compter du jour où l</w:t>
      </w:r>
      <w:r w:rsidR="00CE4A8C" w:rsidRPr="00CE4A8C">
        <w:rPr>
          <w:lang w:val="fr-FR"/>
        </w:rPr>
        <w:t>’</w:t>
      </w:r>
      <w:r w:rsidRPr="00CE4A8C">
        <w:rPr>
          <w:lang w:val="fr-FR"/>
        </w:rPr>
        <w:t>arrêt sera devenu définitif conformément à l</w:t>
      </w:r>
      <w:r w:rsidR="00CE4A8C" w:rsidRPr="00CE4A8C">
        <w:rPr>
          <w:lang w:val="fr-FR"/>
        </w:rPr>
        <w:t>’</w:t>
      </w:r>
      <w:r w:rsidRPr="00CE4A8C">
        <w:rPr>
          <w:lang w:val="fr-FR"/>
        </w:rPr>
        <w:t xml:space="preserve">article 44 § 2 de la Convention, </w:t>
      </w:r>
      <w:r w:rsidRPr="00CE4A8C">
        <w:rPr>
          <w:lang w:val="fr-FR" w:eastAsia="en-GB"/>
        </w:rPr>
        <w:t>5 000 EUR (cinq mille euros) aux requérants concernés, plus tout montant pouvant être dû par ceux-ci à titre d</w:t>
      </w:r>
      <w:r w:rsidR="00CE4A8C" w:rsidRPr="00CE4A8C">
        <w:rPr>
          <w:lang w:val="fr-FR" w:eastAsia="en-GB"/>
        </w:rPr>
        <w:t>’</w:t>
      </w:r>
      <w:r w:rsidRPr="00CE4A8C">
        <w:rPr>
          <w:lang w:val="fr-FR" w:eastAsia="en-GB"/>
        </w:rPr>
        <w:t>impôt, pour frais et dépens,</w:t>
      </w:r>
    </w:p>
    <w:p w:rsidR="0059426D" w:rsidRPr="00CE4A8C" w:rsidRDefault="0059426D" w:rsidP="00CE4A8C">
      <w:pPr>
        <w:pStyle w:val="JuLista"/>
        <w:rPr>
          <w:lang w:val="fr-FR"/>
        </w:rPr>
      </w:pPr>
      <w:r w:rsidRPr="00CE4A8C">
        <w:rPr>
          <w:lang w:val="fr-FR"/>
        </w:rPr>
        <w:t>b)  qu</w:t>
      </w:r>
      <w:r w:rsidR="00CE4A8C" w:rsidRPr="00CE4A8C">
        <w:rPr>
          <w:lang w:val="fr-FR"/>
        </w:rPr>
        <w:t>’</w:t>
      </w:r>
      <w:r w:rsidRPr="00CE4A8C">
        <w:rPr>
          <w:lang w:val="fr-FR"/>
        </w:rPr>
        <w:t>à compter de l</w:t>
      </w:r>
      <w:r w:rsidR="00CE4A8C" w:rsidRPr="00CE4A8C">
        <w:rPr>
          <w:lang w:val="fr-FR"/>
        </w:rPr>
        <w:t>’</w:t>
      </w:r>
      <w:r w:rsidRPr="00CE4A8C">
        <w:rPr>
          <w:lang w:val="fr-FR"/>
        </w:rPr>
        <w:t>expiration dudit délai et jusqu</w:t>
      </w:r>
      <w:r w:rsidR="00CE4A8C" w:rsidRPr="00CE4A8C">
        <w:rPr>
          <w:lang w:val="fr-FR"/>
        </w:rPr>
        <w:t>’</w:t>
      </w:r>
      <w:r w:rsidR="004E1A99" w:rsidRPr="00CE4A8C">
        <w:rPr>
          <w:lang w:val="fr-FR"/>
        </w:rPr>
        <w:t>au versement, ce montant sera</w:t>
      </w:r>
      <w:r w:rsidRPr="00CE4A8C">
        <w:rPr>
          <w:lang w:val="fr-FR"/>
        </w:rPr>
        <w:t xml:space="preserve"> à majorer d</w:t>
      </w:r>
      <w:r w:rsidR="00CE4A8C" w:rsidRPr="00CE4A8C">
        <w:rPr>
          <w:lang w:val="fr-FR"/>
        </w:rPr>
        <w:t>’</w:t>
      </w:r>
      <w:r w:rsidRPr="00CE4A8C">
        <w:rPr>
          <w:lang w:val="fr-FR"/>
        </w:rPr>
        <w:t xml:space="preserve">un intérêt simple à un taux égal à celui de la </w:t>
      </w:r>
      <w:r w:rsidRPr="00CE4A8C">
        <w:rPr>
          <w:lang w:val="fr-FR"/>
        </w:rPr>
        <w:lastRenderedPageBreak/>
        <w:t>facilité de prêt marginal de la Banque centrale européenne applicable pendant cette période, augmenté de trois points de pourcentage ;</w:t>
      </w:r>
    </w:p>
    <w:p w:rsidR="0059426D" w:rsidRPr="00CE4A8C" w:rsidRDefault="0059426D" w:rsidP="00CE4A8C">
      <w:pPr>
        <w:pStyle w:val="JuList"/>
        <w:rPr>
          <w:lang w:val="fr-FR"/>
        </w:rPr>
      </w:pPr>
    </w:p>
    <w:p w:rsidR="0059426D" w:rsidRPr="00CE4A8C" w:rsidRDefault="0059426D" w:rsidP="00CE4A8C">
      <w:pPr>
        <w:pStyle w:val="JuList"/>
        <w:rPr>
          <w:lang w:val="fr-FR"/>
        </w:rPr>
      </w:pPr>
      <w:r w:rsidRPr="00CE4A8C">
        <w:rPr>
          <w:lang w:val="fr-FR"/>
        </w:rPr>
        <w:t>8.  </w:t>
      </w:r>
      <w:r w:rsidRPr="00CE4A8C">
        <w:rPr>
          <w:i/>
          <w:lang w:val="fr-FR"/>
        </w:rPr>
        <w:t>Rejette</w:t>
      </w:r>
      <w:r w:rsidRPr="00CE4A8C">
        <w:rPr>
          <w:lang w:val="fr-FR"/>
        </w:rPr>
        <w:t xml:space="preserve"> la demande de satisfaction équitable pour le surplus.</w:t>
      </w:r>
    </w:p>
    <w:p w:rsidR="0059426D" w:rsidRPr="00CE4A8C" w:rsidRDefault="0059426D" w:rsidP="00CE4A8C">
      <w:pPr>
        <w:pStyle w:val="JuParaLast"/>
        <w:keepNext w:val="0"/>
        <w:keepLines w:val="0"/>
        <w:rPr>
          <w:lang w:val="fr-FR"/>
        </w:rPr>
      </w:pPr>
      <w:r w:rsidRPr="00CE4A8C">
        <w:rPr>
          <w:lang w:val="fr-FR"/>
        </w:rPr>
        <w:t>Fait en français, puis communiqué par écrit le </w:t>
      </w:r>
      <w:r w:rsidR="0011461C" w:rsidRPr="00CE4A8C">
        <w:rPr>
          <w:lang w:val="fr-FR"/>
        </w:rPr>
        <w:t>24 janvier 2019</w:t>
      </w:r>
      <w:r w:rsidRPr="00CE4A8C">
        <w:rPr>
          <w:lang w:val="fr-FR"/>
        </w:rPr>
        <w:t>, en application de l</w:t>
      </w:r>
      <w:r w:rsidR="00CE4A8C" w:rsidRPr="00CE4A8C">
        <w:rPr>
          <w:lang w:val="fr-FR"/>
        </w:rPr>
        <w:t>’</w:t>
      </w:r>
      <w:r w:rsidRPr="00CE4A8C">
        <w:rPr>
          <w:lang w:val="fr-FR"/>
        </w:rPr>
        <w:t>article 77 §§ 2 et 3 du règlement de la Cour.</w:t>
      </w:r>
    </w:p>
    <w:p w:rsidR="0059426D" w:rsidRPr="00CE4A8C" w:rsidRDefault="00276EC6" w:rsidP="00CE4A8C">
      <w:pPr>
        <w:pStyle w:val="JuSigned"/>
        <w:tabs>
          <w:tab w:val="clear" w:pos="6407"/>
          <w:tab w:val="center" w:pos="6096"/>
        </w:tabs>
        <w:rPr>
          <w:lang w:val="fr-FR"/>
        </w:rPr>
      </w:pPr>
      <w:r w:rsidRPr="00CE4A8C">
        <w:rPr>
          <w:lang w:val="fr-FR"/>
        </w:rPr>
        <w:tab/>
        <w:t>Renata Degener</w:t>
      </w:r>
      <w:r w:rsidR="0059426D" w:rsidRPr="00CE4A8C">
        <w:rPr>
          <w:lang w:val="fr-FR"/>
        </w:rPr>
        <w:tab/>
      </w:r>
      <w:r w:rsidR="0059426D" w:rsidRPr="00CE4A8C">
        <w:rPr>
          <w:szCs w:val="24"/>
          <w:lang w:val="fr-FR"/>
        </w:rPr>
        <w:t>Linos-Alexandre Sicilianos</w:t>
      </w:r>
      <w:r w:rsidR="0059426D" w:rsidRPr="00CE4A8C">
        <w:rPr>
          <w:lang w:val="fr-FR"/>
        </w:rPr>
        <w:br/>
      </w:r>
      <w:r w:rsidR="0059426D" w:rsidRPr="00CE4A8C">
        <w:rPr>
          <w:lang w:val="fr-FR"/>
        </w:rPr>
        <w:tab/>
      </w:r>
      <w:r w:rsidRPr="00CE4A8C">
        <w:rPr>
          <w:lang w:val="fr-FR"/>
        </w:rPr>
        <w:t>Greffière adjointe</w:t>
      </w:r>
      <w:r w:rsidR="0059426D" w:rsidRPr="00CE4A8C">
        <w:rPr>
          <w:lang w:val="fr-FR"/>
        </w:rPr>
        <w:tab/>
        <w:t>Président</w:t>
      </w:r>
    </w:p>
    <w:p w:rsidR="001133E7" w:rsidRPr="00CE4A8C" w:rsidRDefault="001133E7" w:rsidP="00CE4A8C">
      <w:pPr>
        <w:jc w:val="left"/>
        <w:rPr>
          <w:lang w:val="fr-FR"/>
        </w:rPr>
        <w:sectPr w:rsidR="001133E7" w:rsidRPr="00CE4A8C" w:rsidSect="00BF3784">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noEndnote/>
        </w:sectPr>
      </w:pPr>
    </w:p>
    <w:p w:rsidR="00FC299F" w:rsidRPr="00CE4A8C" w:rsidRDefault="00FC299F" w:rsidP="00CE4A8C">
      <w:pPr>
        <w:pStyle w:val="JuTitle"/>
        <w:rPr>
          <w:lang w:val="it-IT"/>
        </w:rPr>
      </w:pPr>
      <w:r w:rsidRPr="00CE4A8C">
        <w:rPr>
          <w:lang w:val="it-IT"/>
        </w:rPr>
        <w:lastRenderedPageBreak/>
        <w:t>A N N E X E</w:t>
      </w:r>
    </w:p>
    <w:p w:rsidR="0059426D" w:rsidRPr="00CE4A8C" w:rsidRDefault="0059426D" w:rsidP="00CE4A8C">
      <w:pPr>
        <w:pStyle w:val="JuTitle"/>
        <w:rPr>
          <w:lang w:val="it-IT"/>
        </w:rPr>
      </w:pPr>
      <w:r w:rsidRPr="00CE4A8C">
        <w:rPr>
          <w:lang w:val="it-IT"/>
        </w:rPr>
        <w:t>Requête n</w:t>
      </w:r>
      <w:r w:rsidRPr="00CE4A8C">
        <w:rPr>
          <w:vertAlign w:val="superscript"/>
          <w:lang w:val="it-IT"/>
        </w:rPr>
        <w:t>o</w:t>
      </w:r>
      <w:r w:rsidRPr="00CE4A8C">
        <w:rPr>
          <w:lang w:val="it-IT"/>
        </w:rPr>
        <w:t xml:space="preserve"> 54414/13</w:t>
      </w:r>
    </w:p>
    <w:p w:rsidR="0059426D" w:rsidRPr="00CE4A8C" w:rsidRDefault="0059426D" w:rsidP="00CE4A8C">
      <w:pPr>
        <w:rPr>
          <w:lang w:val="fr-FR"/>
        </w:rPr>
      </w:pPr>
      <w:r w:rsidRPr="00CE4A8C">
        <w:rPr>
          <w:lang w:val="fr-FR"/>
        </w:rPr>
        <w:fldChar w:fldCharType="begin"/>
      </w:r>
      <w:r w:rsidRPr="00CE4A8C">
        <w:rPr>
          <w:lang w:val="fr-FR"/>
        </w:rPr>
        <w:instrText xml:space="preserve"> MACROBUTTON [ITMarkAppendix] \* MERGEFORMAT </w:instrText>
      </w:r>
      <w:r w:rsidRPr="00CE4A8C">
        <w:rPr>
          <w:lang w:val="fr-FR"/>
        </w:rPr>
        <w:fldChar w:fldCharType="end"/>
      </w:r>
    </w:p>
    <w:tbl>
      <w:tblPr>
        <w:tblStyle w:val="ECHRListTable"/>
        <w:tblW w:w="5522" w:type="pct"/>
        <w:tblInd w:w="-885" w:type="dxa"/>
        <w:tblLook w:val="05E0" w:firstRow="1" w:lastRow="1" w:firstColumn="1" w:lastColumn="1" w:noHBand="0" w:noVBand="1"/>
      </w:tblPr>
      <w:tblGrid>
        <w:gridCol w:w="1322"/>
        <w:gridCol w:w="2506"/>
        <w:gridCol w:w="2128"/>
        <w:gridCol w:w="2409"/>
      </w:tblGrid>
      <w:tr w:rsidR="009C47CE" w:rsidRPr="00CE4A8C" w:rsidTr="00B05830">
        <w:trPr>
          <w:cnfStyle w:val="100000000000" w:firstRow="1" w:lastRow="0" w:firstColumn="0" w:lastColumn="0" w:oddVBand="0" w:evenVBand="0" w:oddHBand="0" w:evenHBand="0" w:firstRowFirstColumn="0" w:firstRowLastColumn="0" w:lastRowFirstColumn="0" w:lastRowLastColumn="0"/>
        </w:trPr>
        <w:tc>
          <w:tcPr>
            <w:tcW w:w="790" w:type="pct"/>
          </w:tcPr>
          <w:p w:rsidR="0059426D" w:rsidRPr="00CE4A8C" w:rsidRDefault="0059426D" w:rsidP="00CE4A8C">
            <w:pPr>
              <w:jc w:val="left"/>
              <w:rPr>
                <w:sz w:val="20"/>
                <w:szCs w:val="20"/>
              </w:rPr>
            </w:pPr>
            <w:r w:rsidRPr="00CE4A8C">
              <w:rPr>
                <w:sz w:val="20"/>
                <w:szCs w:val="20"/>
              </w:rPr>
              <w:t>N</w:t>
            </w:r>
            <w:r w:rsidRPr="00CE4A8C">
              <w:rPr>
                <w:sz w:val="20"/>
                <w:szCs w:val="20"/>
                <w:vertAlign w:val="superscript"/>
              </w:rPr>
              <w:t>o</w:t>
            </w:r>
            <w:r w:rsidRPr="00CE4A8C">
              <w:rPr>
                <w:sz w:val="20"/>
                <w:szCs w:val="20"/>
              </w:rPr>
              <w:t>.</w:t>
            </w:r>
          </w:p>
        </w:tc>
        <w:tc>
          <w:tcPr>
            <w:tcW w:w="1498" w:type="pct"/>
          </w:tcPr>
          <w:p w:rsidR="0059426D" w:rsidRPr="00CE4A8C" w:rsidRDefault="0059426D" w:rsidP="00CE4A8C">
            <w:pPr>
              <w:jc w:val="left"/>
              <w:rPr>
                <w:sz w:val="20"/>
                <w:szCs w:val="20"/>
              </w:rPr>
            </w:pPr>
            <w:r w:rsidRPr="00CE4A8C">
              <w:rPr>
                <w:sz w:val="20"/>
                <w:szCs w:val="20"/>
              </w:rPr>
              <w:t>Prénom NOM</w:t>
            </w:r>
          </w:p>
        </w:tc>
        <w:tc>
          <w:tcPr>
            <w:tcW w:w="1272" w:type="pct"/>
          </w:tcPr>
          <w:p w:rsidR="0059426D" w:rsidRPr="00CE4A8C" w:rsidRDefault="0059426D" w:rsidP="00CE4A8C">
            <w:pPr>
              <w:jc w:val="left"/>
              <w:rPr>
                <w:sz w:val="20"/>
                <w:szCs w:val="20"/>
              </w:rPr>
            </w:pPr>
            <w:r w:rsidRPr="00CE4A8C">
              <w:rPr>
                <w:sz w:val="20"/>
                <w:szCs w:val="20"/>
              </w:rPr>
              <w:t>Date de naissance</w:t>
            </w:r>
          </w:p>
        </w:tc>
        <w:tc>
          <w:tcPr>
            <w:tcW w:w="1440" w:type="pct"/>
          </w:tcPr>
          <w:p w:rsidR="0059426D" w:rsidRPr="00CE4A8C" w:rsidRDefault="0059426D" w:rsidP="00CE4A8C">
            <w:pPr>
              <w:jc w:val="left"/>
              <w:rPr>
                <w:sz w:val="20"/>
                <w:szCs w:val="20"/>
              </w:rPr>
            </w:pPr>
            <w:r w:rsidRPr="00CE4A8C">
              <w:rPr>
                <w:sz w:val="20"/>
                <w:szCs w:val="20"/>
              </w:rPr>
              <w:t>Lieu de résidence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Francesco CORDELLA</w:t>
            </w:r>
          </w:p>
        </w:tc>
        <w:tc>
          <w:tcPr>
            <w:tcW w:w="1272" w:type="pct"/>
          </w:tcPr>
          <w:p w:rsidR="0059426D" w:rsidRPr="00CE4A8C" w:rsidRDefault="0059426D" w:rsidP="00CE4A8C">
            <w:pPr>
              <w:jc w:val="left"/>
              <w:rPr>
                <w:sz w:val="20"/>
                <w:szCs w:val="20"/>
              </w:rPr>
            </w:pPr>
            <w:r w:rsidRPr="00CE4A8C">
              <w:rPr>
                <w:sz w:val="20"/>
                <w:szCs w:val="20"/>
              </w:rPr>
              <w:t>29/01/1979</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Livianna ANNICCHIARICO</w:t>
            </w:r>
          </w:p>
        </w:tc>
        <w:tc>
          <w:tcPr>
            <w:tcW w:w="1272" w:type="pct"/>
          </w:tcPr>
          <w:p w:rsidR="0059426D" w:rsidRPr="00CE4A8C" w:rsidRDefault="0059426D" w:rsidP="00CE4A8C">
            <w:pPr>
              <w:jc w:val="left"/>
              <w:rPr>
                <w:sz w:val="20"/>
                <w:szCs w:val="20"/>
              </w:rPr>
            </w:pPr>
            <w:r w:rsidRPr="00CE4A8C">
              <w:rPr>
                <w:sz w:val="20"/>
                <w:szCs w:val="20"/>
              </w:rPr>
              <w:t>24/04/1984</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Mario BOJANO</w:t>
            </w:r>
          </w:p>
        </w:tc>
        <w:tc>
          <w:tcPr>
            <w:tcW w:w="1272" w:type="pct"/>
          </w:tcPr>
          <w:p w:rsidR="0059426D" w:rsidRPr="00CE4A8C" w:rsidRDefault="0059426D" w:rsidP="00CE4A8C">
            <w:pPr>
              <w:jc w:val="left"/>
              <w:rPr>
                <w:sz w:val="20"/>
                <w:szCs w:val="20"/>
              </w:rPr>
            </w:pPr>
            <w:r w:rsidRPr="00CE4A8C">
              <w:rPr>
                <w:sz w:val="20"/>
                <w:szCs w:val="20"/>
              </w:rPr>
              <w:t>02/04/1966</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Pietro CAROLI</w:t>
            </w:r>
          </w:p>
        </w:tc>
        <w:tc>
          <w:tcPr>
            <w:tcW w:w="1272" w:type="pct"/>
          </w:tcPr>
          <w:p w:rsidR="0059426D" w:rsidRPr="00CE4A8C" w:rsidRDefault="0059426D" w:rsidP="00CE4A8C">
            <w:pPr>
              <w:jc w:val="left"/>
              <w:rPr>
                <w:sz w:val="20"/>
                <w:szCs w:val="20"/>
              </w:rPr>
            </w:pPr>
            <w:r w:rsidRPr="00CE4A8C">
              <w:rPr>
                <w:sz w:val="20"/>
                <w:szCs w:val="20"/>
              </w:rPr>
              <w:t>20/08/1949</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Daniela CASAVOLA</w:t>
            </w:r>
          </w:p>
        </w:tc>
        <w:tc>
          <w:tcPr>
            <w:tcW w:w="1272" w:type="pct"/>
          </w:tcPr>
          <w:p w:rsidR="0059426D" w:rsidRPr="00CE4A8C" w:rsidRDefault="0059426D" w:rsidP="00CE4A8C">
            <w:pPr>
              <w:jc w:val="left"/>
              <w:rPr>
                <w:sz w:val="20"/>
                <w:szCs w:val="20"/>
              </w:rPr>
            </w:pPr>
            <w:r w:rsidRPr="00CE4A8C">
              <w:rPr>
                <w:sz w:val="20"/>
                <w:szCs w:val="20"/>
              </w:rPr>
              <w:t>04/10/1971</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Milena CASTANEDA</w:t>
            </w:r>
          </w:p>
        </w:tc>
        <w:tc>
          <w:tcPr>
            <w:tcW w:w="1272" w:type="pct"/>
          </w:tcPr>
          <w:p w:rsidR="0059426D" w:rsidRPr="00CE4A8C" w:rsidRDefault="0059426D" w:rsidP="00CE4A8C">
            <w:pPr>
              <w:jc w:val="left"/>
              <w:rPr>
                <w:sz w:val="20"/>
                <w:szCs w:val="20"/>
              </w:rPr>
            </w:pPr>
            <w:r w:rsidRPr="00CE4A8C">
              <w:rPr>
                <w:sz w:val="20"/>
                <w:szCs w:val="20"/>
              </w:rPr>
              <w:t>07/03/1975</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Maria Giovanna CHIARELLI</w:t>
            </w:r>
          </w:p>
        </w:tc>
        <w:tc>
          <w:tcPr>
            <w:tcW w:w="1272" w:type="pct"/>
          </w:tcPr>
          <w:p w:rsidR="0059426D" w:rsidRPr="00CE4A8C" w:rsidRDefault="0059426D" w:rsidP="00CE4A8C">
            <w:pPr>
              <w:jc w:val="left"/>
              <w:rPr>
                <w:sz w:val="20"/>
                <w:szCs w:val="20"/>
              </w:rPr>
            </w:pPr>
            <w:r w:rsidRPr="00CE4A8C">
              <w:rPr>
                <w:sz w:val="20"/>
                <w:szCs w:val="20"/>
              </w:rPr>
              <w:t>28/02/1958</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Maddalena CIFARELLI</w:t>
            </w:r>
          </w:p>
        </w:tc>
        <w:tc>
          <w:tcPr>
            <w:tcW w:w="1272" w:type="pct"/>
          </w:tcPr>
          <w:p w:rsidR="0059426D" w:rsidRPr="00CE4A8C" w:rsidRDefault="0059426D" w:rsidP="00CE4A8C">
            <w:pPr>
              <w:jc w:val="left"/>
              <w:rPr>
                <w:sz w:val="20"/>
                <w:szCs w:val="20"/>
              </w:rPr>
            </w:pPr>
            <w:r w:rsidRPr="00CE4A8C">
              <w:rPr>
                <w:sz w:val="20"/>
                <w:szCs w:val="20"/>
              </w:rPr>
              <w:t>29/06/1976</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Rossano Rocco COPPARI</w:t>
            </w:r>
          </w:p>
        </w:tc>
        <w:tc>
          <w:tcPr>
            <w:tcW w:w="1272" w:type="pct"/>
          </w:tcPr>
          <w:p w:rsidR="0059426D" w:rsidRPr="00CE4A8C" w:rsidRDefault="0059426D" w:rsidP="00CE4A8C">
            <w:pPr>
              <w:jc w:val="left"/>
              <w:rPr>
                <w:sz w:val="20"/>
                <w:szCs w:val="20"/>
              </w:rPr>
            </w:pPr>
            <w:r w:rsidRPr="00CE4A8C">
              <w:rPr>
                <w:sz w:val="20"/>
                <w:szCs w:val="20"/>
              </w:rPr>
              <w:t>08/08/1973</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Derna D</w:t>
            </w:r>
            <w:r w:rsidR="00CE4A8C" w:rsidRPr="00CE4A8C">
              <w:rPr>
                <w:sz w:val="20"/>
                <w:szCs w:val="20"/>
              </w:rPr>
              <w:t>’</w:t>
            </w:r>
            <w:r w:rsidRPr="00CE4A8C">
              <w:rPr>
                <w:sz w:val="20"/>
                <w:szCs w:val="20"/>
              </w:rPr>
              <w:t>ALTRI</w:t>
            </w:r>
          </w:p>
        </w:tc>
        <w:tc>
          <w:tcPr>
            <w:tcW w:w="1272" w:type="pct"/>
          </w:tcPr>
          <w:p w:rsidR="0059426D" w:rsidRPr="00CE4A8C" w:rsidRDefault="0059426D" w:rsidP="00CE4A8C">
            <w:pPr>
              <w:jc w:val="left"/>
              <w:rPr>
                <w:sz w:val="20"/>
                <w:szCs w:val="20"/>
              </w:rPr>
            </w:pPr>
            <w:r w:rsidRPr="00CE4A8C">
              <w:rPr>
                <w:sz w:val="20"/>
                <w:szCs w:val="20"/>
              </w:rPr>
              <w:t>07/07/1975</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Rosa D</w:t>
            </w:r>
            <w:r w:rsidR="00CE4A8C" w:rsidRPr="00CE4A8C">
              <w:rPr>
                <w:sz w:val="20"/>
                <w:szCs w:val="20"/>
              </w:rPr>
              <w:t>’</w:t>
            </w:r>
            <w:r w:rsidRPr="00CE4A8C">
              <w:rPr>
                <w:sz w:val="20"/>
                <w:szCs w:val="20"/>
              </w:rPr>
              <w:t>AMATO</w:t>
            </w:r>
          </w:p>
        </w:tc>
        <w:tc>
          <w:tcPr>
            <w:tcW w:w="1272" w:type="pct"/>
          </w:tcPr>
          <w:p w:rsidR="0059426D" w:rsidRPr="00CE4A8C" w:rsidRDefault="0059426D" w:rsidP="00CE4A8C">
            <w:pPr>
              <w:jc w:val="left"/>
              <w:rPr>
                <w:sz w:val="20"/>
                <w:szCs w:val="20"/>
              </w:rPr>
            </w:pPr>
            <w:r w:rsidRPr="00CE4A8C">
              <w:rPr>
                <w:sz w:val="20"/>
                <w:szCs w:val="20"/>
              </w:rPr>
              <w:t>30/03/1969</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Ida D</w:t>
            </w:r>
            <w:r w:rsidR="00CE4A8C" w:rsidRPr="00CE4A8C">
              <w:rPr>
                <w:sz w:val="20"/>
                <w:szCs w:val="20"/>
              </w:rPr>
              <w:t>’</w:t>
            </w:r>
            <w:r w:rsidRPr="00CE4A8C">
              <w:rPr>
                <w:sz w:val="20"/>
                <w:szCs w:val="20"/>
              </w:rPr>
              <w:t>ANGELO</w:t>
            </w:r>
          </w:p>
        </w:tc>
        <w:tc>
          <w:tcPr>
            <w:tcW w:w="1272" w:type="pct"/>
          </w:tcPr>
          <w:p w:rsidR="0059426D" w:rsidRPr="00CE4A8C" w:rsidRDefault="0059426D" w:rsidP="00CE4A8C">
            <w:pPr>
              <w:jc w:val="left"/>
              <w:rPr>
                <w:sz w:val="20"/>
                <w:szCs w:val="20"/>
              </w:rPr>
            </w:pPr>
            <w:r w:rsidRPr="00CE4A8C">
              <w:rPr>
                <w:sz w:val="20"/>
                <w:szCs w:val="20"/>
              </w:rPr>
              <w:t>11/01/1974</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Emanuele DE GASPERIS</w:t>
            </w:r>
          </w:p>
        </w:tc>
        <w:tc>
          <w:tcPr>
            <w:tcW w:w="1272" w:type="pct"/>
          </w:tcPr>
          <w:p w:rsidR="0059426D" w:rsidRPr="00CE4A8C" w:rsidRDefault="0059426D" w:rsidP="00CE4A8C">
            <w:pPr>
              <w:jc w:val="left"/>
              <w:rPr>
                <w:sz w:val="20"/>
                <w:szCs w:val="20"/>
              </w:rPr>
            </w:pPr>
            <w:r w:rsidRPr="00CE4A8C">
              <w:rPr>
                <w:sz w:val="20"/>
                <w:szCs w:val="20"/>
              </w:rPr>
              <w:t>27/02/1970</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Adele DE GIORGIO</w:t>
            </w:r>
          </w:p>
        </w:tc>
        <w:tc>
          <w:tcPr>
            <w:tcW w:w="1272" w:type="pct"/>
          </w:tcPr>
          <w:p w:rsidR="0059426D" w:rsidRPr="00CE4A8C" w:rsidRDefault="0059426D" w:rsidP="00CE4A8C">
            <w:pPr>
              <w:jc w:val="left"/>
              <w:rPr>
                <w:sz w:val="20"/>
                <w:szCs w:val="20"/>
              </w:rPr>
            </w:pPr>
            <w:r w:rsidRPr="00CE4A8C">
              <w:rPr>
                <w:sz w:val="20"/>
                <w:szCs w:val="20"/>
              </w:rPr>
              <w:t>22/01/1972</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Serena DE SIATI</w:t>
            </w:r>
          </w:p>
        </w:tc>
        <w:tc>
          <w:tcPr>
            <w:tcW w:w="1272" w:type="pct"/>
          </w:tcPr>
          <w:p w:rsidR="0059426D" w:rsidRPr="00CE4A8C" w:rsidRDefault="0059426D" w:rsidP="00CE4A8C">
            <w:pPr>
              <w:jc w:val="left"/>
              <w:rPr>
                <w:sz w:val="20"/>
                <w:szCs w:val="20"/>
              </w:rPr>
            </w:pPr>
            <w:r w:rsidRPr="00CE4A8C">
              <w:rPr>
                <w:sz w:val="20"/>
                <w:szCs w:val="20"/>
              </w:rPr>
              <w:t>17/09/1977</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Claudio D</w:t>
            </w:r>
            <w:r w:rsidR="00CE4A8C" w:rsidRPr="00CE4A8C">
              <w:rPr>
                <w:sz w:val="20"/>
                <w:szCs w:val="20"/>
              </w:rPr>
              <w:t>’</w:t>
            </w:r>
            <w:r w:rsidRPr="00CE4A8C">
              <w:rPr>
                <w:sz w:val="20"/>
                <w:szCs w:val="20"/>
              </w:rPr>
              <w:t>INGEO</w:t>
            </w:r>
          </w:p>
        </w:tc>
        <w:tc>
          <w:tcPr>
            <w:tcW w:w="1272" w:type="pct"/>
          </w:tcPr>
          <w:p w:rsidR="0059426D" w:rsidRPr="00CE4A8C" w:rsidRDefault="0059426D" w:rsidP="00CE4A8C">
            <w:pPr>
              <w:jc w:val="left"/>
              <w:rPr>
                <w:sz w:val="20"/>
                <w:szCs w:val="20"/>
              </w:rPr>
            </w:pPr>
            <w:r w:rsidRPr="00CE4A8C">
              <w:rPr>
                <w:sz w:val="20"/>
                <w:szCs w:val="20"/>
              </w:rPr>
              <w:t>05/04/1971</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Laura EPIFANI</w:t>
            </w:r>
          </w:p>
        </w:tc>
        <w:tc>
          <w:tcPr>
            <w:tcW w:w="1272" w:type="pct"/>
          </w:tcPr>
          <w:p w:rsidR="0059426D" w:rsidRPr="00CE4A8C" w:rsidRDefault="0059426D" w:rsidP="00CE4A8C">
            <w:pPr>
              <w:jc w:val="left"/>
              <w:rPr>
                <w:sz w:val="20"/>
                <w:szCs w:val="20"/>
              </w:rPr>
            </w:pPr>
            <w:r w:rsidRPr="00CE4A8C">
              <w:rPr>
                <w:sz w:val="20"/>
                <w:szCs w:val="20"/>
              </w:rPr>
              <w:t>18/12/1978</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Ivana ETTORRE</w:t>
            </w:r>
          </w:p>
        </w:tc>
        <w:tc>
          <w:tcPr>
            <w:tcW w:w="1272" w:type="pct"/>
          </w:tcPr>
          <w:p w:rsidR="0059426D" w:rsidRPr="00CE4A8C" w:rsidRDefault="0059426D" w:rsidP="00CE4A8C">
            <w:pPr>
              <w:jc w:val="left"/>
              <w:rPr>
                <w:sz w:val="20"/>
                <w:szCs w:val="20"/>
              </w:rPr>
            </w:pPr>
            <w:r w:rsidRPr="00CE4A8C">
              <w:rPr>
                <w:sz w:val="20"/>
                <w:szCs w:val="20"/>
              </w:rPr>
              <w:t>25/02/1987</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Mario FAZIO</w:t>
            </w:r>
          </w:p>
        </w:tc>
        <w:tc>
          <w:tcPr>
            <w:tcW w:w="1272" w:type="pct"/>
          </w:tcPr>
          <w:p w:rsidR="0059426D" w:rsidRPr="00CE4A8C" w:rsidRDefault="0059426D" w:rsidP="00CE4A8C">
            <w:pPr>
              <w:jc w:val="left"/>
              <w:rPr>
                <w:sz w:val="20"/>
                <w:szCs w:val="20"/>
              </w:rPr>
            </w:pPr>
            <w:r w:rsidRPr="00CE4A8C">
              <w:rPr>
                <w:sz w:val="20"/>
                <w:szCs w:val="20"/>
              </w:rPr>
              <w:t>20/03/1939</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Raffaele FERRETTI</w:t>
            </w:r>
          </w:p>
        </w:tc>
        <w:tc>
          <w:tcPr>
            <w:tcW w:w="1272" w:type="pct"/>
          </w:tcPr>
          <w:p w:rsidR="0059426D" w:rsidRPr="00CE4A8C" w:rsidRDefault="0059426D" w:rsidP="00CE4A8C">
            <w:pPr>
              <w:jc w:val="left"/>
              <w:rPr>
                <w:sz w:val="20"/>
                <w:szCs w:val="20"/>
              </w:rPr>
            </w:pPr>
            <w:r w:rsidRPr="00CE4A8C">
              <w:rPr>
                <w:sz w:val="20"/>
                <w:szCs w:val="20"/>
              </w:rPr>
              <w:t>28/05/1959</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Anna Maria FORNARO</w:t>
            </w:r>
          </w:p>
        </w:tc>
        <w:tc>
          <w:tcPr>
            <w:tcW w:w="1272" w:type="pct"/>
          </w:tcPr>
          <w:p w:rsidR="0059426D" w:rsidRPr="00CE4A8C" w:rsidRDefault="0059426D" w:rsidP="00CE4A8C">
            <w:pPr>
              <w:jc w:val="left"/>
              <w:rPr>
                <w:sz w:val="20"/>
                <w:szCs w:val="20"/>
              </w:rPr>
            </w:pPr>
            <w:r w:rsidRPr="00CE4A8C">
              <w:rPr>
                <w:sz w:val="20"/>
                <w:szCs w:val="20"/>
              </w:rPr>
              <w:t>13/11/1975</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Maria FORNARO</w:t>
            </w:r>
          </w:p>
        </w:tc>
        <w:tc>
          <w:tcPr>
            <w:tcW w:w="1272" w:type="pct"/>
          </w:tcPr>
          <w:p w:rsidR="0059426D" w:rsidRPr="00CE4A8C" w:rsidRDefault="0059426D" w:rsidP="00CE4A8C">
            <w:pPr>
              <w:jc w:val="left"/>
              <w:rPr>
                <w:sz w:val="20"/>
                <w:szCs w:val="20"/>
              </w:rPr>
            </w:pPr>
            <w:r w:rsidRPr="00CE4A8C">
              <w:rPr>
                <w:sz w:val="20"/>
                <w:szCs w:val="20"/>
              </w:rPr>
              <w:t>04/02/1969</w:t>
            </w:r>
          </w:p>
        </w:tc>
        <w:tc>
          <w:tcPr>
            <w:tcW w:w="1440" w:type="pct"/>
          </w:tcPr>
          <w:p w:rsidR="0059426D" w:rsidRPr="00CE4A8C" w:rsidRDefault="0059426D" w:rsidP="00CE4A8C">
            <w:pPr>
              <w:jc w:val="left"/>
              <w:rPr>
                <w:sz w:val="20"/>
                <w:szCs w:val="20"/>
                <w:lang w:val="fr-FR"/>
              </w:rPr>
            </w:pPr>
            <w:r w:rsidRPr="00CE4A8C">
              <w:rPr>
                <w:sz w:val="20"/>
                <w:szCs w:val="20"/>
                <w:lang w:val="fr-FR"/>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lang w:val="fr-FR"/>
              </w:rPr>
            </w:pPr>
          </w:p>
        </w:tc>
        <w:tc>
          <w:tcPr>
            <w:tcW w:w="1498" w:type="pct"/>
          </w:tcPr>
          <w:p w:rsidR="0059426D" w:rsidRPr="00CE4A8C" w:rsidRDefault="0059426D" w:rsidP="00CE4A8C">
            <w:pPr>
              <w:jc w:val="left"/>
              <w:rPr>
                <w:sz w:val="20"/>
                <w:szCs w:val="20"/>
              </w:rPr>
            </w:pPr>
            <w:r w:rsidRPr="00CE4A8C">
              <w:rPr>
                <w:sz w:val="20"/>
                <w:szCs w:val="20"/>
              </w:rPr>
              <w:t>Danilo Luigi GIAFFREDA</w:t>
            </w:r>
          </w:p>
        </w:tc>
        <w:tc>
          <w:tcPr>
            <w:tcW w:w="1272" w:type="pct"/>
          </w:tcPr>
          <w:p w:rsidR="0059426D" w:rsidRPr="00CE4A8C" w:rsidRDefault="0059426D" w:rsidP="00CE4A8C">
            <w:pPr>
              <w:jc w:val="left"/>
              <w:rPr>
                <w:sz w:val="20"/>
                <w:szCs w:val="20"/>
              </w:rPr>
            </w:pPr>
            <w:r w:rsidRPr="00CE4A8C">
              <w:rPr>
                <w:sz w:val="20"/>
                <w:szCs w:val="20"/>
              </w:rPr>
              <w:t>10/12/1959</w:t>
            </w:r>
          </w:p>
        </w:tc>
        <w:tc>
          <w:tcPr>
            <w:tcW w:w="1440" w:type="pct"/>
          </w:tcPr>
          <w:p w:rsidR="0059426D" w:rsidRPr="00CE4A8C" w:rsidRDefault="0059426D" w:rsidP="00CE4A8C">
            <w:pPr>
              <w:jc w:val="left"/>
              <w:rPr>
                <w:sz w:val="20"/>
                <w:szCs w:val="20"/>
              </w:rPr>
            </w:pPr>
            <w:r w:rsidRPr="00CE4A8C">
              <w:rPr>
                <w:sz w:val="20"/>
                <w:szCs w:val="20"/>
              </w:rPr>
              <w:t>Leporano (Tarente)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Patrizia GIANGRANDE</w:t>
            </w:r>
          </w:p>
        </w:tc>
        <w:tc>
          <w:tcPr>
            <w:tcW w:w="1272" w:type="pct"/>
          </w:tcPr>
          <w:p w:rsidR="0059426D" w:rsidRPr="00CE4A8C" w:rsidRDefault="0059426D" w:rsidP="00CE4A8C">
            <w:pPr>
              <w:jc w:val="left"/>
              <w:rPr>
                <w:sz w:val="20"/>
                <w:szCs w:val="20"/>
              </w:rPr>
            </w:pPr>
            <w:r w:rsidRPr="00CE4A8C">
              <w:rPr>
                <w:sz w:val="20"/>
                <w:szCs w:val="20"/>
              </w:rPr>
              <w:t>05/07/1970</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Adele LABILE</w:t>
            </w:r>
          </w:p>
        </w:tc>
        <w:tc>
          <w:tcPr>
            <w:tcW w:w="1272" w:type="pct"/>
          </w:tcPr>
          <w:p w:rsidR="0059426D" w:rsidRPr="00CE4A8C" w:rsidRDefault="0059426D" w:rsidP="00CE4A8C">
            <w:pPr>
              <w:jc w:val="left"/>
              <w:rPr>
                <w:sz w:val="20"/>
                <w:szCs w:val="20"/>
              </w:rPr>
            </w:pPr>
            <w:r w:rsidRPr="00CE4A8C">
              <w:rPr>
                <w:sz w:val="20"/>
                <w:szCs w:val="20"/>
              </w:rPr>
              <w:t>12/09/1976</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Giampiero LOVELLI</w:t>
            </w:r>
          </w:p>
        </w:tc>
        <w:tc>
          <w:tcPr>
            <w:tcW w:w="1272" w:type="pct"/>
          </w:tcPr>
          <w:p w:rsidR="0059426D" w:rsidRPr="00CE4A8C" w:rsidRDefault="0059426D" w:rsidP="00CE4A8C">
            <w:pPr>
              <w:jc w:val="left"/>
              <w:rPr>
                <w:sz w:val="20"/>
                <w:szCs w:val="20"/>
              </w:rPr>
            </w:pPr>
            <w:r w:rsidRPr="00CE4A8C">
              <w:rPr>
                <w:sz w:val="20"/>
                <w:szCs w:val="20"/>
              </w:rPr>
              <w:t>29/04/1967</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Bartolomeo LUCARELLI</w:t>
            </w:r>
          </w:p>
        </w:tc>
        <w:tc>
          <w:tcPr>
            <w:tcW w:w="1272" w:type="pct"/>
          </w:tcPr>
          <w:p w:rsidR="0059426D" w:rsidRPr="00CE4A8C" w:rsidRDefault="0059426D" w:rsidP="00CE4A8C">
            <w:pPr>
              <w:jc w:val="left"/>
              <w:rPr>
                <w:sz w:val="20"/>
                <w:szCs w:val="20"/>
              </w:rPr>
            </w:pPr>
            <w:r w:rsidRPr="00CE4A8C">
              <w:rPr>
                <w:sz w:val="20"/>
                <w:szCs w:val="20"/>
              </w:rPr>
              <w:t>22/01/1976</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Francesco MARUCCI</w:t>
            </w:r>
          </w:p>
        </w:tc>
        <w:tc>
          <w:tcPr>
            <w:tcW w:w="1272" w:type="pct"/>
          </w:tcPr>
          <w:p w:rsidR="0059426D" w:rsidRPr="00CE4A8C" w:rsidRDefault="0059426D" w:rsidP="00CE4A8C">
            <w:pPr>
              <w:jc w:val="left"/>
              <w:rPr>
                <w:sz w:val="20"/>
                <w:szCs w:val="20"/>
              </w:rPr>
            </w:pPr>
            <w:r w:rsidRPr="00CE4A8C">
              <w:rPr>
                <w:sz w:val="20"/>
                <w:szCs w:val="20"/>
              </w:rPr>
              <w:t>12/05/1977</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Cosimo MINETOLA</w:t>
            </w:r>
          </w:p>
        </w:tc>
        <w:tc>
          <w:tcPr>
            <w:tcW w:w="1272" w:type="pct"/>
          </w:tcPr>
          <w:p w:rsidR="0059426D" w:rsidRPr="00CE4A8C" w:rsidRDefault="0059426D" w:rsidP="00CE4A8C">
            <w:pPr>
              <w:jc w:val="left"/>
              <w:rPr>
                <w:sz w:val="20"/>
                <w:szCs w:val="20"/>
              </w:rPr>
            </w:pPr>
            <w:r w:rsidRPr="00CE4A8C">
              <w:rPr>
                <w:sz w:val="20"/>
                <w:szCs w:val="20"/>
              </w:rPr>
              <w:t>06/11/1967</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Nicola Alberto MORGESE</w:t>
            </w:r>
          </w:p>
        </w:tc>
        <w:tc>
          <w:tcPr>
            <w:tcW w:w="1272" w:type="pct"/>
          </w:tcPr>
          <w:p w:rsidR="0059426D" w:rsidRPr="00CE4A8C" w:rsidRDefault="0059426D" w:rsidP="00CE4A8C">
            <w:pPr>
              <w:jc w:val="left"/>
              <w:rPr>
                <w:sz w:val="20"/>
                <w:szCs w:val="20"/>
              </w:rPr>
            </w:pPr>
            <w:r w:rsidRPr="00CE4A8C">
              <w:rPr>
                <w:sz w:val="20"/>
                <w:szCs w:val="20"/>
              </w:rPr>
              <w:t>03/04/1969</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Marianna NARDELLI</w:t>
            </w:r>
          </w:p>
        </w:tc>
        <w:tc>
          <w:tcPr>
            <w:tcW w:w="1272" w:type="pct"/>
          </w:tcPr>
          <w:p w:rsidR="0059426D" w:rsidRPr="00CE4A8C" w:rsidRDefault="0059426D" w:rsidP="00CE4A8C">
            <w:pPr>
              <w:jc w:val="left"/>
              <w:rPr>
                <w:sz w:val="20"/>
                <w:szCs w:val="20"/>
              </w:rPr>
            </w:pPr>
            <w:r w:rsidRPr="00CE4A8C">
              <w:rPr>
                <w:sz w:val="20"/>
                <w:szCs w:val="20"/>
              </w:rPr>
              <w:t>31/10/1983</w:t>
            </w:r>
          </w:p>
        </w:tc>
        <w:tc>
          <w:tcPr>
            <w:tcW w:w="1440" w:type="pct"/>
          </w:tcPr>
          <w:p w:rsidR="0059426D" w:rsidRPr="00CE4A8C" w:rsidRDefault="0059426D" w:rsidP="00CE4A8C">
            <w:pPr>
              <w:jc w:val="left"/>
              <w:rPr>
                <w:sz w:val="20"/>
                <w:szCs w:val="20"/>
              </w:rPr>
            </w:pPr>
            <w:r w:rsidRPr="00CE4A8C">
              <w:rPr>
                <w:sz w:val="20"/>
                <w:szCs w:val="20"/>
              </w:rPr>
              <w:t>Crispiano (Tarente)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Armando NICOLINI</w:t>
            </w:r>
          </w:p>
        </w:tc>
        <w:tc>
          <w:tcPr>
            <w:tcW w:w="1272" w:type="pct"/>
          </w:tcPr>
          <w:p w:rsidR="0059426D" w:rsidRPr="00CE4A8C" w:rsidRDefault="0059426D" w:rsidP="00CE4A8C">
            <w:pPr>
              <w:jc w:val="left"/>
              <w:rPr>
                <w:sz w:val="20"/>
                <w:szCs w:val="20"/>
              </w:rPr>
            </w:pPr>
            <w:r w:rsidRPr="00CE4A8C">
              <w:rPr>
                <w:sz w:val="20"/>
                <w:szCs w:val="20"/>
              </w:rPr>
              <w:t>12/05/1978</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Annamaria PACIFICO</w:t>
            </w:r>
          </w:p>
        </w:tc>
        <w:tc>
          <w:tcPr>
            <w:tcW w:w="1272" w:type="pct"/>
          </w:tcPr>
          <w:p w:rsidR="0059426D" w:rsidRPr="00CE4A8C" w:rsidRDefault="0059426D" w:rsidP="00CE4A8C">
            <w:pPr>
              <w:jc w:val="left"/>
              <w:rPr>
                <w:sz w:val="20"/>
                <w:szCs w:val="20"/>
              </w:rPr>
            </w:pPr>
            <w:r w:rsidRPr="00CE4A8C">
              <w:rPr>
                <w:sz w:val="20"/>
                <w:szCs w:val="20"/>
              </w:rPr>
              <w:t>17/09/1956</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Violetta PAGANO</w:t>
            </w:r>
          </w:p>
        </w:tc>
        <w:tc>
          <w:tcPr>
            <w:tcW w:w="1272" w:type="pct"/>
          </w:tcPr>
          <w:p w:rsidR="0059426D" w:rsidRPr="00CE4A8C" w:rsidRDefault="0059426D" w:rsidP="00CE4A8C">
            <w:pPr>
              <w:jc w:val="left"/>
              <w:rPr>
                <w:sz w:val="20"/>
                <w:szCs w:val="20"/>
              </w:rPr>
            </w:pPr>
            <w:r w:rsidRPr="00CE4A8C">
              <w:rPr>
                <w:sz w:val="20"/>
                <w:szCs w:val="20"/>
              </w:rPr>
              <w:t>04/11/1963</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Lucia PALUMMIERI</w:t>
            </w:r>
          </w:p>
        </w:tc>
        <w:tc>
          <w:tcPr>
            <w:tcW w:w="1272" w:type="pct"/>
          </w:tcPr>
          <w:p w:rsidR="0059426D" w:rsidRPr="00CE4A8C" w:rsidRDefault="0059426D" w:rsidP="00CE4A8C">
            <w:pPr>
              <w:jc w:val="left"/>
              <w:rPr>
                <w:sz w:val="20"/>
                <w:szCs w:val="20"/>
              </w:rPr>
            </w:pPr>
            <w:r w:rsidRPr="00CE4A8C">
              <w:rPr>
                <w:sz w:val="20"/>
                <w:szCs w:val="20"/>
              </w:rPr>
              <w:t>22/06/1953</w:t>
            </w:r>
          </w:p>
        </w:tc>
        <w:tc>
          <w:tcPr>
            <w:tcW w:w="1440" w:type="pct"/>
          </w:tcPr>
          <w:p w:rsidR="0059426D" w:rsidRPr="00CE4A8C" w:rsidRDefault="0059426D" w:rsidP="00CE4A8C">
            <w:pPr>
              <w:jc w:val="left"/>
              <w:rPr>
                <w:sz w:val="20"/>
                <w:szCs w:val="20"/>
              </w:rPr>
            </w:pPr>
            <w:r w:rsidRPr="00CE4A8C">
              <w:rPr>
                <w:sz w:val="20"/>
                <w:szCs w:val="20"/>
              </w:rPr>
              <w:t>Leporano (Tarente)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Ilaria RESSA</w:t>
            </w:r>
          </w:p>
        </w:tc>
        <w:tc>
          <w:tcPr>
            <w:tcW w:w="1272" w:type="pct"/>
          </w:tcPr>
          <w:p w:rsidR="0059426D" w:rsidRPr="00CE4A8C" w:rsidRDefault="0059426D" w:rsidP="00CE4A8C">
            <w:pPr>
              <w:jc w:val="left"/>
              <w:rPr>
                <w:sz w:val="20"/>
                <w:szCs w:val="20"/>
              </w:rPr>
            </w:pPr>
            <w:r w:rsidRPr="00CE4A8C">
              <w:rPr>
                <w:sz w:val="20"/>
                <w:szCs w:val="20"/>
              </w:rPr>
              <w:t>02/12/1984</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Carlo RUGGIERO</w:t>
            </w:r>
          </w:p>
        </w:tc>
        <w:tc>
          <w:tcPr>
            <w:tcW w:w="1272" w:type="pct"/>
          </w:tcPr>
          <w:p w:rsidR="0059426D" w:rsidRPr="00CE4A8C" w:rsidRDefault="0059426D" w:rsidP="00CE4A8C">
            <w:pPr>
              <w:jc w:val="left"/>
              <w:rPr>
                <w:sz w:val="20"/>
                <w:szCs w:val="20"/>
              </w:rPr>
            </w:pPr>
            <w:r w:rsidRPr="00CE4A8C">
              <w:rPr>
                <w:sz w:val="20"/>
                <w:szCs w:val="20"/>
              </w:rPr>
              <w:t>23/11/1972</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Massimo RUGGIERO</w:t>
            </w:r>
          </w:p>
        </w:tc>
        <w:tc>
          <w:tcPr>
            <w:tcW w:w="1272" w:type="pct"/>
          </w:tcPr>
          <w:p w:rsidR="0059426D" w:rsidRPr="00CE4A8C" w:rsidRDefault="0059426D" w:rsidP="00CE4A8C">
            <w:pPr>
              <w:jc w:val="left"/>
              <w:rPr>
                <w:sz w:val="20"/>
                <w:szCs w:val="20"/>
              </w:rPr>
            </w:pPr>
            <w:r w:rsidRPr="00CE4A8C">
              <w:rPr>
                <w:sz w:val="20"/>
                <w:szCs w:val="20"/>
              </w:rPr>
              <w:t>05/10/1975</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Angelo SACCO</w:t>
            </w:r>
          </w:p>
        </w:tc>
        <w:tc>
          <w:tcPr>
            <w:tcW w:w="1272" w:type="pct"/>
          </w:tcPr>
          <w:p w:rsidR="0059426D" w:rsidRPr="00CE4A8C" w:rsidRDefault="0059426D" w:rsidP="00CE4A8C">
            <w:pPr>
              <w:jc w:val="left"/>
              <w:rPr>
                <w:sz w:val="20"/>
                <w:szCs w:val="20"/>
              </w:rPr>
            </w:pPr>
            <w:r w:rsidRPr="00CE4A8C">
              <w:rPr>
                <w:sz w:val="20"/>
                <w:szCs w:val="20"/>
              </w:rPr>
              <w:t>17/04/1955</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Gianluca SCARAMUZZINO</w:t>
            </w:r>
          </w:p>
        </w:tc>
        <w:tc>
          <w:tcPr>
            <w:tcW w:w="1272" w:type="pct"/>
          </w:tcPr>
          <w:p w:rsidR="0059426D" w:rsidRPr="00CE4A8C" w:rsidRDefault="0059426D" w:rsidP="00CE4A8C">
            <w:pPr>
              <w:jc w:val="left"/>
              <w:rPr>
                <w:sz w:val="20"/>
                <w:szCs w:val="20"/>
              </w:rPr>
            </w:pPr>
            <w:r w:rsidRPr="00CE4A8C">
              <w:rPr>
                <w:sz w:val="20"/>
                <w:szCs w:val="20"/>
              </w:rPr>
              <w:t>12/12/1973</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Marco SCIALPI</w:t>
            </w:r>
          </w:p>
        </w:tc>
        <w:tc>
          <w:tcPr>
            <w:tcW w:w="1272" w:type="pct"/>
          </w:tcPr>
          <w:p w:rsidR="0059426D" w:rsidRPr="00CE4A8C" w:rsidRDefault="0059426D" w:rsidP="00CE4A8C">
            <w:pPr>
              <w:jc w:val="left"/>
              <w:rPr>
                <w:sz w:val="20"/>
                <w:szCs w:val="20"/>
              </w:rPr>
            </w:pPr>
            <w:r w:rsidRPr="00CE4A8C">
              <w:rPr>
                <w:sz w:val="20"/>
                <w:szCs w:val="20"/>
              </w:rPr>
              <w:t>08/08/1994</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Roberto SCIALPI</w:t>
            </w:r>
          </w:p>
        </w:tc>
        <w:tc>
          <w:tcPr>
            <w:tcW w:w="1272" w:type="pct"/>
          </w:tcPr>
          <w:p w:rsidR="0059426D" w:rsidRPr="00CE4A8C" w:rsidRDefault="0059426D" w:rsidP="00CE4A8C">
            <w:pPr>
              <w:jc w:val="left"/>
              <w:rPr>
                <w:sz w:val="20"/>
                <w:szCs w:val="20"/>
              </w:rPr>
            </w:pPr>
            <w:r w:rsidRPr="00CE4A8C">
              <w:rPr>
                <w:sz w:val="20"/>
                <w:szCs w:val="20"/>
              </w:rPr>
              <w:t>07/11/1991</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Daniela SPERA</w:t>
            </w:r>
          </w:p>
        </w:tc>
        <w:tc>
          <w:tcPr>
            <w:tcW w:w="1272" w:type="pct"/>
          </w:tcPr>
          <w:p w:rsidR="0059426D" w:rsidRPr="00CE4A8C" w:rsidRDefault="0059426D" w:rsidP="00CE4A8C">
            <w:pPr>
              <w:jc w:val="left"/>
              <w:rPr>
                <w:sz w:val="20"/>
                <w:szCs w:val="20"/>
              </w:rPr>
            </w:pPr>
            <w:r w:rsidRPr="00CE4A8C">
              <w:rPr>
                <w:sz w:val="20"/>
                <w:szCs w:val="20"/>
              </w:rPr>
              <w:t>10/05/1974</w:t>
            </w:r>
          </w:p>
        </w:tc>
        <w:tc>
          <w:tcPr>
            <w:tcW w:w="1440" w:type="pct"/>
          </w:tcPr>
          <w:p w:rsidR="0059426D" w:rsidRPr="00CE4A8C" w:rsidRDefault="0059426D" w:rsidP="00CE4A8C">
            <w:pPr>
              <w:jc w:val="left"/>
              <w:rPr>
                <w:sz w:val="20"/>
                <w:szCs w:val="20"/>
              </w:rPr>
            </w:pPr>
            <w:r w:rsidRPr="00CE4A8C">
              <w:rPr>
                <w:sz w:val="20"/>
                <w:szCs w:val="20"/>
              </w:rPr>
              <w:t>Grottaglie (Tarente)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Claudio STALLO</w:t>
            </w:r>
          </w:p>
        </w:tc>
        <w:tc>
          <w:tcPr>
            <w:tcW w:w="1272" w:type="pct"/>
          </w:tcPr>
          <w:p w:rsidR="0059426D" w:rsidRPr="00CE4A8C" w:rsidRDefault="0059426D" w:rsidP="00CE4A8C">
            <w:pPr>
              <w:jc w:val="left"/>
              <w:rPr>
                <w:sz w:val="20"/>
                <w:szCs w:val="20"/>
              </w:rPr>
            </w:pPr>
            <w:r w:rsidRPr="00CE4A8C">
              <w:rPr>
                <w:sz w:val="20"/>
                <w:szCs w:val="20"/>
              </w:rPr>
              <w:t>08/11/1946</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Elisa STALLO</w:t>
            </w:r>
          </w:p>
        </w:tc>
        <w:tc>
          <w:tcPr>
            <w:tcW w:w="1272" w:type="pct"/>
          </w:tcPr>
          <w:p w:rsidR="0059426D" w:rsidRPr="00CE4A8C" w:rsidRDefault="0059426D" w:rsidP="00CE4A8C">
            <w:pPr>
              <w:jc w:val="left"/>
              <w:rPr>
                <w:sz w:val="20"/>
                <w:szCs w:val="20"/>
              </w:rPr>
            </w:pPr>
            <w:r w:rsidRPr="00CE4A8C">
              <w:rPr>
                <w:sz w:val="20"/>
                <w:szCs w:val="20"/>
              </w:rPr>
              <w:t>09/04/1982</w:t>
            </w:r>
          </w:p>
        </w:tc>
        <w:tc>
          <w:tcPr>
            <w:tcW w:w="1440" w:type="pct"/>
          </w:tcPr>
          <w:p w:rsidR="0059426D" w:rsidRPr="00CE4A8C" w:rsidRDefault="0059426D" w:rsidP="00CE4A8C">
            <w:pPr>
              <w:jc w:val="left"/>
              <w:rPr>
                <w:sz w:val="20"/>
                <w:szCs w:val="20"/>
                <w:lang w:val="fr-FR"/>
              </w:rPr>
            </w:pPr>
            <w:r w:rsidRPr="00CE4A8C">
              <w:rPr>
                <w:sz w:val="20"/>
                <w:szCs w:val="20"/>
                <w:lang w:val="fr-FR"/>
              </w:rPr>
              <w:t>Bari</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lang w:val="fr-FR"/>
              </w:rPr>
            </w:pPr>
          </w:p>
        </w:tc>
        <w:tc>
          <w:tcPr>
            <w:tcW w:w="1498" w:type="pct"/>
          </w:tcPr>
          <w:p w:rsidR="0059426D" w:rsidRPr="00CE4A8C" w:rsidRDefault="0059426D" w:rsidP="00CE4A8C">
            <w:pPr>
              <w:jc w:val="left"/>
              <w:rPr>
                <w:sz w:val="20"/>
                <w:szCs w:val="20"/>
              </w:rPr>
            </w:pPr>
            <w:r w:rsidRPr="00CE4A8C">
              <w:rPr>
                <w:sz w:val="20"/>
                <w:szCs w:val="20"/>
              </w:rPr>
              <w:t>Alessandro TAMBORRINO</w:t>
            </w:r>
          </w:p>
        </w:tc>
        <w:tc>
          <w:tcPr>
            <w:tcW w:w="1272" w:type="pct"/>
          </w:tcPr>
          <w:p w:rsidR="0059426D" w:rsidRPr="00CE4A8C" w:rsidRDefault="0059426D" w:rsidP="00CE4A8C">
            <w:pPr>
              <w:jc w:val="left"/>
              <w:rPr>
                <w:sz w:val="20"/>
                <w:szCs w:val="20"/>
              </w:rPr>
            </w:pPr>
            <w:r w:rsidRPr="00CE4A8C">
              <w:rPr>
                <w:sz w:val="20"/>
                <w:szCs w:val="20"/>
              </w:rPr>
              <w:t>19/11/1964</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Antonietta TERRIBILE</w:t>
            </w:r>
          </w:p>
        </w:tc>
        <w:tc>
          <w:tcPr>
            <w:tcW w:w="1272" w:type="pct"/>
          </w:tcPr>
          <w:p w:rsidR="0059426D" w:rsidRPr="00CE4A8C" w:rsidRDefault="0059426D" w:rsidP="00CE4A8C">
            <w:pPr>
              <w:jc w:val="left"/>
              <w:rPr>
                <w:sz w:val="20"/>
                <w:szCs w:val="20"/>
              </w:rPr>
            </w:pPr>
            <w:r w:rsidRPr="00CE4A8C">
              <w:rPr>
                <w:sz w:val="20"/>
                <w:szCs w:val="20"/>
              </w:rPr>
              <w:t>13/11/1957</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Francesco TROCCOLI</w:t>
            </w:r>
          </w:p>
        </w:tc>
        <w:tc>
          <w:tcPr>
            <w:tcW w:w="1272" w:type="pct"/>
          </w:tcPr>
          <w:p w:rsidR="0059426D" w:rsidRPr="00CE4A8C" w:rsidRDefault="0059426D" w:rsidP="00CE4A8C">
            <w:pPr>
              <w:jc w:val="left"/>
              <w:rPr>
                <w:sz w:val="20"/>
                <w:szCs w:val="20"/>
              </w:rPr>
            </w:pPr>
            <w:r w:rsidRPr="00CE4A8C">
              <w:rPr>
                <w:sz w:val="20"/>
                <w:szCs w:val="20"/>
              </w:rPr>
              <w:t>01/08/1981</w:t>
            </w:r>
          </w:p>
        </w:tc>
        <w:tc>
          <w:tcPr>
            <w:tcW w:w="1440" w:type="pct"/>
          </w:tcPr>
          <w:p w:rsidR="0059426D" w:rsidRPr="00CE4A8C" w:rsidRDefault="0059426D" w:rsidP="00CE4A8C">
            <w:pPr>
              <w:jc w:val="left"/>
              <w:rPr>
                <w:sz w:val="20"/>
                <w:szCs w:val="20"/>
              </w:rPr>
            </w:pPr>
            <w:r w:rsidRPr="00CE4A8C">
              <w:rPr>
                <w:sz w:val="20"/>
                <w:szCs w:val="20"/>
              </w:rPr>
              <w:t>Statte (Tarente)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Tommaso TROCCOLI</w:t>
            </w:r>
          </w:p>
        </w:tc>
        <w:tc>
          <w:tcPr>
            <w:tcW w:w="1272" w:type="pct"/>
          </w:tcPr>
          <w:p w:rsidR="0059426D" w:rsidRPr="00CE4A8C" w:rsidRDefault="0059426D" w:rsidP="00CE4A8C">
            <w:pPr>
              <w:jc w:val="left"/>
              <w:rPr>
                <w:sz w:val="20"/>
                <w:szCs w:val="20"/>
              </w:rPr>
            </w:pPr>
            <w:r w:rsidRPr="00CE4A8C">
              <w:rPr>
                <w:sz w:val="20"/>
                <w:szCs w:val="20"/>
              </w:rPr>
              <w:t>20/05/1976</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Marianna VALENTE</w:t>
            </w:r>
          </w:p>
        </w:tc>
        <w:tc>
          <w:tcPr>
            <w:tcW w:w="1272" w:type="pct"/>
          </w:tcPr>
          <w:p w:rsidR="0059426D" w:rsidRPr="00CE4A8C" w:rsidRDefault="0059426D" w:rsidP="00CE4A8C">
            <w:pPr>
              <w:jc w:val="left"/>
              <w:rPr>
                <w:sz w:val="20"/>
                <w:szCs w:val="20"/>
              </w:rPr>
            </w:pPr>
            <w:r w:rsidRPr="00CE4A8C">
              <w:rPr>
                <w:sz w:val="20"/>
                <w:szCs w:val="20"/>
              </w:rPr>
              <w:t>26/04/1978</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Silvio VEO</w:t>
            </w:r>
          </w:p>
        </w:tc>
        <w:tc>
          <w:tcPr>
            <w:tcW w:w="1272" w:type="pct"/>
          </w:tcPr>
          <w:p w:rsidR="0059426D" w:rsidRPr="00CE4A8C" w:rsidRDefault="0059426D" w:rsidP="00CE4A8C">
            <w:pPr>
              <w:jc w:val="left"/>
              <w:rPr>
                <w:sz w:val="20"/>
                <w:szCs w:val="20"/>
              </w:rPr>
            </w:pPr>
            <w:r w:rsidRPr="00CE4A8C">
              <w:rPr>
                <w:sz w:val="20"/>
                <w:szCs w:val="20"/>
              </w:rPr>
              <w:t>12/09/1955</w:t>
            </w:r>
          </w:p>
        </w:tc>
        <w:tc>
          <w:tcPr>
            <w:tcW w:w="1440" w:type="pct"/>
          </w:tcPr>
          <w:p w:rsidR="0059426D" w:rsidRPr="00CE4A8C" w:rsidRDefault="0059426D" w:rsidP="00CE4A8C">
            <w:pPr>
              <w:jc w:val="left"/>
              <w:rPr>
                <w:sz w:val="20"/>
                <w:szCs w:val="20"/>
              </w:rPr>
            </w:pPr>
            <w:r w:rsidRPr="00CE4A8C">
              <w:rPr>
                <w:sz w:val="20"/>
                <w:szCs w:val="20"/>
              </w:rPr>
              <w:t>Tarente</w:t>
            </w:r>
          </w:p>
        </w:tc>
      </w:tr>
      <w:tr w:rsidR="00B05830" w:rsidRPr="00CE4A8C" w:rsidTr="00B05830">
        <w:tc>
          <w:tcPr>
            <w:tcW w:w="790" w:type="pct"/>
          </w:tcPr>
          <w:p w:rsidR="0059426D" w:rsidRPr="00CE4A8C" w:rsidRDefault="0059426D" w:rsidP="00CE4A8C">
            <w:pPr>
              <w:pStyle w:val="Paragrafoelenco"/>
              <w:numPr>
                <w:ilvl w:val="0"/>
                <w:numId w:val="15"/>
              </w:numPr>
              <w:jc w:val="left"/>
              <w:rPr>
                <w:b/>
                <w:sz w:val="20"/>
                <w:szCs w:val="20"/>
              </w:rPr>
            </w:pPr>
          </w:p>
        </w:tc>
        <w:tc>
          <w:tcPr>
            <w:tcW w:w="1498" w:type="pct"/>
          </w:tcPr>
          <w:p w:rsidR="0059426D" w:rsidRPr="00CE4A8C" w:rsidRDefault="0059426D" w:rsidP="00CE4A8C">
            <w:pPr>
              <w:jc w:val="left"/>
              <w:rPr>
                <w:sz w:val="20"/>
                <w:szCs w:val="20"/>
              </w:rPr>
            </w:pPr>
            <w:r w:rsidRPr="00CE4A8C">
              <w:rPr>
                <w:sz w:val="20"/>
                <w:szCs w:val="20"/>
              </w:rPr>
              <w:t>Filomena VITALE</w:t>
            </w:r>
          </w:p>
        </w:tc>
        <w:tc>
          <w:tcPr>
            <w:tcW w:w="1272" w:type="pct"/>
          </w:tcPr>
          <w:p w:rsidR="0059426D" w:rsidRPr="00CE4A8C" w:rsidRDefault="0059426D" w:rsidP="00CE4A8C">
            <w:pPr>
              <w:jc w:val="left"/>
              <w:rPr>
                <w:sz w:val="20"/>
                <w:szCs w:val="20"/>
              </w:rPr>
            </w:pPr>
            <w:r w:rsidRPr="00CE4A8C">
              <w:rPr>
                <w:sz w:val="20"/>
                <w:szCs w:val="20"/>
              </w:rPr>
              <w:t>15/04/1957</w:t>
            </w:r>
          </w:p>
        </w:tc>
        <w:tc>
          <w:tcPr>
            <w:tcW w:w="1440" w:type="pct"/>
          </w:tcPr>
          <w:p w:rsidR="0059426D" w:rsidRPr="00CE4A8C" w:rsidRDefault="0059426D" w:rsidP="00CE4A8C">
            <w:pPr>
              <w:jc w:val="left"/>
              <w:rPr>
                <w:sz w:val="20"/>
                <w:szCs w:val="20"/>
              </w:rPr>
            </w:pPr>
            <w:r w:rsidRPr="00CE4A8C">
              <w:rPr>
                <w:sz w:val="20"/>
                <w:szCs w:val="20"/>
              </w:rPr>
              <w:t>Tarente</w:t>
            </w:r>
          </w:p>
        </w:tc>
      </w:tr>
    </w:tbl>
    <w:p w:rsidR="00FC299F" w:rsidRPr="00CE4A8C" w:rsidRDefault="00FC299F" w:rsidP="00CE4A8C">
      <w:pPr>
        <w:pStyle w:val="JuTitle"/>
        <w:rPr>
          <w:lang w:val="fr-FR"/>
        </w:rPr>
      </w:pPr>
      <w:r w:rsidRPr="00CE4A8C">
        <w:rPr>
          <w:lang w:val="fr-FR"/>
        </w:rPr>
        <w:br w:type="page"/>
      </w:r>
    </w:p>
    <w:p w:rsidR="0059426D" w:rsidRPr="00CE4A8C" w:rsidRDefault="0059426D" w:rsidP="00CE4A8C">
      <w:pPr>
        <w:pStyle w:val="JuTitle"/>
        <w:rPr>
          <w:lang w:val="fr-FR"/>
        </w:rPr>
      </w:pPr>
      <w:r w:rsidRPr="00CE4A8C">
        <w:rPr>
          <w:lang w:val="fr-FR"/>
        </w:rPr>
        <w:lastRenderedPageBreak/>
        <w:t>requête n</w:t>
      </w:r>
      <w:r w:rsidRPr="00CE4A8C">
        <w:rPr>
          <w:vertAlign w:val="superscript"/>
          <w:lang w:val="fr-FR"/>
        </w:rPr>
        <w:t>o</w:t>
      </w:r>
      <w:r w:rsidRPr="00CE4A8C">
        <w:rPr>
          <w:lang w:val="fr-FR"/>
        </w:rPr>
        <w:t xml:space="preserve"> 54264/15</w:t>
      </w:r>
    </w:p>
    <w:p w:rsidR="0059426D" w:rsidRPr="00CE4A8C" w:rsidRDefault="0059426D" w:rsidP="00CE4A8C">
      <w:pPr>
        <w:rPr>
          <w:lang w:val="fr-FR"/>
        </w:rPr>
      </w:pPr>
      <w:r w:rsidRPr="00CE4A8C">
        <w:rPr>
          <w:lang w:val="fr-FR"/>
        </w:rPr>
        <w:fldChar w:fldCharType="begin"/>
      </w:r>
      <w:r w:rsidRPr="00CE4A8C">
        <w:rPr>
          <w:lang w:val="fr-FR"/>
        </w:rPr>
        <w:instrText xml:space="preserve"> MACROBUTTON [ITMarkAppendix] \* MERGEFORMAT </w:instrText>
      </w:r>
      <w:r w:rsidRPr="00CE4A8C">
        <w:rPr>
          <w:lang w:val="fr-FR"/>
        </w:rPr>
        <w:fldChar w:fldCharType="end"/>
      </w:r>
    </w:p>
    <w:tbl>
      <w:tblPr>
        <w:tblStyle w:val="ECHRListTable"/>
        <w:tblW w:w="5423" w:type="pct"/>
        <w:tblInd w:w="-736" w:type="dxa"/>
        <w:tblLook w:val="05E0" w:firstRow="1" w:lastRow="1" w:firstColumn="1" w:lastColumn="1" w:noHBand="0" w:noVBand="1"/>
      </w:tblPr>
      <w:tblGrid>
        <w:gridCol w:w="1135"/>
        <w:gridCol w:w="2543"/>
        <w:gridCol w:w="2128"/>
        <w:gridCol w:w="2409"/>
      </w:tblGrid>
      <w:tr w:rsidR="00B05830" w:rsidRPr="00CE4A8C" w:rsidTr="00B05830">
        <w:trPr>
          <w:cnfStyle w:val="100000000000" w:firstRow="1" w:lastRow="0" w:firstColumn="0" w:lastColumn="0" w:oddVBand="0" w:evenVBand="0" w:oddHBand="0" w:evenHBand="0" w:firstRowFirstColumn="0" w:firstRowLastColumn="0" w:lastRowFirstColumn="0" w:lastRowLastColumn="0"/>
        </w:trPr>
        <w:tc>
          <w:tcPr>
            <w:tcW w:w="691" w:type="pct"/>
          </w:tcPr>
          <w:p w:rsidR="009C47CE" w:rsidRPr="00CE4A8C" w:rsidRDefault="009C47CE" w:rsidP="00CE4A8C">
            <w:pPr>
              <w:jc w:val="left"/>
              <w:rPr>
                <w:sz w:val="20"/>
                <w:szCs w:val="20"/>
              </w:rPr>
            </w:pPr>
            <w:r w:rsidRPr="00CE4A8C">
              <w:rPr>
                <w:sz w:val="20"/>
                <w:szCs w:val="20"/>
              </w:rPr>
              <w:t>N</w:t>
            </w:r>
            <w:r w:rsidRPr="00CE4A8C">
              <w:rPr>
                <w:sz w:val="20"/>
                <w:szCs w:val="20"/>
                <w:vertAlign w:val="superscript"/>
              </w:rPr>
              <w:t>o</w:t>
            </w:r>
            <w:r w:rsidRPr="00CE4A8C">
              <w:rPr>
                <w:sz w:val="20"/>
                <w:szCs w:val="20"/>
              </w:rPr>
              <w:t>.</w:t>
            </w:r>
          </w:p>
        </w:tc>
        <w:tc>
          <w:tcPr>
            <w:tcW w:w="1548" w:type="pct"/>
          </w:tcPr>
          <w:p w:rsidR="009C47CE" w:rsidRPr="00CE4A8C" w:rsidRDefault="009C47CE" w:rsidP="00CE4A8C">
            <w:pPr>
              <w:jc w:val="left"/>
              <w:rPr>
                <w:sz w:val="20"/>
                <w:szCs w:val="20"/>
              </w:rPr>
            </w:pPr>
            <w:r w:rsidRPr="00CE4A8C">
              <w:rPr>
                <w:sz w:val="20"/>
                <w:szCs w:val="20"/>
              </w:rPr>
              <w:t>Prénom NOM</w:t>
            </w:r>
          </w:p>
        </w:tc>
        <w:tc>
          <w:tcPr>
            <w:tcW w:w="1295" w:type="pct"/>
          </w:tcPr>
          <w:p w:rsidR="009C47CE" w:rsidRPr="00CE4A8C" w:rsidRDefault="009C47CE" w:rsidP="00CE4A8C">
            <w:pPr>
              <w:jc w:val="left"/>
              <w:rPr>
                <w:sz w:val="20"/>
                <w:szCs w:val="20"/>
              </w:rPr>
            </w:pPr>
            <w:r w:rsidRPr="00CE4A8C">
              <w:rPr>
                <w:sz w:val="20"/>
                <w:szCs w:val="20"/>
              </w:rPr>
              <w:t>Date de naissance</w:t>
            </w:r>
          </w:p>
        </w:tc>
        <w:tc>
          <w:tcPr>
            <w:tcW w:w="1466" w:type="pct"/>
          </w:tcPr>
          <w:p w:rsidR="009C47CE" w:rsidRPr="00CE4A8C" w:rsidRDefault="009C47CE" w:rsidP="00CE4A8C">
            <w:pPr>
              <w:jc w:val="left"/>
              <w:rPr>
                <w:sz w:val="20"/>
                <w:szCs w:val="20"/>
              </w:rPr>
            </w:pPr>
            <w:r w:rsidRPr="00CE4A8C">
              <w:rPr>
                <w:sz w:val="20"/>
                <w:szCs w:val="20"/>
              </w:rPr>
              <w:t>Lieu de résidence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Lina AMBROGI MELLE</w:t>
            </w:r>
          </w:p>
        </w:tc>
        <w:tc>
          <w:tcPr>
            <w:tcW w:w="1295" w:type="pct"/>
          </w:tcPr>
          <w:p w:rsidR="009C47CE" w:rsidRPr="00CE4A8C" w:rsidRDefault="009C47CE" w:rsidP="00CE4A8C">
            <w:pPr>
              <w:jc w:val="left"/>
              <w:rPr>
                <w:sz w:val="20"/>
                <w:szCs w:val="20"/>
              </w:rPr>
            </w:pPr>
            <w:r w:rsidRPr="00CE4A8C">
              <w:rPr>
                <w:sz w:val="20"/>
                <w:szCs w:val="20"/>
              </w:rPr>
              <w:t>21/04/1955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Alessandro AGUSTO</w:t>
            </w:r>
          </w:p>
        </w:tc>
        <w:tc>
          <w:tcPr>
            <w:tcW w:w="1295" w:type="pct"/>
          </w:tcPr>
          <w:p w:rsidR="009C47CE" w:rsidRPr="00CE4A8C" w:rsidRDefault="009C47CE" w:rsidP="00CE4A8C">
            <w:pPr>
              <w:jc w:val="left"/>
              <w:rPr>
                <w:sz w:val="20"/>
                <w:szCs w:val="20"/>
              </w:rPr>
            </w:pPr>
            <w:r w:rsidRPr="00CE4A8C">
              <w:rPr>
                <w:sz w:val="20"/>
                <w:szCs w:val="20"/>
              </w:rPr>
              <w:t>21/07/1947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Marco AGUSTO</w:t>
            </w:r>
          </w:p>
        </w:tc>
        <w:tc>
          <w:tcPr>
            <w:tcW w:w="1295" w:type="pct"/>
          </w:tcPr>
          <w:p w:rsidR="009C47CE" w:rsidRPr="00CE4A8C" w:rsidRDefault="009C47CE" w:rsidP="00CE4A8C">
            <w:pPr>
              <w:jc w:val="left"/>
              <w:rPr>
                <w:sz w:val="20"/>
                <w:szCs w:val="20"/>
              </w:rPr>
            </w:pPr>
            <w:r w:rsidRPr="00CE4A8C">
              <w:rPr>
                <w:sz w:val="20"/>
                <w:szCs w:val="20"/>
              </w:rPr>
              <w:t>01/10/1985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Maria Ludovica AGUSTO</w:t>
            </w:r>
          </w:p>
        </w:tc>
        <w:tc>
          <w:tcPr>
            <w:tcW w:w="1295" w:type="pct"/>
          </w:tcPr>
          <w:p w:rsidR="009C47CE" w:rsidRPr="00CE4A8C" w:rsidRDefault="009C47CE" w:rsidP="00CE4A8C">
            <w:pPr>
              <w:jc w:val="left"/>
              <w:rPr>
                <w:sz w:val="20"/>
                <w:szCs w:val="20"/>
              </w:rPr>
            </w:pPr>
            <w:r w:rsidRPr="00CE4A8C">
              <w:rPr>
                <w:sz w:val="20"/>
                <w:szCs w:val="20"/>
              </w:rPr>
              <w:t>31/05/1944</w:t>
            </w:r>
          </w:p>
        </w:tc>
        <w:tc>
          <w:tcPr>
            <w:tcW w:w="1466" w:type="pct"/>
          </w:tcPr>
          <w:p w:rsidR="009C47CE" w:rsidRPr="00CE4A8C" w:rsidRDefault="009C47CE" w:rsidP="00CE4A8C">
            <w:pPr>
              <w:jc w:val="left"/>
              <w:rPr>
                <w:sz w:val="20"/>
                <w:szCs w:val="20"/>
                <w:lang w:val="it-IT"/>
              </w:rPr>
            </w:pPr>
            <w:r w:rsidRPr="00CE4A8C">
              <w:rPr>
                <w:sz w:val="20"/>
                <w:szCs w:val="20"/>
                <w:lang w:val="it-IT"/>
              </w:rPr>
              <w:t>San Marzano di San Giuseppe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it-IT"/>
              </w:rPr>
            </w:pPr>
          </w:p>
        </w:tc>
        <w:tc>
          <w:tcPr>
            <w:tcW w:w="1548" w:type="pct"/>
          </w:tcPr>
          <w:p w:rsidR="009C47CE" w:rsidRPr="00CE4A8C" w:rsidRDefault="009C47CE" w:rsidP="00CE4A8C">
            <w:pPr>
              <w:jc w:val="left"/>
              <w:rPr>
                <w:sz w:val="20"/>
                <w:szCs w:val="20"/>
              </w:rPr>
            </w:pPr>
            <w:r w:rsidRPr="00CE4A8C">
              <w:rPr>
                <w:sz w:val="20"/>
                <w:szCs w:val="20"/>
              </w:rPr>
              <w:t>Pierluigi AGUSTO</w:t>
            </w:r>
          </w:p>
        </w:tc>
        <w:tc>
          <w:tcPr>
            <w:tcW w:w="1295" w:type="pct"/>
          </w:tcPr>
          <w:p w:rsidR="009C47CE" w:rsidRPr="00CE4A8C" w:rsidRDefault="009C47CE" w:rsidP="00CE4A8C">
            <w:pPr>
              <w:jc w:val="left"/>
              <w:rPr>
                <w:sz w:val="20"/>
                <w:szCs w:val="20"/>
              </w:rPr>
            </w:pPr>
            <w:r w:rsidRPr="00CE4A8C">
              <w:rPr>
                <w:sz w:val="20"/>
                <w:szCs w:val="20"/>
              </w:rPr>
              <w:t>29/08/1991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Stefano AGUSTO</w:t>
            </w:r>
          </w:p>
        </w:tc>
        <w:tc>
          <w:tcPr>
            <w:tcW w:w="1295" w:type="pct"/>
          </w:tcPr>
          <w:p w:rsidR="009C47CE" w:rsidRPr="00CE4A8C" w:rsidRDefault="009C47CE" w:rsidP="00CE4A8C">
            <w:pPr>
              <w:jc w:val="left"/>
              <w:rPr>
                <w:sz w:val="20"/>
                <w:szCs w:val="20"/>
              </w:rPr>
            </w:pPr>
            <w:r w:rsidRPr="00CE4A8C">
              <w:rPr>
                <w:sz w:val="20"/>
                <w:szCs w:val="20"/>
              </w:rPr>
              <w:t>04/07/1982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Teodoro AGUSTO</w:t>
            </w:r>
          </w:p>
        </w:tc>
        <w:tc>
          <w:tcPr>
            <w:tcW w:w="1295" w:type="pct"/>
          </w:tcPr>
          <w:p w:rsidR="009C47CE" w:rsidRPr="00CE4A8C" w:rsidRDefault="009C47CE" w:rsidP="00CE4A8C">
            <w:pPr>
              <w:jc w:val="left"/>
              <w:rPr>
                <w:sz w:val="20"/>
                <w:szCs w:val="20"/>
              </w:rPr>
            </w:pPr>
            <w:r w:rsidRPr="00CE4A8C">
              <w:rPr>
                <w:sz w:val="20"/>
                <w:szCs w:val="20"/>
              </w:rPr>
              <w:t>20/11/1941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Francesca ALBANO</w:t>
            </w:r>
          </w:p>
        </w:tc>
        <w:tc>
          <w:tcPr>
            <w:tcW w:w="1295" w:type="pct"/>
          </w:tcPr>
          <w:p w:rsidR="009C47CE" w:rsidRPr="00CE4A8C" w:rsidRDefault="009C47CE" w:rsidP="00CE4A8C">
            <w:pPr>
              <w:jc w:val="left"/>
              <w:rPr>
                <w:sz w:val="20"/>
                <w:szCs w:val="20"/>
              </w:rPr>
            </w:pPr>
            <w:r w:rsidRPr="00CE4A8C">
              <w:rPr>
                <w:sz w:val="20"/>
                <w:szCs w:val="20"/>
              </w:rPr>
              <w:t>10/07/1947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Giuditta ALVITO</w:t>
            </w:r>
          </w:p>
        </w:tc>
        <w:tc>
          <w:tcPr>
            <w:tcW w:w="1295" w:type="pct"/>
          </w:tcPr>
          <w:p w:rsidR="009C47CE" w:rsidRPr="00CE4A8C" w:rsidRDefault="009C47CE" w:rsidP="00CE4A8C">
            <w:pPr>
              <w:jc w:val="left"/>
              <w:rPr>
                <w:sz w:val="20"/>
                <w:szCs w:val="20"/>
              </w:rPr>
            </w:pPr>
            <w:r w:rsidRPr="00CE4A8C">
              <w:rPr>
                <w:sz w:val="20"/>
                <w:szCs w:val="20"/>
              </w:rPr>
              <w:t>19/01/1957</w:t>
            </w:r>
          </w:p>
        </w:tc>
        <w:tc>
          <w:tcPr>
            <w:tcW w:w="1466" w:type="pct"/>
          </w:tcPr>
          <w:p w:rsidR="009C47CE" w:rsidRPr="00CE4A8C" w:rsidRDefault="009C47CE" w:rsidP="00CE4A8C">
            <w:pPr>
              <w:jc w:val="left"/>
              <w:rPr>
                <w:sz w:val="20"/>
                <w:szCs w:val="20"/>
              </w:rPr>
            </w:pPr>
            <w:r w:rsidRPr="00CE4A8C">
              <w:rPr>
                <w:sz w:val="20"/>
                <w:szCs w:val="20"/>
              </w:rPr>
              <w:t>S. Giorgio Ionico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Giuseppe ARMILI</w:t>
            </w:r>
          </w:p>
        </w:tc>
        <w:tc>
          <w:tcPr>
            <w:tcW w:w="1295" w:type="pct"/>
          </w:tcPr>
          <w:p w:rsidR="009C47CE" w:rsidRPr="00CE4A8C" w:rsidRDefault="009C47CE" w:rsidP="00CE4A8C">
            <w:pPr>
              <w:jc w:val="left"/>
              <w:rPr>
                <w:sz w:val="20"/>
                <w:szCs w:val="20"/>
              </w:rPr>
            </w:pPr>
            <w:r w:rsidRPr="00CE4A8C">
              <w:rPr>
                <w:sz w:val="20"/>
                <w:szCs w:val="20"/>
              </w:rPr>
              <w:t>23/02/1950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Umberto ATTOLINO</w:t>
            </w:r>
          </w:p>
        </w:tc>
        <w:tc>
          <w:tcPr>
            <w:tcW w:w="1295" w:type="pct"/>
          </w:tcPr>
          <w:p w:rsidR="009C47CE" w:rsidRPr="00CE4A8C" w:rsidRDefault="009C47CE" w:rsidP="00CE4A8C">
            <w:pPr>
              <w:jc w:val="left"/>
              <w:rPr>
                <w:sz w:val="20"/>
                <w:szCs w:val="20"/>
              </w:rPr>
            </w:pPr>
            <w:r w:rsidRPr="00CE4A8C">
              <w:rPr>
                <w:sz w:val="20"/>
                <w:szCs w:val="20"/>
              </w:rPr>
              <w:t>25/02/1964</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Maria Elisa BASILE</w:t>
            </w:r>
          </w:p>
        </w:tc>
        <w:tc>
          <w:tcPr>
            <w:tcW w:w="1295" w:type="pct"/>
          </w:tcPr>
          <w:p w:rsidR="009C47CE" w:rsidRPr="00CE4A8C" w:rsidRDefault="009C47CE" w:rsidP="00CE4A8C">
            <w:pPr>
              <w:jc w:val="left"/>
              <w:rPr>
                <w:sz w:val="20"/>
                <w:szCs w:val="20"/>
              </w:rPr>
            </w:pPr>
            <w:r w:rsidRPr="00CE4A8C">
              <w:rPr>
                <w:sz w:val="20"/>
                <w:szCs w:val="20"/>
              </w:rPr>
              <w:t>08/05/1944</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Maria BELLANDO RANDONE</w:t>
            </w:r>
          </w:p>
        </w:tc>
        <w:tc>
          <w:tcPr>
            <w:tcW w:w="1295" w:type="pct"/>
          </w:tcPr>
          <w:p w:rsidR="009C47CE" w:rsidRPr="00CE4A8C" w:rsidRDefault="009C47CE" w:rsidP="00CE4A8C">
            <w:pPr>
              <w:jc w:val="left"/>
              <w:rPr>
                <w:sz w:val="20"/>
                <w:szCs w:val="20"/>
              </w:rPr>
            </w:pPr>
            <w:r w:rsidRPr="00CE4A8C">
              <w:rPr>
                <w:sz w:val="20"/>
                <w:szCs w:val="20"/>
              </w:rPr>
              <w:t>02/08/1947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Antonio BIANCHI</w:t>
            </w:r>
          </w:p>
        </w:tc>
        <w:tc>
          <w:tcPr>
            <w:tcW w:w="1295" w:type="pct"/>
          </w:tcPr>
          <w:p w:rsidR="009C47CE" w:rsidRPr="00CE4A8C" w:rsidRDefault="009C47CE" w:rsidP="00CE4A8C">
            <w:pPr>
              <w:jc w:val="left"/>
              <w:rPr>
                <w:sz w:val="20"/>
                <w:szCs w:val="20"/>
              </w:rPr>
            </w:pPr>
            <w:r w:rsidRPr="00CE4A8C">
              <w:rPr>
                <w:sz w:val="20"/>
                <w:szCs w:val="20"/>
              </w:rPr>
              <w:t>02/03/1970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Maura BINETTI</w:t>
            </w:r>
          </w:p>
        </w:tc>
        <w:tc>
          <w:tcPr>
            <w:tcW w:w="1295" w:type="pct"/>
          </w:tcPr>
          <w:p w:rsidR="009C47CE" w:rsidRPr="00CE4A8C" w:rsidRDefault="009C47CE" w:rsidP="00CE4A8C">
            <w:pPr>
              <w:jc w:val="left"/>
              <w:rPr>
                <w:sz w:val="20"/>
                <w:szCs w:val="20"/>
              </w:rPr>
            </w:pPr>
            <w:r w:rsidRPr="00CE4A8C">
              <w:rPr>
                <w:sz w:val="20"/>
                <w:szCs w:val="20"/>
              </w:rPr>
              <w:t>13/12/1986</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Michele CAFORIO</w:t>
            </w:r>
          </w:p>
        </w:tc>
        <w:tc>
          <w:tcPr>
            <w:tcW w:w="1295" w:type="pct"/>
          </w:tcPr>
          <w:p w:rsidR="009C47CE" w:rsidRPr="00CE4A8C" w:rsidRDefault="009C47CE" w:rsidP="00CE4A8C">
            <w:pPr>
              <w:jc w:val="left"/>
              <w:rPr>
                <w:sz w:val="20"/>
                <w:szCs w:val="20"/>
              </w:rPr>
            </w:pPr>
            <w:r w:rsidRPr="00CE4A8C">
              <w:rPr>
                <w:sz w:val="20"/>
                <w:szCs w:val="20"/>
              </w:rPr>
              <w:t>10/01/1957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Fabrizia CARANO</w:t>
            </w:r>
          </w:p>
        </w:tc>
        <w:tc>
          <w:tcPr>
            <w:tcW w:w="1295" w:type="pct"/>
          </w:tcPr>
          <w:p w:rsidR="009C47CE" w:rsidRPr="00CE4A8C" w:rsidRDefault="009C47CE" w:rsidP="00CE4A8C">
            <w:pPr>
              <w:jc w:val="left"/>
              <w:rPr>
                <w:sz w:val="20"/>
                <w:szCs w:val="20"/>
              </w:rPr>
            </w:pPr>
            <w:r w:rsidRPr="00CE4A8C">
              <w:rPr>
                <w:sz w:val="20"/>
                <w:szCs w:val="20"/>
              </w:rPr>
              <w:t>05/05/1967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Salvatore CARLUCCI</w:t>
            </w:r>
          </w:p>
        </w:tc>
        <w:tc>
          <w:tcPr>
            <w:tcW w:w="1295" w:type="pct"/>
          </w:tcPr>
          <w:p w:rsidR="009C47CE" w:rsidRPr="00CE4A8C" w:rsidRDefault="009C47CE" w:rsidP="00CE4A8C">
            <w:pPr>
              <w:jc w:val="left"/>
              <w:rPr>
                <w:sz w:val="20"/>
                <w:szCs w:val="20"/>
              </w:rPr>
            </w:pPr>
            <w:r w:rsidRPr="00CE4A8C">
              <w:rPr>
                <w:sz w:val="20"/>
                <w:szCs w:val="20"/>
              </w:rPr>
              <w:t>10/08/1981</w:t>
            </w:r>
          </w:p>
        </w:tc>
        <w:tc>
          <w:tcPr>
            <w:tcW w:w="1466" w:type="pct"/>
          </w:tcPr>
          <w:p w:rsidR="009C47CE" w:rsidRPr="00CE4A8C" w:rsidRDefault="009C47CE" w:rsidP="00CE4A8C">
            <w:pPr>
              <w:jc w:val="left"/>
              <w:rPr>
                <w:sz w:val="20"/>
                <w:szCs w:val="20"/>
              </w:rPr>
            </w:pPr>
            <w:r w:rsidRPr="00CE4A8C">
              <w:rPr>
                <w:sz w:val="20"/>
                <w:szCs w:val="20"/>
              </w:rPr>
              <w:t>Leporano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Anna Lucia CARRERA</w:t>
            </w:r>
          </w:p>
        </w:tc>
        <w:tc>
          <w:tcPr>
            <w:tcW w:w="1295" w:type="pct"/>
          </w:tcPr>
          <w:p w:rsidR="009C47CE" w:rsidRPr="00CE4A8C" w:rsidRDefault="009C47CE" w:rsidP="00CE4A8C">
            <w:pPr>
              <w:jc w:val="left"/>
              <w:rPr>
                <w:sz w:val="20"/>
                <w:szCs w:val="20"/>
              </w:rPr>
            </w:pPr>
            <w:r w:rsidRPr="00CE4A8C">
              <w:rPr>
                <w:sz w:val="20"/>
                <w:szCs w:val="20"/>
              </w:rPr>
              <w:t>05/02/1967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Gianfranco CARRIGLIO</w:t>
            </w:r>
          </w:p>
        </w:tc>
        <w:tc>
          <w:tcPr>
            <w:tcW w:w="1295" w:type="pct"/>
          </w:tcPr>
          <w:p w:rsidR="009C47CE" w:rsidRPr="00CE4A8C" w:rsidRDefault="009C47CE" w:rsidP="00CE4A8C">
            <w:pPr>
              <w:jc w:val="left"/>
              <w:rPr>
                <w:sz w:val="20"/>
                <w:szCs w:val="20"/>
              </w:rPr>
            </w:pPr>
            <w:r w:rsidRPr="00CE4A8C">
              <w:rPr>
                <w:sz w:val="20"/>
                <w:szCs w:val="20"/>
              </w:rPr>
              <w:t>24/07/1948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Gianluca CASAMASSIMA</w:t>
            </w:r>
          </w:p>
        </w:tc>
        <w:tc>
          <w:tcPr>
            <w:tcW w:w="1295" w:type="pct"/>
          </w:tcPr>
          <w:p w:rsidR="009C47CE" w:rsidRPr="00CE4A8C" w:rsidRDefault="009C47CE" w:rsidP="00CE4A8C">
            <w:pPr>
              <w:jc w:val="left"/>
              <w:rPr>
                <w:sz w:val="20"/>
                <w:szCs w:val="20"/>
              </w:rPr>
            </w:pPr>
            <w:r w:rsidRPr="00CE4A8C">
              <w:rPr>
                <w:sz w:val="20"/>
                <w:szCs w:val="20"/>
              </w:rPr>
              <w:t>28/03/1972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Massimo CASTELLANA</w:t>
            </w:r>
          </w:p>
        </w:tc>
        <w:tc>
          <w:tcPr>
            <w:tcW w:w="1295" w:type="pct"/>
          </w:tcPr>
          <w:p w:rsidR="009C47CE" w:rsidRPr="00CE4A8C" w:rsidRDefault="009C47CE" w:rsidP="00CE4A8C">
            <w:pPr>
              <w:jc w:val="left"/>
              <w:rPr>
                <w:sz w:val="20"/>
                <w:szCs w:val="20"/>
              </w:rPr>
            </w:pPr>
            <w:r w:rsidRPr="00CE4A8C">
              <w:rPr>
                <w:sz w:val="20"/>
                <w:szCs w:val="20"/>
              </w:rPr>
              <w:t>19/02/1958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Egle CAVALLO</w:t>
            </w:r>
          </w:p>
        </w:tc>
        <w:tc>
          <w:tcPr>
            <w:tcW w:w="1295" w:type="pct"/>
          </w:tcPr>
          <w:p w:rsidR="009C47CE" w:rsidRPr="00CE4A8C" w:rsidRDefault="009C47CE" w:rsidP="00CE4A8C">
            <w:pPr>
              <w:jc w:val="left"/>
              <w:rPr>
                <w:sz w:val="20"/>
                <w:szCs w:val="20"/>
              </w:rPr>
            </w:pPr>
            <w:r w:rsidRPr="00CE4A8C">
              <w:rPr>
                <w:sz w:val="20"/>
                <w:szCs w:val="20"/>
              </w:rPr>
              <w:t>11/01/1962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Grazia Maria CAVALLO</w:t>
            </w:r>
          </w:p>
        </w:tc>
        <w:tc>
          <w:tcPr>
            <w:tcW w:w="1295" w:type="pct"/>
          </w:tcPr>
          <w:p w:rsidR="009C47CE" w:rsidRPr="00CE4A8C" w:rsidRDefault="009C47CE" w:rsidP="00CE4A8C">
            <w:pPr>
              <w:jc w:val="left"/>
              <w:rPr>
                <w:sz w:val="20"/>
                <w:szCs w:val="20"/>
              </w:rPr>
            </w:pPr>
            <w:r w:rsidRPr="00CE4A8C">
              <w:rPr>
                <w:sz w:val="20"/>
                <w:szCs w:val="20"/>
              </w:rPr>
              <w:t>03/08/1962</w:t>
            </w:r>
          </w:p>
        </w:tc>
        <w:tc>
          <w:tcPr>
            <w:tcW w:w="1466" w:type="pct"/>
          </w:tcPr>
          <w:p w:rsidR="009C47CE" w:rsidRPr="00CE4A8C" w:rsidRDefault="009C47CE" w:rsidP="00CE4A8C">
            <w:pPr>
              <w:jc w:val="left"/>
              <w:rPr>
                <w:sz w:val="20"/>
                <w:szCs w:val="20"/>
                <w:lang w:val="it-IT"/>
              </w:rPr>
            </w:pPr>
            <w:r w:rsidRPr="00CE4A8C">
              <w:rPr>
                <w:sz w:val="20"/>
                <w:szCs w:val="20"/>
                <w:lang w:val="it-IT"/>
              </w:rPr>
              <w:t>San Marzano di San Giuseppe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it-IT"/>
              </w:rPr>
            </w:pPr>
          </w:p>
        </w:tc>
        <w:tc>
          <w:tcPr>
            <w:tcW w:w="1548" w:type="pct"/>
          </w:tcPr>
          <w:p w:rsidR="009C47CE" w:rsidRPr="00CE4A8C" w:rsidRDefault="009C47CE" w:rsidP="00CE4A8C">
            <w:pPr>
              <w:jc w:val="left"/>
              <w:rPr>
                <w:sz w:val="20"/>
                <w:szCs w:val="20"/>
              </w:rPr>
            </w:pPr>
            <w:r w:rsidRPr="00CE4A8C">
              <w:rPr>
                <w:sz w:val="20"/>
                <w:szCs w:val="20"/>
              </w:rPr>
              <w:t>Natale CECERE</w:t>
            </w:r>
          </w:p>
        </w:tc>
        <w:tc>
          <w:tcPr>
            <w:tcW w:w="1295" w:type="pct"/>
          </w:tcPr>
          <w:p w:rsidR="009C47CE" w:rsidRPr="00CE4A8C" w:rsidRDefault="009C47CE" w:rsidP="00CE4A8C">
            <w:pPr>
              <w:jc w:val="left"/>
              <w:rPr>
                <w:sz w:val="20"/>
                <w:szCs w:val="20"/>
              </w:rPr>
            </w:pPr>
            <w:r w:rsidRPr="00CE4A8C">
              <w:rPr>
                <w:sz w:val="20"/>
                <w:szCs w:val="20"/>
              </w:rPr>
              <w:t>05/02/1958</w:t>
            </w:r>
          </w:p>
        </w:tc>
        <w:tc>
          <w:tcPr>
            <w:tcW w:w="1466" w:type="pct"/>
          </w:tcPr>
          <w:p w:rsidR="009C47CE" w:rsidRPr="00CE4A8C" w:rsidRDefault="009C47CE" w:rsidP="00CE4A8C">
            <w:pPr>
              <w:jc w:val="left"/>
              <w:rPr>
                <w:sz w:val="20"/>
                <w:szCs w:val="20"/>
              </w:rPr>
            </w:pPr>
            <w:r w:rsidRPr="00CE4A8C">
              <w:rPr>
                <w:sz w:val="20"/>
                <w:szCs w:val="20"/>
              </w:rPr>
              <w:t>Castellaneta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Maria CHETRY</w:t>
            </w:r>
          </w:p>
        </w:tc>
        <w:tc>
          <w:tcPr>
            <w:tcW w:w="1295" w:type="pct"/>
          </w:tcPr>
          <w:p w:rsidR="009C47CE" w:rsidRPr="00CE4A8C" w:rsidRDefault="009C47CE" w:rsidP="00CE4A8C">
            <w:pPr>
              <w:jc w:val="left"/>
              <w:rPr>
                <w:sz w:val="20"/>
                <w:szCs w:val="20"/>
              </w:rPr>
            </w:pPr>
            <w:r w:rsidRPr="00CE4A8C">
              <w:rPr>
                <w:sz w:val="20"/>
                <w:szCs w:val="20"/>
              </w:rPr>
              <w:t>04/07/1957</w:t>
            </w:r>
          </w:p>
        </w:tc>
        <w:tc>
          <w:tcPr>
            <w:tcW w:w="1466" w:type="pct"/>
          </w:tcPr>
          <w:p w:rsidR="009C47CE" w:rsidRPr="00CE4A8C" w:rsidRDefault="009C47CE" w:rsidP="00CE4A8C">
            <w:pPr>
              <w:jc w:val="left"/>
              <w:rPr>
                <w:sz w:val="20"/>
                <w:szCs w:val="20"/>
              </w:rPr>
            </w:pPr>
            <w:r w:rsidRPr="00CE4A8C">
              <w:rPr>
                <w:sz w:val="20"/>
                <w:szCs w:val="20"/>
              </w:rPr>
              <w:t>Statte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Ernesta Loredana CIACCIA</w:t>
            </w:r>
          </w:p>
        </w:tc>
        <w:tc>
          <w:tcPr>
            <w:tcW w:w="1295" w:type="pct"/>
          </w:tcPr>
          <w:p w:rsidR="009C47CE" w:rsidRPr="00CE4A8C" w:rsidRDefault="009C47CE" w:rsidP="00CE4A8C">
            <w:pPr>
              <w:jc w:val="left"/>
              <w:rPr>
                <w:sz w:val="20"/>
                <w:szCs w:val="20"/>
              </w:rPr>
            </w:pPr>
            <w:r w:rsidRPr="00CE4A8C">
              <w:rPr>
                <w:sz w:val="20"/>
                <w:szCs w:val="20"/>
              </w:rPr>
              <w:t>05/05/1958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Tommaso CIACCIA</w:t>
            </w:r>
          </w:p>
        </w:tc>
        <w:tc>
          <w:tcPr>
            <w:tcW w:w="1295" w:type="pct"/>
          </w:tcPr>
          <w:p w:rsidR="009C47CE" w:rsidRPr="00CE4A8C" w:rsidRDefault="009C47CE" w:rsidP="00CE4A8C">
            <w:pPr>
              <w:jc w:val="left"/>
              <w:rPr>
                <w:sz w:val="20"/>
                <w:szCs w:val="20"/>
              </w:rPr>
            </w:pPr>
            <w:r w:rsidRPr="00CE4A8C">
              <w:rPr>
                <w:sz w:val="20"/>
                <w:szCs w:val="20"/>
              </w:rPr>
              <w:t>13/04/1979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Christian CICALA</w:t>
            </w:r>
          </w:p>
        </w:tc>
        <w:tc>
          <w:tcPr>
            <w:tcW w:w="1295" w:type="pct"/>
          </w:tcPr>
          <w:p w:rsidR="009C47CE" w:rsidRPr="00CE4A8C" w:rsidRDefault="009C47CE" w:rsidP="00CE4A8C">
            <w:pPr>
              <w:jc w:val="left"/>
              <w:rPr>
                <w:sz w:val="20"/>
                <w:szCs w:val="20"/>
              </w:rPr>
            </w:pPr>
            <w:r w:rsidRPr="00CE4A8C">
              <w:rPr>
                <w:sz w:val="20"/>
                <w:szCs w:val="20"/>
              </w:rPr>
              <w:t>10/10/1984</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Monica CIRCOSTA</w:t>
            </w:r>
          </w:p>
        </w:tc>
        <w:tc>
          <w:tcPr>
            <w:tcW w:w="1295" w:type="pct"/>
          </w:tcPr>
          <w:p w:rsidR="009C47CE" w:rsidRPr="00CE4A8C" w:rsidRDefault="009C47CE" w:rsidP="00CE4A8C">
            <w:pPr>
              <w:jc w:val="left"/>
              <w:rPr>
                <w:sz w:val="20"/>
                <w:szCs w:val="20"/>
              </w:rPr>
            </w:pPr>
            <w:r w:rsidRPr="00CE4A8C">
              <w:rPr>
                <w:sz w:val="20"/>
                <w:szCs w:val="20"/>
              </w:rPr>
              <w:t>24/12/1970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Paola CONTE</w:t>
            </w:r>
          </w:p>
        </w:tc>
        <w:tc>
          <w:tcPr>
            <w:tcW w:w="1295" w:type="pct"/>
          </w:tcPr>
          <w:p w:rsidR="009C47CE" w:rsidRPr="00CE4A8C" w:rsidRDefault="009C47CE" w:rsidP="00CE4A8C">
            <w:pPr>
              <w:jc w:val="left"/>
              <w:rPr>
                <w:sz w:val="20"/>
                <w:szCs w:val="20"/>
              </w:rPr>
            </w:pPr>
            <w:r w:rsidRPr="00CE4A8C">
              <w:rPr>
                <w:sz w:val="20"/>
                <w:szCs w:val="20"/>
              </w:rPr>
              <w:t>20/03/1961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83062B">
        <w:trPr>
          <w:trHeight w:val="1058"/>
        </w:trPr>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Saverio DE FLORIO</w:t>
            </w:r>
          </w:p>
        </w:tc>
        <w:tc>
          <w:tcPr>
            <w:tcW w:w="1295" w:type="pct"/>
          </w:tcPr>
          <w:p w:rsidR="009C47CE" w:rsidRPr="00CE4A8C" w:rsidRDefault="009C47CE" w:rsidP="00CE4A8C">
            <w:pPr>
              <w:jc w:val="left"/>
              <w:rPr>
                <w:sz w:val="20"/>
                <w:szCs w:val="20"/>
              </w:rPr>
            </w:pPr>
            <w:r w:rsidRPr="00CE4A8C">
              <w:rPr>
                <w:sz w:val="20"/>
                <w:szCs w:val="20"/>
              </w:rPr>
              <w:t>21/02/1963</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Giuseppe DE MATTEIS</w:t>
            </w:r>
          </w:p>
        </w:tc>
        <w:tc>
          <w:tcPr>
            <w:tcW w:w="1295" w:type="pct"/>
          </w:tcPr>
          <w:p w:rsidR="009C47CE" w:rsidRPr="00CE4A8C" w:rsidRDefault="009C47CE" w:rsidP="00CE4A8C">
            <w:pPr>
              <w:jc w:val="left"/>
              <w:rPr>
                <w:sz w:val="20"/>
                <w:szCs w:val="20"/>
              </w:rPr>
            </w:pPr>
            <w:r w:rsidRPr="00CE4A8C">
              <w:rPr>
                <w:sz w:val="20"/>
                <w:szCs w:val="20"/>
              </w:rPr>
              <w:t>25/04/1961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Francesca Maria DE PADOVA</w:t>
            </w:r>
          </w:p>
        </w:tc>
        <w:tc>
          <w:tcPr>
            <w:tcW w:w="1295" w:type="pct"/>
          </w:tcPr>
          <w:p w:rsidR="009C47CE" w:rsidRPr="00CE4A8C" w:rsidRDefault="009C47CE" w:rsidP="00CE4A8C">
            <w:pPr>
              <w:jc w:val="left"/>
              <w:rPr>
                <w:sz w:val="20"/>
                <w:szCs w:val="20"/>
              </w:rPr>
            </w:pPr>
            <w:r w:rsidRPr="00CE4A8C">
              <w:rPr>
                <w:sz w:val="20"/>
                <w:szCs w:val="20"/>
              </w:rPr>
              <w:t>12/10/1966</w:t>
            </w:r>
          </w:p>
        </w:tc>
        <w:tc>
          <w:tcPr>
            <w:tcW w:w="1466" w:type="pct"/>
          </w:tcPr>
          <w:p w:rsidR="009C47CE" w:rsidRPr="00CE4A8C" w:rsidRDefault="009C47CE" w:rsidP="00CE4A8C">
            <w:pPr>
              <w:jc w:val="left"/>
              <w:rPr>
                <w:sz w:val="20"/>
                <w:szCs w:val="20"/>
                <w:lang w:val="it-IT"/>
              </w:rPr>
            </w:pPr>
            <w:r w:rsidRPr="00CE4A8C">
              <w:rPr>
                <w:sz w:val="20"/>
                <w:szCs w:val="20"/>
                <w:lang w:val="it-IT"/>
              </w:rPr>
              <w:t>San Marzano di San Giuseppe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it-IT"/>
              </w:rPr>
            </w:pPr>
          </w:p>
        </w:tc>
        <w:tc>
          <w:tcPr>
            <w:tcW w:w="1548" w:type="pct"/>
          </w:tcPr>
          <w:p w:rsidR="009C47CE" w:rsidRPr="00CE4A8C" w:rsidRDefault="009C47CE" w:rsidP="00CE4A8C">
            <w:pPr>
              <w:jc w:val="left"/>
              <w:rPr>
                <w:sz w:val="20"/>
                <w:szCs w:val="20"/>
              </w:rPr>
            </w:pPr>
            <w:r w:rsidRPr="00CE4A8C">
              <w:rPr>
                <w:sz w:val="20"/>
                <w:szCs w:val="20"/>
              </w:rPr>
              <w:t>Vincenzo DE PALMIS</w:t>
            </w:r>
          </w:p>
        </w:tc>
        <w:tc>
          <w:tcPr>
            <w:tcW w:w="1295" w:type="pct"/>
          </w:tcPr>
          <w:p w:rsidR="009C47CE" w:rsidRPr="00CE4A8C" w:rsidRDefault="009C47CE" w:rsidP="00CE4A8C">
            <w:pPr>
              <w:jc w:val="left"/>
              <w:rPr>
                <w:sz w:val="20"/>
                <w:szCs w:val="20"/>
              </w:rPr>
            </w:pPr>
            <w:r w:rsidRPr="00CE4A8C">
              <w:rPr>
                <w:sz w:val="20"/>
                <w:szCs w:val="20"/>
              </w:rPr>
              <w:t>14/01/1956</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Salvatore D</w:t>
            </w:r>
            <w:r w:rsidR="00CE4A8C" w:rsidRPr="00CE4A8C">
              <w:rPr>
                <w:sz w:val="20"/>
                <w:szCs w:val="20"/>
              </w:rPr>
              <w:t>’</w:t>
            </w:r>
            <w:r w:rsidRPr="00CE4A8C">
              <w:rPr>
                <w:sz w:val="20"/>
                <w:szCs w:val="20"/>
              </w:rPr>
              <w:t>ERCHIA</w:t>
            </w:r>
          </w:p>
        </w:tc>
        <w:tc>
          <w:tcPr>
            <w:tcW w:w="1295" w:type="pct"/>
          </w:tcPr>
          <w:p w:rsidR="009C47CE" w:rsidRPr="00CE4A8C" w:rsidRDefault="009C47CE" w:rsidP="00CE4A8C">
            <w:pPr>
              <w:jc w:val="left"/>
              <w:rPr>
                <w:sz w:val="20"/>
                <w:szCs w:val="20"/>
              </w:rPr>
            </w:pPr>
            <w:r w:rsidRPr="00CE4A8C">
              <w:rPr>
                <w:sz w:val="20"/>
                <w:szCs w:val="20"/>
              </w:rPr>
              <w:t>24/05/1953</w:t>
            </w:r>
          </w:p>
        </w:tc>
        <w:tc>
          <w:tcPr>
            <w:tcW w:w="1466" w:type="pct"/>
          </w:tcPr>
          <w:p w:rsidR="009C47CE" w:rsidRPr="00CE4A8C" w:rsidRDefault="009C47CE" w:rsidP="00CE4A8C">
            <w:pPr>
              <w:jc w:val="left"/>
              <w:rPr>
                <w:sz w:val="20"/>
                <w:szCs w:val="20"/>
              </w:rPr>
            </w:pPr>
            <w:r w:rsidRPr="00CE4A8C">
              <w:rPr>
                <w:sz w:val="20"/>
                <w:szCs w:val="20"/>
              </w:rPr>
              <w:t>Massafra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Valeria DI GIROLAMO</w:t>
            </w:r>
          </w:p>
        </w:tc>
        <w:tc>
          <w:tcPr>
            <w:tcW w:w="1295" w:type="pct"/>
          </w:tcPr>
          <w:p w:rsidR="009C47CE" w:rsidRPr="00CE4A8C" w:rsidRDefault="009C47CE" w:rsidP="00CE4A8C">
            <w:pPr>
              <w:jc w:val="left"/>
              <w:rPr>
                <w:sz w:val="20"/>
                <w:szCs w:val="20"/>
              </w:rPr>
            </w:pPr>
            <w:r w:rsidRPr="00CE4A8C">
              <w:rPr>
                <w:sz w:val="20"/>
                <w:szCs w:val="20"/>
              </w:rPr>
              <w:t>23/06/1990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Giovanni DI SUMMA</w:t>
            </w:r>
          </w:p>
        </w:tc>
        <w:tc>
          <w:tcPr>
            <w:tcW w:w="1295" w:type="pct"/>
          </w:tcPr>
          <w:p w:rsidR="009C47CE" w:rsidRPr="00CE4A8C" w:rsidRDefault="009C47CE" w:rsidP="00CE4A8C">
            <w:pPr>
              <w:jc w:val="left"/>
              <w:rPr>
                <w:sz w:val="20"/>
                <w:szCs w:val="20"/>
              </w:rPr>
            </w:pPr>
            <w:r w:rsidRPr="00CE4A8C">
              <w:rPr>
                <w:sz w:val="20"/>
                <w:szCs w:val="20"/>
              </w:rPr>
              <w:t>27/12/1938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Angelina DIFESCA</w:t>
            </w:r>
          </w:p>
        </w:tc>
        <w:tc>
          <w:tcPr>
            <w:tcW w:w="1295" w:type="pct"/>
          </w:tcPr>
          <w:p w:rsidR="009C47CE" w:rsidRPr="00CE4A8C" w:rsidRDefault="009C47CE" w:rsidP="00CE4A8C">
            <w:pPr>
              <w:jc w:val="left"/>
              <w:rPr>
                <w:sz w:val="20"/>
                <w:szCs w:val="20"/>
              </w:rPr>
            </w:pPr>
            <w:r w:rsidRPr="00CE4A8C">
              <w:rPr>
                <w:sz w:val="20"/>
                <w:szCs w:val="20"/>
              </w:rPr>
              <w:t>05/06/1952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Gabriella DINOI</w:t>
            </w:r>
          </w:p>
        </w:tc>
        <w:tc>
          <w:tcPr>
            <w:tcW w:w="1295" w:type="pct"/>
          </w:tcPr>
          <w:p w:rsidR="009C47CE" w:rsidRPr="00CE4A8C" w:rsidRDefault="009C47CE" w:rsidP="00CE4A8C">
            <w:pPr>
              <w:jc w:val="left"/>
              <w:rPr>
                <w:sz w:val="20"/>
                <w:szCs w:val="20"/>
              </w:rPr>
            </w:pPr>
            <w:r w:rsidRPr="00CE4A8C">
              <w:rPr>
                <w:sz w:val="20"/>
                <w:szCs w:val="20"/>
              </w:rPr>
              <w:t>17/12/1993</w:t>
            </w:r>
          </w:p>
        </w:tc>
        <w:tc>
          <w:tcPr>
            <w:tcW w:w="1466" w:type="pct"/>
          </w:tcPr>
          <w:p w:rsidR="009C47CE" w:rsidRPr="00CE4A8C" w:rsidRDefault="009C47CE" w:rsidP="00CE4A8C">
            <w:pPr>
              <w:jc w:val="left"/>
              <w:rPr>
                <w:sz w:val="20"/>
                <w:szCs w:val="20"/>
                <w:lang w:val="it-IT"/>
              </w:rPr>
            </w:pPr>
            <w:r w:rsidRPr="00CE4A8C">
              <w:rPr>
                <w:sz w:val="20"/>
                <w:szCs w:val="20"/>
                <w:lang w:val="it-IT"/>
              </w:rPr>
              <w:t>San Marzano di San Giuseppe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it-IT"/>
              </w:rPr>
            </w:pPr>
          </w:p>
        </w:tc>
        <w:tc>
          <w:tcPr>
            <w:tcW w:w="1548" w:type="pct"/>
          </w:tcPr>
          <w:p w:rsidR="009C47CE" w:rsidRPr="00CE4A8C" w:rsidRDefault="009C47CE" w:rsidP="00CE4A8C">
            <w:pPr>
              <w:jc w:val="left"/>
              <w:rPr>
                <w:sz w:val="20"/>
                <w:szCs w:val="20"/>
              </w:rPr>
            </w:pPr>
            <w:r w:rsidRPr="00CE4A8C">
              <w:rPr>
                <w:sz w:val="20"/>
                <w:szCs w:val="20"/>
              </w:rPr>
              <w:t>Veronica DINOI</w:t>
            </w:r>
          </w:p>
        </w:tc>
        <w:tc>
          <w:tcPr>
            <w:tcW w:w="1295" w:type="pct"/>
          </w:tcPr>
          <w:p w:rsidR="009C47CE" w:rsidRPr="00CE4A8C" w:rsidRDefault="009C47CE" w:rsidP="00CE4A8C">
            <w:pPr>
              <w:jc w:val="left"/>
              <w:rPr>
                <w:sz w:val="20"/>
                <w:szCs w:val="20"/>
              </w:rPr>
            </w:pPr>
            <w:r w:rsidRPr="00CE4A8C">
              <w:rPr>
                <w:sz w:val="20"/>
                <w:szCs w:val="20"/>
              </w:rPr>
              <w:t>05/08/1989</w:t>
            </w:r>
          </w:p>
        </w:tc>
        <w:tc>
          <w:tcPr>
            <w:tcW w:w="1466" w:type="pct"/>
          </w:tcPr>
          <w:p w:rsidR="009C47CE" w:rsidRPr="00CE4A8C" w:rsidRDefault="009C47CE" w:rsidP="00CE4A8C">
            <w:pPr>
              <w:jc w:val="left"/>
              <w:rPr>
                <w:sz w:val="20"/>
                <w:szCs w:val="20"/>
                <w:lang w:val="it-IT"/>
              </w:rPr>
            </w:pPr>
            <w:r w:rsidRPr="00CE4A8C">
              <w:rPr>
                <w:sz w:val="20"/>
                <w:szCs w:val="20"/>
                <w:lang w:val="it-IT"/>
              </w:rPr>
              <w:t>San Marzano di San Giuseppe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it-IT"/>
              </w:rPr>
            </w:pPr>
          </w:p>
        </w:tc>
        <w:tc>
          <w:tcPr>
            <w:tcW w:w="1548" w:type="pct"/>
          </w:tcPr>
          <w:p w:rsidR="009C47CE" w:rsidRPr="00CE4A8C" w:rsidRDefault="009C47CE" w:rsidP="00CE4A8C">
            <w:pPr>
              <w:jc w:val="left"/>
              <w:rPr>
                <w:sz w:val="20"/>
                <w:szCs w:val="20"/>
              </w:rPr>
            </w:pPr>
            <w:r w:rsidRPr="00CE4A8C">
              <w:rPr>
                <w:sz w:val="20"/>
                <w:szCs w:val="20"/>
              </w:rPr>
              <w:t>Cosima DONATELLI</w:t>
            </w:r>
          </w:p>
        </w:tc>
        <w:tc>
          <w:tcPr>
            <w:tcW w:w="1295" w:type="pct"/>
          </w:tcPr>
          <w:p w:rsidR="009C47CE" w:rsidRPr="00CE4A8C" w:rsidRDefault="009C47CE" w:rsidP="00CE4A8C">
            <w:pPr>
              <w:jc w:val="left"/>
              <w:rPr>
                <w:sz w:val="20"/>
                <w:szCs w:val="20"/>
              </w:rPr>
            </w:pPr>
            <w:r w:rsidRPr="00CE4A8C">
              <w:rPr>
                <w:sz w:val="20"/>
                <w:szCs w:val="20"/>
              </w:rPr>
              <w:t>31/03/1953</w:t>
            </w:r>
          </w:p>
        </w:tc>
        <w:tc>
          <w:tcPr>
            <w:tcW w:w="1466" w:type="pct"/>
          </w:tcPr>
          <w:p w:rsidR="009C47CE" w:rsidRPr="00CE4A8C" w:rsidRDefault="009C47CE" w:rsidP="00CE4A8C">
            <w:pPr>
              <w:jc w:val="left"/>
              <w:rPr>
                <w:sz w:val="20"/>
                <w:szCs w:val="20"/>
              </w:rPr>
            </w:pPr>
            <w:r w:rsidRPr="00CE4A8C">
              <w:rPr>
                <w:sz w:val="20"/>
                <w:szCs w:val="20"/>
              </w:rPr>
              <w:t>S. Giorgio Ionico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Katia ELEFANTE</w:t>
            </w:r>
          </w:p>
        </w:tc>
        <w:tc>
          <w:tcPr>
            <w:tcW w:w="1295" w:type="pct"/>
          </w:tcPr>
          <w:p w:rsidR="009C47CE" w:rsidRPr="00CE4A8C" w:rsidRDefault="009C47CE" w:rsidP="00CE4A8C">
            <w:pPr>
              <w:jc w:val="left"/>
              <w:rPr>
                <w:sz w:val="20"/>
                <w:szCs w:val="20"/>
              </w:rPr>
            </w:pPr>
            <w:r w:rsidRPr="00CE4A8C">
              <w:rPr>
                <w:sz w:val="20"/>
                <w:szCs w:val="20"/>
              </w:rPr>
              <w:t>17/03/1988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Enrica ERAMO</w:t>
            </w:r>
          </w:p>
        </w:tc>
        <w:tc>
          <w:tcPr>
            <w:tcW w:w="1295" w:type="pct"/>
          </w:tcPr>
          <w:p w:rsidR="009C47CE" w:rsidRPr="00CE4A8C" w:rsidRDefault="009C47CE" w:rsidP="00CE4A8C">
            <w:pPr>
              <w:jc w:val="left"/>
              <w:rPr>
                <w:sz w:val="20"/>
                <w:szCs w:val="20"/>
              </w:rPr>
            </w:pPr>
            <w:r w:rsidRPr="00CE4A8C">
              <w:rPr>
                <w:sz w:val="20"/>
                <w:szCs w:val="20"/>
              </w:rPr>
              <w:t>06/05/1988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Paola ERCOLANI</w:t>
            </w:r>
          </w:p>
        </w:tc>
        <w:tc>
          <w:tcPr>
            <w:tcW w:w="1295" w:type="pct"/>
          </w:tcPr>
          <w:p w:rsidR="009C47CE" w:rsidRPr="00CE4A8C" w:rsidRDefault="009C47CE" w:rsidP="00CE4A8C">
            <w:pPr>
              <w:jc w:val="left"/>
              <w:rPr>
                <w:sz w:val="20"/>
                <w:szCs w:val="20"/>
              </w:rPr>
            </w:pPr>
            <w:r w:rsidRPr="00CE4A8C">
              <w:rPr>
                <w:sz w:val="20"/>
                <w:szCs w:val="20"/>
              </w:rPr>
              <w:t>19/08/1963</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Loredana FABRIZIO</w:t>
            </w:r>
          </w:p>
        </w:tc>
        <w:tc>
          <w:tcPr>
            <w:tcW w:w="1295" w:type="pct"/>
          </w:tcPr>
          <w:p w:rsidR="009C47CE" w:rsidRPr="00CE4A8C" w:rsidRDefault="009C47CE" w:rsidP="00CE4A8C">
            <w:pPr>
              <w:jc w:val="left"/>
              <w:rPr>
                <w:sz w:val="20"/>
                <w:szCs w:val="20"/>
              </w:rPr>
            </w:pPr>
            <w:r w:rsidRPr="00CE4A8C">
              <w:rPr>
                <w:sz w:val="20"/>
                <w:szCs w:val="20"/>
              </w:rPr>
              <w:t>10/09/1965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Angelo FASANELLA</w:t>
            </w:r>
          </w:p>
        </w:tc>
        <w:tc>
          <w:tcPr>
            <w:tcW w:w="1295" w:type="pct"/>
          </w:tcPr>
          <w:p w:rsidR="009C47CE" w:rsidRPr="00CE4A8C" w:rsidRDefault="009C47CE" w:rsidP="00CE4A8C">
            <w:pPr>
              <w:jc w:val="left"/>
              <w:rPr>
                <w:sz w:val="20"/>
                <w:szCs w:val="20"/>
              </w:rPr>
            </w:pPr>
            <w:r w:rsidRPr="00CE4A8C">
              <w:rPr>
                <w:sz w:val="20"/>
                <w:szCs w:val="20"/>
              </w:rPr>
              <w:t>28/05/1956</w:t>
            </w:r>
          </w:p>
        </w:tc>
        <w:tc>
          <w:tcPr>
            <w:tcW w:w="1466" w:type="pct"/>
          </w:tcPr>
          <w:p w:rsidR="009C47CE" w:rsidRPr="00CE4A8C" w:rsidRDefault="009C47CE" w:rsidP="00CE4A8C">
            <w:pPr>
              <w:jc w:val="left"/>
              <w:rPr>
                <w:sz w:val="20"/>
                <w:szCs w:val="20"/>
              </w:rPr>
            </w:pPr>
            <w:r w:rsidRPr="00CE4A8C">
              <w:rPr>
                <w:sz w:val="20"/>
                <w:szCs w:val="20"/>
              </w:rPr>
              <w:t>Statte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Danila FEDELE</w:t>
            </w:r>
          </w:p>
        </w:tc>
        <w:tc>
          <w:tcPr>
            <w:tcW w:w="1295" w:type="pct"/>
          </w:tcPr>
          <w:p w:rsidR="009C47CE" w:rsidRPr="00CE4A8C" w:rsidRDefault="009C47CE" w:rsidP="00CE4A8C">
            <w:pPr>
              <w:jc w:val="left"/>
              <w:rPr>
                <w:sz w:val="20"/>
                <w:szCs w:val="20"/>
              </w:rPr>
            </w:pPr>
            <w:r w:rsidRPr="00CE4A8C">
              <w:rPr>
                <w:sz w:val="20"/>
                <w:szCs w:val="20"/>
              </w:rPr>
              <w:t>20/04/1965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Alessandra FIUSCO</w:t>
            </w:r>
          </w:p>
        </w:tc>
        <w:tc>
          <w:tcPr>
            <w:tcW w:w="1295" w:type="pct"/>
          </w:tcPr>
          <w:p w:rsidR="009C47CE" w:rsidRPr="00CE4A8C" w:rsidRDefault="009C47CE" w:rsidP="00CE4A8C">
            <w:pPr>
              <w:jc w:val="left"/>
              <w:rPr>
                <w:sz w:val="20"/>
                <w:szCs w:val="20"/>
              </w:rPr>
            </w:pPr>
            <w:r w:rsidRPr="00CE4A8C">
              <w:rPr>
                <w:sz w:val="20"/>
                <w:szCs w:val="20"/>
              </w:rPr>
              <w:t>22/02/1973</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Maria Luisa FORINA</w:t>
            </w:r>
          </w:p>
        </w:tc>
        <w:tc>
          <w:tcPr>
            <w:tcW w:w="1295" w:type="pct"/>
          </w:tcPr>
          <w:p w:rsidR="009C47CE" w:rsidRPr="00CE4A8C" w:rsidRDefault="009C47CE" w:rsidP="00CE4A8C">
            <w:pPr>
              <w:jc w:val="left"/>
              <w:rPr>
                <w:sz w:val="20"/>
                <w:szCs w:val="20"/>
              </w:rPr>
            </w:pPr>
            <w:r w:rsidRPr="00CE4A8C">
              <w:rPr>
                <w:sz w:val="20"/>
                <w:szCs w:val="20"/>
              </w:rPr>
              <w:t>22/09/1940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Angelo FORNARO</w:t>
            </w:r>
          </w:p>
        </w:tc>
        <w:tc>
          <w:tcPr>
            <w:tcW w:w="1295" w:type="pct"/>
          </w:tcPr>
          <w:p w:rsidR="009C47CE" w:rsidRPr="00CE4A8C" w:rsidRDefault="009C47CE" w:rsidP="00CE4A8C">
            <w:pPr>
              <w:jc w:val="left"/>
              <w:rPr>
                <w:sz w:val="20"/>
                <w:szCs w:val="20"/>
              </w:rPr>
            </w:pPr>
            <w:r w:rsidRPr="00CE4A8C">
              <w:rPr>
                <w:sz w:val="20"/>
                <w:szCs w:val="20"/>
              </w:rPr>
              <w:t>14/07/1934</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Cosimo FORNARO</w:t>
            </w:r>
          </w:p>
        </w:tc>
        <w:tc>
          <w:tcPr>
            <w:tcW w:w="1295" w:type="pct"/>
          </w:tcPr>
          <w:p w:rsidR="009C47CE" w:rsidRPr="00CE4A8C" w:rsidRDefault="009C47CE" w:rsidP="00CE4A8C">
            <w:pPr>
              <w:jc w:val="left"/>
              <w:rPr>
                <w:sz w:val="20"/>
                <w:szCs w:val="20"/>
              </w:rPr>
            </w:pPr>
            <w:r w:rsidRPr="00CE4A8C">
              <w:rPr>
                <w:sz w:val="20"/>
                <w:szCs w:val="20"/>
              </w:rPr>
              <w:t>03/07/1962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Vincenzo FORNARO</w:t>
            </w:r>
          </w:p>
        </w:tc>
        <w:tc>
          <w:tcPr>
            <w:tcW w:w="1295" w:type="pct"/>
          </w:tcPr>
          <w:p w:rsidR="009C47CE" w:rsidRPr="00CE4A8C" w:rsidRDefault="009C47CE" w:rsidP="00CE4A8C">
            <w:pPr>
              <w:jc w:val="left"/>
              <w:rPr>
                <w:sz w:val="20"/>
                <w:szCs w:val="20"/>
              </w:rPr>
            </w:pPr>
            <w:r w:rsidRPr="00CE4A8C">
              <w:rPr>
                <w:sz w:val="20"/>
                <w:szCs w:val="20"/>
              </w:rPr>
              <w:t>10/05/1970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Vittorio Domenico FORNARO</w:t>
            </w:r>
          </w:p>
        </w:tc>
        <w:tc>
          <w:tcPr>
            <w:tcW w:w="1295" w:type="pct"/>
          </w:tcPr>
          <w:p w:rsidR="009C47CE" w:rsidRPr="00CE4A8C" w:rsidRDefault="009C47CE" w:rsidP="00CE4A8C">
            <w:pPr>
              <w:jc w:val="left"/>
              <w:rPr>
                <w:sz w:val="20"/>
                <w:szCs w:val="20"/>
              </w:rPr>
            </w:pPr>
            <w:r w:rsidRPr="00CE4A8C">
              <w:rPr>
                <w:sz w:val="20"/>
                <w:szCs w:val="20"/>
              </w:rPr>
              <w:t>02/11/1971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Alessio GABRIELE</w:t>
            </w:r>
          </w:p>
        </w:tc>
        <w:tc>
          <w:tcPr>
            <w:tcW w:w="1295" w:type="pct"/>
          </w:tcPr>
          <w:p w:rsidR="009C47CE" w:rsidRPr="00CE4A8C" w:rsidRDefault="009C47CE" w:rsidP="00CE4A8C">
            <w:pPr>
              <w:jc w:val="left"/>
              <w:rPr>
                <w:sz w:val="20"/>
                <w:szCs w:val="20"/>
              </w:rPr>
            </w:pPr>
            <w:r w:rsidRPr="00CE4A8C">
              <w:rPr>
                <w:sz w:val="20"/>
                <w:szCs w:val="20"/>
              </w:rPr>
              <w:t>05/05/1995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Maria GATTO</w:t>
            </w:r>
          </w:p>
        </w:tc>
        <w:tc>
          <w:tcPr>
            <w:tcW w:w="1295" w:type="pct"/>
          </w:tcPr>
          <w:p w:rsidR="009C47CE" w:rsidRPr="00CE4A8C" w:rsidRDefault="009C47CE" w:rsidP="00CE4A8C">
            <w:pPr>
              <w:jc w:val="left"/>
              <w:rPr>
                <w:sz w:val="20"/>
                <w:szCs w:val="20"/>
              </w:rPr>
            </w:pPr>
            <w:r w:rsidRPr="00CE4A8C">
              <w:rPr>
                <w:sz w:val="20"/>
                <w:szCs w:val="20"/>
              </w:rPr>
              <w:t>01/01/1961</w:t>
            </w:r>
          </w:p>
        </w:tc>
        <w:tc>
          <w:tcPr>
            <w:tcW w:w="1466" w:type="pct"/>
          </w:tcPr>
          <w:p w:rsidR="009C47CE" w:rsidRPr="00CE4A8C" w:rsidRDefault="009C47CE" w:rsidP="00CE4A8C">
            <w:pPr>
              <w:jc w:val="left"/>
              <w:rPr>
                <w:sz w:val="20"/>
                <w:szCs w:val="20"/>
                <w:lang w:val="fr-FR"/>
              </w:rPr>
            </w:pPr>
            <w:r w:rsidRPr="00CE4A8C">
              <w:rPr>
                <w:sz w:val="20"/>
                <w:szCs w:val="20"/>
                <w:lang w:val="fr-FR"/>
              </w:rPr>
              <w:t>Lecce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Luigi GIANCIPOLI</w:t>
            </w:r>
          </w:p>
        </w:tc>
        <w:tc>
          <w:tcPr>
            <w:tcW w:w="1295" w:type="pct"/>
          </w:tcPr>
          <w:p w:rsidR="009C47CE" w:rsidRPr="00CE4A8C" w:rsidRDefault="009C47CE" w:rsidP="00CE4A8C">
            <w:pPr>
              <w:jc w:val="left"/>
              <w:rPr>
                <w:sz w:val="20"/>
                <w:szCs w:val="20"/>
              </w:rPr>
            </w:pPr>
            <w:r w:rsidRPr="00CE4A8C">
              <w:rPr>
                <w:sz w:val="20"/>
                <w:szCs w:val="20"/>
              </w:rPr>
              <w:t>02/08/1937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Oronza GRASSI</w:t>
            </w:r>
          </w:p>
        </w:tc>
        <w:tc>
          <w:tcPr>
            <w:tcW w:w="1295" w:type="pct"/>
          </w:tcPr>
          <w:p w:rsidR="009C47CE" w:rsidRPr="00CE4A8C" w:rsidRDefault="009C47CE" w:rsidP="00CE4A8C">
            <w:pPr>
              <w:jc w:val="left"/>
              <w:rPr>
                <w:sz w:val="20"/>
                <w:szCs w:val="20"/>
              </w:rPr>
            </w:pPr>
            <w:r w:rsidRPr="00CE4A8C">
              <w:rPr>
                <w:sz w:val="20"/>
                <w:szCs w:val="20"/>
              </w:rPr>
              <w:t>01/01/1960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Adriana LA GIOIA</w:t>
            </w:r>
          </w:p>
        </w:tc>
        <w:tc>
          <w:tcPr>
            <w:tcW w:w="1295" w:type="pct"/>
          </w:tcPr>
          <w:p w:rsidR="009C47CE" w:rsidRPr="00CE4A8C" w:rsidRDefault="009C47CE" w:rsidP="00CE4A8C">
            <w:pPr>
              <w:jc w:val="left"/>
              <w:rPr>
                <w:sz w:val="20"/>
                <w:szCs w:val="20"/>
              </w:rPr>
            </w:pPr>
            <w:r w:rsidRPr="00CE4A8C">
              <w:rPr>
                <w:sz w:val="20"/>
                <w:szCs w:val="20"/>
              </w:rPr>
              <w:t>01/08/1965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Lucia LACARBONARA</w:t>
            </w:r>
          </w:p>
        </w:tc>
        <w:tc>
          <w:tcPr>
            <w:tcW w:w="1295" w:type="pct"/>
          </w:tcPr>
          <w:p w:rsidR="009C47CE" w:rsidRPr="00CE4A8C" w:rsidRDefault="009C47CE" w:rsidP="00CE4A8C">
            <w:pPr>
              <w:jc w:val="left"/>
              <w:rPr>
                <w:sz w:val="20"/>
                <w:szCs w:val="20"/>
              </w:rPr>
            </w:pPr>
            <w:r w:rsidRPr="00CE4A8C">
              <w:rPr>
                <w:sz w:val="20"/>
                <w:szCs w:val="20"/>
              </w:rPr>
              <w:t>22/03/1982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Annamaria LARIZZA</w:t>
            </w:r>
          </w:p>
        </w:tc>
        <w:tc>
          <w:tcPr>
            <w:tcW w:w="1295" w:type="pct"/>
          </w:tcPr>
          <w:p w:rsidR="009C47CE" w:rsidRPr="00CE4A8C" w:rsidRDefault="009C47CE" w:rsidP="00CE4A8C">
            <w:pPr>
              <w:jc w:val="left"/>
              <w:rPr>
                <w:sz w:val="20"/>
                <w:szCs w:val="20"/>
              </w:rPr>
            </w:pPr>
            <w:r w:rsidRPr="00CE4A8C">
              <w:rPr>
                <w:sz w:val="20"/>
                <w:szCs w:val="20"/>
              </w:rPr>
              <w:t>08/06/1967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Davide LEGGIERI</w:t>
            </w:r>
          </w:p>
        </w:tc>
        <w:tc>
          <w:tcPr>
            <w:tcW w:w="1295" w:type="pct"/>
          </w:tcPr>
          <w:p w:rsidR="009C47CE" w:rsidRPr="00CE4A8C" w:rsidRDefault="009C47CE" w:rsidP="00CE4A8C">
            <w:pPr>
              <w:jc w:val="left"/>
              <w:rPr>
                <w:sz w:val="20"/>
                <w:szCs w:val="20"/>
              </w:rPr>
            </w:pPr>
            <w:r w:rsidRPr="00CE4A8C">
              <w:rPr>
                <w:sz w:val="20"/>
                <w:szCs w:val="20"/>
              </w:rPr>
              <w:t>30/10/1982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Antonio LENTI</w:t>
            </w:r>
          </w:p>
        </w:tc>
        <w:tc>
          <w:tcPr>
            <w:tcW w:w="1295" w:type="pct"/>
          </w:tcPr>
          <w:p w:rsidR="009C47CE" w:rsidRPr="00CE4A8C" w:rsidRDefault="009C47CE" w:rsidP="00CE4A8C">
            <w:pPr>
              <w:jc w:val="left"/>
              <w:rPr>
                <w:sz w:val="20"/>
                <w:szCs w:val="20"/>
              </w:rPr>
            </w:pPr>
            <w:r w:rsidRPr="00CE4A8C">
              <w:rPr>
                <w:sz w:val="20"/>
                <w:szCs w:val="20"/>
              </w:rPr>
              <w:t>17/06/1991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Cosimina LENTINI</w:t>
            </w:r>
          </w:p>
        </w:tc>
        <w:tc>
          <w:tcPr>
            <w:tcW w:w="1295" w:type="pct"/>
          </w:tcPr>
          <w:p w:rsidR="009C47CE" w:rsidRPr="00CE4A8C" w:rsidRDefault="009C47CE" w:rsidP="00CE4A8C">
            <w:pPr>
              <w:jc w:val="left"/>
              <w:rPr>
                <w:sz w:val="20"/>
                <w:szCs w:val="20"/>
              </w:rPr>
            </w:pPr>
            <w:r w:rsidRPr="00CE4A8C">
              <w:rPr>
                <w:sz w:val="20"/>
                <w:szCs w:val="20"/>
              </w:rPr>
              <w:t>26/12/1967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Pierluigi LIUZZI</w:t>
            </w:r>
          </w:p>
        </w:tc>
        <w:tc>
          <w:tcPr>
            <w:tcW w:w="1295" w:type="pct"/>
          </w:tcPr>
          <w:p w:rsidR="009C47CE" w:rsidRPr="00CE4A8C" w:rsidRDefault="009C47CE" w:rsidP="00CE4A8C">
            <w:pPr>
              <w:jc w:val="left"/>
              <w:rPr>
                <w:sz w:val="20"/>
                <w:szCs w:val="20"/>
              </w:rPr>
            </w:pPr>
            <w:r w:rsidRPr="00CE4A8C">
              <w:rPr>
                <w:sz w:val="20"/>
                <w:szCs w:val="20"/>
              </w:rPr>
              <w:t>01/07/1978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Fabio LOVELLI</w:t>
            </w:r>
          </w:p>
        </w:tc>
        <w:tc>
          <w:tcPr>
            <w:tcW w:w="1295" w:type="pct"/>
          </w:tcPr>
          <w:p w:rsidR="009C47CE" w:rsidRPr="00CE4A8C" w:rsidRDefault="009C47CE" w:rsidP="00CE4A8C">
            <w:pPr>
              <w:jc w:val="left"/>
              <w:rPr>
                <w:sz w:val="20"/>
                <w:szCs w:val="20"/>
              </w:rPr>
            </w:pPr>
            <w:r w:rsidRPr="00CE4A8C">
              <w:rPr>
                <w:sz w:val="20"/>
                <w:szCs w:val="20"/>
              </w:rPr>
              <w:t>21/12/1970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Giampiero LOVELLI</w:t>
            </w:r>
          </w:p>
        </w:tc>
        <w:tc>
          <w:tcPr>
            <w:tcW w:w="1295" w:type="pct"/>
          </w:tcPr>
          <w:p w:rsidR="009C47CE" w:rsidRPr="00CE4A8C" w:rsidRDefault="009C47CE" w:rsidP="00CE4A8C">
            <w:pPr>
              <w:jc w:val="left"/>
              <w:rPr>
                <w:sz w:val="20"/>
                <w:szCs w:val="20"/>
              </w:rPr>
            </w:pPr>
            <w:r w:rsidRPr="00CE4A8C">
              <w:rPr>
                <w:sz w:val="20"/>
                <w:szCs w:val="20"/>
              </w:rPr>
              <w:t>29/04/1967</w:t>
            </w:r>
          </w:p>
        </w:tc>
        <w:tc>
          <w:tcPr>
            <w:tcW w:w="1466" w:type="pct"/>
          </w:tcPr>
          <w:p w:rsidR="009C47CE" w:rsidRPr="00CE4A8C" w:rsidRDefault="009C47CE" w:rsidP="00CE4A8C">
            <w:pPr>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Bartolomeo LUCARELLI</w:t>
            </w:r>
          </w:p>
        </w:tc>
        <w:tc>
          <w:tcPr>
            <w:tcW w:w="1295" w:type="pct"/>
          </w:tcPr>
          <w:p w:rsidR="009C47CE" w:rsidRPr="00CE4A8C" w:rsidRDefault="009C47CE" w:rsidP="00CE4A8C">
            <w:pPr>
              <w:jc w:val="left"/>
              <w:rPr>
                <w:sz w:val="20"/>
                <w:szCs w:val="20"/>
              </w:rPr>
            </w:pPr>
            <w:r w:rsidRPr="00CE4A8C">
              <w:rPr>
                <w:sz w:val="20"/>
                <w:szCs w:val="20"/>
              </w:rPr>
              <w:t>22/01/1976</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Arturo MANNA</w:t>
            </w:r>
          </w:p>
        </w:tc>
        <w:tc>
          <w:tcPr>
            <w:tcW w:w="1295" w:type="pct"/>
          </w:tcPr>
          <w:p w:rsidR="009C47CE" w:rsidRPr="00CE4A8C" w:rsidRDefault="009C47CE" w:rsidP="00CE4A8C">
            <w:pPr>
              <w:jc w:val="left"/>
              <w:rPr>
                <w:sz w:val="20"/>
                <w:szCs w:val="20"/>
              </w:rPr>
            </w:pPr>
            <w:r w:rsidRPr="00CE4A8C">
              <w:rPr>
                <w:sz w:val="20"/>
                <w:szCs w:val="20"/>
              </w:rPr>
              <w:t>22/01/1965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Gaetano MANZULLI</w:t>
            </w:r>
          </w:p>
        </w:tc>
        <w:tc>
          <w:tcPr>
            <w:tcW w:w="1295" w:type="pct"/>
          </w:tcPr>
          <w:p w:rsidR="009C47CE" w:rsidRPr="00CE4A8C" w:rsidRDefault="009C47CE" w:rsidP="00CE4A8C">
            <w:pPr>
              <w:jc w:val="left"/>
              <w:rPr>
                <w:sz w:val="20"/>
                <w:szCs w:val="20"/>
              </w:rPr>
            </w:pPr>
            <w:r w:rsidRPr="00CE4A8C">
              <w:rPr>
                <w:sz w:val="20"/>
                <w:szCs w:val="20"/>
              </w:rPr>
              <w:t>23/09/1957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Grazia MAREMONTI</w:t>
            </w:r>
          </w:p>
        </w:tc>
        <w:tc>
          <w:tcPr>
            <w:tcW w:w="1295" w:type="pct"/>
          </w:tcPr>
          <w:p w:rsidR="009C47CE" w:rsidRPr="00CE4A8C" w:rsidRDefault="009C47CE" w:rsidP="00CE4A8C">
            <w:pPr>
              <w:jc w:val="left"/>
              <w:rPr>
                <w:sz w:val="20"/>
                <w:szCs w:val="20"/>
              </w:rPr>
            </w:pPr>
            <w:r w:rsidRPr="00CE4A8C">
              <w:rPr>
                <w:sz w:val="20"/>
                <w:szCs w:val="20"/>
              </w:rPr>
              <w:t>12/05/1968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Attilio MARIANO</w:t>
            </w:r>
          </w:p>
        </w:tc>
        <w:tc>
          <w:tcPr>
            <w:tcW w:w="1295" w:type="pct"/>
          </w:tcPr>
          <w:p w:rsidR="009C47CE" w:rsidRPr="00CE4A8C" w:rsidRDefault="009C47CE" w:rsidP="00CE4A8C">
            <w:pPr>
              <w:jc w:val="left"/>
              <w:rPr>
                <w:sz w:val="20"/>
                <w:szCs w:val="20"/>
              </w:rPr>
            </w:pPr>
            <w:r w:rsidRPr="00CE4A8C">
              <w:rPr>
                <w:sz w:val="20"/>
                <w:szCs w:val="20"/>
              </w:rPr>
              <w:t>23/08/1945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Marco MARIANO</w:t>
            </w:r>
          </w:p>
        </w:tc>
        <w:tc>
          <w:tcPr>
            <w:tcW w:w="1295" w:type="pct"/>
          </w:tcPr>
          <w:p w:rsidR="009C47CE" w:rsidRPr="00CE4A8C" w:rsidRDefault="009C47CE" w:rsidP="00CE4A8C">
            <w:pPr>
              <w:jc w:val="left"/>
              <w:rPr>
                <w:sz w:val="20"/>
                <w:szCs w:val="20"/>
              </w:rPr>
            </w:pPr>
            <w:r w:rsidRPr="00CE4A8C">
              <w:rPr>
                <w:sz w:val="20"/>
                <w:szCs w:val="20"/>
              </w:rPr>
              <w:t>01/04/1981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Rosanna MARINÒ</w:t>
            </w:r>
          </w:p>
        </w:tc>
        <w:tc>
          <w:tcPr>
            <w:tcW w:w="1295" w:type="pct"/>
          </w:tcPr>
          <w:p w:rsidR="009C47CE" w:rsidRPr="00CE4A8C" w:rsidRDefault="009C47CE" w:rsidP="00CE4A8C">
            <w:pPr>
              <w:jc w:val="left"/>
              <w:rPr>
                <w:sz w:val="20"/>
                <w:szCs w:val="20"/>
              </w:rPr>
            </w:pPr>
            <w:r w:rsidRPr="00CE4A8C">
              <w:rPr>
                <w:sz w:val="20"/>
                <w:szCs w:val="20"/>
              </w:rPr>
              <w:t>29/08/1969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Letizia MARINOSCI</w:t>
            </w:r>
          </w:p>
        </w:tc>
        <w:tc>
          <w:tcPr>
            <w:tcW w:w="1295" w:type="pct"/>
          </w:tcPr>
          <w:p w:rsidR="009C47CE" w:rsidRPr="00CE4A8C" w:rsidRDefault="009C47CE" w:rsidP="00CE4A8C">
            <w:pPr>
              <w:jc w:val="left"/>
              <w:rPr>
                <w:sz w:val="20"/>
                <w:szCs w:val="20"/>
              </w:rPr>
            </w:pPr>
            <w:r w:rsidRPr="00CE4A8C">
              <w:rPr>
                <w:sz w:val="20"/>
                <w:szCs w:val="20"/>
              </w:rPr>
              <w:t>15/10/1932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Nicola MARZIA</w:t>
            </w:r>
          </w:p>
        </w:tc>
        <w:tc>
          <w:tcPr>
            <w:tcW w:w="1295" w:type="pct"/>
          </w:tcPr>
          <w:p w:rsidR="009C47CE" w:rsidRPr="00CE4A8C" w:rsidRDefault="009C47CE" w:rsidP="00CE4A8C">
            <w:pPr>
              <w:jc w:val="left"/>
              <w:rPr>
                <w:sz w:val="20"/>
                <w:szCs w:val="20"/>
              </w:rPr>
            </w:pPr>
            <w:r w:rsidRPr="00CE4A8C">
              <w:rPr>
                <w:sz w:val="20"/>
                <w:szCs w:val="20"/>
              </w:rPr>
              <w:t>24/04/1954</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Lucia MINERBA</w:t>
            </w:r>
          </w:p>
        </w:tc>
        <w:tc>
          <w:tcPr>
            <w:tcW w:w="1295" w:type="pct"/>
          </w:tcPr>
          <w:p w:rsidR="009C47CE" w:rsidRPr="00CE4A8C" w:rsidRDefault="009C47CE" w:rsidP="00CE4A8C">
            <w:pPr>
              <w:jc w:val="left"/>
              <w:rPr>
                <w:sz w:val="20"/>
                <w:szCs w:val="20"/>
              </w:rPr>
            </w:pPr>
            <w:r w:rsidRPr="00CE4A8C">
              <w:rPr>
                <w:sz w:val="20"/>
                <w:szCs w:val="20"/>
              </w:rPr>
              <w:t>19/08/1968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Prospero MOBILIO</w:t>
            </w:r>
          </w:p>
        </w:tc>
        <w:tc>
          <w:tcPr>
            <w:tcW w:w="1295" w:type="pct"/>
          </w:tcPr>
          <w:p w:rsidR="009C47CE" w:rsidRPr="00CE4A8C" w:rsidRDefault="009C47CE" w:rsidP="00CE4A8C">
            <w:pPr>
              <w:jc w:val="left"/>
              <w:rPr>
                <w:sz w:val="20"/>
                <w:szCs w:val="20"/>
              </w:rPr>
            </w:pPr>
            <w:r w:rsidRPr="00CE4A8C">
              <w:rPr>
                <w:sz w:val="20"/>
                <w:szCs w:val="20"/>
              </w:rPr>
              <w:t>26/02/1939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Marinella MONFREDI</w:t>
            </w:r>
          </w:p>
        </w:tc>
        <w:tc>
          <w:tcPr>
            <w:tcW w:w="1295" w:type="pct"/>
          </w:tcPr>
          <w:p w:rsidR="009C47CE" w:rsidRPr="00CE4A8C" w:rsidRDefault="009C47CE" w:rsidP="00CE4A8C">
            <w:pPr>
              <w:jc w:val="left"/>
              <w:rPr>
                <w:sz w:val="20"/>
                <w:szCs w:val="20"/>
              </w:rPr>
            </w:pPr>
            <w:r w:rsidRPr="00CE4A8C">
              <w:rPr>
                <w:sz w:val="20"/>
                <w:szCs w:val="20"/>
              </w:rPr>
              <w:t>27/01/1962</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Anna MONTERVINO</w:t>
            </w:r>
          </w:p>
        </w:tc>
        <w:tc>
          <w:tcPr>
            <w:tcW w:w="1295" w:type="pct"/>
          </w:tcPr>
          <w:p w:rsidR="009C47CE" w:rsidRPr="00CE4A8C" w:rsidRDefault="009C47CE" w:rsidP="00CE4A8C">
            <w:pPr>
              <w:jc w:val="left"/>
              <w:rPr>
                <w:sz w:val="20"/>
                <w:szCs w:val="20"/>
              </w:rPr>
            </w:pPr>
            <w:r w:rsidRPr="00CE4A8C">
              <w:rPr>
                <w:sz w:val="20"/>
                <w:szCs w:val="20"/>
              </w:rPr>
              <w:t>02/09/1976</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lang w:val="fr-FR"/>
              </w:rPr>
            </w:pPr>
            <w:r w:rsidRPr="00CE4A8C">
              <w:rPr>
                <w:sz w:val="20"/>
                <w:szCs w:val="20"/>
                <w:lang w:val="fr-FR"/>
              </w:rPr>
              <w:t>Maria MONTERVINO</w:t>
            </w:r>
          </w:p>
        </w:tc>
        <w:tc>
          <w:tcPr>
            <w:tcW w:w="1295" w:type="pct"/>
          </w:tcPr>
          <w:p w:rsidR="009C47CE" w:rsidRPr="00CE4A8C" w:rsidRDefault="009C47CE" w:rsidP="00CE4A8C">
            <w:pPr>
              <w:jc w:val="left"/>
              <w:rPr>
                <w:sz w:val="20"/>
                <w:szCs w:val="20"/>
                <w:lang w:val="fr-FR"/>
              </w:rPr>
            </w:pPr>
            <w:r w:rsidRPr="00CE4A8C">
              <w:rPr>
                <w:sz w:val="20"/>
                <w:szCs w:val="20"/>
                <w:lang w:val="fr-FR"/>
              </w:rPr>
              <w:t>19/07/1960</w:t>
            </w:r>
          </w:p>
        </w:tc>
        <w:tc>
          <w:tcPr>
            <w:tcW w:w="1466" w:type="pct"/>
          </w:tcPr>
          <w:p w:rsidR="009C47CE" w:rsidRPr="00CE4A8C" w:rsidRDefault="009C47CE" w:rsidP="00CE4A8C">
            <w:pPr>
              <w:jc w:val="left"/>
              <w:rPr>
                <w:sz w:val="20"/>
                <w:szCs w:val="20"/>
                <w:lang w:val="fr-FR"/>
              </w:rPr>
            </w:pPr>
            <w:r w:rsidRPr="00CE4A8C">
              <w:rPr>
                <w:sz w:val="20"/>
                <w:szCs w:val="20"/>
                <w:lang w:val="fr-FR"/>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Franca Bruna MOTTOLESE</w:t>
            </w:r>
          </w:p>
        </w:tc>
        <w:tc>
          <w:tcPr>
            <w:tcW w:w="1295" w:type="pct"/>
          </w:tcPr>
          <w:p w:rsidR="009C47CE" w:rsidRPr="00CE4A8C" w:rsidRDefault="009C47CE" w:rsidP="00CE4A8C">
            <w:pPr>
              <w:jc w:val="left"/>
              <w:rPr>
                <w:sz w:val="20"/>
                <w:szCs w:val="20"/>
              </w:rPr>
            </w:pPr>
            <w:r w:rsidRPr="00CE4A8C">
              <w:rPr>
                <w:sz w:val="20"/>
                <w:szCs w:val="20"/>
              </w:rPr>
              <w:t>27/01/1929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lang w:val="it-IT"/>
              </w:rPr>
            </w:pPr>
            <w:r w:rsidRPr="00CE4A8C">
              <w:rPr>
                <w:sz w:val="20"/>
                <w:szCs w:val="20"/>
                <w:lang w:val="it-IT"/>
              </w:rPr>
              <w:t>Luigi MUSIO</w:t>
            </w:r>
          </w:p>
        </w:tc>
        <w:tc>
          <w:tcPr>
            <w:tcW w:w="1295" w:type="pct"/>
          </w:tcPr>
          <w:p w:rsidR="009C47CE" w:rsidRPr="00CE4A8C" w:rsidRDefault="009C47CE" w:rsidP="00CE4A8C">
            <w:pPr>
              <w:jc w:val="left"/>
              <w:rPr>
                <w:sz w:val="20"/>
                <w:szCs w:val="20"/>
                <w:lang w:val="it-IT"/>
              </w:rPr>
            </w:pPr>
            <w:r w:rsidRPr="00CE4A8C">
              <w:rPr>
                <w:sz w:val="20"/>
                <w:szCs w:val="20"/>
                <w:lang w:val="it-IT"/>
              </w:rPr>
              <w:t>11/02/1957</w:t>
            </w:r>
          </w:p>
        </w:tc>
        <w:tc>
          <w:tcPr>
            <w:tcW w:w="1466" w:type="pct"/>
          </w:tcPr>
          <w:p w:rsidR="009C47CE" w:rsidRPr="00CE4A8C" w:rsidRDefault="009C47CE" w:rsidP="00CE4A8C">
            <w:pPr>
              <w:jc w:val="left"/>
              <w:rPr>
                <w:sz w:val="20"/>
                <w:szCs w:val="20"/>
                <w:lang w:val="it-IT"/>
              </w:rPr>
            </w:pPr>
            <w:r w:rsidRPr="00CE4A8C">
              <w:rPr>
                <w:sz w:val="20"/>
                <w:szCs w:val="20"/>
                <w:lang w:val="it-IT"/>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it-IT"/>
              </w:rPr>
            </w:pPr>
          </w:p>
        </w:tc>
        <w:tc>
          <w:tcPr>
            <w:tcW w:w="1548" w:type="pct"/>
          </w:tcPr>
          <w:p w:rsidR="009C47CE" w:rsidRPr="00CE4A8C" w:rsidRDefault="009C47CE" w:rsidP="00CE4A8C">
            <w:pPr>
              <w:jc w:val="left"/>
              <w:rPr>
                <w:sz w:val="20"/>
                <w:szCs w:val="20"/>
                <w:lang w:val="it-IT"/>
              </w:rPr>
            </w:pPr>
            <w:r w:rsidRPr="00CE4A8C">
              <w:rPr>
                <w:sz w:val="20"/>
                <w:szCs w:val="20"/>
                <w:lang w:val="it-IT"/>
              </w:rPr>
              <w:t>Alessia NITTI</w:t>
            </w:r>
          </w:p>
        </w:tc>
        <w:tc>
          <w:tcPr>
            <w:tcW w:w="1295" w:type="pct"/>
          </w:tcPr>
          <w:p w:rsidR="009C47CE" w:rsidRPr="00CE4A8C" w:rsidRDefault="009C47CE" w:rsidP="00CE4A8C">
            <w:pPr>
              <w:jc w:val="left"/>
              <w:rPr>
                <w:sz w:val="20"/>
                <w:szCs w:val="20"/>
                <w:lang w:val="it-IT"/>
              </w:rPr>
            </w:pPr>
            <w:r w:rsidRPr="00CE4A8C">
              <w:rPr>
                <w:sz w:val="20"/>
                <w:szCs w:val="20"/>
                <w:lang w:val="it-IT"/>
              </w:rPr>
              <w:t>21/05/1985</w:t>
            </w:r>
          </w:p>
        </w:tc>
        <w:tc>
          <w:tcPr>
            <w:tcW w:w="1466" w:type="pct"/>
          </w:tcPr>
          <w:p w:rsidR="009C47CE" w:rsidRPr="00CE4A8C" w:rsidRDefault="009C47CE" w:rsidP="00CE4A8C">
            <w:pPr>
              <w:jc w:val="left"/>
              <w:rPr>
                <w:sz w:val="20"/>
                <w:szCs w:val="20"/>
                <w:lang w:val="it-IT"/>
              </w:rPr>
            </w:pPr>
            <w:r w:rsidRPr="00CE4A8C">
              <w:rPr>
                <w:sz w:val="20"/>
                <w:szCs w:val="20"/>
                <w:lang w:val="it-IT"/>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lang w:val="it-IT"/>
              </w:rPr>
            </w:pPr>
            <w:r w:rsidRPr="00CE4A8C">
              <w:rPr>
                <w:sz w:val="20"/>
                <w:szCs w:val="20"/>
                <w:lang w:val="it-IT"/>
              </w:rPr>
              <w:t>Andrea OCCHINEGRO</w:t>
            </w:r>
          </w:p>
        </w:tc>
        <w:tc>
          <w:tcPr>
            <w:tcW w:w="1295" w:type="pct"/>
          </w:tcPr>
          <w:p w:rsidR="009C47CE" w:rsidRPr="00CE4A8C" w:rsidRDefault="009C47CE" w:rsidP="00CE4A8C">
            <w:pPr>
              <w:jc w:val="left"/>
              <w:rPr>
                <w:sz w:val="20"/>
                <w:szCs w:val="20"/>
                <w:lang w:val="it-IT"/>
              </w:rPr>
            </w:pPr>
            <w:r w:rsidRPr="00CE4A8C">
              <w:rPr>
                <w:sz w:val="20"/>
                <w:szCs w:val="20"/>
                <w:lang w:val="it-IT"/>
              </w:rPr>
              <w:t>07/12/1970</w:t>
            </w:r>
          </w:p>
        </w:tc>
        <w:tc>
          <w:tcPr>
            <w:tcW w:w="1466" w:type="pct"/>
          </w:tcPr>
          <w:p w:rsidR="009C47CE" w:rsidRPr="00CE4A8C" w:rsidRDefault="009C47CE" w:rsidP="00CE4A8C">
            <w:pPr>
              <w:jc w:val="left"/>
              <w:rPr>
                <w:sz w:val="20"/>
                <w:szCs w:val="20"/>
                <w:lang w:val="it-IT"/>
              </w:rPr>
            </w:pPr>
            <w:r w:rsidRPr="00CE4A8C">
              <w:rPr>
                <w:sz w:val="20"/>
                <w:szCs w:val="20"/>
                <w:lang w:val="it-IT"/>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it-IT"/>
              </w:rPr>
            </w:pPr>
          </w:p>
        </w:tc>
        <w:tc>
          <w:tcPr>
            <w:tcW w:w="1548" w:type="pct"/>
          </w:tcPr>
          <w:p w:rsidR="009C47CE" w:rsidRPr="00CE4A8C" w:rsidRDefault="009C47CE" w:rsidP="00CE4A8C">
            <w:pPr>
              <w:jc w:val="left"/>
              <w:rPr>
                <w:sz w:val="20"/>
                <w:szCs w:val="20"/>
              </w:rPr>
            </w:pPr>
            <w:r w:rsidRPr="00CE4A8C">
              <w:rPr>
                <w:sz w:val="20"/>
                <w:szCs w:val="20"/>
              </w:rPr>
              <w:t>Eleonora OCCHINEGRO</w:t>
            </w:r>
          </w:p>
        </w:tc>
        <w:tc>
          <w:tcPr>
            <w:tcW w:w="1295" w:type="pct"/>
          </w:tcPr>
          <w:p w:rsidR="009C47CE" w:rsidRPr="00CE4A8C" w:rsidRDefault="009C47CE" w:rsidP="00CE4A8C">
            <w:pPr>
              <w:jc w:val="left"/>
              <w:rPr>
                <w:sz w:val="20"/>
                <w:szCs w:val="20"/>
              </w:rPr>
            </w:pPr>
            <w:r w:rsidRPr="00CE4A8C">
              <w:rPr>
                <w:sz w:val="20"/>
                <w:szCs w:val="20"/>
              </w:rPr>
              <w:t>10/09/1976</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Fiorella OCCHINEGRO</w:t>
            </w:r>
          </w:p>
        </w:tc>
        <w:tc>
          <w:tcPr>
            <w:tcW w:w="1295" w:type="pct"/>
          </w:tcPr>
          <w:p w:rsidR="009C47CE" w:rsidRPr="00CE4A8C" w:rsidRDefault="009C47CE" w:rsidP="00CE4A8C">
            <w:pPr>
              <w:jc w:val="left"/>
              <w:rPr>
                <w:sz w:val="20"/>
                <w:szCs w:val="20"/>
              </w:rPr>
            </w:pPr>
            <w:r w:rsidRPr="00CE4A8C">
              <w:rPr>
                <w:sz w:val="20"/>
                <w:szCs w:val="20"/>
              </w:rPr>
              <w:t>03/08/1975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Valentina OCCHINEGRO</w:t>
            </w:r>
          </w:p>
        </w:tc>
        <w:tc>
          <w:tcPr>
            <w:tcW w:w="1295" w:type="pct"/>
          </w:tcPr>
          <w:p w:rsidR="009C47CE" w:rsidRPr="00CE4A8C" w:rsidRDefault="009C47CE" w:rsidP="00CE4A8C">
            <w:pPr>
              <w:jc w:val="left"/>
              <w:rPr>
                <w:sz w:val="20"/>
                <w:szCs w:val="20"/>
              </w:rPr>
            </w:pPr>
            <w:r w:rsidRPr="00CE4A8C">
              <w:rPr>
                <w:sz w:val="20"/>
                <w:szCs w:val="20"/>
              </w:rPr>
              <w:t>07/10/1979</w:t>
            </w:r>
          </w:p>
        </w:tc>
        <w:tc>
          <w:tcPr>
            <w:tcW w:w="1466" w:type="pct"/>
          </w:tcPr>
          <w:p w:rsidR="009C47CE" w:rsidRPr="00CE4A8C" w:rsidRDefault="009C47CE" w:rsidP="00CE4A8C">
            <w:pPr>
              <w:jc w:val="left"/>
              <w:rPr>
                <w:sz w:val="20"/>
                <w:szCs w:val="20"/>
              </w:rPr>
            </w:pPr>
            <w:r w:rsidRPr="00CE4A8C">
              <w:rPr>
                <w:sz w:val="20"/>
                <w:szCs w:val="20"/>
              </w:rPr>
              <w:t>Martina Franca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Emanuele PADALINO</w:t>
            </w:r>
          </w:p>
        </w:tc>
        <w:tc>
          <w:tcPr>
            <w:tcW w:w="1295" w:type="pct"/>
          </w:tcPr>
          <w:p w:rsidR="009C47CE" w:rsidRPr="00CE4A8C" w:rsidRDefault="009C47CE" w:rsidP="00CE4A8C">
            <w:pPr>
              <w:jc w:val="left"/>
              <w:rPr>
                <w:sz w:val="20"/>
                <w:szCs w:val="20"/>
              </w:rPr>
            </w:pPr>
            <w:r w:rsidRPr="00CE4A8C">
              <w:rPr>
                <w:sz w:val="20"/>
                <w:szCs w:val="20"/>
              </w:rPr>
              <w:t>07/02/1959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Maria Pia PADOVANO</w:t>
            </w:r>
          </w:p>
        </w:tc>
        <w:tc>
          <w:tcPr>
            <w:tcW w:w="1295" w:type="pct"/>
          </w:tcPr>
          <w:p w:rsidR="009C47CE" w:rsidRPr="00CE4A8C" w:rsidRDefault="009C47CE" w:rsidP="00CE4A8C">
            <w:pPr>
              <w:jc w:val="left"/>
              <w:rPr>
                <w:sz w:val="20"/>
                <w:szCs w:val="20"/>
              </w:rPr>
            </w:pPr>
            <w:r w:rsidRPr="00CE4A8C">
              <w:rPr>
                <w:sz w:val="20"/>
                <w:szCs w:val="20"/>
              </w:rPr>
              <w:t>01/01/1955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Vincenza PADOVANO</w:t>
            </w:r>
          </w:p>
        </w:tc>
        <w:tc>
          <w:tcPr>
            <w:tcW w:w="1295" w:type="pct"/>
          </w:tcPr>
          <w:p w:rsidR="009C47CE" w:rsidRPr="00CE4A8C" w:rsidRDefault="009C47CE" w:rsidP="00CE4A8C">
            <w:pPr>
              <w:jc w:val="left"/>
              <w:rPr>
                <w:sz w:val="20"/>
                <w:szCs w:val="20"/>
              </w:rPr>
            </w:pPr>
            <w:r w:rsidRPr="00CE4A8C">
              <w:rPr>
                <w:sz w:val="20"/>
                <w:szCs w:val="20"/>
              </w:rPr>
              <w:t>27/08/1949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Cinzia PALMI</w:t>
            </w:r>
          </w:p>
        </w:tc>
        <w:tc>
          <w:tcPr>
            <w:tcW w:w="1295" w:type="pct"/>
          </w:tcPr>
          <w:p w:rsidR="009C47CE" w:rsidRPr="00CE4A8C" w:rsidRDefault="009C47CE" w:rsidP="00CE4A8C">
            <w:pPr>
              <w:jc w:val="left"/>
              <w:rPr>
                <w:sz w:val="20"/>
                <w:szCs w:val="20"/>
              </w:rPr>
            </w:pPr>
            <w:r w:rsidRPr="00CE4A8C">
              <w:rPr>
                <w:sz w:val="20"/>
                <w:szCs w:val="20"/>
              </w:rPr>
              <w:t>11/09/1954</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Maria Rita PALUMBO</w:t>
            </w:r>
          </w:p>
        </w:tc>
        <w:tc>
          <w:tcPr>
            <w:tcW w:w="1295" w:type="pct"/>
          </w:tcPr>
          <w:p w:rsidR="009C47CE" w:rsidRPr="00CE4A8C" w:rsidRDefault="009C47CE" w:rsidP="00CE4A8C">
            <w:pPr>
              <w:jc w:val="left"/>
              <w:rPr>
                <w:sz w:val="20"/>
                <w:szCs w:val="20"/>
              </w:rPr>
            </w:pPr>
            <w:r w:rsidRPr="00CE4A8C">
              <w:rPr>
                <w:sz w:val="20"/>
                <w:szCs w:val="20"/>
              </w:rPr>
              <w:t>08/05/1960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Liliana PANESSA</w:t>
            </w:r>
          </w:p>
        </w:tc>
        <w:tc>
          <w:tcPr>
            <w:tcW w:w="1295" w:type="pct"/>
          </w:tcPr>
          <w:p w:rsidR="009C47CE" w:rsidRPr="00CE4A8C" w:rsidRDefault="009C47CE" w:rsidP="00CE4A8C">
            <w:pPr>
              <w:jc w:val="left"/>
              <w:rPr>
                <w:sz w:val="20"/>
                <w:szCs w:val="20"/>
              </w:rPr>
            </w:pPr>
            <w:r w:rsidRPr="00CE4A8C">
              <w:rPr>
                <w:sz w:val="20"/>
                <w:szCs w:val="20"/>
              </w:rPr>
              <w:t>08/04/1985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Giuseppe PESCARA</w:t>
            </w:r>
          </w:p>
        </w:tc>
        <w:tc>
          <w:tcPr>
            <w:tcW w:w="1295" w:type="pct"/>
          </w:tcPr>
          <w:p w:rsidR="009C47CE" w:rsidRPr="00CE4A8C" w:rsidRDefault="009C47CE" w:rsidP="00CE4A8C">
            <w:pPr>
              <w:jc w:val="left"/>
              <w:rPr>
                <w:sz w:val="20"/>
                <w:szCs w:val="20"/>
              </w:rPr>
            </w:pPr>
            <w:r w:rsidRPr="00CE4A8C">
              <w:rPr>
                <w:sz w:val="20"/>
                <w:szCs w:val="20"/>
              </w:rPr>
              <w:t>12/09/1966</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Maria Anna PIGNATELLI</w:t>
            </w:r>
          </w:p>
        </w:tc>
        <w:tc>
          <w:tcPr>
            <w:tcW w:w="1295" w:type="pct"/>
          </w:tcPr>
          <w:p w:rsidR="009C47CE" w:rsidRPr="00CE4A8C" w:rsidRDefault="009C47CE" w:rsidP="00CE4A8C">
            <w:pPr>
              <w:jc w:val="left"/>
              <w:rPr>
                <w:sz w:val="20"/>
                <w:szCs w:val="20"/>
              </w:rPr>
            </w:pPr>
            <w:r w:rsidRPr="00CE4A8C">
              <w:rPr>
                <w:sz w:val="20"/>
                <w:szCs w:val="20"/>
              </w:rPr>
              <w:t>13/06/1949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Piero PILIEGO</w:t>
            </w:r>
          </w:p>
        </w:tc>
        <w:tc>
          <w:tcPr>
            <w:tcW w:w="1295" w:type="pct"/>
          </w:tcPr>
          <w:p w:rsidR="009C47CE" w:rsidRPr="00CE4A8C" w:rsidRDefault="009C47CE" w:rsidP="00CE4A8C">
            <w:pPr>
              <w:jc w:val="left"/>
              <w:rPr>
                <w:sz w:val="20"/>
                <w:szCs w:val="20"/>
              </w:rPr>
            </w:pPr>
            <w:r w:rsidRPr="00CE4A8C">
              <w:rPr>
                <w:sz w:val="20"/>
                <w:szCs w:val="20"/>
              </w:rPr>
              <w:t>11/08/1964</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Grazia Pia POTENZA</w:t>
            </w:r>
          </w:p>
        </w:tc>
        <w:tc>
          <w:tcPr>
            <w:tcW w:w="1295" w:type="pct"/>
          </w:tcPr>
          <w:p w:rsidR="009C47CE" w:rsidRPr="00CE4A8C" w:rsidRDefault="009C47CE" w:rsidP="00CE4A8C">
            <w:pPr>
              <w:jc w:val="left"/>
              <w:rPr>
                <w:sz w:val="20"/>
                <w:szCs w:val="20"/>
              </w:rPr>
            </w:pPr>
            <w:r w:rsidRPr="00CE4A8C">
              <w:rPr>
                <w:sz w:val="20"/>
                <w:szCs w:val="20"/>
              </w:rPr>
              <w:t>07/02/1960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Giuseppe PRETE</w:t>
            </w:r>
          </w:p>
        </w:tc>
        <w:tc>
          <w:tcPr>
            <w:tcW w:w="1295" w:type="pct"/>
          </w:tcPr>
          <w:p w:rsidR="009C47CE" w:rsidRPr="00CE4A8C" w:rsidRDefault="009C47CE" w:rsidP="00CE4A8C">
            <w:pPr>
              <w:jc w:val="left"/>
              <w:rPr>
                <w:sz w:val="20"/>
                <w:szCs w:val="20"/>
              </w:rPr>
            </w:pPr>
            <w:r w:rsidRPr="00CE4A8C">
              <w:rPr>
                <w:sz w:val="20"/>
                <w:szCs w:val="20"/>
              </w:rPr>
              <w:t>01/03/1941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Maria Consiglia PUGLIESE</w:t>
            </w:r>
          </w:p>
        </w:tc>
        <w:tc>
          <w:tcPr>
            <w:tcW w:w="1295" w:type="pct"/>
          </w:tcPr>
          <w:p w:rsidR="009C47CE" w:rsidRPr="00CE4A8C" w:rsidRDefault="009C47CE" w:rsidP="00CE4A8C">
            <w:pPr>
              <w:jc w:val="left"/>
              <w:rPr>
                <w:sz w:val="20"/>
                <w:szCs w:val="20"/>
              </w:rPr>
            </w:pPr>
            <w:r w:rsidRPr="00CE4A8C">
              <w:rPr>
                <w:sz w:val="20"/>
                <w:szCs w:val="20"/>
              </w:rPr>
              <w:t>05/01/1963</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Mirko PUGLIESE</w:t>
            </w:r>
          </w:p>
        </w:tc>
        <w:tc>
          <w:tcPr>
            <w:tcW w:w="1295" w:type="pct"/>
          </w:tcPr>
          <w:p w:rsidR="009C47CE" w:rsidRPr="00CE4A8C" w:rsidRDefault="009C47CE" w:rsidP="00CE4A8C">
            <w:pPr>
              <w:jc w:val="left"/>
              <w:rPr>
                <w:sz w:val="20"/>
                <w:szCs w:val="20"/>
              </w:rPr>
            </w:pPr>
            <w:r w:rsidRPr="00CE4A8C">
              <w:rPr>
                <w:sz w:val="20"/>
                <w:szCs w:val="20"/>
              </w:rPr>
              <w:t>06/04/1982</w:t>
            </w:r>
          </w:p>
        </w:tc>
        <w:tc>
          <w:tcPr>
            <w:tcW w:w="1466" w:type="pct"/>
          </w:tcPr>
          <w:p w:rsidR="009C47CE" w:rsidRPr="00CE4A8C" w:rsidRDefault="009C47CE" w:rsidP="00CE4A8C">
            <w:pPr>
              <w:jc w:val="left"/>
              <w:rPr>
                <w:sz w:val="20"/>
                <w:szCs w:val="20"/>
              </w:rPr>
            </w:pPr>
            <w:r w:rsidRPr="00CE4A8C">
              <w:rPr>
                <w:sz w:val="20"/>
                <w:szCs w:val="20"/>
              </w:rPr>
              <w:t>Crispiano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Enrico QUARTO</w:t>
            </w:r>
          </w:p>
        </w:tc>
        <w:tc>
          <w:tcPr>
            <w:tcW w:w="1295" w:type="pct"/>
          </w:tcPr>
          <w:p w:rsidR="009C47CE" w:rsidRPr="00CE4A8C" w:rsidRDefault="009C47CE" w:rsidP="00CE4A8C">
            <w:pPr>
              <w:jc w:val="left"/>
              <w:rPr>
                <w:sz w:val="20"/>
                <w:szCs w:val="20"/>
              </w:rPr>
            </w:pPr>
            <w:r w:rsidRPr="00CE4A8C">
              <w:rPr>
                <w:sz w:val="20"/>
                <w:szCs w:val="20"/>
              </w:rPr>
              <w:t>13/01/1961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Camilla RICCIARDI</w:t>
            </w:r>
          </w:p>
        </w:tc>
        <w:tc>
          <w:tcPr>
            <w:tcW w:w="1295" w:type="pct"/>
          </w:tcPr>
          <w:p w:rsidR="009C47CE" w:rsidRPr="00CE4A8C" w:rsidRDefault="009C47CE" w:rsidP="00CE4A8C">
            <w:pPr>
              <w:jc w:val="left"/>
              <w:rPr>
                <w:sz w:val="20"/>
                <w:szCs w:val="20"/>
              </w:rPr>
            </w:pPr>
            <w:r w:rsidRPr="00CE4A8C">
              <w:rPr>
                <w:sz w:val="20"/>
                <w:szCs w:val="20"/>
              </w:rPr>
              <w:t>16/02/1947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Giuseppe ROBERTO</w:t>
            </w:r>
          </w:p>
        </w:tc>
        <w:tc>
          <w:tcPr>
            <w:tcW w:w="1295" w:type="pct"/>
          </w:tcPr>
          <w:p w:rsidR="009C47CE" w:rsidRPr="00CE4A8C" w:rsidRDefault="009C47CE" w:rsidP="00CE4A8C">
            <w:pPr>
              <w:jc w:val="left"/>
              <w:rPr>
                <w:sz w:val="20"/>
                <w:szCs w:val="20"/>
              </w:rPr>
            </w:pPr>
            <w:r w:rsidRPr="00CE4A8C">
              <w:rPr>
                <w:sz w:val="20"/>
                <w:szCs w:val="20"/>
              </w:rPr>
              <w:t>12/08/1953</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Maria Antonietta ROSATI</w:t>
            </w:r>
          </w:p>
        </w:tc>
        <w:tc>
          <w:tcPr>
            <w:tcW w:w="1295" w:type="pct"/>
          </w:tcPr>
          <w:p w:rsidR="009C47CE" w:rsidRPr="00CE4A8C" w:rsidRDefault="009C47CE" w:rsidP="00CE4A8C">
            <w:pPr>
              <w:jc w:val="left"/>
              <w:rPr>
                <w:sz w:val="20"/>
                <w:szCs w:val="20"/>
              </w:rPr>
            </w:pPr>
            <w:r w:rsidRPr="00CE4A8C">
              <w:rPr>
                <w:sz w:val="20"/>
                <w:szCs w:val="20"/>
              </w:rPr>
              <w:t>19/08/1948</w:t>
            </w:r>
          </w:p>
        </w:tc>
        <w:tc>
          <w:tcPr>
            <w:tcW w:w="1466" w:type="pct"/>
          </w:tcPr>
          <w:p w:rsidR="009C47CE" w:rsidRPr="00CE4A8C" w:rsidRDefault="009C47CE" w:rsidP="00CE4A8C">
            <w:pPr>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Daniele ROUSSIER FUSCO</w:t>
            </w:r>
          </w:p>
        </w:tc>
        <w:tc>
          <w:tcPr>
            <w:tcW w:w="1295" w:type="pct"/>
          </w:tcPr>
          <w:p w:rsidR="009C47CE" w:rsidRPr="00CE4A8C" w:rsidRDefault="009C47CE" w:rsidP="00CE4A8C">
            <w:pPr>
              <w:jc w:val="left"/>
              <w:rPr>
                <w:sz w:val="20"/>
                <w:szCs w:val="20"/>
              </w:rPr>
            </w:pPr>
            <w:r w:rsidRPr="00CE4A8C">
              <w:rPr>
                <w:sz w:val="20"/>
                <w:szCs w:val="20"/>
              </w:rPr>
              <w:t>01/09/1970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Antonia Cira RUBINO</w:t>
            </w:r>
          </w:p>
        </w:tc>
        <w:tc>
          <w:tcPr>
            <w:tcW w:w="1295" w:type="pct"/>
          </w:tcPr>
          <w:p w:rsidR="009C47CE" w:rsidRPr="00CE4A8C" w:rsidRDefault="009C47CE" w:rsidP="00CE4A8C">
            <w:pPr>
              <w:jc w:val="left"/>
              <w:rPr>
                <w:sz w:val="20"/>
                <w:szCs w:val="20"/>
              </w:rPr>
            </w:pPr>
            <w:r w:rsidRPr="00CE4A8C">
              <w:rPr>
                <w:sz w:val="20"/>
                <w:szCs w:val="20"/>
              </w:rPr>
              <w:t>10/02/1955</w:t>
            </w:r>
          </w:p>
        </w:tc>
        <w:tc>
          <w:tcPr>
            <w:tcW w:w="1466" w:type="pct"/>
          </w:tcPr>
          <w:p w:rsidR="009C47CE" w:rsidRPr="00CE4A8C" w:rsidRDefault="009C47CE" w:rsidP="00CE4A8C">
            <w:pPr>
              <w:jc w:val="left"/>
              <w:rPr>
                <w:sz w:val="20"/>
                <w:szCs w:val="20"/>
              </w:rPr>
            </w:pPr>
            <w:r w:rsidRPr="00CE4A8C">
              <w:rPr>
                <w:sz w:val="20"/>
                <w:szCs w:val="20"/>
              </w:rPr>
              <w:t>San Giorgio Ionico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Adamaria SANTILLI</w:t>
            </w:r>
          </w:p>
        </w:tc>
        <w:tc>
          <w:tcPr>
            <w:tcW w:w="1295" w:type="pct"/>
          </w:tcPr>
          <w:p w:rsidR="009C47CE" w:rsidRPr="00CE4A8C" w:rsidRDefault="009C47CE" w:rsidP="00CE4A8C">
            <w:pPr>
              <w:jc w:val="left"/>
              <w:rPr>
                <w:sz w:val="20"/>
                <w:szCs w:val="20"/>
              </w:rPr>
            </w:pPr>
            <w:r w:rsidRPr="00CE4A8C">
              <w:rPr>
                <w:sz w:val="20"/>
                <w:szCs w:val="20"/>
              </w:rPr>
              <w:t>04/08/1968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Alessandro SCAPATI</w:t>
            </w:r>
          </w:p>
        </w:tc>
        <w:tc>
          <w:tcPr>
            <w:tcW w:w="1295" w:type="pct"/>
          </w:tcPr>
          <w:p w:rsidR="009C47CE" w:rsidRPr="00CE4A8C" w:rsidRDefault="009C47CE" w:rsidP="00CE4A8C">
            <w:pPr>
              <w:jc w:val="left"/>
              <w:rPr>
                <w:sz w:val="20"/>
                <w:szCs w:val="20"/>
              </w:rPr>
            </w:pPr>
            <w:r w:rsidRPr="00CE4A8C">
              <w:rPr>
                <w:sz w:val="20"/>
                <w:szCs w:val="20"/>
              </w:rPr>
              <w:t>13/04/1981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Antonio SCARCIGLIA</w:t>
            </w:r>
          </w:p>
        </w:tc>
        <w:tc>
          <w:tcPr>
            <w:tcW w:w="1295" w:type="pct"/>
          </w:tcPr>
          <w:p w:rsidR="009C47CE" w:rsidRPr="00CE4A8C" w:rsidRDefault="009C47CE" w:rsidP="00CE4A8C">
            <w:pPr>
              <w:jc w:val="left"/>
              <w:rPr>
                <w:sz w:val="20"/>
                <w:szCs w:val="20"/>
              </w:rPr>
            </w:pPr>
            <w:r w:rsidRPr="00CE4A8C">
              <w:rPr>
                <w:sz w:val="20"/>
                <w:szCs w:val="20"/>
              </w:rPr>
              <w:t>10/10/1960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Antonio SEMITAIO</w:t>
            </w:r>
          </w:p>
        </w:tc>
        <w:tc>
          <w:tcPr>
            <w:tcW w:w="1295" w:type="pct"/>
          </w:tcPr>
          <w:p w:rsidR="009C47CE" w:rsidRPr="00CE4A8C" w:rsidRDefault="009C47CE" w:rsidP="00CE4A8C">
            <w:pPr>
              <w:jc w:val="left"/>
              <w:rPr>
                <w:sz w:val="20"/>
                <w:szCs w:val="20"/>
              </w:rPr>
            </w:pPr>
            <w:r w:rsidRPr="00CE4A8C">
              <w:rPr>
                <w:sz w:val="20"/>
                <w:szCs w:val="20"/>
              </w:rPr>
              <w:t>23/05/1947</w:t>
            </w:r>
          </w:p>
        </w:tc>
        <w:tc>
          <w:tcPr>
            <w:tcW w:w="1466" w:type="pct"/>
          </w:tcPr>
          <w:p w:rsidR="009C47CE" w:rsidRPr="00CE4A8C" w:rsidRDefault="009C47CE" w:rsidP="00CE4A8C">
            <w:pPr>
              <w:jc w:val="left"/>
              <w:rPr>
                <w:sz w:val="20"/>
                <w:szCs w:val="20"/>
              </w:rPr>
            </w:pPr>
            <w:r w:rsidRPr="00CE4A8C">
              <w:rPr>
                <w:sz w:val="20"/>
                <w:szCs w:val="20"/>
              </w:rPr>
              <w:t>Leporano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Roberto SIGNORELLA</w:t>
            </w:r>
          </w:p>
        </w:tc>
        <w:tc>
          <w:tcPr>
            <w:tcW w:w="1295" w:type="pct"/>
          </w:tcPr>
          <w:p w:rsidR="009C47CE" w:rsidRPr="00CE4A8C" w:rsidRDefault="009C47CE" w:rsidP="00CE4A8C">
            <w:pPr>
              <w:jc w:val="left"/>
              <w:rPr>
                <w:sz w:val="20"/>
                <w:szCs w:val="20"/>
              </w:rPr>
            </w:pPr>
            <w:r w:rsidRPr="00CE4A8C">
              <w:rPr>
                <w:sz w:val="20"/>
                <w:szCs w:val="20"/>
              </w:rPr>
              <w:t>09/08/1960</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Antonella STRADA</w:t>
            </w:r>
          </w:p>
        </w:tc>
        <w:tc>
          <w:tcPr>
            <w:tcW w:w="1295" w:type="pct"/>
          </w:tcPr>
          <w:p w:rsidR="009C47CE" w:rsidRPr="00CE4A8C" w:rsidRDefault="009C47CE" w:rsidP="00CE4A8C">
            <w:pPr>
              <w:jc w:val="left"/>
              <w:rPr>
                <w:sz w:val="20"/>
                <w:szCs w:val="20"/>
              </w:rPr>
            </w:pPr>
            <w:r w:rsidRPr="00CE4A8C">
              <w:rPr>
                <w:sz w:val="20"/>
                <w:szCs w:val="20"/>
              </w:rPr>
              <w:t>03/09/1979</w:t>
            </w:r>
          </w:p>
        </w:tc>
        <w:tc>
          <w:tcPr>
            <w:tcW w:w="1466" w:type="pct"/>
          </w:tcPr>
          <w:p w:rsidR="009C47CE" w:rsidRPr="00CE4A8C" w:rsidRDefault="009C47CE" w:rsidP="00CE4A8C">
            <w:pPr>
              <w:jc w:val="left"/>
              <w:rPr>
                <w:sz w:val="20"/>
                <w:szCs w:val="20"/>
                <w:lang w:val="it-IT"/>
              </w:rPr>
            </w:pPr>
            <w:r w:rsidRPr="00CE4A8C">
              <w:rPr>
                <w:sz w:val="20"/>
                <w:szCs w:val="20"/>
                <w:lang w:val="it-IT"/>
              </w:rPr>
              <w:t>San Marzano di San Giuseppe (Tarente)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it-IT"/>
              </w:rPr>
            </w:pPr>
          </w:p>
        </w:tc>
        <w:tc>
          <w:tcPr>
            <w:tcW w:w="1548" w:type="pct"/>
          </w:tcPr>
          <w:p w:rsidR="009C47CE" w:rsidRPr="00CE4A8C" w:rsidRDefault="009C47CE" w:rsidP="00CE4A8C">
            <w:pPr>
              <w:jc w:val="left"/>
              <w:rPr>
                <w:sz w:val="20"/>
                <w:szCs w:val="20"/>
              </w:rPr>
            </w:pPr>
            <w:r w:rsidRPr="00CE4A8C">
              <w:rPr>
                <w:sz w:val="20"/>
                <w:szCs w:val="20"/>
              </w:rPr>
              <w:t>Vincenza TAGARELLI</w:t>
            </w:r>
          </w:p>
        </w:tc>
        <w:tc>
          <w:tcPr>
            <w:tcW w:w="1295" w:type="pct"/>
          </w:tcPr>
          <w:p w:rsidR="009C47CE" w:rsidRPr="00CE4A8C" w:rsidRDefault="009C47CE" w:rsidP="00CE4A8C">
            <w:pPr>
              <w:jc w:val="left"/>
              <w:rPr>
                <w:sz w:val="20"/>
                <w:szCs w:val="20"/>
              </w:rPr>
            </w:pPr>
            <w:r w:rsidRPr="00CE4A8C">
              <w:rPr>
                <w:sz w:val="20"/>
                <w:szCs w:val="20"/>
              </w:rPr>
              <w:t>25/10/1963</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Carlo TAGARIELLO</w:t>
            </w:r>
          </w:p>
        </w:tc>
        <w:tc>
          <w:tcPr>
            <w:tcW w:w="1295" w:type="pct"/>
          </w:tcPr>
          <w:p w:rsidR="009C47CE" w:rsidRPr="00CE4A8C" w:rsidRDefault="009C47CE" w:rsidP="00CE4A8C">
            <w:pPr>
              <w:jc w:val="left"/>
              <w:rPr>
                <w:sz w:val="20"/>
                <w:szCs w:val="20"/>
              </w:rPr>
            </w:pPr>
            <w:r w:rsidRPr="00CE4A8C">
              <w:rPr>
                <w:sz w:val="20"/>
                <w:szCs w:val="20"/>
              </w:rPr>
              <w:t>23/06/1935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Mario TAGARTELLI</w:t>
            </w:r>
          </w:p>
        </w:tc>
        <w:tc>
          <w:tcPr>
            <w:tcW w:w="1295" w:type="pct"/>
          </w:tcPr>
          <w:p w:rsidR="009C47CE" w:rsidRPr="00CE4A8C" w:rsidRDefault="009C47CE" w:rsidP="00CE4A8C">
            <w:pPr>
              <w:jc w:val="left"/>
              <w:rPr>
                <w:sz w:val="20"/>
                <w:szCs w:val="20"/>
              </w:rPr>
            </w:pPr>
            <w:r w:rsidRPr="00CE4A8C">
              <w:rPr>
                <w:sz w:val="20"/>
                <w:szCs w:val="20"/>
              </w:rPr>
              <w:t>29/06/1978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Cataldo TALAMO</w:t>
            </w:r>
          </w:p>
        </w:tc>
        <w:tc>
          <w:tcPr>
            <w:tcW w:w="1295" w:type="pct"/>
          </w:tcPr>
          <w:p w:rsidR="009C47CE" w:rsidRPr="00CE4A8C" w:rsidRDefault="009C47CE" w:rsidP="00CE4A8C">
            <w:pPr>
              <w:jc w:val="left"/>
              <w:rPr>
                <w:sz w:val="20"/>
                <w:szCs w:val="20"/>
              </w:rPr>
            </w:pPr>
            <w:r w:rsidRPr="00CE4A8C">
              <w:rPr>
                <w:sz w:val="20"/>
                <w:szCs w:val="20"/>
              </w:rPr>
              <w:t>16/02/1967</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Emma TARQUINIO</w:t>
            </w:r>
          </w:p>
        </w:tc>
        <w:tc>
          <w:tcPr>
            <w:tcW w:w="1295" w:type="pct"/>
          </w:tcPr>
          <w:p w:rsidR="009C47CE" w:rsidRPr="00CE4A8C" w:rsidRDefault="009C47CE" w:rsidP="00CE4A8C">
            <w:pPr>
              <w:jc w:val="left"/>
              <w:rPr>
                <w:sz w:val="20"/>
                <w:szCs w:val="20"/>
              </w:rPr>
            </w:pPr>
            <w:r w:rsidRPr="00CE4A8C">
              <w:rPr>
                <w:sz w:val="20"/>
                <w:szCs w:val="20"/>
              </w:rPr>
              <w:t>29/05/1955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Corrado TERRACCIANO</w:t>
            </w:r>
          </w:p>
        </w:tc>
        <w:tc>
          <w:tcPr>
            <w:tcW w:w="1295" w:type="pct"/>
          </w:tcPr>
          <w:p w:rsidR="009C47CE" w:rsidRPr="00CE4A8C" w:rsidRDefault="009C47CE" w:rsidP="00CE4A8C">
            <w:pPr>
              <w:jc w:val="left"/>
              <w:rPr>
                <w:sz w:val="20"/>
                <w:szCs w:val="20"/>
              </w:rPr>
            </w:pPr>
            <w:r w:rsidRPr="00CE4A8C">
              <w:rPr>
                <w:sz w:val="20"/>
                <w:szCs w:val="20"/>
              </w:rPr>
              <w:t>12/02/1931</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Laura TERRACCIANO</w:t>
            </w:r>
          </w:p>
        </w:tc>
        <w:tc>
          <w:tcPr>
            <w:tcW w:w="1295" w:type="pct"/>
          </w:tcPr>
          <w:p w:rsidR="009C47CE" w:rsidRPr="00CE4A8C" w:rsidRDefault="009C47CE" w:rsidP="00CE4A8C">
            <w:pPr>
              <w:jc w:val="left"/>
              <w:rPr>
                <w:sz w:val="20"/>
                <w:szCs w:val="20"/>
              </w:rPr>
            </w:pPr>
            <w:r w:rsidRPr="00CE4A8C">
              <w:rPr>
                <w:sz w:val="20"/>
                <w:szCs w:val="20"/>
              </w:rPr>
              <w:t>02/01/1935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Fabiana TERRACCINA</w:t>
            </w:r>
          </w:p>
        </w:tc>
        <w:tc>
          <w:tcPr>
            <w:tcW w:w="1295" w:type="pct"/>
          </w:tcPr>
          <w:p w:rsidR="009C47CE" w:rsidRPr="00CE4A8C" w:rsidRDefault="009C47CE" w:rsidP="00CE4A8C">
            <w:pPr>
              <w:jc w:val="left"/>
              <w:rPr>
                <w:sz w:val="20"/>
                <w:szCs w:val="20"/>
              </w:rPr>
            </w:pPr>
            <w:r w:rsidRPr="00CE4A8C">
              <w:rPr>
                <w:sz w:val="20"/>
                <w:szCs w:val="20"/>
              </w:rPr>
              <w:t>21/03/1984</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Pasquala TODISCO</w:t>
            </w:r>
          </w:p>
        </w:tc>
        <w:tc>
          <w:tcPr>
            <w:tcW w:w="1295" w:type="pct"/>
          </w:tcPr>
          <w:p w:rsidR="009C47CE" w:rsidRPr="00CE4A8C" w:rsidRDefault="009C47CE" w:rsidP="00CE4A8C">
            <w:pPr>
              <w:jc w:val="left"/>
              <w:rPr>
                <w:sz w:val="20"/>
                <w:szCs w:val="20"/>
              </w:rPr>
            </w:pPr>
            <w:r w:rsidRPr="00CE4A8C">
              <w:rPr>
                <w:sz w:val="20"/>
                <w:szCs w:val="20"/>
              </w:rPr>
              <w:t>05/12/1959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Santa Maria TOMASELLI</w:t>
            </w:r>
          </w:p>
        </w:tc>
        <w:tc>
          <w:tcPr>
            <w:tcW w:w="1295" w:type="pct"/>
          </w:tcPr>
          <w:p w:rsidR="009C47CE" w:rsidRPr="00CE4A8C" w:rsidRDefault="009C47CE" w:rsidP="00CE4A8C">
            <w:pPr>
              <w:jc w:val="left"/>
              <w:rPr>
                <w:sz w:val="20"/>
                <w:szCs w:val="20"/>
              </w:rPr>
            </w:pPr>
            <w:r w:rsidRPr="00CE4A8C">
              <w:rPr>
                <w:sz w:val="20"/>
                <w:szCs w:val="20"/>
              </w:rPr>
              <w:t>22/03/1948</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lang w:val="fr-FR"/>
              </w:rPr>
            </w:pPr>
          </w:p>
        </w:tc>
        <w:tc>
          <w:tcPr>
            <w:tcW w:w="1548" w:type="pct"/>
          </w:tcPr>
          <w:p w:rsidR="009C47CE" w:rsidRPr="00CE4A8C" w:rsidRDefault="009C47CE" w:rsidP="00CE4A8C">
            <w:pPr>
              <w:jc w:val="left"/>
              <w:rPr>
                <w:sz w:val="20"/>
                <w:szCs w:val="20"/>
              </w:rPr>
            </w:pPr>
            <w:r w:rsidRPr="00CE4A8C">
              <w:rPr>
                <w:sz w:val="20"/>
                <w:szCs w:val="20"/>
              </w:rPr>
              <w:t>Christian VALENTE</w:t>
            </w:r>
          </w:p>
        </w:tc>
        <w:tc>
          <w:tcPr>
            <w:tcW w:w="1295" w:type="pct"/>
          </w:tcPr>
          <w:p w:rsidR="009C47CE" w:rsidRPr="00CE4A8C" w:rsidRDefault="009C47CE" w:rsidP="00CE4A8C">
            <w:pPr>
              <w:jc w:val="left"/>
              <w:rPr>
                <w:sz w:val="20"/>
                <w:szCs w:val="20"/>
              </w:rPr>
            </w:pPr>
            <w:r w:rsidRPr="00CE4A8C">
              <w:rPr>
                <w:sz w:val="20"/>
                <w:szCs w:val="20"/>
              </w:rPr>
              <w:t>15/02/1996</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Ciro VALENTE</w:t>
            </w:r>
          </w:p>
        </w:tc>
        <w:tc>
          <w:tcPr>
            <w:tcW w:w="1295" w:type="pct"/>
          </w:tcPr>
          <w:p w:rsidR="009C47CE" w:rsidRPr="00CE4A8C" w:rsidRDefault="009C47CE" w:rsidP="00CE4A8C">
            <w:pPr>
              <w:jc w:val="left"/>
              <w:rPr>
                <w:sz w:val="20"/>
                <w:szCs w:val="20"/>
              </w:rPr>
            </w:pPr>
            <w:r w:rsidRPr="00CE4A8C">
              <w:rPr>
                <w:sz w:val="20"/>
                <w:szCs w:val="20"/>
              </w:rPr>
              <w:t>14/07/1965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Cinzia ZANINELLI</w:t>
            </w:r>
          </w:p>
        </w:tc>
        <w:tc>
          <w:tcPr>
            <w:tcW w:w="1295" w:type="pct"/>
          </w:tcPr>
          <w:p w:rsidR="009C47CE" w:rsidRPr="00CE4A8C" w:rsidRDefault="009C47CE" w:rsidP="00CE4A8C">
            <w:pPr>
              <w:jc w:val="left"/>
              <w:rPr>
                <w:sz w:val="20"/>
                <w:szCs w:val="20"/>
              </w:rPr>
            </w:pPr>
            <w:r w:rsidRPr="00CE4A8C">
              <w:rPr>
                <w:sz w:val="20"/>
                <w:szCs w:val="20"/>
              </w:rPr>
              <w:t>16/03/1959</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Donatella ZANINELLI</w:t>
            </w:r>
          </w:p>
        </w:tc>
        <w:tc>
          <w:tcPr>
            <w:tcW w:w="1295" w:type="pct"/>
          </w:tcPr>
          <w:p w:rsidR="009C47CE" w:rsidRPr="00CE4A8C" w:rsidRDefault="009C47CE" w:rsidP="00CE4A8C">
            <w:pPr>
              <w:jc w:val="left"/>
              <w:rPr>
                <w:sz w:val="20"/>
                <w:szCs w:val="20"/>
              </w:rPr>
            </w:pPr>
            <w:r w:rsidRPr="00CE4A8C">
              <w:rPr>
                <w:sz w:val="20"/>
                <w:szCs w:val="20"/>
              </w:rPr>
              <w:t>26/08/1955</w:t>
            </w:r>
          </w:p>
        </w:tc>
        <w:tc>
          <w:tcPr>
            <w:tcW w:w="1466" w:type="pct"/>
          </w:tcPr>
          <w:p w:rsidR="009C47CE" w:rsidRPr="00CE4A8C" w:rsidRDefault="009C47CE" w:rsidP="00CE4A8C">
            <w:pPr>
              <w:jc w:val="left"/>
              <w:rPr>
                <w:sz w:val="20"/>
                <w:szCs w:val="20"/>
              </w:rPr>
            </w:pPr>
            <w:r w:rsidRPr="00CE4A8C">
              <w:rPr>
                <w:sz w:val="20"/>
                <w:szCs w:val="20"/>
              </w:rPr>
              <w:t>Tarente</w:t>
            </w:r>
          </w:p>
        </w:tc>
      </w:tr>
      <w:tr w:rsidR="00B05830" w:rsidRPr="00CE4A8C" w:rsidTr="00B05830">
        <w:tc>
          <w:tcPr>
            <w:tcW w:w="691" w:type="pct"/>
          </w:tcPr>
          <w:p w:rsidR="009C47CE" w:rsidRPr="00CE4A8C" w:rsidRDefault="009C47CE" w:rsidP="00CE4A8C">
            <w:pPr>
              <w:pStyle w:val="Paragrafoelenco"/>
              <w:numPr>
                <w:ilvl w:val="0"/>
                <w:numId w:val="16"/>
              </w:numPr>
              <w:jc w:val="left"/>
              <w:rPr>
                <w:b/>
                <w:sz w:val="20"/>
                <w:szCs w:val="20"/>
              </w:rPr>
            </w:pPr>
          </w:p>
        </w:tc>
        <w:tc>
          <w:tcPr>
            <w:tcW w:w="1548" w:type="pct"/>
          </w:tcPr>
          <w:p w:rsidR="009C47CE" w:rsidRPr="00CE4A8C" w:rsidRDefault="009C47CE" w:rsidP="00CE4A8C">
            <w:pPr>
              <w:jc w:val="left"/>
              <w:rPr>
                <w:sz w:val="20"/>
                <w:szCs w:val="20"/>
              </w:rPr>
            </w:pPr>
            <w:r w:rsidRPr="00CE4A8C">
              <w:rPr>
                <w:sz w:val="20"/>
                <w:szCs w:val="20"/>
              </w:rPr>
              <w:t>Maria Crocifissa ZITO</w:t>
            </w:r>
          </w:p>
        </w:tc>
        <w:tc>
          <w:tcPr>
            <w:tcW w:w="1295" w:type="pct"/>
          </w:tcPr>
          <w:p w:rsidR="009C47CE" w:rsidRPr="00CE4A8C" w:rsidRDefault="009C47CE" w:rsidP="00CE4A8C">
            <w:pPr>
              <w:jc w:val="left"/>
              <w:rPr>
                <w:sz w:val="20"/>
                <w:szCs w:val="20"/>
              </w:rPr>
            </w:pPr>
            <w:r w:rsidRPr="00CE4A8C">
              <w:rPr>
                <w:sz w:val="20"/>
                <w:szCs w:val="20"/>
              </w:rPr>
              <w:t>04/09/1965</w:t>
            </w:r>
          </w:p>
        </w:tc>
        <w:tc>
          <w:tcPr>
            <w:tcW w:w="1466" w:type="pct"/>
          </w:tcPr>
          <w:p w:rsidR="009C47CE" w:rsidRPr="00CE4A8C" w:rsidRDefault="009C47CE" w:rsidP="00CE4A8C">
            <w:pPr>
              <w:jc w:val="left"/>
              <w:rPr>
                <w:sz w:val="20"/>
                <w:szCs w:val="20"/>
              </w:rPr>
            </w:pPr>
            <w:r w:rsidRPr="00CE4A8C">
              <w:rPr>
                <w:sz w:val="20"/>
                <w:szCs w:val="20"/>
              </w:rPr>
              <w:t>Fragagnano (Tarente)</w:t>
            </w:r>
          </w:p>
        </w:tc>
      </w:tr>
    </w:tbl>
    <w:p w:rsidR="0059426D" w:rsidRPr="00CE4A8C" w:rsidRDefault="0059426D" w:rsidP="00CE4A8C">
      <w:pPr>
        <w:rPr>
          <w:lang w:val="fr-FR"/>
        </w:rPr>
      </w:pPr>
    </w:p>
    <w:sectPr w:rsidR="0059426D" w:rsidRPr="00CE4A8C" w:rsidSect="001D00ED">
      <w:footnotePr>
        <w:numRestart w:val="eachSect"/>
      </w:footnotePr>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D9" w:rsidRPr="001D19C3" w:rsidRDefault="00A10BD9" w:rsidP="002D2C99">
      <w:pPr>
        <w:rPr>
          <w:lang w:val="fr-FR"/>
        </w:rPr>
      </w:pPr>
      <w:r w:rsidRPr="001D19C3">
        <w:rPr>
          <w:lang w:val="fr-FR"/>
        </w:rPr>
        <w:separator/>
      </w:r>
    </w:p>
  </w:endnote>
  <w:endnote w:type="continuationSeparator" w:id="0">
    <w:p w:rsidR="00A10BD9" w:rsidRPr="001D19C3" w:rsidRDefault="00A10BD9" w:rsidP="002D2C99">
      <w:pPr>
        <w:rPr>
          <w:lang w:val="fr-FR"/>
        </w:rPr>
      </w:pPr>
      <w:r w:rsidRPr="001D19C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ole_tex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EF" w:rsidRPr="00150BFA" w:rsidRDefault="008E6EEF" w:rsidP="0059426D">
    <w:pPr>
      <w:jc w:val="center"/>
    </w:pPr>
    <w:r>
      <w:rPr>
        <w:noProof/>
        <w:lang w:val="it-IT" w:eastAsia="it-IT"/>
      </w:rPr>
      <w:drawing>
        <wp:inline distT="0" distB="0" distL="0" distR="0" wp14:anchorId="26F380F6" wp14:editId="66A7278B">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E6EEF" w:rsidRPr="001D19C3" w:rsidRDefault="008E6EEF" w:rsidP="0059426D">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EF" w:rsidRDefault="008E6EEF" w:rsidP="00594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EF" w:rsidRDefault="008E6EEF" w:rsidP="005942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D9" w:rsidRPr="001D19C3" w:rsidRDefault="00A10BD9" w:rsidP="002D2C99">
      <w:pPr>
        <w:rPr>
          <w:lang w:val="fr-FR"/>
        </w:rPr>
      </w:pPr>
      <w:r w:rsidRPr="001D19C3">
        <w:rPr>
          <w:lang w:val="fr-FR"/>
        </w:rPr>
        <w:separator/>
      </w:r>
    </w:p>
  </w:footnote>
  <w:footnote w:type="continuationSeparator" w:id="0">
    <w:p w:rsidR="00A10BD9" w:rsidRPr="001D19C3" w:rsidRDefault="00A10BD9" w:rsidP="002D2C99">
      <w:pPr>
        <w:rPr>
          <w:lang w:val="fr-FR"/>
        </w:rPr>
      </w:pPr>
      <w:r w:rsidRPr="001D19C3">
        <w:rPr>
          <w:lang w:val="fr-FR"/>
        </w:rPr>
        <w:continuationSeparator/>
      </w:r>
    </w:p>
  </w:footnote>
  <w:footnote w:id="1">
    <w:p w:rsidR="008E6EEF" w:rsidRPr="00FB2193" w:rsidRDefault="008E6EEF" w:rsidP="0059426D">
      <w:pPr>
        <w:rPr>
          <w:rFonts w:asciiTheme="majorHAnsi" w:eastAsia="Times New Roman" w:hAnsiTheme="majorHAnsi" w:cstheme="majorHAnsi"/>
          <w:sz w:val="20"/>
          <w:szCs w:val="20"/>
          <w:lang w:val="fr-FR"/>
        </w:rPr>
      </w:pPr>
      <w:r w:rsidRPr="00FB2193">
        <w:rPr>
          <w:sz w:val="20"/>
          <w:szCs w:val="20"/>
        </w:rPr>
        <w:footnoteRef/>
      </w:r>
      <w:r w:rsidRPr="00FB2193">
        <w:rPr>
          <w:sz w:val="20"/>
          <w:szCs w:val="20"/>
          <w:lang w:val="fr-FR"/>
        </w:rPr>
        <w:t>.  </w:t>
      </w:r>
      <w:r w:rsidRPr="00FB2193">
        <w:rPr>
          <w:rFonts w:asciiTheme="majorHAnsi" w:hAnsiTheme="majorHAnsi" w:cstheme="majorHAnsi"/>
          <w:sz w:val="20"/>
          <w:szCs w:val="20"/>
          <w:lang w:val="fr-FR"/>
        </w:rPr>
        <w:t>Usine où l’on produit du coke, un</w:t>
      </w:r>
      <w:r w:rsidRPr="00FB2193">
        <w:rPr>
          <w:rFonts w:asciiTheme="majorHAnsi" w:eastAsia="Times New Roman" w:hAnsiTheme="majorHAnsi" w:cstheme="majorHAnsi"/>
          <w:sz w:val="20"/>
          <w:szCs w:val="20"/>
          <w:lang w:val="fr-FR"/>
        </w:rPr>
        <w:t xml:space="preserve"> charbon résultant de la carbonisation ou de la distillation de certaines houilles grasses.</w:t>
      </w:r>
    </w:p>
  </w:footnote>
  <w:footnote w:id="2">
    <w:p w:rsidR="008E6EEF" w:rsidRPr="00CD09E0" w:rsidRDefault="008E6EEF" w:rsidP="0059426D">
      <w:pPr>
        <w:pStyle w:val="Testonotaapidipagina"/>
        <w:rPr>
          <w:lang w:val="fr-FR"/>
        </w:rPr>
      </w:pPr>
      <w:r w:rsidRPr="00FB2193">
        <w:footnoteRef/>
      </w:r>
      <w:r w:rsidRPr="00FB2193">
        <w:rPr>
          <w:lang w:val="fr-FR"/>
        </w:rPr>
        <w:t xml:space="preserve">.  Notamment, des </w:t>
      </w:r>
      <w:r w:rsidRPr="00FB2193">
        <w:rPr>
          <w:bCs/>
          <w:lang w:val="fr-FR"/>
        </w:rPr>
        <w:t>hydrocarbures aromatiques polycycliques</w:t>
      </w:r>
      <w:r w:rsidRPr="00FB2193">
        <w:rPr>
          <w:lang w:val="fr-FR"/>
        </w:rPr>
        <w:t>, des particules et de l</w:t>
      </w:r>
      <w:r w:rsidRPr="00FB2193">
        <w:rPr>
          <w:rFonts w:ascii="Montserrat" w:hAnsi="Montserrat"/>
          <w:lang w:val="fr-FR"/>
        </w:rPr>
        <w:t>’</w:t>
      </w:r>
      <w:hyperlink r:id="rId1" w:history="1">
        <w:r w:rsidRPr="00FB2193">
          <w:rPr>
            <w:rFonts w:ascii="Montserrat" w:hAnsi="Montserrat"/>
            <w:iCs/>
            <w:lang w:val="fr-FR"/>
          </w:rPr>
          <w:t>anhydride sulfureux</w:t>
        </w:r>
      </w:hyperlink>
      <w:r w:rsidRPr="00FB2193">
        <w:rPr>
          <w:rFonts w:ascii="Montserrat" w:hAnsi="Montserrat"/>
          <w:iCs/>
          <w:lang w:val="fr-FR"/>
        </w:rPr>
        <w:t>.</w:t>
      </w:r>
    </w:p>
  </w:footnote>
  <w:footnote w:id="3">
    <w:p w:rsidR="008E6EEF" w:rsidRPr="006C135D" w:rsidRDefault="008E6EEF" w:rsidP="0059426D">
      <w:pPr>
        <w:rPr>
          <w:lang w:val="it-IT"/>
        </w:rPr>
      </w:pPr>
      <w:r w:rsidRPr="00FB2193">
        <w:rPr>
          <w:sz w:val="20"/>
          <w:szCs w:val="20"/>
        </w:rPr>
        <w:footnoteRef/>
      </w:r>
      <w:r w:rsidRPr="00FB2193">
        <w:rPr>
          <w:sz w:val="20"/>
          <w:szCs w:val="20"/>
          <w:lang w:val="it-IT"/>
        </w:rPr>
        <w:t xml:space="preserve">.  Tarente, </w:t>
      </w:r>
      <w:r w:rsidRPr="00FB2193">
        <w:rPr>
          <w:rFonts w:ascii="Times New Roman" w:eastAsia="Times New Roman" w:hAnsi="Times New Roman" w:cs="Times New Roman"/>
          <w:bCs/>
          <w:sz w:val="20"/>
          <w:szCs w:val="20"/>
          <w:lang w:val="it-IT"/>
        </w:rPr>
        <w:t>Martina Franca, Massafra, Grottaglie, Manduria, Ginosa, Castellaneta, Palagiano, Sava, Mottola, Laterza, San Giorgio Ionico, Statte, Crispiano, Pulsano, Lizzano, San Marzano di San Giuseppe, Leporano, Palagianello, Carosino, Avetrana, Monteiasi, Maruggio, Fragagnano, Torricella, Montemesola, Faggiano, Monteparano et Roccaforzata.</w:t>
      </w:r>
    </w:p>
  </w:footnote>
  <w:footnote w:id="4">
    <w:p w:rsidR="008E6EEF" w:rsidRPr="00FB2193" w:rsidRDefault="008E6EEF" w:rsidP="0059426D">
      <w:pPr>
        <w:pStyle w:val="Testonotaapidipagina"/>
        <w:rPr>
          <w:lang w:val="fr-FR"/>
        </w:rPr>
      </w:pPr>
      <w:r w:rsidRPr="00FB2193">
        <w:footnoteRef/>
      </w:r>
      <w:r w:rsidRPr="00FB2193">
        <w:rPr>
          <w:lang w:val="fr-FR"/>
        </w:rPr>
        <w:t>.  Particules en suspension dans l’air, particules fines.</w:t>
      </w:r>
    </w:p>
  </w:footnote>
  <w:footnote w:id="5">
    <w:p w:rsidR="008E6EEF" w:rsidRPr="00F338A5" w:rsidRDefault="008E6EEF" w:rsidP="0059426D">
      <w:pPr>
        <w:pStyle w:val="Testonotaapidipagina"/>
        <w:rPr>
          <w:lang w:val="fr-FR"/>
        </w:rPr>
      </w:pPr>
      <w:r w:rsidRPr="00FB2193">
        <w:footnoteRef/>
      </w:r>
      <w:r w:rsidRPr="00FB2193">
        <w:rPr>
          <w:lang w:val="fr-FR"/>
        </w:rPr>
        <w:t>.  Dioxyde de soufre.</w:t>
      </w:r>
    </w:p>
  </w:footnote>
  <w:footnote w:id="6">
    <w:p w:rsidR="008E6EEF" w:rsidRPr="00C158FD" w:rsidRDefault="008E6EEF" w:rsidP="0059426D">
      <w:pPr>
        <w:pStyle w:val="Testonotaapidipagina"/>
        <w:rPr>
          <w:lang w:val="fr-FR"/>
        </w:rPr>
      </w:pPr>
      <w:r w:rsidRPr="00FB2193">
        <w:footnoteRef/>
      </w:r>
      <w:r w:rsidRPr="00FB2193">
        <w:rPr>
          <w:lang w:val="fr-FR"/>
        </w:rPr>
        <w:t xml:space="preserve">.  Hydrocarbure aromatique cancérogène, polluant persistant, qui est le produit d’une combustion incomplète à des températures entre 300 °C et 600 °C (source : Larousse et Wikipedia). </w:t>
      </w:r>
    </w:p>
  </w:footnote>
  <w:footnote w:id="7">
    <w:p w:rsidR="008E6EEF" w:rsidRPr="00FB2193" w:rsidRDefault="008E6EEF" w:rsidP="0059426D">
      <w:pPr>
        <w:pStyle w:val="Testonotaapidipagina"/>
        <w:rPr>
          <w:lang w:val="fr-FR"/>
        </w:rPr>
      </w:pPr>
      <w:r w:rsidRPr="00FB2193">
        <w:footnoteRef/>
      </w:r>
      <w:r w:rsidRPr="00FB2193">
        <w:rPr>
          <w:lang w:val="fr-FR"/>
        </w:rPr>
        <w:t>.  À savoir les requérants figurant sous les numéros 13 (requête n° 54414/13) et 51, 53, 54, 62, 65, 81 et 104 (requête n° 54264/15).</w:t>
      </w:r>
    </w:p>
  </w:footnote>
  <w:footnote w:id="8">
    <w:p w:rsidR="008E6EEF" w:rsidRPr="00DB771C" w:rsidRDefault="008E6EEF" w:rsidP="0059426D">
      <w:pPr>
        <w:pStyle w:val="Testonotaapidipagina"/>
        <w:rPr>
          <w:lang w:val="fr-FR"/>
        </w:rPr>
      </w:pPr>
      <w:r w:rsidRPr="00FB2193">
        <w:footnoteRef/>
      </w:r>
      <w:r w:rsidRPr="00FB2193">
        <w:rPr>
          <w:lang w:val="fr-FR"/>
        </w:rPr>
        <w:t>.  À savoir les ministères de l’Environnement, des Infrastructures et des Transports, du Développement économique et pour la Cohésion territoriale, la région des Pouilles, la province et la mairie de Tarente et l’administrateur provisoire du port de Tarente.</w:t>
      </w:r>
    </w:p>
  </w:footnote>
  <w:footnote w:id="9">
    <w:p w:rsidR="008E6EEF" w:rsidRPr="00FC6244" w:rsidRDefault="008E6EEF" w:rsidP="0059426D">
      <w:pPr>
        <w:pStyle w:val="Testonotaapidipagina"/>
        <w:rPr>
          <w:lang w:val="fr-FR"/>
        </w:rPr>
      </w:pPr>
      <w:r w:rsidRPr="00FB2193">
        <w:footnoteRef/>
      </w:r>
      <w:r w:rsidRPr="00FB2193">
        <w:rPr>
          <w:lang w:val="fr-FR"/>
        </w:rPr>
        <w:t>.  À savoir les requérants de la requête n° 54414/13 figurant sous les numéros</w:t>
      </w:r>
      <w:r w:rsidRPr="00FB2193">
        <w:rPr>
          <w:vertAlign w:val="superscript"/>
          <w:lang w:val="fr-FR"/>
        </w:rPr>
        <w:t xml:space="preserve"> </w:t>
      </w:r>
      <w:r w:rsidRPr="00FB2193">
        <w:rPr>
          <w:lang w:val="fr-FR"/>
        </w:rPr>
        <w:t>23, 35, 43 et 45 et ceux de la requête n° 54264/15 figurant sous les numéros</w:t>
      </w:r>
      <w:r w:rsidRPr="00FB2193">
        <w:rPr>
          <w:vertAlign w:val="superscript"/>
          <w:lang w:val="fr-FR"/>
        </w:rPr>
        <w:t> </w:t>
      </w:r>
      <w:r w:rsidRPr="00FB2193">
        <w:rPr>
          <w:lang w:val="fr-FR"/>
        </w:rPr>
        <w:t xml:space="preserve"> 4, 9, 18, 24, 25, 34, 40, 41, 42, 56, 88, 107, 111, 113 et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EF" w:rsidRPr="00A45145" w:rsidRDefault="008E6EEF" w:rsidP="0059426D">
    <w:pPr>
      <w:jc w:val="center"/>
    </w:pPr>
    <w:r>
      <w:rPr>
        <w:noProof/>
        <w:lang w:val="it-IT" w:eastAsia="it-IT"/>
      </w:rPr>
      <w:drawing>
        <wp:inline distT="0" distB="0" distL="0" distR="0" wp14:anchorId="7CB7DE85" wp14:editId="34E0965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E6EEF" w:rsidRPr="001D19C3" w:rsidRDefault="008E6EEF" w:rsidP="00F5432B">
    <w:pP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EF" w:rsidRPr="00F5432B" w:rsidRDefault="008E6EEF" w:rsidP="00F5432B">
    <w:pPr>
      <w:pStyle w:val="ECHRHeader"/>
      <w:rPr>
        <w:lang w:val="fr-FR"/>
      </w:rPr>
    </w:pPr>
    <w:r>
      <w:rPr>
        <w:rStyle w:val="Numeropagina"/>
      </w:rPr>
      <w:fldChar w:fldCharType="begin"/>
    </w:r>
    <w:r w:rsidRPr="006D481B">
      <w:rPr>
        <w:rStyle w:val="Numeropagina"/>
        <w:lang w:val="fr-FR"/>
      </w:rPr>
      <w:instrText xml:space="preserve"> PAGE </w:instrText>
    </w:r>
    <w:r>
      <w:rPr>
        <w:rStyle w:val="Numeropagina"/>
      </w:rPr>
      <w:fldChar w:fldCharType="separate"/>
    </w:r>
    <w:r w:rsidR="005C7D15">
      <w:rPr>
        <w:rStyle w:val="Numeropagina"/>
        <w:noProof/>
        <w:lang w:val="fr-FR"/>
      </w:rPr>
      <w:t>38</w:t>
    </w:r>
    <w:r>
      <w:rPr>
        <w:rStyle w:val="Numeropagina"/>
      </w:rPr>
      <w:fldChar w:fldCharType="end"/>
    </w:r>
    <w:r w:rsidRPr="006D481B">
      <w:rPr>
        <w:lang w:val="fr-FR"/>
      </w:rPr>
      <w:tab/>
      <w:t>ARRÊT COR</w:t>
    </w:r>
    <w:r>
      <w:rPr>
        <w:lang w:val="fr-FR"/>
      </w:rPr>
      <w:t>DELLA ET AUTRES c. ITALIE</w:t>
    </w:r>
  </w:p>
  <w:p w:rsidR="008E6EEF" w:rsidRPr="00FB2193" w:rsidRDefault="008E6EEF">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EF" w:rsidRPr="002001EB" w:rsidRDefault="008E6EEF" w:rsidP="00420F04">
    <w:pPr>
      <w:pStyle w:val="ECHRHeader"/>
      <w:rPr>
        <w:lang w:val="fr-FR"/>
      </w:rPr>
    </w:pPr>
    <w:r>
      <w:tab/>
    </w:r>
    <w:r w:rsidRPr="006D481B">
      <w:rPr>
        <w:lang w:val="fr-FR"/>
      </w:rPr>
      <w:t>ARRÊT COR</w:t>
    </w:r>
    <w:r>
      <w:rPr>
        <w:lang w:val="fr-FR"/>
      </w:rPr>
      <w:t>DELLA ET AUTRES c. ITALIE</w:t>
    </w:r>
    <w:r w:rsidRPr="006D481B">
      <w:rPr>
        <w:lang w:val="fr-FR"/>
      </w:rPr>
      <w:tab/>
    </w:r>
    <w:r>
      <w:rPr>
        <w:rStyle w:val="Numeropagina"/>
      </w:rPr>
      <w:fldChar w:fldCharType="begin"/>
    </w:r>
    <w:r w:rsidRPr="006D481B">
      <w:rPr>
        <w:rStyle w:val="Numeropagina"/>
        <w:lang w:val="fr-FR"/>
      </w:rPr>
      <w:instrText xml:space="preserve"> PAGE </w:instrText>
    </w:r>
    <w:r>
      <w:rPr>
        <w:rStyle w:val="Numeropagina"/>
      </w:rPr>
      <w:fldChar w:fldCharType="separate"/>
    </w:r>
    <w:r w:rsidR="005C7D15">
      <w:rPr>
        <w:rStyle w:val="Numeropagina"/>
        <w:noProof/>
        <w:lang w:val="fr-FR"/>
      </w:rPr>
      <w:t>37</w:t>
    </w:r>
    <w:r>
      <w:rPr>
        <w:rStyle w:val="Numeropagina"/>
      </w:rPr>
      <w:fldChar w:fldCharType="end"/>
    </w:r>
  </w:p>
  <w:p w:rsidR="008E6EEF" w:rsidRPr="00FB2193" w:rsidRDefault="008E6EE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8B0C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3CF25AF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02EDC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1E60D7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2AA4F5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8CC5F4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7363396"/>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110163D"/>
    <w:multiLevelType w:val="hybridMultilevel"/>
    <w:tmpl w:val="E42C081E"/>
    <w:lvl w:ilvl="0" w:tplc="07385908">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37D53"/>
    <w:multiLevelType w:val="hybridMultilevel"/>
    <w:tmpl w:val="56A684EA"/>
    <w:lvl w:ilvl="0" w:tplc="F3EC556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4"/>
  </w:num>
  <w:num w:numId="3">
    <w:abstractNumId w:val="13"/>
  </w:num>
  <w:num w:numId="4">
    <w:abstractNumId w:val="10"/>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1"/>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6D481B"/>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33E7"/>
    <w:rsid w:val="0011461C"/>
    <w:rsid w:val="00120D6C"/>
    <w:rsid w:val="001257EC"/>
    <w:rsid w:val="00127B42"/>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00ED"/>
    <w:rsid w:val="001D19C3"/>
    <w:rsid w:val="001D63ED"/>
    <w:rsid w:val="001D7348"/>
    <w:rsid w:val="001E035B"/>
    <w:rsid w:val="001E0961"/>
    <w:rsid w:val="001E3EAE"/>
    <w:rsid w:val="001E6F32"/>
    <w:rsid w:val="001F2145"/>
    <w:rsid w:val="001F6262"/>
    <w:rsid w:val="001F67B0"/>
    <w:rsid w:val="001F7B3D"/>
    <w:rsid w:val="002001EB"/>
    <w:rsid w:val="00205F9F"/>
    <w:rsid w:val="00210338"/>
    <w:rsid w:val="002115FC"/>
    <w:rsid w:val="0021423C"/>
    <w:rsid w:val="002258CD"/>
    <w:rsid w:val="00230D00"/>
    <w:rsid w:val="00231DF7"/>
    <w:rsid w:val="00231FD1"/>
    <w:rsid w:val="002339E0"/>
    <w:rsid w:val="00233CF8"/>
    <w:rsid w:val="0023575D"/>
    <w:rsid w:val="00237148"/>
    <w:rsid w:val="0024222D"/>
    <w:rsid w:val="00244B0E"/>
    <w:rsid w:val="00244F6C"/>
    <w:rsid w:val="002532C5"/>
    <w:rsid w:val="00260C03"/>
    <w:rsid w:val="0026540E"/>
    <w:rsid w:val="00271CD3"/>
    <w:rsid w:val="00275123"/>
    <w:rsid w:val="00276EC6"/>
    <w:rsid w:val="00276F4E"/>
    <w:rsid w:val="00277E53"/>
    <w:rsid w:val="00282240"/>
    <w:rsid w:val="002948AD"/>
    <w:rsid w:val="002A01CC"/>
    <w:rsid w:val="002A61B1"/>
    <w:rsid w:val="002A663C"/>
    <w:rsid w:val="002B444B"/>
    <w:rsid w:val="002B5887"/>
    <w:rsid w:val="002C0E27"/>
    <w:rsid w:val="002C3040"/>
    <w:rsid w:val="002D022D"/>
    <w:rsid w:val="002D24BB"/>
    <w:rsid w:val="002D2C99"/>
    <w:rsid w:val="002F2AF7"/>
    <w:rsid w:val="002F7E1C"/>
    <w:rsid w:val="00301A75"/>
    <w:rsid w:val="00302F70"/>
    <w:rsid w:val="0030336F"/>
    <w:rsid w:val="0030375E"/>
    <w:rsid w:val="00312A30"/>
    <w:rsid w:val="00320F72"/>
    <w:rsid w:val="0032463E"/>
    <w:rsid w:val="00326224"/>
    <w:rsid w:val="00336456"/>
    <w:rsid w:val="00337EE4"/>
    <w:rsid w:val="00340FFD"/>
    <w:rsid w:val="003506B1"/>
    <w:rsid w:val="00356AC7"/>
    <w:rsid w:val="003609FA"/>
    <w:rsid w:val="003710C8"/>
    <w:rsid w:val="00373AF1"/>
    <w:rsid w:val="003750BE"/>
    <w:rsid w:val="00387B9D"/>
    <w:rsid w:val="0039364F"/>
    <w:rsid w:val="00396686"/>
    <w:rsid w:val="0039778E"/>
    <w:rsid w:val="003B4941"/>
    <w:rsid w:val="003C5714"/>
    <w:rsid w:val="003C6B9F"/>
    <w:rsid w:val="003C6E2A"/>
    <w:rsid w:val="003D0299"/>
    <w:rsid w:val="003E1EFF"/>
    <w:rsid w:val="003E6D80"/>
    <w:rsid w:val="003F05FA"/>
    <w:rsid w:val="003F244A"/>
    <w:rsid w:val="003F30B8"/>
    <w:rsid w:val="003F4C45"/>
    <w:rsid w:val="003F5F7B"/>
    <w:rsid w:val="003F7D64"/>
    <w:rsid w:val="00414300"/>
    <w:rsid w:val="00420F04"/>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1A99"/>
    <w:rsid w:val="004E7B4F"/>
    <w:rsid w:val="004F10AF"/>
    <w:rsid w:val="004F11A4"/>
    <w:rsid w:val="004F2389"/>
    <w:rsid w:val="004F304D"/>
    <w:rsid w:val="004F61BE"/>
    <w:rsid w:val="004F66B1"/>
    <w:rsid w:val="00511C07"/>
    <w:rsid w:val="00512DEF"/>
    <w:rsid w:val="005173A6"/>
    <w:rsid w:val="00520BAA"/>
    <w:rsid w:val="005236D5"/>
    <w:rsid w:val="00525208"/>
    <w:rsid w:val="005257A5"/>
    <w:rsid w:val="005264C0"/>
    <w:rsid w:val="00526A8A"/>
    <w:rsid w:val="00527601"/>
    <w:rsid w:val="00531DF2"/>
    <w:rsid w:val="005442EE"/>
    <w:rsid w:val="00547353"/>
    <w:rsid w:val="005474E7"/>
    <w:rsid w:val="005512A3"/>
    <w:rsid w:val="005578CE"/>
    <w:rsid w:val="00560898"/>
    <w:rsid w:val="00562781"/>
    <w:rsid w:val="00567D45"/>
    <w:rsid w:val="0057271C"/>
    <w:rsid w:val="00572845"/>
    <w:rsid w:val="00592772"/>
    <w:rsid w:val="0059426D"/>
    <w:rsid w:val="0059574A"/>
    <w:rsid w:val="005A1B9B"/>
    <w:rsid w:val="005A6751"/>
    <w:rsid w:val="005B092E"/>
    <w:rsid w:val="005B152C"/>
    <w:rsid w:val="005B1EE0"/>
    <w:rsid w:val="005B2B24"/>
    <w:rsid w:val="005B4425"/>
    <w:rsid w:val="005B4B94"/>
    <w:rsid w:val="005C3EE8"/>
    <w:rsid w:val="005C7D15"/>
    <w:rsid w:val="005D34F9"/>
    <w:rsid w:val="005D4190"/>
    <w:rsid w:val="005D67A3"/>
    <w:rsid w:val="005E2988"/>
    <w:rsid w:val="005E3085"/>
    <w:rsid w:val="005F51E1"/>
    <w:rsid w:val="00611C80"/>
    <w:rsid w:val="00620692"/>
    <w:rsid w:val="006242CA"/>
    <w:rsid w:val="00627507"/>
    <w:rsid w:val="00633717"/>
    <w:rsid w:val="006344E1"/>
    <w:rsid w:val="00650998"/>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5704"/>
    <w:rsid w:val="006C135D"/>
    <w:rsid w:val="006C23D4"/>
    <w:rsid w:val="006C7BB0"/>
    <w:rsid w:val="006D3237"/>
    <w:rsid w:val="006D481B"/>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0AA"/>
    <w:rsid w:val="00764D4E"/>
    <w:rsid w:val="00765A1F"/>
    <w:rsid w:val="00775B6D"/>
    <w:rsid w:val="00776D68"/>
    <w:rsid w:val="007850EE"/>
    <w:rsid w:val="00785B95"/>
    <w:rsid w:val="00790E96"/>
    <w:rsid w:val="00793366"/>
    <w:rsid w:val="007A716F"/>
    <w:rsid w:val="007A7B75"/>
    <w:rsid w:val="007B270A"/>
    <w:rsid w:val="007B42D3"/>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175BE"/>
    <w:rsid w:val="008204C7"/>
    <w:rsid w:val="00820992"/>
    <w:rsid w:val="00823602"/>
    <w:rsid w:val="008255F5"/>
    <w:rsid w:val="0083014E"/>
    <w:rsid w:val="0083062B"/>
    <w:rsid w:val="0083214A"/>
    <w:rsid w:val="00834220"/>
    <w:rsid w:val="00834FCB"/>
    <w:rsid w:val="00845723"/>
    <w:rsid w:val="00851EF9"/>
    <w:rsid w:val="008577FD"/>
    <w:rsid w:val="00860B03"/>
    <w:rsid w:val="0086497A"/>
    <w:rsid w:val="008713A1"/>
    <w:rsid w:val="008754AB"/>
    <w:rsid w:val="008802A9"/>
    <w:rsid w:val="0088060C"/>
    <w:rsid w:val="00893576"/>
    <w:rsid w:val="00893E73"/>
    <w:rsid w:val="008B02DC"/>
    <w:rsid w:val="008B57CE"/>
    <w:rsid w:val="008C26DE"/>
    <w:rsid w:val="008D1EB6"/>
    <w:rsid w:val="008D2225"/>
    <w:rsid w:val="008D4752"/>
    <w:rsid w:val="008E271C"/>
    <w:rsid w:val="008E418E"/>
    <w:rsid w:val="008E5BC6"/>
    <w:rsid w:val="008E6A25"/>
    <w:rsid w:val="008E6EEF"/>
    <w:rsid w:val="008F5193"/>
    <w:rsid w:val="008F55F5"/>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1BF7"/>
    <w:rsid w:val="009B4FD3"/>
    <w:rsid w:val="009B6673"/>
    <w:rsid w:val="009C191B"/>
    <w:rsid w:val="009C2BD6"/>
    <w:rsid w:val="009C47CE"/>
    <w:rsid w:val="009E1F32"/>
    <w:rsid w:val="009E776C"/>
    <w:rsid w:val="009F65DC"/>
    <w:rsid w:val="00A10BD9"/>
    <w:rsid w:val="00A1726E"/>
    <w:rsid w:val="00A204CF"/>
    <w:rsid w:val="00A23D49"/>
    <w:rsid w:val="00A242AC"/>
    <w:rsid w:val="00A27004"/>
    <w:rsid w:val="00A30C29"/>
    <w:rsid w:val="00A34DD6"/>
    <w:rsid w:val="00A36819"/>
    <w:rsid w:val="00A36989"/>
    <w:rsid w:val="00A43628"/>
    <w:rsid w:val="00A54192"/>
    <w:rsid w:val="00A6035E"/>
    <w:rsid w:val="00A6144C"/>
    <w:rsid w:val="00A65E2A"/>
    <w:rsid w:val="00A66617"/>
    <w:rsid w:val="00A671F8"/>
    <w:rsid w:val="00A673A4"/>
    <w:rsid w:val="00A724AE"/>
    <w:rsid w:val="00A73329"/>
    <w:rsid w:val="00A7410D"/>
    <w:rsid w:val="00A82359"/>
    <w:rsid w:val="00A865D2"/>
    <w:rsid w:val="00A91151"/>
    <w:rsid w:val="00A94C20"/>
    <w:rsid w:val="00AA227F"/>
    <w:rsid w:val="00AA3BC7"/>
    <w:rsid w:val="00AA754A"/>
    <w:rsid w:val="00AB099E"/>
    <w:rsid w:val="00AB4328"/>
    <w:rsid w:val="00AC3ABA"/>
    <w:rsid w:val="00AD4891"/>
    <w:rsid w:val="00AE0A2E"/>
    <w:rsid w:val="00AE354C"/>
    <w:rsid w:val="00AF4B07"/>
    <w:rsid w:val="00AF6186"/>
    <w:rsid w:val="00AF7A3A"/>
    <w:rsid w:val="00B05830"/>
    <w:rsid w:val="00B160DB"/>
    <w:rsid w:val="00B20836"/>
    <w:rsid w:val="00B235BB"/>
    <w:rsid w:val="00B27A44"/>
    <w:rsid w:val="00B30BBF"/>
    <w:rsid w:val="00B33C03"/>
    <w:rsid w:val="00B3666B"/>
    <w:rsid w:val="00B41DB2"/>
    <w:rsid w:val="00B44E56"/>
    <w:rsid w:val="00B46543"/>
    <w:rsid w:val="00B47D33"/>
    <w:rsid w:val="00B52BE0"/>
    <w:rsid w:val="00B54133"/>
    <w:rsid w:val="00B6204E"/>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3784"/>
    <w:rsid w:val="00BF4109"/>
    <w:rsid w:val="00BF4CC3"/>
    <w:rsid w:val="00C054C7"/>
    <w:rsid w:val="00C057B5"/>
    <w:rsid w:val="00C149F6"/>
    <w:rsid w:val="00C22687"/>
    <w:rsid w:val="00C25A3E"/>
    <w:rsid w:val="00C32E4D"/>
    <w:rsid w:val="00C333A0"/>
    <w:rsid w:val="00C36408"/>
    <w:rsid w:val="00C36A81"/>
    <w:rsid w:val="00C41226"/>
    <w:rsid w:val="00C41974"/>
    <w:rsid w:val="00C41981"/>
    <w:rsid w:val="00C535F5"/>
    <w:rsid w:val="00C53F4A"/>
    <w:rsid w:val="00C54125"/>
    <w:rsid w:val="00C54644"/>
    <w:rsid w:val="00C55B54"/>
    <w:rsid w:val="00C6098E"/>
    <w:rsid w:val="00C60EDF"/>
    <w:rsid w:val="00C6152C"/>
    <w:rsid w:val="00C74810"/>
    <w:rsid w:val="00C90D68"/>
    <w:rsid w:val="00C939FE"/>
    <w:rsid w:val="00CA4BDA"/>
    <w:rsid w:val="00CB1F66"/>
    <w:rsid w:val="00CB25E5"/>
    <w:rsid w:val="00CB2951"/>
    <w:rsid w:val="00CD282B"/>
    <w:rsid w:val="00CD4C35"/>
    <w:rsid w:val="00CD7369"/>
    <w:rsid w:val="00CE0B0E"/>
    <w:rsid w:val="00CE36BD"/>
    <w:rsid w:val="00CE3831"/>
    <w:rsid w:val="00CE4A8C"/>
    <w:rsid w:val="00D00ABB"/>
    <w:rsid w:val="00D02EEC"/>
    <w:rsid w:val="00D03551"/>
    <w:rsid w:val="00D06A63"/>
    <w:rsid w:val="00D07E0E"/>
    <w:rsid w:val="00D11478"/>
    <w:rsid w:val="00D15ED0"/>
    <w:rsid w:val="00D20A92"/>
    <w:rsid w:val="00D21B3E"/>
    <w:rsid w:val="00D21FED"/>
    <w:rsid w:val="00D24251"/>
    <w:rsid w:val="00D343E2"/>
    <w:rsid w:val="00D361A2"/>
    <w:rsid w:val="00D44C2E"/>
    <w:rsid w:val="00D45414"/>
    <w:rsid w:val="00D47891"/>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E67CB"/>
    <w:rsid w:val="00DF098B"/>
    <w:rsid w:val="00DF11C4"/>
    <w:rsid w:val="00DF210C"/>
    <w:rsid w:val="00DF4B6A"/>
    <w:rsid w:val="00E02C09"/>
    <w:rsid w:val="00E04D59"/>
    <w:rsid w:val="00E07DA1"/>
    <w:rsid w:val="00E123CB"/>
    <w:rsid w:val="00E206E4"/>
    <w:rsid w:val="00E20E13"/>
    <w:rsid w:val="00E21DBC"/>
    <w:rsid w:val="00E275D7"/>
    <w:rsid w:val="00E27DBE"/>
    <w:rsid w:val="00E32AB1"/>
    <w:rsid w:val="00E36C71"/>
    <w:rsid w:val="00E37CB1"/>
    <w:rsid w:val="00E40404"/>
    <w:rsid w:val="00E459C6"/>
    <w:rsid w:val="00E47589"/>
    <w:rsid w:val="00E64915"/>
    <w:rsid w:val="00E661D4"/>
    <w:rsid w:val="00E70091"/>
    <w:rsid w:val="00E720F5"/>
    <w:rsid w:val="00E76D47"/>
    <w:rsid w:val="00E849F7"/>
    <w:rsid w:val="00E85943"/>
    <w:rsid w:val="00E8621F"/>
    <w:rsid w:val="00E90302"/>
    <w:rsid w:val="00E97396"/>
    <w:rsid w:val="00EA185E"/>
    <w:rsid w:val="00EA4BD7"/>
    <w:rsid w:val="00EA592A"/>
    <w:rsid w:val="00EB14E4"/>
    <w:rsid w:val="00EB32A5"/>
    <w:rsid w:val="00EB34ED"/>
    <w:rsid w:val="00EB7BE0"/>
    <w:rsid w:val="00EC315E"/>
    <w:rsid w:val="00EC69C0"/>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4156"/>
    <w:rsid w:val="00F5432B"/>
    <w:rsid w:val="00F56A6F"/>
    <w:rsid w:val="00F5709C"/>
    <w:rsid w:val="00F64EF1"/>
    <w:rsid w:val="00F8765F"/>
    <w:rsid w:val="00F90767"/>
    <w:rsid w:val="00FA685B"/>
    <w:rsid w:val="00FB0C01"/>
    <w:rsid w:val="00FB2193"/>
    <w:rsid w:val="00FC18F2"/>
    <w:rsid w:val="00FC299F"/>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DE67CB"/>
    <w:pPr>
      <w:jc w:val="both"/>
    </w:pPr>
    <w:rPr>
      <w:rFonts w:eastAsiaTheme="minorEastAsia"/>
      <w:sz w:val="24"/>
      <w:lang w:val="en-GB"/>
    </w:rPr>
  </w:style>
  <w:style w:type="paragraph" w:styleId="Titolo1">
    <w:name w:val="heading 1"/>
    <w:basedOn w:val="Normale"/>
    <w:next w:val="Normale"/>
    <w:link w:val="Titolo1Carattere"/>
    <w:uiPriority w:val="99"/>
    <w:semiHidden/>
    <w:rsid w:val="00DE67C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E67C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E67C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E67C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E67CB"/>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DE67C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E67CB"/>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DE67CB"/>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DE67CB"/>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E6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7CB"/>
    <w:rPr>
      <w:rFonts w:ascii="Tahoma" w:eastAsiaTheme="minorEastAsia" w:hAnsi="Tahoma" w:cs="Tahoma"/>
      <w:sz w:val="16"/>
      <w:szCs w:val="16"/>
      <w:lang w:val="en-GB"/>
    </w:rPr>
  </w:style>
  <w:style w:type="character" w:styleId="Titolodellibro">
    <w:name w:val="Book Title"/>
    <w:uiPriority w:val="99"/>
    <w:semiHidden/>
    <w:qFormat/>
    <w:rsid w:val="00DE67CB"/>
    <w:rPr>
      <w:i/>
      <w:iCs/>
      <w:smallCaps/>
      <w:spacing w:val="5"/>
    </w:rPr>
  </w:style>
  <w:style w:type="paragraph" w:customStyle="1" w:styleId="ECHRHeader">
    <w:name w:val="ECHR_Header"/>
    <w:aliases w:val="Ju_Header"/>
    <w:basedOn w:val="Intestazione"/>
    <w:uiPriority w:val="4"/>
    <w:qFormat/>
    <w:rsid w:val="00DE67CB"/>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DE67CB"/>
  </w:style>
  <w:style w:type="character" w:styleId="Enfasigrassetto">
    <w:name w:val="Strong"/>
    <w:uiPriority w:val="99"/>
    <w:semiHidden/>
    <w:qFormat/>
    <w:rsid w:val="00DE67CB"/>
    <w:rPr>
      <w:b/>
      <w:bCs/>
    </w:rPr>
  </w:style>
  <w:style w:type="paragraph" w:styleId="Nessunaspaziatura">
    <w:name w:val="No Spacing"/>
    <w:basedOn w:val="Normale"/>
    <w:link w:val="NessunaspaziaturaCarattere"/>
    <w:semiHidden/>
    <w:qFormat/>
    <w:rsid w:val="00DE67CB"/>
    <w:rPr>
      <w:sz w:val="22"/>
      <w:lang w:val="en-US"/>
    </w:rPr>
  </w:style>
  <w:style w:type="character" w:customStyle="1" w:styleId="NessunaspaziaturaCarattere">
    <w:name w:val="Nessuna spaziatura Carattere"/>
    <w:basedOn w:val="Carpredefinitoparagrafo"/>
    <w:link w:val="Nessunaspaziatura"/>
    <w:semiHidden/>
    <w:rsid w:val="00DE67CB"/>
    <w:rPr>
      <w:rFonts w:eastAsiaTheme="minorEastAsia"/>
    </w:rPr>
  </w:style>
  <w:style w:type="paragraph" w:customStyle="1" w:styleId="ECHRParaQuote">
    <w:name w:val="ECHR_Para_Quote"/>
    <w:aliases w:val="Ju_Quot"/>
    <w:basedOn w:val="Normale"/>
    <w:uiPriority w:val="14"/>
    <w:qFormat/>
    <w:rsid w:val="00DE67CB"/>
    <w:pPr>
      <w:spacing w:before="120" w:after="120"/>
      <w:ind w:left="425" w:firstLine="142"/>
    </w:pPr>
    <w:rPr>
      <w:sz w:val="20"/>
    </w:rPr>
  </w:style>
  <w:style w:type="paragraph" w:customStyle="1" w:styleId="JuParaSub">
    <w:name w:val="Ju_Para_Sub"/>
    <w:basedOn w:val="ECHRPara"/>
    <w:uiPriority w:val="13"/>
    <w:qFormat/>
    <w:rsid w:val="00DE67CB"/>
    <w:pPr>
      <w:ind w:left="284"/>
    </w:pPr>
  </w:style>
  <w:style w:type="paragraph" w:customStyle="1" w:styleId="DecList">
    <w:name w:val="Dec_List"/>
    <w:basedOn w:val="Normale"/>
    <w:uiPriority w:val="9"/>
    <w:semiHidden/>
    <w:qFormat/>
    <w:rsid w:val="00DE67CB"/>
    <w:pPr>
      <w:spacing w:before="240"/>
      <w:ind w:left="284"/>
    </w:pPr>
  </w:style>
  <w:style w:type="paragraph" w:customStyle="1" w:styleId="DummyStyle">
    <w:name w:val="Dummy_Style"/>
    <w:basedOn w:val="Normale"/>
    <w:semiHidden/>
    <w:qFormat/>
    <w:rsid w:val="00DE67CB"/>
    <w:rPr>
      <w:color w:val="00B050"/>
    </w:rPr>
  </w:style>
  <w:style w:type="paragraph" w:customStyle="1" w:styleId="JuAppQuestion">
    <w:name w:val="Ju_App_Question"/>
    <w:basedOn w:val="Normale"/>
    <w:uiPriority w:val="5"/>
    <w:semiHidden/>
    <w:qFormat/>
    <w:rsid w:val="00DE67CB"/>
    <w:pPr>
      <w:numPr>
        <w:numId w:val="24"/>
      </w:numPr>
      <w:jc w:val="left"/>
    </w:pPr>
    <w:rPr>
      <w:b/>
    </w:rPr>
  </w:style>
  <w:style w:type="paragraph" w:customStyle="1" w:styleId="ECHRTitleCentre3">
    <w:name w:val="ECHR_Title_Centre_3"/>
    <w:aliases w:val="Ju_H_Article"/>
    <w:basedOn w:val="Normale"/>
    <w:next w:val="ECHRParaQuote"/>
    <w:uiPriority w:val="27"/>
    <w:qFormat/>
    <w:rsid w:val="00DE67C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DE67CB"/>
    <w:pPr>
      <w:keepNext/>
      <w:keepLines/>
      <w:spacing w:after="240"/>
      <w:jc w:val="center"/>
      <w:outlineLvl w:val="0"/>
    </w:pPr>
    <w:rPr>
      <w:rFonts w:asciiTheme="majorHAnsi" w:hAnsiTheme="majorHAnsi"/>
      <w:sz w:val="28"/>
    </w:rPr>
  </w:style>
  <w:style w:type="paragraph" w:customStyle="1" w:styleId="JuCourt">
    <w:name w:val="Ju_Court"/>
    <w:basedOn w:val="Normale"/>
    <w:next w:val="Normale"/>
    <w:uiPriority w:val="16"/>
    <w:qFormat/>
    <w:rsid w:val="00DE67CB"/>
    <w:pPr>
      <w:tabs>
        <w:tab w:val="left" w:pos="907"/>
        <w:tab w:val="left" w:pos="1701"/>
        <w:tab w:val="right" w:pos="7371"/>
      </w:tabs>
      <w:spacing w:before="240"/>
      <w:ind w:left="397" w:hanging="397"/>
      <w:jc w:val="left"/>
    </w:pPr>
    <w:rPr>
      <w:lang w:bidi="en-US"/>
    </w:rPr>
  </w:style>
  <w:style w:type="paragraph" w:customStyle="1" w:styleId="ECHRTitle1">
    <w:name w:val="ECHR_Title_1"/>
    <w:aliases w:val="Ju_H_Head"/>
    <w:basedOn w:val="Normale"/>
    <w:next w:val="ECHRPara"/>
    <w:uiPriority w:val="18"/>
    <w:qFormat/>
    <w:rsid w:val="00DE67CB"/>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DE67CB"/>
    <w:pPr>
      <w:tabs>
        <w:tab w:val="center" w:pos="6407"/>
      </w:tabs>
      <w:spacing w:before="720"/>
      <w:jc w:val="right"/>
    </w:pPr>
  </w:style>
  <w:style w:type="paragraph" w:customStyle="1" w:styleId="JuSigned">
    <w:name w:val="Ju_Signed"/>
    <w:basedOn w:val="Normale"/>
    <w:next w:val="JuParaLast"/>
    <w:uiPriority w:val="32"/>
    <w:qFormat/>
    <w:rsid w:val="00DE67CB"/>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DE67CB"/>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DE67CB"/>
    <w:rPr>
      <w:rFonts w:asciiTheme="majorHAnsi" w:eastAsiaTheme="majorEastAsia" w:hAnsiTheme="majorHAnsi" w:cstheme="majorBidi"/>
      <w:spacing w:val="5"/>
      <w:sz w:val="52"/>
      <w:szCs w:val="52"/>
      <w:lang w:bidi="en-US"/>
    </w:rPr>
  </w:style>
  <w:style w:type="paragraph" w:customStyle="1" w:styleId="JuListi">
    <w:name w:val="Ju_List_i"/>
    <w:basedOn w:val="Normale"/>
    <w:next w:val="JuLista"/>
    <w:uiPriority w:val="28"/>
    <w:qFormat/>
    <w:rsid w:val="00DE67CB"/>
    <w:pPr>
      <w:ind w:left="794"/>
    </w:pPr>
  </w:style>
  <w:style w:type="character" w:customStyle="1" w:styleId="JUNAMES">
    <w:name w:val="JU_NAMES"/>
    <w:uiPriority w:val="17"/>
    <w:qFormat/>
    <w:rsid w:val="00DE67CB"/>
    <w:rPr>
      <w:caps w:val="0"/>
      <w:smallCaps/>
    </w:rPr>
  </w:style>
  <w:style w:type="character" w:customStyle="1" w:styleId="JuITMark">
    <w:name w:val="Ju_ITMark"/>
    <w:basedOn w:val="Carpredefinitoparagrafo"/>
    <w:uiPriority w:val="38"/>
    <w:qFormat/>
    <w:rsid w:val="00DE67CB"/>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DE67CB"/>
    <w:pPr>
      <w:ind w:left="567"/>
    </w:pPr>
  </w:style>
  <w:style w:type="paragraph" w:customStyle="1" w:styleId="OpiH1">
    <w:name w:val="Opi_H_1"/>
    <w:basedOn w:val="ECHRHeading2"/>
    <w:uiPriority w:val="42"/>
    <w:qFormat/>
    <w:rsid w:val="00DE67CB"/>
    <w:pPr>
      <w:ind w:left="635" w:hanging="357"/>
      <w:outlineLvl w:val="2"/>
    </w:pPr>
  </w:style>
  <w:style w:type="paragraph" w:customStyle="1" w:styleId="ECHRHeading1">
    <w:name w:val="ECHR_Heading_1"/>
    <w:aliases w:val="Ju_H_I_Roman"/>
    <w:basedOn w:val="Titolo1"/>
    <w:next w:val="ECHRPara"/>
    <w:link w:val="JuHIRomanChar"/>
    <w:uiPriority w:val="19"/>
    <w:qFormat/>
    <w:rsid w:val="00DE67C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DE67C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DE67CB"/>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DE67C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E67CB"/>
    <w:rPr>
      <w:sz w:val="24"/>
      <w:lang w:val="en-GB"/>
    </w:rPr>
  </w:style>
  <w:style w:type="character" w:customStyle="1" w:styleId="Titolo1Carattere">
    <w:name w:val="Titolo 1 Carattere"/>
    <w:basedOn w:val="Carpredefinitoparagrafo"/>
    <w:link w:val="Titolo1"/>
    <w:uiPriority w:val="99"/>
    <w:semiHidden/>
    <w:rsid w:val="00DE67CB"/>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DE67C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DE67CB"/>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DE67CB"/>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DE67C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DE67CB"/>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DE67CB"/>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DE67CB"/>
    <w:pPr>
      <w:keepNext/>
      <w:keepLines/>
      <w:spacing w:before="240"/>
      <w:ind w:firstLine="284"/>
    </w:pPr>
  </w:style>
  <w:style w:type="paragraph" w:customStyle="1" w:styleId="JuList">
    <w:name w:val="Ju_List"/>
    <w:basedOn w:val="Normale"/>
    <w:uiPriority w:val="28"/>
    <w:qFormat/>
    <w:rsid w:val="00DE67CB"/>
    <w:pPr>
      <w:ind w:left="340" w:hanging="340"/>
    </w:pPr>
  </w:style>
  <w:style w:type="character" w:customStyle="1" w:styleId="Titolo4Carattere">
    <w:name w:val="Titolo 4 Carattere"/>
    <w:basedOn w:val="Carpredefinitoparagrafo"/>
    <w:link w:val="Titolo4"/>
    <w:uiPriority w:val="99"/>
    <w:semiHidden/>
    <w:rsid w:val="00DE67CB"/>
    <w:rPr>
      <w:rFonts w:asciiTheme="majorHAnsi" w:eastAsiaTheme="majorEastAsia" w:hAnsiTheme="majorHAnsi" w:cstheme="majorBidi"/>
      <w:b/>
      <w:bCs/>
      <w:i/>
      <w:iCs/>
      <w:color w:val="777777"/>
      <w:sz w:val="24"/>
      <w:lang w:val="en-GB"/>
    </w:rPr>
  </w:style>
  <w:style w:type="paragraph" w:customStyle="1" w:styleId="JuLista">
    <w:name w:val="Ju_List_a"/>
    <w:basedOn w:val="JuList"/>
    <w:uiPriority w:val="28"/>
    <w:qFormat/>
    <w:rsid w:val="00DE67CB"/>
    <w:pPr>
      <w:ind w:left="346" w:firstLine="0"/>
    </w:pPr>
  </w:style>
  <w:style w:type="character" w:customStyle="1" w:styleId="Titolo5Carattere">
    <w:name w:val="Titolo 5 Carattere"/>
    <w:basedOn w:val="Carpredefinitoparagrafo"/>
    <w:link w:val="Titolo5"/>
    <w:uiPriority w:val="99"/>
    <w:semiHidden/>
    <w:rsid w:val="00DE67CB"/>
    <w:rPr>
      <w:rFonts w:asciiTheme="majorHAnsi" w:eastAsiaTheme="majorEastAsia" w:hAnsiTheme="majorHAnsi" w:cstheme="majorBidi"/>
      <w:b/>
      <w:bCs/>
      <w:color w:val="808080"/>
    </w:rPr>
  </w:style>
  <w:style w:type="paragraph" w:customStyle="1" w:styleId="OpiHa">
    <w:name w:val="Opi_H_a"/>
    <w:basedOn w:val="ECHRHeading3"/>
    <w:uiPriority w:val="43"/>
    <w:qFormat/>
    <w:rsid w:val="00DE67CB"/>
    <w:pPr>
      <w:ind w:left="833" w:hanging="357"/>
      <w:outlineLvl w:val="3"/>
    </w:pPr>
    <w:rPr>
      <w:b/>
      <w:i w:val="0"/>
      <w:sz w:val="20"/>
    </w:rPr>
  </w:style>
  <w:style w:type="paragraph" w:customStyle="1" w:styleId="OpiHA0">
    <w:name w:val="Opi_H_A"/>
    <w:basedOn w:val="ECHRHeading1"/>
    <w:next w:val="OpiPara"/>
    <w:uiPriority w:val="41"/>
    <w:qFormat/>
    <w:rsid w:val="00DE67CB"/>
    <w:pPr>
      <w:tabs>
        <w:tab w:val="clear" w:pos="357"/>
      </w:tabs>
      <w:outlineLvl w:val="1"/>
    </w:pPr>
    <w:rPr>
      <w:b/>
    </w:rPr>
  </w:style>
  <w:style w:type="character" w:styleId="Enfasidelicata">
    <w:name w:val="Subtle Emphasis"/>
    <w:uiPriority w:val="99"/>
    <w:semiHidden/>
    <w:qFormat/>
    <w:rsid w:val="00DE67CB"/>
    <w:rPr>
      <w:i/>
      <w:iCs/>
    </w:rPr>
  </w:style>
  <w:style w:type="paragraph" w:customStyle="1" w:styleId="OpiHi">
    <w:name w:val="Opi_H_i"/>
    <w:basedOn w:val="ECHRHeading4"/>
    <w:uiPriority w:val="44"/>
    <w:qFormat/>
    <w:rsid w:val="00DE67CB"/>
    <w:pPr>
      <w:ind w:left="1037" w:hanging="357"/>
      <w:outlineLvl w:val="4"/>
    </w:pPr>
    <w:rPr>
      <w:b w:val="0"/>
      <w:i/>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Para">
    <w:name w:val="Opi_Para"/>
    <w:basedOn w:val="ECHRPara"/>
    <w:uiPriority w:val="46"/>
    <w:qFormat/>
    <w:rsid w:val="00DE67CB"/>
  </w:style>
  <w:style w:type="paragraph" w:customStyle="1" w:styleId="OpiParaSub">
    <w:name w:val="Opi_Para_Sub"/>
    <w:basedOn w:val="JuParaSub"/>
    <w:uiPriority w:val="47"/>
    <w:qFormat/>
    <w:rsid w:val="00DE67CB"/>
  </w:style>
  <w:style w:type="paragraph" w:styleId="Sottotitolo">
    <w:name w:val="Subtitle"/>
    <w:basedOn w:val="Normale"/>
    <w:next w:val="Normale"/>
    <w:link w:val="SottotitoloCarattere"/>
    <w:uiPriority w:val="99"/>
    <w:semiHidden/>
    <w:qFormat/>
    <w:rsid w:val="00DE67CB"/>
    <w:pPr>
      <w:spacing w:after="600"/>
    </w:pPr>
    <w:rPr>
      <w:rFonts w:asciiTheme="majorHAnsi" w:eastAsiaTheme="majorEastAsia" w:hAnsiTheme="majorHAnsi" w:cstheme="majorBidi"/>
      <w:i/>
      <w:iCs/>
      <w:spacing w:val="13"/>
      <w:szCs w:val="24"/>
      <w:lang w:val="en-US" w:bidi="en-US"/>
    </w:rPr>
  </w:style>
  <w:style w:type="character" w:styleId="Enfasicorsivo">
    <w:name w:val="Emphasis"/>
    <w:uiPriority w:val="99"/>
    <w:semiHidden/>
    <w:qFormat/>
    <w:rsid w:val="00DE67CB"/>
    <w:rPr>
      <w:b/>
      <w:bCs/>
      <w:i/>
      <w:iCs/>
      <w:spacing w:val="10"/>
      <w:bdr w:val="none" w:sz="0" w:space="0" w:color="auto"/>
      <w:shd w:val="clear" w:color="auto" w:fill="auto"/>
    </w:rPr>
  </w:style>
  <w:style w:type="paragraph" w:styleId="Pidipagina">
    <w:name w:val="footer"/>
    <w:basedOn w:val="Normale"/>
    <w:link w:val="PidipaginaCarattere"/>
    <w:uiPriority w:val="57"/>
    <w:semiHidden/>
    <w:rsid w:val="00DE67C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E67CB"/>
    <w:rPr>
      <w:sz w:val="24"/>
      <w:lang w:val="en-GB"/>
    </w:rPr>
  </w:style>
  <w:style w:type="character" w:styleId="Rimandonotaapidipagina">
    <w:name w:val="footnote reference"/>
    <w:basedOn w:val="Carpredefinitoparagrafo"/>
    <w:uiPriority w:val="99"/>
    <w:semiHidden/>
    <w:rsid w:val="00DE67CB"/>
    <w:rPr>
      <w:vertAlign w:val="superscript"/>
    </w:rPr>
  </w:style>
  <w:style w:type="paragraph" w:styleId="Testonotaapidipagina">
    <w:name w:val="footnote text"/>
    <w:basedOn w:val="Normale"/>
    <w:link w:val="TestonotaapidipaginaCarattere"/>
    <w:uiPriority w:val="99"/>
    <w:semiHidden/>
    <w:rsid w:val="00DE67CB"/>
    <w:rPr>
      <w:sz w:val="20"/>
      <w:szCs w:val="20"/>
    </w:rPr>
  </w:style>
  <w:style w:type="character" w:customStyle="1" w:styleId="TestonotaapidipaginaCarattere">
    <w:name w:val="Testo nota a piè di pagina Carattere"/>
    <w:basedOn w:val="Carpredefinitoparagrafo"/>
    <w:link w:val="Testonotaapidipagina"/>
    <w:uiPriority w:val="99"/>
    <w:semiHidden/>
    <w:rsid w:val="00DE67CB"/>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DE67CB"/>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DE67C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DE67C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E67C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E67CB"/>
    <w:rPr>
      <w:color w:val="0072BC" w:themeColor="hyperlink"/>
      <w:u w:val="single"/>
    </w:rPr>
  </w:style>
  <w:style w:type="character" w:styleId="Enfasiintensa">
    <w:name w:val="Intense Emphasis"/>
    <w:uiPriority w:val="99"/>
    <w:semiHidden/>
    <w:qFormat/>
    <w:rsid w:val="00DE67CB"/>
    <w:rPr>
      <w:b/>
      <w:bCs/>
    </w:rPr>
  </w:style>
  <w:style w:type="paragraph" w:styleId="Citazioneintensa">
    <w:name w:val="Intense Quote"/>
    <w:basedOn w:val="Normale"/>
    <w:next w:val="Normale"/>
    <w:link w:val="CitazioneintensaCarattere"/>
    <w:uiPriority w:val="99"/>
    <w:semiHidden/>
    <w:qFormat/>
    <w:rsid w:val="00DE67CB"/>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DE67CB"/>
    <w:rPr>
      <w:rFonts w:eastAsiaTheme="minorEastAsia"/>
      <w:b/>
      <w:bCs/>
      <w:i/>
      <w:iCs/>
      <w:lang w:bidi="en-US"/>
    </w:rPr>
  </w:style>
  <w:style w:type="character" w:styleId="Riferimentointenso">
    <w:name w:val="Intense Reference"/>
    <w:uiPriority w:val="99"/>
    <w:semiHidden/>
    <w:qFormat/>
    <w:rsid w:val="00DE67CB"/>
    <w:rPr>
      <w:smallCaps/>
      <w:spacing w:val="5"/>
      <w:u w:val="single"/>
    </w:rPr>
  </w:style>
  <w:style w:type="paragraph" w:styleId="Paragrafoelenco">
    <w:name w:val="List Paragraph"/>
    <w:basedOn w:val="Normale"/>
    <w:uiPriority w:val="99"/>
    <w:semiHidden/>
    <w:qFormat/>
    <w:rsid w:val="00DE67CB"/>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E67CB"/>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DE67CB"/>
    <w:rPr>
      <w:rFonts w:eastAsiaTheme="minorEastAsia"/>
      <w:i/>
      <w:iCs/>
      <w:lang w:bidi="en-US"/>
    </w:rPr>
  </w:style>
  <w:style w:type="character" w:styleId="Riferimentodelicato">
    <w:name w:val="Subtle Reference"/>
    <w:uiPriority w:val="99"/>
    <w:semiHidden/>
    <w:qFormat/>
    <w:rsid w:val="00DE67CB"/>
    <w:rPr>
      <w:smallCaps/>
    </w:rPr>
  </w:style>
  <w:style w:type="table" w:styleId="Grigliatabella">
    <w:name w:val="Table Grid"/>
    <w:basedOn w:val="Tabellanormale"/>
    <w:uiPriority w:val="59"/>
    <w:semiHidden/>
    <w:rsid w:val="00DE67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E67C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E67C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E67C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E67C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E67C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E67C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E67C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ottotitoloCarattere">
    <w:name w:val="Sottotitolo Carattere"/>
    <w:basedOn w:val="Carpredefinitoparagrafo"/>
    <w:link w:val="Sottotitolo"/>
    <w:uiPriority w:val="99"/>
    <w:semiHidden/>
    <w:rsid w:val="00DE67C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2"/>
      </w:numPr>
    </w:pPr>
  </w:style>
  <w:style w:type="numbering" w:styleId="1ai">
    <w:name w:val="Outline List 1"/>
    <w:basedOn w:val="Nessunelenco"/>
    <w:uiPriority w:val="99"/>
    <w:semiHidden/>
    <w:unhideWhenUsed/>
    <w:rsid w:val="002D2C99"/>
    <w:pPr>
      <w:numPr>
        <w:numId w:val="3"/>
      </w:numPr>
    </w:pPr>
  </w:style>
  <w:style w:type="paragraph" w:customStyle="1" w:styleId="ECHRPara">
    <w:name w:val="ECHR_Para"/>
    <w:aliases w:val="Ju_Para"/>
    <w:basedOn w:val="Normale"/>
    <w:link w:val="ECHRParaChar"/>
    <w:uiPriority w:val="12"/>
    <w:qFormat/>
    <w:rsid w:val="00DE67CB"/>
    <w:pPr>
      <w:ind w:firstLine="284"/>
    </w:pPr>
  </w:style>
  <w:style w:type="numbering" w:styleId="ArticoloSezione">
    <w:name w:val="Outline List 3"/>
    <w:basedOn w:val="Nessunelenco"/>
    <w:uiPriority w:val="99"/>
    <w:semiHidden/>
    <w:unhideWhenUsed/>
    <w:rsid w:val="002D2C99"/>
    <w:pPr>
      <w:numPr>
        <w:numId w:val="4"/>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E67C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DE67CB"/>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DE67CB"/>
    <w:pPr>
      <w:ind w:firstLine="284"/>
    </w:pPr>
    <w:rPr>
      <w:b/>
    </w:rPr>
  </w:style>
  <w:style w:type="character" w:styleId="Numeropagina">
    <w:name w:val="page number"/>
    <w:uiPriority w:val="99"/>
    <w:semiHidden/>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1"/>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semiHidden/>
    <w:rsid w:val="002D2C99"/>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70"/>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uiPriority w:val="99"/>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uiPriority w:val="99"/>
    <w:semiHidden/>
    <w:rsid w:val="00DE67CB"/>
    <w:rPr>
      <w:vertAlign w:val="superscript"/>
    </w:rPr>
  </w:style>
  <w:style w:type="paragraph" w:styleId="Testonotadichiusura">
    <w:name w:val="endnote text"/>
    <w:basedOn w:val="Normale"/>
    <w:link w:val="TestonotadichiusuraCarattere"/>
    <w:uiPriority w:val="99"/>
    <w:semiHidden/>
    <w:rsid w:val="00DE67CB"/>
    <w:rPr>
      <w:sz w:val="20"/>
      <w:szCs w:val="20"/>
    </w:rPr>
  </w:style>
  <w:style w:type="character" w:customStyle="1" w:styleId="TestonotadichiusuraCarattere">
    <w:name w:val="Testo nota di chiusura Carattere"/>
    <w:basedOn w:val="Carpredefinitoparagrafo"/>
    <w:link w:val="Testonotadichiusura"/>
    <w:uiPriority w:val="99"/>
    <w:semiHidden/>
    <w:rsid w:val="00DE67CB"/>
    <w:rPr>
      <w:rFonts w:eastAsiaTheme="minorEastAsia"/>
      <w:sz w:val="20"/>
      <w:szCs w:val="20"/>
      <w:lang w:val="en-GB"/>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62"/>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uiPriority w:val="99"/>
    <w:semiHidden/>
    <w:rsid w:val="002D2C99"/>
    <w:pPr>
      <w:numPr>
        <w:numId w:val="5"/>
      </w:numPr>
      <w:contextualSpacing/>
    </w:pPr>
  </w:style>
  <w:style w:type="paragraph" w:styleId="Puntoelenco3">
    <w:name w:val="List Bullet 3"/>
    <w:basedOn w:val="Normale"/>
    <w:uiPriority w:val="99"/>
    <w:semiHidden/>
    <w:rsid w:val="002D2C99"/>
    <w:pPr>
      <w:numPr>
        <w:numId w:val="6"/>
      </w:numPr>
      <w:contextualSpacing/>
    </w:pPr>
  </w:style>
  <w:style w:type="paragraph" w:styleId="Puntoelenco4">
    <w:name w:val="List Bullet 4"/>
    <w:basedOn w:val="Normale"/>
    <w:uiPriority w:val="99"/>
    <w:semiHidden/>
    <w:rsid w:val="002D2C99"/>
    <w:pPr>
      <w:numPr>
        <w:numId w:val="7"/>
      </w:numPr>
      <w:contextualSpacing/>
    </w:pPr>
  </w:style>
  <w:style w:type="paragraph" w:styleId="Puntoelenco5">
    <w:name w:val="List Bullet 5"/>
    <w:basedOn w:val="Normale"/>
    <w:uiPriority w:val="99"/>
    <w:semiHidden/>
    <w:rsid w:val="002D2C99"/>
    <w:pPr>
      <w:numPr>
        <w:numId w:val="8"/>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9"/>
      </w:numPr>
      <w:contextualSpacing/>
    </w:pPr>
  </w:style>
  <w:style w:type="paragraph" w:styleId="Numeroelenco2">
    <w:name w:val="List Number 2"/>
    <w:basedOn w:val="Normale"/>
    <w:uiPriority w:val="99"/>
    <w:semiHidden/>
    <w:rsid w:val="002D2C99"/>
    <w:pPr>
      <w:numPr>
        <w:numId w:val="10"/>
      </w:numPr>
      <w:contextualSpacing/>
    </w:pPr>
  </w:style>
  <w:style w:type="paragraph" w:styleId="Numeroelenco3">
    <w:name w:val="List Number 3"/>
    <w:basedOn w:val="Normale"/>
    <w:uiPriority w:val="99"/>
    <w:semiHidden/>
    <w:rsid w:val="002D2C99"/>
    <w:pPr>
      <w:numPr>
        <w:numId w:val="11"/>
      </w:numPr>
      <w:contextualSpacing/>
    </w:pPr>
  </w:style>
  <w:style w:type="paragraph" w:styleId="Numeroelenco4">
    <w:name w:val="List Number 4"/>
    <w:basedOn w:val="Normale"/>
    <w:uiPriority w:val="99"/>
    <w:semiHidden/>
    <w:rsid w:val="002D2C99"/>
    <w:pPr>
      <w:numPr>
        <w:numId w:val="12"/>
      </w:numPr>
      <w:contextualSpacing/>
    </w:pPr>
  </w:style>
  <w:style w:type="paragraph" w:styleId="Numeroelenco5">
    <w:name w:val="List Number 5"/>
    <w:basedOn w:val="Normale"/>
    <w:uiPriority w:val="99"/>
    <w:semiHidden/>
    <w:rsid w:val="002D2C99"/>
    <w:pPr>
      <w:numPr>
        <w:numId w:val="13"/>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67"/>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DE67C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E67C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E67C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OpiQuot">
    <w:name w:val="Opi_Quot"/>
    <w:basedOn w:val="ECHRParaQuote"/>
    <w:uiPriority w:val="48"/>
    <w:qFormat/>
    <w:rsid w:val="00DE67CB"/>
  </w:style>
  <w:style w:type="paragraph" w:customStyle="1" w:styleId="OpiQuotSub">
    <w:name w:val="Opi_Quot_Sub"/>
    <w:basedOn w:val="JuQuotSub"/>
    <w:uiPriority w:val="49"/>
    <w:qFormat/>
    <w:rsid w:val="00DE67CB"/>
  </w:style>
  <w:style w:type="paragraph" w:customStyle="1" w:styleId="ECHRFooter">
    <w:name w:val="ECHR_Footer"/>
    <w:aliases w:val="Footer_ECHR"/>
    <w:basedOn w:val="Pidipagina"/>
    <w:uiPriority w:val="57"/>
    <w:semiHidden/>
    <w:rsid w:val="00DE67CB"/>
    <w:pPr>
      <w:jc w:val="left"/>
    </w:pPr>
    <w:rPr>
      <w:sz w:val="8"/>
    </w:rPr>
  </w:style>
  <w:style w:type="paragraph" w:customStyle="1" w:styleId="ECHRFooterLine">
    <w:name w:val="ECHR_Footer_Line"/>
    <w:aliases w:val="Footer_Line"/>
    <w:basedOn w:val="Normale"/>
    <w:next w:val="ECHRFooter"/>
    <w:uiPriority w:val="57"/>
    <w:semiHidden/>
    <w:rsid w:val="00DE67C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DE67CB"/>
    <w:pPr>
      <w:spacing w:after="240"/>
      <w:jc w:val="center"/>
      <w:outlineLvl w:val="0"/>
    </w:pPr>
    <w:rPr>
      <w:rFonts w:asciiTheme="majorHAnsi" w:hAnsiTheme="majorHAnsi"/>
    </w:rPr>
  </w:style>
  <w:style w:type="paragraph" w:customStyle="1" w:styleId="OpiTranslation">
    <w:name w:val="Opi_Translation"/>
    <w:basedOn w:val="Normale"/>
    <w:next w:val="OpiPara"/>
    <w:uiPriority w:val="40"/>
    <w:qFormat/>
    <w:rsid w:val="00DE67CB"/>
    <w:pPr>
      <w:jc w:val="center"/>
      <w:outlineLvl w:val="0"/>
    </w:pPr>
    <w:rPr>
      <w:i/>
    </w:rPr>
  </w:style>
  <w:style w:type="paragraph" w:customStyle="1" w:styleId="JuHeaderLandscape">
    <w:name w:val="Ju_Header_Landscape"/>
    <w:basedOn w:val="ECHRHeader"/>
    <w:uiPriority w:val="4"/>
    <w:qFormat/>
    <w:rsid w:val="00DE67CB"/>
    <w:pPr>
      <w:tabs>
        <w:tab w:val="clear" w:pos="3686"/>
        <w:tab w:val="clear" w:pos="7371"/>
        <w:tab w:val="center" w:pos="6146"/>
        <w:tab w:val="right" w:pos="12293"/>
      </w:tabs>
    </w:pPr>
  </w:style>
  <w:style w:type="paragraph" w:customStyle="1" w:styleId="JuTitle">
    <w:name w:val="Ju_Title"/>
    <w:basedOn w:val="Normale"/>
    <w:next w:val="ECHRPara"/>
    <w:uiPriority w:val="3"/>
    <w:qFormat/>
    <w:rsid w:val="00DE67CB"/>
    <w:pPr>
      <w:spacing w:before="720" w:after="240"/>
      <w:jc w:val="center"/>
      <w:outlineLvl w:val="0"/>
    </w:pPr>
    <w:rPr>
      <w:rFonts w:asciiTheme="majorHAnsi" w:hAnsiTheme="majorHAnsi"/>
      <w:b/>
      <w:caps/>
    </w:rPr>
  </w:style>
  <w:style w:type="paragraph" w:customStyle="1" w:styleId="ECHRSpacer">
    <w:name w:val="ECHR_Spacer"/>
    <w:basedOn w:val="Normale"/>
    <w:uiPriority w:val="45"/>
    <w:rsid w:val="0059426D"/>
    <w:pPr>
      <w:jc w:val="left"/>
    </w:pPr>
    <w:rPr>
      <w:rFonts w:eastAsiaTheme="minorHAnsi"/>
      <w:sz w:val="4"/>
    </w:rPr>
  </w:style>
  <w:style w:type="character" w:customStyle="1" w:styleId="ECHRParaChar">
    <w:name w:val="ECHR_Para Char"/>
    <w:aliases w:val="Ju_Para Char"/>
    <w:link w:val="ECHRPara"/>
    <w:uiPriority w:val="12"/>
    <w:rsid w:val="0059426D"/>
    <w:rPr>
      <w:rFonts w:eastAsiaTheme="minorEastAsia"/>
      <w:sz w:val="24"/>
      <w:lang w:val="en-GB"/>
    </w:rPr>
  </w:style>
  <w:style w:type="paragraph" w:styleId="Revisione">
    <w:name w:val="Revision"/>
    <w:hidden/>
    <w:uiPriority w:val="99"/>
    <w:semiHidden/>
    <w:rsid w:val="0059426D"/>
    <w:rPr>
      <w:rFonts w:eastAsiaTheme="minorEastAsia"/>
      <w:sz w:val="24"/>
    </w:rPr>
  </w:style>
  <w:style w:type="character" w:customStyle="1" w:styleId="JuHIRomanChar">
    <w:name w:val="Ju_H_I_Roman Char"/>
    <w:basedOn w:val="Carpredefinitoparagrafo"/>
    <w:link w:val="ECHRHeading1"/>
    <w:uiPriority w:val="19"/>
    <w:rsid w:val="0059426D"/>
    <w:rPr>
      <w:rFonts w:asciiTheme="majorHAnsi" w:eastAsiaTheme="majorEastAsia" w:hAnsiTheme="majorHAnsi" w:cstheme="majorBidi"/>
      <w:bCs/>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DE67CB"/>
    <w:pPr>
      <w:jc w:val="both"/>
    </w:pPr>
    <w:rPr>
      <w:rFonts w:eastAsiaTheme="minorEastAsia"/>
      <w:sz w:val="24"/>
      <w:lang w:val="en-GB"/>
    </w:rPr>
  </w:style>
  <w:style w:type="paragraph" w:styleId="Titolo1">
    <w:name w:val="heading 1"/>
    <w:basedOn w:val="Normale"/>
    <w:next w:val="Normale"/>
    <w:link w:val="Titolo1Carattere"/>
    <w:uiPriority w:val="99"/>
    <w:semiHidden/>
    <w:rsid w:val="00DE67C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E67C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E67C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E67C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E67CB"/>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DE67C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E67CB"/>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DE67CB"/>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DE67CB"/>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E6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7CB"/>
    <w:rPr>
      <w:rFonts w:ascii="Tahoma" w:eastAsiaTheme="minorEastAsia" w:hAnsi="Tahoma" w:cs="Tahoma"/>
      <w:sz w:val="16"/>
      <w:szCs w:val="16"/>
      <w:lang w:val="en-GB"/>
    </w:rPr>
  </w:style>
  <w:style w:type="character" w:styleId="Titolodellibro">
    <w:name w:val="Book Title"/>
    <w:uiPriority w:val="99"/>
    <w:semiHidden/>
    <w:qFormat/>
    <w:rsid w:val="00DE67CB"/>
    <w:rPr>
      <w:i/>
      <w:iCs/>
      <w:smallCaps/>
      <w:spacing w:val="5"/>
    </w:rPr>
  </w:style>
  <w:style w:type="paragraph" w:customStyle="1" w:styleId="ECHRHeader">
    <w:name w:val="ECHR_Header"/>
    <w:aliases w:val="Ju_Header"/>
    <w:basedOn w:val="Intestazione"/>
    <w:uiPriority w:val="4"/>
    <w:qFormat/>
    <w:rsid w:val="00DE67CB"/>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DE67CB"/>
  </w:style>
  <w:style w:type="character" w:styleId="Enfasigrassetto">
    <w:name w:val="Strong"/>
    <w:uiPriority w:val="99"/>
    <w:semiHidden/>
    <w:qFormat/>
    <w:rsid w:val="00DE67CB"/>
    <w:rPr>
      <w:b/>
      <w:bCs/>
    </w:rPr>
  </w:style>
  <w:style w:type="paragraph" w:styleId="Nessunaspaziatura">
    <w:name w:val="No Spacing"/>
    <w:basedOn w:val="Normale"/>
    <w:link w:val="NessunaspaziaturaCarattere"/>
    <w:semiHidden/>
    <w:qFormat/>
    <w:rsid w:val="00DE67CB"/>
    <w:rPr>
      <w:sz w:val="22"/>
      <w:lang w:val="en-US"/>
    </w:rPr>
  </w:style>
  <w:style w:type="character" w:customStyle="1" w:styleId="NessunaspaziaturaCarattere">
    <w:name w:val="Nessuna spaziatura Carattere"/>
    <w:basedOn w:val="Carpredefinitoparagrafo"/>
    <w:link w:val="Nessunaspaziatura"/>
    <w:semiHidden/>
    <w:rsid w:val="00DE67CB"/>
    <w:rPr>
      <w:rFonts w:eastAsiaTheme="minorEastAsia"/>
    </w:rPr>
  </w:style>
  <w:style w:type="paragraph" w:customStyle="1" w:styleId="ECHRParaQuote">
    <w:name w:val="ECHR_Para_Quote"/>
    <w:aliases w:val="Ju_Quot"/>
    <w:basedOn w:val="Normale"/>
    <w:uiPriority w:val="14"/>
    <w:qFormat/>
    <w:rsid w:val="00DE67CB"/>
    <w:pPr>
      <w:spacing w:before="120" w:after="120"/>
      <w:ind w:left="425" w:firstLine="142"/>
    </w:pPr>
    <w:rPr>
      <w:sz w:val="20"/>
    </w:rPr>
  </w:style>
  <w:style w:type="paragraph" w:customStyle="1" w:styleId="JuParaSub">
    <w:name w:val="Ju_Para_Sub"/>
    <w:basedOn w:val="ECHRPara"/>
    <w:uiPriority w:val="13"/>
    <w:qFormat/>
    <w:rsid w:val="00DE67CB"/>
    <w:pPr>
      <w:ind w:left="284"/>
    </w:pPr>
  </w:style>
  <w:style w:type="paragraph" w:customStyle="1" w:styleId="DecList">
    <w:name w:val="Dec_List"/>
    <w:basedOn w:val="Normale"/>
    <w:uiPriority w:val="9"/>
    <w:semiHidden/>
    <w:qFormat/>
    <w:rsid w:val="00DE67CB"/>
    <w:pPr>
      <w:spacing w:before="240"/>
      <w:ind w:left="284"/>
    </w:pPr>
  </w:style>
  <w:style w:type="paragraph" w:customStyle="1" w:styleId="DummyStyle">
    <w:name w:val="Dummy_Style"/>
    <w:basedOn w:val="Normale"/>
    <w:semiHidden/>
    <w:qFormat/>
    <w:rsid w:val="00DE67CB"/>
    <w:rPr>
      <w:color w:val="00B050"/>
    </w:rPr>
  </w:style>
  <w:style w:type="paragraph" w:customStyle="1" w:styleId="JuAppQuestion">
    <w:name w:val="Ju_App_Question"/>
    <w:basedOn w:val="Normale"/>
    <w:uiPriority w:val="5"/>
    <w:semiHidden/>
    <w:qFormat/>
    <w:rsid w:val="00DE67CB"/>
    <w:pPr>
      <w:numPr>
        <w:numId w:val="24"/>
      </w:numPr>
      <w:jc w:val="left"/>
    </w:pPr>
    <w:rPr>
      <w:b/>
    </w:rPr>
  </w:style>
  <w:style w:type="paragraph" w:customStyle="1" w:styleId="ECHRTitleCentre3">
    <w:name w:val="ECHR_Title_Centre_3"/>
    <w:aliases w:val="Ju_H_Article"/>
    <w:basedOn w:val="Normale"/>
    <w:next w:val="ECHRParaQuote"/>
    <w:uiPriority w:val="27"/>
    <w:qFormat/>
    <w:rsid w:val="00DE67C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DE67CB"/>
    <w:pPr>
      <w:keepNext/>
      <w:keepLines/>
      <w:spacing w:after="240"/>
      <w:jc w:val="center"/>
      <w:outlineLvl w:val="0"/>
    </w:pPr>
    <w:rPr>
      <w:rFonts w:asciiTheme="majorHAnsi" w:hAnsiTheme="majorHAnsi"/>
      <w:sz w:val="28"/>
    </w:rPr>
  </w:style>
  <w:style w:type="paragraph" w:customStyle="1" w:styleId="JuCourt">
    <w:name w:val="Ju_Court"/>
    <w:basedOn w:val="Normale"/>
    <w:next w:val="Normale"/>
    <w:uiPriority w:val="16"/>
    <w:qFormat/>
    <w:rsid w:val="00DE67CB"/>
    <w:pPr>
      <w:tabs>
        <w:tab w:val="left" w:pos="907"/>
        <w:tab w:val="left" w:pos="1701"/>
        <w:tab w:val="right" w:pos="7371"/>
      </w:tabs>
      <w:spacing w:before="240"/>
      <w:ind w:left="397" w:hanging="397"/>
      <w:jc w:val="left"/>
    </w:pPr>
    <w:rPr>
      <w:lang w:bidi="en-US"/>
    </w:rPr>
  </w:style>
  <w:style w:type="paragraph" w:customStyle="1" w:styleId="ECHRTitle1">
    <w:name w:val="ECHR_Title_1"/>
    <w:aliases w:val="Ju_H_Head"/>
    <w:basedOn w:val="Normale"/>
    <w:next w:val="ECHRPara"/>
    <w:uiPriority w:val="18"/>
    <w:qFormat/>
    <w:rsid w:val="00DE67CB"/>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DE67CB"/>
    <w:pPr>
      <w:tabs>
        <w:tab w:val="center" w:pos="6407"/>
      </w:tabs>
      <w:spacing w:before="720"/>
      <w:jc w:val="right"/>
    </w:pPr>
  </w:style>
  <w:style w:type="paragraph" w:customStyle="1" w:styleId="JuSigned">
    <w:name w:val="Ju_Signed"/>
    <w:basedOn w:val="Normale"/>
    <w:next w:val="JuParaLast"/>
    <w:uiPriority w:val="32"/>
    <w:qFormat/>
    <w:rsid w:val="00DE67CB"/>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DE67CB"/>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DE67CB"/>
    <w:rPr>
      <w:rFonts w:asciiTheme="majorHAnsi" w:eastAsiaTheme="majorEastAsia" w:hAnsiTheme="majorHAnsi" w:cstheme="majorBidi"/>
      <w:spacing w:val="5"/>
      <w:sz w:val="52"/>
      <w:szCs w:val="52"/>
      <w:lang w:bidi="en-US"/>
    </w:rPr>
  </w:style>
  <w:style w:type="paragraph" w:customStyle="1" w:styleId="JuListi">
    <w:name w:val="Ju_List_i"/>
    <w:basedOn w:val="Normale"/>
    <w:next w:val="JuLista"/>
    <w:uiPriority w:val="28"/>
    <w:qFormat/>
    <w:rsid w:val="00DE67CB"/>
    <w:pPr>
      <w:ind w:left="794"/>
    </w:pPr>
  </w:style>
  <w:style w:type="character" w:customStyle="1" w:styleId="JUNAMES">
    <w:name w:val="JU_NAMES"/>
    <w:uiPriority w:val="17"/>
    <w:qFormat/>
    <w:rsid w:val="00DE67CB"/>
    <w:rPr>
      <w:caps w:val="0"/>
      <w:smallCaps/>
    </w:rPr>
  </w:style>
  <w:style w:type="character" w:customStyle="1" w:styleId="JuITMark">
    <w:name w:val="Ju_ITMark"/>
    <w:basedOn w:val="Carpredefinitoparagrafo"/>
    <w:uiPriority w:val="38"/>
    <w:qFormat/>
    <w:rsid w:val="00DE67CB"/>
    <w:rPr>
      <w:vanish w:val="0"/>
      <w:color w:val="auto"/>
      <w:sz w:val="14"/>
      <w:bdr w:val="none" w:sz="0" w:space="0" w:color="auto"/>
      <w:shd w:val="clear" w:color="auto" w:fill="BEE5FF" w:themeFill="background1" w:themeFillTint="33"/>
    </w:rPr>
  </w:style>
  <w:style w:type="paragraph" w:customStyle="1" w:styleId="JuQuotSub">
    <w:name w:val="Ju_Quot_Sub"/>
    <w:basedOn w:val="ECHRParaQuote"/>
    <w:uiPriority w:val="15"/>
    <w:qFormat/>
    <w:rsid w:val="00DE67CB"/>
    <w:pPr>
      <w:ind w:left="567"/>
    </w:pPr>
  </w:style>
  <w:style w:type="paragraph" w:customStyle="1" w:styleId="OpiH1">
    <w:name w:val="Opi_H_1"/>
    <w:basedOn w:val="ECHRHeading2"/>
    <w:uiPriority w:val="42"/>
    <w:qFormat/>
    <w:rsid w:val="00DE67CB"/>
    <w:pPr>
      <w:ind w:left="635" w:hanging="357"/>
      <w:outlineLvl w:val="2"/>
    </w:pPr>
  </w:style>
  <w:style w:type="paragraph" w:customStyle="1" w:styleId="ECHRHeading1">
    <w:name w:val="ECHR_Heading_1"/>
    <w:aliases w:val="Ju_H_I_Roman"/>
    <w:basedOn w:val="Titolo1"/>
    <w:next w:val="ECHRPara"/>
    <w:link w:val="JuHIRomanChar"/>
    <w:uiPriority w:val="19"/>
    <w:qFormat/>
    <w:rsid w:val="00DE67C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DE67C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DE67CB"/>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DE67C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E67CB"/>
    <w:rPr>
      <w:sz w:val="24"/>
      <w:lang w:val="en-GB"/>
    </w:rPr>
  </w:style>
  <w:style w:type="character" w:customStyle="1" w:styleId="Titolo1Carattere">
    <w:name w:val="Titolo 1 Carattere"/>
    <w:basedOn w:val="Carpredefinitoparagrafo"/>
    <w:link w:val="Titolo1"/>
    <w:uiPriority w:val="99"/>
    <w:semiHidden/>
    <w:rsid w:val="00DE67CB"/>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DE67C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DE67CB"/>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DE67CB"/>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DE67C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DE67CB"/>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DE67CB"/>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DE67CB"/>
    <w:pPr>
      <w:keepNext/>
      <w:keepLines/>
      <w:spacing w:before="240"/>
      <w:ind w:firstLine="284"/>
    </w:pPr>
  </w:style>
  <w:style w:type="paragraph" w:customStyle="1" w:styleId="JuList">
    <w:name w:val="Ju_List"/>
    <w:basedOn w:val="Normale"/>
    <w:uiPriority w:val="28"/>
    <w:qFormat/>
    <w:rsid w:val="00DE67CB"/>
    <w:pPr>
      <w:ind w:left="340" w:hanging="340"/>
    </w:pPr>
  </w:style>
  <w:style w:type="character" w:customStyle="1" w:styleId="Titolo4Carattere">
    <w:name w:val="Titolo 4 Carattere"/>
    <w:basedOn w:val="Carpredefinitoparagrafo"/>
    <w:link w:val="Titolo4"/>
    <w:uiPriority w:val="99"/>
    <w:semiHidden/>
    <w:rsid w:val="00DE67CB"/>
    <w:rPr>
      <w:rFonts w:asciiTheme="majorHAnsi" w:eastAsiaTheme="majorEastAsia" w:hAnsiTheme="majorHAnsi" w:cstheme="majorBidi"/>
      <w:b/>
      <w:bCs/>
      <w:i/>
      <w:iCs/>
      <w:color w:val="777777"/>
      <w:sz w:val="24"/>
      <w:lang w:val="en-GB"/>
    </w:rPr>
  </w:style>
  <w:style w:type="paragraph" w:customStyle="1" w:styleId="JuLista">
    <w:name w:val="Ju_List_a"/>
    <w:basedOn w:val="JuList"/>
    <w:uiPriority w:val="28"/>
    <w:qFormat/>
    <w:rsid w:val="00DE67CB"/>
    <w:pPr>
      <w:ind w:left="346" w:firstLine="0"/>
    </w:pPr>
  </w:style>
  <w:style w:type="character" w:customStyle="1" w:styleId="Titolo5Carattere">
    <w:name w:val="Titolo 5 Carattere"/>
    <w:basedOn w:val="Carpredefinitoparagrafo"/>
    <w:link w:val="Titolo5"/>
    <w:uiPriority w:val="99"/>
    <w:semiHidden/>
    <w:rsid w:val="00DE67CB"/>
    <w:rPr>
      <w:rFonts w:asciiTheme="majorHAnsi" w:eastAsiaTheme="majorEastAsia" w:hAnsiTheme="majorHAnsi" w:cstheme="majorBidi"/>
      <w:b/>
      <w:bCs/>
      <w:color w:val="808080"/>
    </w:rPr>
  </w:style>
  <w:style w:type="paragraph" w:customStyle="1" w:styleId="OpiHa">
    <w:name w:val="Opi_H_a"/>
    <w:basedOn w:val="ECHRHeading3"/>
    <w:uiPriority w:val="43"/>
    <w:qFormat/>
    <w:rsid w:val="00DE67CB"/>
    <w:pPr>
      <w:ind w:left="833" w:hanging="357"/>
      <w:outlineLvl w:val="3"/>
    </w:pPr>
    <w:rPr>
      <w:b/>
      <w:i w:val="0"/>
      <w:sz w:val="20"/>
    </w:rPr>
  </w:style>
  <w:style w:type="paragraph" w:customStyle="1" w:styleId="OpiHA0">
    <w:name w:val="Opi_H_A"/>
    <w:basedOn w:val="ECHRHeading1"/>
    <w:next w:val="OpiPara"/>
    <w:uiPriority w:val="41"/>
    <w:qFormat/>
    <w:rsid w:val="00DE67CB"/>
    <w:pPr>
      <w:tabs>
        <w:tab w:val="clear" w:pos="357"/>
      </w:tabs>
      <w:outlineLvl w:val="1"/>
    </w:pPr>
    <w:rPr>
      <w:b/>
    </w:rPr>
  </w:style>
  <w:style w:type="character" w:styleId="Enfasidelicata">
    <w:name w:val="Subtle Emphasis"/>
    <w:uiPriority w:val="99"/>
    <w:semiHidden/>
    <w:qFormat/>
    <w:rsid w:val="00DE67CB"/>
    <w:rPr>
      <w:i/>
      <w:iCs/>
    </w:rPr>
  </w:style>
  <w:style w:type="paragraph" w:customStyle="1" w:styleId="OpiHi">
    <w:name w:val="Opi_H_i"/>
    <w:basedOn w:val="ECHRHeading4"/>
    <w:uiPriority w:val="44"/>
    <w:qFormat/>
    <w:rsid w:val="00DE67CB"/>
    <w:pPr>
      <w:ind w:left="1037" w:hanging="357"/>
      <w:outlineLvl w:val="4"/>
    </w:pPr>
    <w:rPr>
      <w:b w:val="0"/>
      <w:i/>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Para">
    <w:name w:val="Opi_Para"/>
    <w:basedOn w:val="ECHRPara"/>
    <w:uiPriority w:val="46"/>
    <w:qFormat/>
    <w:rsid w:val="00DE67CB"/>
  </w:style>
  <w:style w:type="paragraph" w:customStyle="1" w:styleId="OpiParaSub">
    <w:name w:val="Opi_Para_Sub"/>
    <w:basedOn w:val="JuParaSub"/>
    <w:uiPriority w:val="47"/>
    <w:qFormat/>
    <w:rsid w:val="00DE67CB"/>
  </w:style>
  <w:style w:type="paragraph" w:styleId="Sottotitolo">
    <w:name w:val="Subtitle"/>
    <w:basedOn w:val="Normale"/>
    <w:next w:val="Normale"/>
    <w:link w:val="SottotitoloCarattere"/>
    <w:uiPriority w:val="99"/>
    <w:semiHidden/>
    <w:qFormat/>
    <w:rsid w:val="00DE67CB"/>
    <w:pPr>
      <w:spacing w:after="600"/>
    </w:pPr>
    <w:rPr>
      <w:rFonts w:asciiTheme="majorHAnsi" w:eastAsiaTheme="majorEastAsia" w:hAnsiTheme="majorHAnsi" w:cstheme="majorBidi"/>
      <w:i/>
      <w:iCs/>
      <w:spacing w:val="13"/>
      <w:szCs w:val="24"/>
      <w:lang w:val="en-US" w:bidi="en-US"/>
    </w:rPr>
  </w:style>
  <w:style w:type="character" w:styleId="Enfasicorsivo">
    <w:name w:val="Emphasis"/>
    <w:uiPriority w:val="99"/>
    <w:semiHidden/>
    <w:qFormat/>
    <w:rsid w:val="00DE67CB"/>
    <w:rPr>
      <w:b/>
      <w:bCs/>
      <w:i/>
      <w:iCs/>
      <w:spacing w:val="10"/>
      <w:bdr w:val="none" w:sz="0" w:space="0" w:color="auto"/>
      <w:shd w:val="clear" w:color="auto" w:fill="auto"/>
    </w:rPr>
  </w:style>
  <w:style w:type="paragraph" w:styleId="Pidipagina">
    <w:name w:val="footer"/>
    <w:basedOn w:val="Normale"/>
    <w:link w:val="PidipaginaCarattere"/>
    <w:uiPriority w:val="57"/>
    <w:semiHidden/>
    <w:rsid w:val="00DE67C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E67CB"/>
    <w:rPr>
      <w:sz w:val="24"/>
      <w:lang w:val="en-GB"/>
    </w:rPr>
  </w:style>
  <w:style w:type="character" w:styleId="Rimandonotaapidipagina">
    <w:name w:val="footnote reference"/>
    <w:basedOn w:val="Carpredefinitoparagrafo"/>
    <w:uiPriority w:val="99"/>
    <w:semiHidden/>
    <w:rsid w:val="00DE67CB"/>
    <w:rPr>
      <w:vertAlign w:val="superscript"/>
    </w:rPr>
  </w:style>
  <w:style w:type="paragraph" w:styleId="Testonotaapidipagina">
    <w:name w:val="footnote text"/>
    <w:basedOn w:val="Normale"/>
    <w:link w:val="TestonotaapidipaginaCarattere"/>
    <w:uiPriority w:val="99"/>
    <w:semiHidden/>
    <w:rsid w:val="00DE67CB"/>
    <w:rPr>
      <w:sz w:val="20"/>
      <w:szCs w:val="20"/>
    </w:rPr>
  </w:style>
  <w:style w:type="character" w:customStyle="1" w:styleId="TestonotaapidipaginaCarattere">
    <w:name w:val="Testo nota a piè di pagina Carattere"/>
    <w:basedOn w:val="Carpredefinitoparagrafo"/>
    <w:link w:val="Testonotaapidipagina"/>
    <w:uiPriority w:val="99"/>
    <w:semiHidden/>
    <w:rsid w:val="00DE67CB"/>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DE67CB"/>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DE67C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DE67C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E67C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E67CB"/>
    <w:rPr>
      <w:color w:val="0072BC" w:themeColor="hyperlink"/>
      <w:u w:val="single"/>
    </w:rPr>
  </w:style>
  <w:style w:type="character" w:styleId="Enfasiintensa">
    <w:name w:val="Intense Emphasis"/>
    <w:uiPriority w:val="99"/>
    <w:semiHidden/>
    <w:qFormat/>
    <w:rsid w:val="00DE67CB"/>
    <w:rPr>
      <w:b/>
      <w:bCs/>
    </w:rPr>
  </w:style>
  <w:style w:type="paragraph" w:styleId="Citazioneintensa">
    <w:name w:val="Intense Quote"/>
    <w:basedOn w:val="Normale"/>
    <w:next w:val="Normale"/>
    <w:link w:val="CitazioneintensaCarattere"/>
    <w:uiPriority w:val="99"/>
    <w:semiHidden/>
    <w:qFormat/>
    <w:rsid w:val="00DE67CB"/>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DE67CB"/>
    <w:rPr>
      <w:rFonts w:eastAsiaTheme="minorEastAsia"/>
      <w:b/>
      <w:bCs/>
      <w:i/>
      <w:iCs/>
      <w:lang w:bidi="en-US"/>
    </w:rPr>
  </w:style>
  <w:style w:type="character" w:styleId="Riferimentointenso">
    <w:name w:val="Intense Reference"/>
    <w:uiPriority w:val="99"/>
    <w:semiHidden/>
    <w:qFormat/>
    <w:rsid w:val="00DE67CB"/>
    <w:rPr>
      <w:smallCaps/>
      <w:spacing w:val="5"/>
      <w:u w:val="single"/>
    </w:rPr>
  </w:style>
  <w:style w:type="paragraph" w:styleId="Paragrafoelenco">
    <w:name w:val="List Paragraph"/>
    <w:basedOn w:val="Normale"/>
    <w:uiPriority w:val="99"/>
    <w:semiHidden/>
    <w:qFormat/>
    <w:rsid w:val="00DE67CB"/>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E67CB"/>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DE67CB"/>
    <w:rPr>
      <w:rFonts w:eastAsiaTheme="minorEastAsia"/>
      <w:i/>
      <w:iCs/>
      <w:lang w:bidi="en-US"/>
    </w:rPr>
  </w:style>
  <w:style w:type="character" w:styleId="Riferimentodelicato">
    <w:name w:val="Subtle Reference"/>
    <w:uiPriority w:val="99"/>
    <w:semiHidden/>
    <w:qFormat/>
    <w:rsid w:val="00DE67CB"/>
    <w:rPr>
      <w:smallCaps/>
    </w:rPr>
  </w:style>
  <w:style w:type="table" w:styleId="Grigliatabella">
    <w:name w:val="Table Grid"/>
    <w:basedOn w:val="Tabellanormale"/>
    <w:uiPriority w:val="59"/>
    <w:semiHidden/>
    <w:rsid w:val="00DE67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E67C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E67C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E67C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E67C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E67C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E67C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E67C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ottotitoloCarattere">
    <w:name w:val="Sottotitolo Carattere"/>
    <w:basedOn w:val="Carpredefinitoparagrafo"/>
    <w:link w:val="Sottotitolo"/>
    <w:uiPriority w:val="99"/>
    <w:semiHidden/>
    <w:rsid w:val="00DE67C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2"/>
      </w:numPr>
    </w:pPr>
  </w:style>
  <w:style w:type="numbering" w:styleId="1ai">
    <w:name w:val="Outline List 1"/>
    <w:basedOn w:val="Nessunelenco"/>
    <w:uiPriority w:val="99"/>
    <w:semiHidden/>
    <w:unhideWhenUsed/>
    <w:rsid w:val="002D2C99"/>
    <w:pPr>
      <w:numPr>
        <w:numId w:val="3"/>
      </w:numPr>
    </w:pPr>
  </w:style>
  <w:style w:type="paragraph" w:customStyle="1" w:styleId="ECHRPara">
    <w:name w:val="ECHR_Para"/>
    <w:aliases w:val="Ju_Para"/>
    <w:basedOn w:val="Normale"/>
    <w:link w:val="ECHRParaChar"/>
    <w:uiPriority w:val="12"/>
    <w:qFormat/>
    <w:rsid w:val="00DE67CB"/>
    <w:pPr>
      <w:ind w:firstLine="284"/>
    </w:pPr>
  </w:style>
  <w:style w:type="numbering" w:styleId="ArticoloSezione">
    <w:name w:val="Outline List 3"/>
    <w:basedOn w:val="Nessunelenco"/>
    <w:uiPriority w:val="99"/>
    <w:semiHidden/>
    <w:unhideWhenUsed/>
    <w:rsid w:val="002D2C99"/>
    <w:pPr>
      <w:numPr>
        <w:numId w:val="4"/>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E67C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DE67CB"/>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DE67CB"/>
    <w:pPr>
      <w:ind w:firstLine="284"/>
    </w:pPr>
    <w:rPr>
      <w:b/>
    </w:rPr>
  </w:style>
  <w:style w:type="character" w:styleId="Numeropagina">
    <w:name w:val="page number"/>
    <w:uiPriority w:val="99"/>
    <w:semiHidden/>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1"/>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semiHidden/>
    <w:rsid w:val="002D2C99"/>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70"/>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uiPriority w:val="99"/>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uiPriority w:val="99"/>
    <w:semiHidden/>
    <w:rsid w:val="00DE67CB"/>
    <w:rPr>
      <w:vertAlign w:val="superscript"/>
    </w:rPr>
  </w:style>
  <w:style w:type="paragraph" w:styleId="Testonotadichiusura">
    <w:name w:val="endnote text"/>
    <w:basedOn w:val="Normale"/>
    <w:link w:val="TestonotadichiusuraCarattere"/>
    <w:uiPriority w:val="99"/>
    <w:semiHidden/>
    <w:rsid w:val="00DE67CB"/>
    <w:rPr>
      <w:sz w:val="20"/>
      <w:szCs w:val="20"/>
    </w:rPr>
  </w:style>
  <w:style w:type="character" w:customStyle="1" w:styleId="TestonotadichiusuraCarattere">
    <w:name w:val="Testo nota di chiusura Carattere"/>
    <w:basedOn w:val="Carpredefinitoparagrafo"/>
    <w:link w:val="Testonotadichiusura"/>
    <w:uiPriority w:val="99"/>
    <w:semiHidden/>
    <w:rsid w:val="00DE67CB"/>
    <w:rPr>
      <w:rFonts w:eastAsiaTheme="minorEastAsia"/>
      <w:sz w:val="20"/>
      <w:szCs w:val="20"/>
      <w:lang w:val="en-GB"/>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62"/>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uiPriority w:val="99"/>
    <w:semiHidden/>
    <w:rsid w:val="002D2C99"/>
    <w:pPr>
      <w:numPr>
        <w:numId w:val="5"/>
      </w:numPr>
      <w:contextualSpacing/>
    </w:pPr>
  </w:style>
  <w:style w:type="paragraph" w:styleId="Puntoelenco3">
    <w:name w:val="List Bullet 3"/>
    <w:basedOn w:val="Normale"/>
    <w:uiPriority w:val="99"/>
    <w:semiHidden/>
    <w:rsid w:val="002D2C99"/>
    <w:pPr>
      <w:numPr>
        <w:numId w:val="6"/>
      </w:numPr>
      <w:contextualSpacing/>
    </w:pPr>
  </w:style>
  <w:style w:type="paragraph" w:styleId="Puntoelenco4">
    <w:name w:val="List Bullet 4"/>
    <w:basedOn w:val="Normale"/>
    <w:uiPriority w:val="99"/>
    <w:semiHidden/>
    <w:rsid w:val="002D2C99"/>
    <w:pPr>
      <w:numPr>
        <w:numId w:val="7"/>
      </w:numPr>
      <w:contextualSpacing/>
    </w:pPr>
  </w:style>
  <w:style w:type="paragraph" w:styleId="Puntoelenco5">
    <w:name w:val="List Bullet 5"/>
    <w:basedOn w:val="Normale"/>
    <w:uiPriority w:val="99"/>
    <w:semiHidden/>
    <w:rsid w:val="002D2C99"/>
    <w:pPr>
      <w:numPr>
        <w:numId w:val="8"/>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9"/>
      </w:numPr>
      <w:contextualSpacing/>
    </w:pPr>
  </w:style>
  <w:style w:type="paragraph" w:styleId="Numeroelenco2">
    <w:name w:val="List Number 2"/>
    <w:basedOn w:val="Normale"/>
    <w:uiPriority w:val="99"/>
    <w:semiHidden/>
    <w:rsid w:val="002D2C99"/>
    <w:pPr>
      <w:numPr>
        <w:numId w:val="10"/>
      </w:numPr>
      <w:contextualSpacing/>
    </w:pPr>
  </w:style>
  <w:style w:type="paragraph" w:styleId="Numeroelenco3">
    <w:name w:val="List Number 3"/>
    <w:basedOn w:val="Normale"/>
    <w:uiPriority w:val="99"/>
    <w:semiHidden/>
    <w:rsid w:val="002D2C99"/>
    <w:pPr>
      <w:numPr>
        <w:numId w:val="11"/>
      </w:numPr>
      <w:contextualSpacing/>
    </w:pPr>
  </w:style>
  <w:style w:type="paragraph" w:styleId="Numeroelenco4">
    <w:name w:val="List Number 4"/>
    <w:basedOn w:val="Normale"/>
    <w:uiPriority w:val="99"/>
    <w:semiHidden/>
    <w:rsid w:val="002D2C99"/>
    <w:pPr>
      <w:numPr>
        <w:numId w:val="12"/>
      </w:numPr>
      <w:contextualSpacing/>
    </w:pPr>
  </w:style>
  <w:style w:type="paragraph" w:styleId="Numeroelenco5">
    <w:name w:val="List Number 5"/>
    <w:basedOn w:val="Normale"/>
    <w:uiPriority w:val="99"/>
    <w:semiHidden/>
    <w:rsid w:val="002D2C99"/>
    <w:pPr>
      <w:numPr>
        <w:numId w:val="13"/>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67"/>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DE67C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E67C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E67C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OpiQuot">
    <w:name w:val="Opi_Quot"/>
    <w:basedOn w:val="ECHRParaQuote"/>
    <w:uiPriority w:val="48"/>
    <w:qFormat/>
    <w:rsid w:val="00DE67CB"/>
  </w:style>
  <w:style w:type="paragraph" w:customStyle="1" w:styleId="OpiQuotSub">
    <w:name w:val="Opi_Quot_Sub"/>
    <w:basedOn w:val="JuQuotSub"/>
    <w:uiPriority w:val="49"/>
    <w:qFormat/>
    <w:rsid w:val="00DE67CB"/>
  </w:style>
  <w:style w:type="paragraph" w:customStyle="1" w:styleId="ECHRFooter">
    <w:name w:val="ECHR_Footer"/>
    <w:aliases w:val="Footer_ECHR"/>
    <w:basedOn w:val="Pidipagina"/>
    <w:uiPriority w:val="57"/>
    <w:semiHidden/>
    <w:rsid w:val="00DE67CB"/>
    <w:pPr>
      <w:jc w:val="left"/>
    </w:pPr>
    <w:rPr>
      <w:sz w:val="8"/>
    </w:rPr>
  </w:style>
  <w:style w:type="paragraph" w:customStyle="1" w:styleId="ECHRFooterLine">
    <w:name w:val="ECHR_Footer_Line"/>
    <w:aliases w:val="Footer_Line"/>
    <w:basedOn w:val="Normale"/>
    <w:next w:val="ECHRFooter"/>
    <w:uiPriority w:val="57"/>
    <w:semiHidden/>
    <w:rsid w:val="00DE67C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DE67CB"/>
    <w:pPr>
      <w:spacing w:after="240"/>
      <w:jc w:val="center"/>
      <w:outlineLvl w:val="0"/>
    </w:pPr>
    <w:rPr>
      <w:rFonts w:asciiTheme="majorHAnsi" w:hAnsiTheme="majorHAnsi"/>
    </w:rPr>
  </w:style>
  <w:style w:type="paragraph" w:customStyle="1" w:styleId="OpiTranslation">
    <w:name w:val="Opi_Translation"/>
    <w:basedOn w:val="Normale"/>
    <w:next w:val="OpiPara"/>
    <w:uiPriority w:val="40"/>
    <w:qFormat/>
    <w:rsid w:val="00DE67CB"/>
    <w:pPr>
      <w:jc w:val="center"/>
      <w:outlineLvl w:val="0"/>
    </w:pPr>
    <w:rPr>
      <w:i/>
    </w:rPr>
  </w:style>
  <w:style w:type="paragraph" w:customStyle="1" w:styleId="JuHeaderLandscape">
    <w:name w:val="Ju_Header_Landscape"/>
    <w:basedOn w:val="ECHRHeader"/>
    <w:uiPriority w:val="4"/>
    <w:qFormat/>
    <w:rsid w:val="00DE67CB"/>
    <w:pPr>
      <w:tabs>
        <w:tab w:val="clear" w:pos="3686"/>
        <w:tab w:val="clear" w:pos="7371"/>
        <w:tab w:val="center" w:pos="6146"/>
        <w:tab w:val="right" w:pos="12293"/>
      </w:tabs>
    </w:pPr>
  </w:style>
  <w:style w:type="paragraph" w:customStyle="1" w:styleId="JuTitle">
    <w:name w:val="Ju_Title"/>
    <w:basedOn w:val="Normale"/>
    <w:next w:val="ECHRPara"/>
    <w:uiPriority w:val="3"/>
    <w:qFormat/>
    <w:rsid w:val="00DE67CB"/>
    <w:pPr>
      <w:spacing w:before="720" w:after="240"/>
      <w:jc w:val="center"/>
      <w:outlineLvl w:val="0"/>
    </w:pPr>
    <w:rPr>
      <w:rFonts w:asciiTheme="majorHAnsi" w:hAnsiTheme="majorHAnsi"/>
      <w:b/>
      <w:caps/>
    </w:rPr>
  </w:style>
  <w:style w:type="paragraph" w:customStyle="1" w:styleId="ECHRSpacer">
    <w:name w:val="ECHR_Spacer"/>
    <w:basedOn w:val="Normale"/>
    <w:uiPriority w:val="45"/>
    <w:rsid w:val="0059426D"/>
    <w:pPr>
      <w:jc w:val="left"/>
    </w:pPr>
    <w:rPr>
      <w:rFonts w:eastAsiaTheme="minorHAnsi"/>
      <w:sz w:val="4"/>
    </w:rPr>
  </w:style>
  <w:style w:type="character" w:customStyle="1" w:styleId="ECHRParaChar">
    <w:name w:val="ECHR_Para Char"/>
    <w:aliases w:val="Ju_Para Char"/>
    <w:link w:val="ECHRPara"/>
    <w:uiPriority w:val="12"/>
    <w:rsid w:val="0059426D"/>
    <w:rPr>
      <w:rFonts w:eastAsiaTheme="minorEastAsia"/>
      <w:sz w:val="24"/>
      <w:lang w:val="en-GB"/>
    </w:rPr>
  </w:style>
  <w:style w:type="paragraph" w:styleId="Revisione">
    <w:name w:val="Revision"/>
    <w:hidden/>
    <w:uiPriority w:val="99"/>
    <w:semiHidden/>
    <w:rsid w:val="0059426D"/>
    <w:rPr>
      <w:rFonts w:eastAsiaTheme="minorEastAsia"/>
      <w:sz w:val="24"/>
    </w:rPr>
  </w:style>
  <w:style w:type="character" w:customStyle="1" w:styleId="JuHIRomanChar">
    <w:name w:val="Ju_H_I_Roman Char"/>
    <w:basedOn w:val="Carpredefinitoparagrafo"/>
    <w:link w:val="ECHRHeading1"/>
    <w:uiPriority w:val="19"/>
    <w:rsid w:val="0059426D"/>
    <w:rPr>
      <w:rFonts w:asciiTheme="majorHAnsi" w:eastAsiaTheme="majorEastAsia" w:hAnsiTheme="majorHAnsi" w:cstheme="majorBidi"/>
      <w:b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ontext.reverso.net/traduzione/francese-italiano/anhydride+sulfure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53B1-4838-4B48-996D-290B44490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36843-D726-4690-8E8B-C93FCCE9E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167A-C473-46F5-9D3D-FDE83A9201E5}">
  <ds:schemaRefs>
    <ds:schemaRef ds:uri="http://schemas.microsoft.com/sharepoint/v3/contenttype/forms"/>
  </ds:schemaRefs>
</ds:datastoreItem>
</file>

<file path=customXml/itemProps4.xml><?xml version="1.0" encoding="utf-8"?>
<ds:datastoreItem xmlns:ds="http://schemas.openxmlformats.org/officeDocument/2006/customXml" ds:itemID="{CAD62819-EC6C-4AE2-9CE1-3E3EF981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13887</Words>
  <Characters>79156</Characters>
  <Application>Microsoft Office Word</Application>
  <DocSecurity>0</DocSecurity>
  <Lines>659</Lines>
  <Paragraphs>185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92858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2019-06-05T13:13:00Z</dcterms:created>
  <dcterms:modified xsi:type="dcterms:W3CDTF">2019-06-05T13:13:00Z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54414/13</vt:lpwstr>
  </property>
  <property fmtid="{D5CDD505-2E9C-101B-9397-08002B2CF9AE}" pid="4" name="CASEID">
    <vt:lpwstr>905145</vt:lpwstr>
  </property>
  <property fmtid="{D5CDD505-2E9C-101B-9397-08002B2CF9AE}" pid="5" name="ContentTypeId">
    <vt:lpwstr>0x010100558EB02BDB9E204AB350EDD385B68E10</vt:lpwstr>
  </property>
</Properties>
</file>