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F4590" w14:textId="45E32F68" w:rsidR="00071E4F" w:rsidRDefault="00071E4F" w:rsidP="00A054F0">
      <w:pPr>
        <w:jc w:val="center"/>
        <w:rPr>
          <w:rFonts w:ascii="Times New Roman" w:hAnsi="Times New Roman" w:cs="Times New Roman"/>
        </w:rPr>
      </w:pPr>
      <w:bookmarkStart w:id="0" w:name="_GoBack"/>
      <w:bookmarkEnd w:id="0"/>
    </w:p>
    <w:p w14:paraId="379E7FEC" w14:textId="77777777" w:rsidR="00A054F0" w:rsidRPr="00A054F0" w:rsidRDefault="00A054F0" w:rsidP="00A054F0">
      <w:pPr>
        <w:jc w:val="center"/>
        <w:rPr>
          <w:rFonts w:ascii="Times New Roman" w:hAnsi="Times New Roman" w:cs="Times New Roman"/>
        </w:rPr>
      </w:pPr>
    </w:p>
    <w:p w14:paraId="773CBDA2" w14:textId="77777777" w:rsidR="007A4070" w:rsidRPr="00A054F0" w:rsidRDefault="007A4070" w:rsidP="00A054F0">
      <w:pPr>
        <w:jc w:val="center"/>
      </w:pPr>
    </w:p>
    <w:p w14:paraId="7043E03E" w14:textId="240E3262" w:rsidR="007A4070" w:rsidRPr="00A054F0" w:rsidRDefault="00071E4F" w:rsidP="00A054F0">
      <w:pPr>
        <w:pStyle w:val="DecHCase"/>
      </w:pPr>
      <w:r w:rsidRPr="00A054F0">
        <w:t>PREMIÈRE SECTION</w:t>
      </w:r>
    </w:p>
    <w:p w14:paraId="76FE960B" w14:textId="201403CA" w:rsidR="007A4070" w:rsidRPr="00A054F0" w:rsidRDefault="007A4070" w:rsidP="00A054F0">
      <w:pPr>
        <w:pStyle w:val="JuTitle"/>
      </w:pPr>
      <w:r w:rsidRPr="00A054F0">
        <w:t xml:space="preserve">AFFAIRE </w:t>
      </w:r>
      <w:r w:rsidR="00071E4F" w:rsidRPr="00A054F0">
        <w:t>A.C. c. ITALIE</w:t>
      </w:r>
    </w:p>
    <w:p w14:paraId="66B2A109" w14:textId="39A1F640" w:rsidR="007A4070" w:rsidRPr="00A054F0" w:rsidRDefault="007A4070" w:rsidP="00A054F0">
      <w:pPr>
        <w:pStyle w:val="ECHRCoverTitle4"/>
      </w:pPr>
      <w:r w:rsidRPr="00A054F0">
        <w:t>(</w:t>
      </w:r>
      <w:r w:rsidR="00071E4F" w:rsidRPr="00A054F0">
        <w:t>Requête n</w:t>
      </w:r>
      <w:r w:rsidR="00071E4F" w:rsidRPr="00A054F0">
        <w:rPr>
          <w:vertAlign w:val="superscript"/>
        </w:rPr>
        <w:t>o</w:t>
      </w:r>
      <w:r w:rsidRPr="00A054F0">
        <w:t xml:space="preserve"> </w:t>
      </w:r>
      <w:r w:rsidR="00071E4F" w:rsidRPr="00A054F0">
        <w:t>42488/12</w:t>
      </w:r>
      <w:r w:rsidRPr="00A054F0">
        <w:t>)</w:t>
      </w:r>
    </w:p>
    <w:p w14:paraId="6DD8B307" w14:textId="77777777" w:rsidR="007A4070" w:rsidRPr="00A054F0" w:rsidRDefault="007A4070" w:rsidP="00A054F0">
      <w:pPr>
        <w:pStyle w:val="DecHCase"/>
      </w:pPr>
    </w:p>
    <w:p w14:paraId="2D590ECD" w14:textId="77777777" w:rsidR="007A4070" w:rsidRPr="00A054F0" w:rsidRDefault="007A4070" w:rsidP="00A054F0">
      <w:pPr>
        <w:pStyle w:val="DecHCase"/>
      </w:pPr>
    </w:p>
    <w:p w14:paraId="3CB5A3ED" w14:textId="77777777" w:rsidR="007A4070" w:rsidRPr="00A054F0" w:rsidRDefault="007A4070" w:rsidP="00A054F0">
      <w:pPr>
        <w:pStyle w:val="DecHCase"/>
      </w:pPr>
    </w:p>
    <w:p w14:paraId="1F5E92D7" w14:textId="77777777" w:rsidR="007A4070" w:rsidRPr="00A054F0" w:rsidRDefault="007A4070" w:rsidP="00A054F0">
      <w:pPr>
        <w:pStyle w:val="DecHCase"/>
      </w:pPr>
    </w:p>
    <w:p w14:paraId="0A34107C" w14:textId="77777777" w:rsidR="007A4070" w:rsidRPr="00A054F0" w:rsidRDefault="007A4070" w:rsidP="00A054F0">
      <w:pPr>
        <w:pStyle w:val="DecHCase"/>
      </w:pPr>
    </w:p>
    <w:p w14:paraId="6C0CA238" w14:textId="77777777" w:rsidR="00A054F0" w:rsidRPr="00A054F0" w:rsidRDefault="007A4070" w:rsidP="00A054F0">
      <w:pPr>
        <w:pStyle w:val="DecHCase"/>
      </w:pPr>
      <w:r w:rsidRPr="00A054F0">
        <w:t>ARRÊT</w:t>
      </w:r>
      <w:r w:rsidRPr="00A054F0">
        <w:br/>
      </w:r>
    </w:p>
    <w:p w14:paraId="3BB83D93" w14:textId="77777777" w:rsidR="00A054F0" w:rsidRPr="00A054F0" w:rsidRDefault="00A054F0" w:rsidP="00A054F0">
      <w:pPr>
        <w:pStyle w:val="DecHCase"/>
      </w:pPr>
    </w:p>
    <w:p w14:paraId="261EF45D" w14:textId="77777777" w:rsidR="00A054F0" w:rsidRPr="00A054F0" w:rsidRDefault="00A054F0" w:rsidP="00A054F0">
      <w:pPr>
        <w:pStyle w:val="DecHCase"/>
      </w:pPr>
    </w:p>
    <w:p w14:paraId="0A691860" w14:textId="0C9163F6" w:rsidR="007A4070" w:rsidRPr="00A054F0" w:rsidRDefault="007A4070" w:rsidP="00A054F0">
      <w:pPr>
        <w:pStyle w:val="DecHCase"/>
      </w:pPr>
    </w:p>
    <w:p w14:paraId="7CD8DE9B" w14:textId="77777777" w:rsidR="007A4070" w:rsidRPr="00A054F0" w:rsidRDefault="007A4070" w:rsidP="00A054F0">
      <w:pPr>
        <w:pStyle w:val="DecHCase"/>
      </w:pPr>
      <w:r w:rsidRPr="00A054F0">
        <w:t>STRASBOURG</w:t>
      </w:r>
    </w:p>
    <w:p w14:paraId="26E0E84E" w14:textId="2D026B2B" w:rsidR="007A4070" w:rsidRPr="00A054F0" w:rsidRDefault="00071E4F" w:rsidP="00A054F0">
      <w:pPr>
        <w:pStyle w:val="DecHCase"/>
      </w:pPr>
      <w:r w:rsidRPr="00A054F0">
        <w:t>7 octobre 2021</w:t>
      </w:r>
    </w:p>
    <w:p w14:paraId="1D3CC5E4" w14:textId="77777777" w:rsidR="007A4070" w:rsidRPr="00A054F0" w:rsidRDefault="007A4070" w:rsidP="00A054F0">
      <w:pPr>
        <w:pStyle w:val="DecHCase"/>
      </w:pPr>
    </w:p>
    <w:p w14:paraId="3F806F3B" w14:textId="76BDB1D2" w:rsidR="00516B59" w:rsidRPr="00A054F0" w:rsidRDefault="007A4070" w:rsidP="00A054F0">
      <w:pPr>
        <w:rPr>
          <w:rFonts w:ascii="Times New Roman" w:hAnsi="Times New Roman" w:cs="Times New Roman"/>
          <w:i/>
          <w:sz w:val="22"/>
        </w:rPr>
      </w:pPr>
      <w:r w:rsidRPr="00A054F0">
        <w:rPr>
          <w:i/>
          <w:sz w:val="22"/>
        </w:rPr>
        <w:t xml:space="preserve">Cet arrêt </w:t>
      </w:r>
      <w:r w:rsidR="00071E4F" w:rsidRPr="00A054F0">
        <w:rPr>
          <w:i/>
          <w:sz w:val="22"/>
        </w:rPr>
        <w:t>est définitif</w:t>
      </w:r>
      <w:r w:rsidRPr="00A054F0">
        <w:rPr>
          <w:i/>
          <w:sz w:val="22"/>
        </w:rPr>
        <w:t>. Il peut subir des retouches de fo</w:t>
      </w:r>
      <w:r w:rsidR="00516B59" w:rsidRPr="00A054F0">
        <w:rPr>
          <w:rFonts w:ascii="Times New Roman" w:hAnsi="Times New Roman" w:cs="Times New Roman"/>
          <w:i/>
          <w:sz w:val="22"/>
        </w:rPr>
        <w:t>rme.</w:t>
      </w:r>
    </w:p>
    <w:p w14:paraId="3D37F523" w14:textId="77777777" w:rsidR="00516B59" w:rsidRPr="00A054F0" w:rsidRDefault="00516B59" w:rsidP="00A054F0">
      <w:pPr>
        <w:ind w:left="720"/>
        <w:rPr>
          <w:rFonts w:ascii="Times New Roman" w:hAnsi="Times New Roman" w:cs="Times New Roman"/>
          <w:sz w:val="22"/>
        </w:rPr>
        <w:sectPr w:rsidR="00516B59" w:rsidRPr="00A054F0" w:rsidSect="0090260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26C41D3A" w14:textId="24E34C73" w:rsidR="004344E6" w:rsidRPr="00A054F0" w:rsidRDefault="004344E6" w:rsidP="00A054F0">
      <w:pPr>
        <w:pStyle w:val="JuCase"/>
      </w:pPr>
      <w:r w:rsidRPr="00A054F0">
        <w:lastRenderedPageBreak/>
        <w:t>En l</w:t>
      </w:r>
      <w:r w:rsidR="00A054F0" w:rsidRPr="00A054F0">
        <w:t>’</w:t>
      </w:r>
      <w:r w:rsidRPr="00A054F0">
        <w:t xml:space="preserve">affaire </w:t>
      </w:r>
      <w:r w:rsidR="00071E4F" w:rsidRPr="00A054F0">
        <w:t>A.C. c. Italie</w:t>
      </w:r>
      <w:r w:rsidRPr="00A054F0">
        <w:t>,</w:t>
      </w:r>
    </w:p>
    <w:p w14:paraId="4CA207EC" w14:textId="626472DE" w:rsidR="004344E6" w:rsidRPr="00A054F0" w:rsidRDefault="004344E6" w:rsidP="00A054F0">
      <w:pPr>
        <w:pStyle w:val="JuPara"/>
      </w:pPr>
      <w:r w:rsidRPr="00A054F0">
        <w:t>La Cour européenne des droits de l</w:t>
      </w:r>
      <w:r w:rsidR="00A054F0" w:rsidRPr="00A054F0">
        <w:t>’</w:t>
      </w:r>
      <w:r w:rsidRPr="00A054F0">
        <w:t>homme (</w:t>
      </w:r>
      <w:r w:rsidR="00071E4F" w:rsidRPr="00A054F0">
        <w:t>première section</w:t>
      </w:r>
      <w:r w:rsidRPr="00A054F0">
        <w:t xml:space="preserve">), siégeant en </w:t>
      </w:r>
      <w:r w:rsidR="00071E4F" w:rsidRPr="00A054F0">
        <w:rPr>
          <w:color w:val="000000"/>
        </w:rPr>
        <w:t xml:space="preserve">un </w:t>
      </w:r>
      <w:r w:rsidR="00071E4F" w:rsidRPr="00A054F0">
        <w:t>comité composé</w:t>
      </w:r>
      <w:r w:rsidRPr="00A054F0">
        <w:t xml:space="preserve"> de :</w:t>
      </w:r>
    </w:p>
    <w:p w14:paraId="7F16B801" w14:textId="75FDD658" w:rsidR="004344E6" w:rsidRPr="00A054F0" w:rsidRDefault="003921BB" w:rsidP="00A054F0">
      <w:pPr>
        <w:pStyle w:val="JuJudges"/>
      </w:pPr>
      <w:r w:rsidRPr="00A054F0">
        <w:tab/>
        <w:t xml:space="preserve">Péter </w:t>
      </w:r>
      <w:proofErr w:type="spellStart"/>
      <w:r w:rsidRPr="00A054F0">
        <w:t>Paczolay</w:t>
      </w:r>
      <w:proofErr w:type="spellEnd"/>
      <w:r w:rsidRPr="00A054F0">
        <w:t xml:space="preserve">, </w:t>
      </w:r>
      <w:r w:rsidRPr="00A054F0">
        <w:rPr>
          <w:i/>
          <w:iCs/>
        </w:rPr>
        <w:t>président</w:t>
      </w:r>
      <w:r w:rsidRPr="00A054F0">
        <w:t>,</w:t>
      </w:r>
      <w:r w:rsidRPr="00A054F0">
        <w:br/>
      </w:r>
      <w:r w:rsidRPr="00A054F0">
        <w:tab/>
        <w:t xml:space="preserve">Gilberto </w:t>
      </w:r>
      <w:proofErr w:type="spellStart"/>
      <w:r w:rsidRPr="00A054F0">
        <w:t>Felici</w:t>
      </w:r>
      <w:proofErr w:type="spellEnd"/>
      <w:r w:rsidRPr="00A054F0">
        <w:t>,</w:t>
      </w:r>
      <w:r w:rsidRPr="00A054F0">
        <w:br/>
      </w:r>
      <w:r w:rsidRPr="00A054F0">
        <w:tab/>
        <w:t xml:space="preserve">Raffaele Sabato, </w:t>
      </w:r>
      <w:r w:rsidRPr="00A054F0">
        <w:rPr>
          <w:i/>
          <w:iCs/>
        </w:rPr>
        <w:t>juges</w:t>
      </w:r>
      <w:r w:rsidRPr="00A054F0">
        <w:t>,</w:t>
      </w:r>
      <w:r w:rsidR="004344E6" w:rsidRPr="00A054F0">
        <w:br/>
        <w:t xml:space="preserve">et de </w:t>
      </w:r>
      <w:r w:rsidR="00071E4F" w:rsidRPr="00A054F0">
        <w:t>Liv Tigerstedt</w:t>
      </w:r>
      <w:r w:rsidR="004344E6" w:rsidRPr="00A054F0">
        <w:t xml:space="preserve">, </w:t>
      </w:r>
      <w:r w:rsidR="00071E4F" w:rsidRPr="00A054F0">
        <w:rPr>
          <w:i/>
        </w:rPr>
        <w:t>greffière adjointe</w:t>
      </w:r>
      <w:r w:rsidR="00071E4F" w:rsidRPr="00A054F0">
        <w:rPr>
          <w:iCs/>
        </w:rPr>
        <w:t xml:space="preserve"> </w:t>
      </w:r>
      <w:r w:rsidR="00071E4F" w:rsidRPr="00A054F0">
        <w:rPr>
          <w:i/>
          <w:iCs/>
        </w:rPr>
        <w:t>d</w:t>
      </w:r>
      <w:r w:rsidR="00071E4F" w:rsidRPr="00A054F0">
        <w:rPr>
          <w:i/>
        </w:rPr>
        <w:t>e section</w:t>
      </w:r>
      <w:r w:rsidR="004344E6" w:rsidRPr="00A054F0">
        <w:t>,</w:t>
      </w:r>
    </w:p>
    <w:p w14:paraId="259E0550" w14:textId="77777777" w:rsidR="00071E4F" w:rsidRPr="00A054F0" w:rsidRDefault="00071E4F" w:rsidP="00A054F0">
      <w:pPr>
        <w:pStyle w:val="JuPara"/>
      </w:pPr>
      <w:r w:rsidRPr="00A054F0">
        <w:t>Vu :</w:t>
      </w:r>
    </w:p>
    <w:p w14:paraId="3A3E86C9" w14:textId="4B960458" w:rsidR="00071E4F" w:rsidRPr="00A054F0" w:rsidRDefault="00071E4F" w:rsidP="00A054F0">
      <w:pPr>
        <w:pStyle w:val="JuPara"/>
      </w:pPr>
      <w:proofErr w:type="gramStart"/>
      <w:r w:rsidRPr="00A054F0">
        <w:t>la</w:t>
      </w:r>
      <w:proofErr w:type="gramEnd"/>
      <w:r w:rsidRPr="00A054F0">
        <w:t xml:space="preserve"> requête (n</w:t>
      </w:r>
      <w:r w:rsidRPr="00A054F0">
        <w:rPr>
          <w:vertAlign w:val="superscript"/>
        </w:rPr>
        <w:t>o</w:t>
      </w:r>
      <w:r w:rsidRPr="00A054F0">
        <w:t xml:space="preserve"> 42488/12) dirigée contre la République italienne et dont un ressortissant de cet État, M. A.C. (« le requérant ») a </w:t>
      </w:r>
      <w:bookmarkStart w:id="1" w:name="_Hlk36124016"/>
      <w:r w:rsidRPr="00A054F0">
        <w:t>saisi la Cour en vertu de l</w:t>
      </w:r>
      <w:r w:rsidR="00A054F0" w:rsidRPr="00A054F0">
        <w:t>’</w:t>
      </w:r>
      <w:r w:rsidRPr="00A054F0">
        <w:t>article 34 de la Convention de sauvegarde des droits de l</w:t>
      </w:r>
      <w:r w:rsidR="00A054F0" w:rsidRPr="00A054F0">
        <w:t>’</w:t>
      </w:r>
      <w:r w:rsidRPr="00A054F0">
        <w:t>homme et des libertés fondamentales (« la Convention »)</w:t>
      </w:r>
      <w:bookmarkEnd w:id="1"/>
      <w:r w:rsidRPr="00A054F0">
        <w:t xml:space="preserve"> le 2 juillet 2012,</w:t>
      </w:r>
    </w:p>
    <w:p w14:paraId="0BC593C1" w14:textId="23B70E02" w:rsidR="00071E4F" w:rsidRPr="00A054F0" w:rsidRDefault="00071E4F" w:rsidP="00A054F0">
      <w:pPr>
        <w:pStyle w:val="JuPara"/>
      </w:pPr>
      <w:proofErr w:type="gramStart"/>
      <w:r w:rsidRPr="00A054F0">
        <w:t>la</w:t>
      </w:r>
      <w:proofErr w:type="gramEnd"/>
      <w:r w:rsidRPr="00A054F0">
        <w:t xml:space="preserve"> décision de porter à la connaissance du gouvernement italien (« le Gouvernement ») le grief concernant la durée excessive de la procédure d</w:t>
      </w:r>
      <w:r w:rsidR="00A054F0" w:rsidRPr="00A054F0">
        <w:t>’</w:t>
      </w:r>
      <w:r w:rsidRPr="00A054F0">
        <w:t>indemnisation engagée par le requérant à la suite de sa contamination post-transfusionnelle,</w:t>
      </w:r>
    </w:p>
    <w:p w14:paraId="35C21893" w14:textId="02197552" w:rsidR="00071E4F" w:rsidRPr="00A054F0" w:rsidRDefault="00071E4F" w:rsidP="00A054F0">
      <w:pPr>
        <w:pStyle w:val="JuPara"/>
      </w:pPr>
      <w:proofErr w:type="gramStart"/>
      <w:r w:rsidRPr="00A054F0">
        <w:t>la</w:t>
      </w:r>
      <w:proofErr w:type="gramEnd"/>
      <w:r w:rsidRPr="00A054F0">
        <w:t xml:space="preserve"> décision de ne pas dévoiler l</w:t>
      </w:r>
      <w:r w:rsidR="00A054F0" w:rsidRPr="00A054F0">
        <w:t>’</w:t>
      </w:r>
      <w:r w:rsidRPr="00A054F0">
        <w:t>identité du requérant,</w:t>
      </w:r>
    </w:p>
    <w:p w14:paraId="607AE2F0" w14:textId="77777777" w:rsidR="00A054F0" w:rsidRPr="00A054F0" w:rsidRDefault="00071E4F" w:rsidP="00A054F0">
      <w:pPr>
        <w:pStyle w:val="JuPara"/>
      </w:pPr>
      <w:proofErr w:type="gramStart"/>
      <w:r w:rsidRPr="00A054F0">
        <w:t>la</w:t>
      </w:r>
      <w:proofErr w:type="gramEnd"/>
      <w:r w:rsidRPr="00A054F0">
        <w:t xml:space="preserve"> décision par laquelle la Cour a rejeté l</w:t>
      </w:r>
      <w:r w:rsidR="00A054F0" w:rsidRPr="00A054F0">
        <w:t>’</w:t>
      </w:r>
      <w:r w:rsidRPr="00A054F0">
        <w:t>opposition du Gouvernement à l</w:t>
      </w:r>
      <w:r w:rsidR="00A054F0" w:rsidRPr="00A054F0">
        <w:t>’</w:t>
      </w:r>
      <w:r w:rsidRPr="00A054F0">
        <w:t>examen de la requête par un comité,</w:t>
      </w:r>
    </w:p>
    <w:p w14:paraId="09B57A32" w14:textId="7A4FBFB8" w:rsidR="00071E4F" w:rsidRPr="00A054F0" w:rsidRDefault="00496CEE" w:rsidP="00A054F0">
      <w:pPr>
        <w:pStyle w:val="JuPara"/>
      </w:pPr>
      <w:proofErr w:type="gramStart"/>
      <w:r w:rsidRPr="00A054F0">
        <w:t>les</w:t>
      </w:r>
      <w:proofErr w:type="gramEnd"/>
      <w:r w:rsidRPr="00A054F0">
        <w:t xml:space="preserve"> observations des parties,</w:t>
      </w:r>
    </w:p>
    <w:p w14:paraId="121D854B" w14:textId="4E6EEC3A" w:rsidR="004344E6" w:rsidRPr="00A054F0" w:rsidRDefault="004344E6" w:rsidP="00A054F0">
      <w:pPr>
        <w:pStyle w:val="JuPara"/>
      </w:pPr>
      <w:r w:rsidRPr="00A054F0">
        <w:t xml:space="preserve">Après en avoir délibéré en chambre du conseil le </w:t>
      </w:r>
      <w:r w:rsidR="00071E4F" w:rsidRPr="00A054F0">
        <w:t>14 septembre 2021</w:t>
      </w:r>
      <w:r w:rsidRPr="00A054F0">
        <w:t>,</w:t>
      </w:r>
    </w:p>
    <w:p w14:paraId="118F3968" w14:textId="3127C3C7" w:rsidR="00876F03" w:rsidRPr="00A054F0" w:rsidRDefault="004344E6" w:rsidP="00A054F0">
      <w:pPr>
        <w:pStyle w:val="JuPara"/>
      </w:pPr>
      <w:r w:rsidRPr="00A054F0">
        <w:t>Rend l</w:t>
      </w:r>
      <w:r w:rsidR="00A054F0" w:rsidRPr="00A054F0">
        <w:t>’</w:t>
      </w:r>
      <w:r w:rsidRPr="00A054F0">
        <w:t>arrêt que voici</w:t>
      </w:r>
      <w:r w:rsidR="00876F03" w:rsidRPr="00A054F0">
        <w:t>, adopté à cette date :</w:t>
      </w:r>
    </w:p>
    <w:p w14:paraId="3E9A163C" w14:textId="77777777" w:rsidR="00071E4F" w:rsidRPr="00A054F0" w:rsidRDefault="00071E4F" w:rsidP="00A054F0">
      <w:pPr>
        <w:pStyle w:val="JuHHead"/>
      </w:pPr>
      <w:r w:rsidRPr="00A054F0">
        <w:rPr>
          <w:caps w:val="0"/>
        </w:rPr>
        <w:t>INTRODUCTION</w:t>
      </w:r>
    </w:p>
    <w:p w14:paraId="3853D244" w14:textId="5F3D7FA1"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1</w:t>
      </w:r>
      <w:r w:rsidRPr="00A054F0">
        <w:fldChar w:fldCharType="end"/>
      </w:r>
      <w:r w:rsidRPr="00A054F0">
        <w:t>.  La présente requête porte sur la durée d</w:t>
      </w:r>
      <w:r w:rsidR="00A054F0" w:rsidRPr="00A054F0">
        <w:t>’</w:t>
      </w:r>
      <w:r w:rsidRPr="00A054F0">
        <w:t>une procédure civile introduite par le requérant afin d</w:t>
      </w:r>
      <w:r w:rsidR="00A054F0" w:rsidRPr="00A054F0">
        <w:t>’</w:t>
      </w:r>
      <w:r w:rsidRPr="00A054F0">
        <w:t>obtenir une indemnisation à la suite de sa contamination post-transfusionnelle.</w:t>
      </w:r>
    </w:p>
    <w:p w14:paraId="02B645B6" w14:textId="77777777" w:rsidR="00071E4F" w:rsidRPr="00A054F0" w:rsidRDefault="00071E4F" w:rsidP="00A054F0">
      <w:pPr>
        <w:pStyle w:val="JuHHead"/>
      </w:pPr>
      <w:bookmarkStart w:id="2" w:name="_Hlk36126677"/>
      <w:r w:rsidRPr="00A054F0">
        <w:t>EN FAIT</w:t>
      </w:r>
    </w:p>
    <w:bookmarkEnd w:id="2"/>
    <w:p w14:paraId="259D03C7" w14:textId="1A0ED3C7"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2</w:t>
      </w:r>
      <w:r w:rsidRPr="00A054F0">
        <w:fldChar w:fldCharType="end"/>
      </w:r>
      <w:r w:rsidRPr="00A054F0">
        <w:t xml:space="preserve">.  Le requérant est né en 1962 et réside à </w:t>
      </w:r>
      <w:proofErr w:type="spellStart"/>
      <w:r w:rsidRPr="00A054F0">
        <w:t>Gabicce</w:t>
      </w:r>
      <w:proofErr w:type="spellEnd"/>
      <w:r w:rsidRPr="00A054F0">
        <w:t xml:space="preserve"> Mare. Il a été représenté par M</w:t>
      </w:r>
      <w:r w:rsidRPr="00A054F0">
        <w:rPr>
          <w:vertAlign w:val="superscript"/>
        </w:rPr>
        <w:t>e</w:t>
      </w:r>
      <w:r w:rsidRPr="00A054F0">
        <w:t> </w:t>
      </w:r>
      <w:bookmarkStart w:id="3" w:name="_Hlk84412988"/>
      <w:r w:rsidRPr="00A054F0">
        <w:t>A.G. Lana</w:t>
      </w:r>
      <w:bookmarkEnd w:id="3"/>
      <w:r w:rsidRPr="00A054F0">
        <w:t>, avocat.</w:t>
      </w:r>
    </w:p>
    <w:p w14:paraId="13A6A6AA" w14:textId="50717CFF"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3</w:t>
      </w:r>
      <w:r w:rsidRPr="00A054F0">
        <w:fldChar w:fldCharType="end"/>
      </w:r>
      <w:r w:rsidRPr="00A054F0">
        <w:t>.  </w:t>
      </w:r>
      <w:bookmarkStart w:id="4" w:name="_Hlk36127123"/>
      <w:r w:rsidRPr="00A054F0">
        <w:t xml:space="preserve">Le Gouvernement a été représenté par son ancien </w:t>
      </w:r>
      <w:proofErr w:type="spellStart"/>
      <w:r w:rsidRPr="00A054F0">
        <w:t>coagent</w:t>
      </w:r>
      <w:proofErr w:type="spellEnd"/>
      <w:r w:rsidRPr="00A054F0">
        <w:t>, M</w:t>
      </w:r>
      <w:r w:rsidRPr="00A054F0">
        <w:rPr>
          <w:vertAlign w:val="superscript"/>
        </w:rPr>
        <w:t>me</w:t>
      </w:r>
      <w:r w:rsidRPr="00A054F0">
        <w:t> P. Accardo.</w:t>
      </w:r>
      <w:bookmarkEnd w:id="4"/>
    </w:p>
    <w:p w14:paraId="7B54892B" w14:textId="68B4D760"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4</w:t>
      </w:r>
      <w:r w:rsidRPr="00A054F0">
        <w:fldChar w:fldCharType="end"/>
      </w:r>
      <w:r w:rsidRPr="00A054F0">
        <w:t>.  Le requérant fut contaminé par le virus de l</w:t>
      </w:r>
      <w:r w:rsidR="00A054F0" w:rsidRPr="00A054F0">
        <w:t>’</w:t>
      </w:r>
      <w:r w:rsidRPr="00A054F0">
        <w:t>hépatite C à la suite de transfusions de sang effectuées dans un hôpital public.</w:t>
      </w:r>
    </w:p>
    <w:p w14:paraId="751F2669" w14:textId="5EDA7714"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5</w:t>
      </w:r>
      <w:r w:rsidRPr="00A054F0">
        <w:fldChar w:fldCharType="end"/>
      </w:r>
      <w:r w:rsidRPr="00A054F0">
        <w:t xml:space="preserve">.  À partir du 3 juillet 1996, il toucha une indemnité annuelle de caractère administratif au titre de la loi </w:t>
      </w:r>
      <w:bookmarkStart w:id="5" w:name="_Hlk83833893"/>
      <w:r w:rsidRPr="00A054F0">
        <w:t>n</w:t>
      </w:r>
      <w:r w:rsidRPr="00A054F0">
        <w:rPr>
          <w:vertAlign w:val="superscript"/>
        </w:rPr>
        <w:t>o</w:t>
      </w:r>
      <w:bookmarkEnd w:id="5"/>
      <w:r w:rsidRPr="00A054F0">
        <w:t xml:space="preserve"> 210/92 (voir </w:t>
      </w:r>
      <w:r w:rsidRPr="00A054F0">
        <w:rPr>
          <w:i/>
        </w:rPr>
        <w:t>G.N. et autres c. Italie</w:t>
      </w:r>
      <w:r w:rsidRPr="00A054F0">
        <w:t>, n</w:t>
      </w:r>
      <w:r w:rsidRPr="00A054F0">
        <w:rPr>
          <w:vertAlign w:val="superscript"/>
        </w:rPr>
        <w:t>o </w:t>
      </w:r>
      <w:r w:rsidRPr="00A054F0">
        <w:t>43134/05</w:t>
      </w:r>
      <w:r w:rsidRPr="00A054F0">
        <w:rPr>
          <w:snapToGrid w:val="0"/>
        </w:rPr>
        <w:t>, § 36, 1</w:t>
      </w:r>
      <w:r w:rsidRPr="00A054F0">
        <w:rPr>
          <w:snapToGrid w:val="0"/>
          <w:vertAlign w:val="superscript"/>
        </w:rPr>
        <w:t>er</w:t>
      </w:r>
      <w:r w:rsidRPr="00A054F0">
        <w:t xml:space="preserve"> décembre</w:t>
      </w:r>
      <w:r w:rsidRPr="00A054F0">
        <w:rPr>
          <w:snapToGrid w:val="0"/>
        </w:rPr>
        <w:t xml:space="preserve"> 2009</w:t>
      </w:r>
      <w:r w:rsidRPr="00A054F0">
        <w:t>).</w:t>
      </w:r>
    </w:p>
    <w:p w14:paraId="47118AA5" w14:textId="49487ED2"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6</w:t>
      </w:r>
      <w:r w:rsidRPr="00A054F0">
        <w:fldChar w:fldCharType="end"/>
      </w:r>
      <w:r w:rsidRPr="00A054F0">
        <w:t>.  Le 3 août 1999, il assigna le ministère de la Santé devant le tribunal de Rome afin d</w:t>
      </w:r>
      <w:r w:rsidR="00A054F0" w:rsidRPr="00A054F0">
        <w:t>’</w:t>
      </w:r>
      <w:r w:rsidRPr="00A054F0">
        <w:t>obtenir la réparation du dommage qu</w:t>
      </w:r>
      <w:r w:rsidR="00A054F0" w:rsidRPr="00A054F0">
        <w:t>’</w:t>
      </w:r>
      <w:r w:rsidRPr="00A054F0">
        <w:t>il estimait avoir subi en raison de sa contamination.</w:t>
      </w:r>
    </w:p>
    <w:p w14:paraId="0700C991" w14:textId="259D763C" w:rsidR="00071E4F" w:rsidRPr="00A054F0" w:rsidRDefault="00071E4F" w:rsidP="00A054F0">
      <w:pPr>
        <w:pStyle w:val="JuPara"/>
      </w:pPr>
      <w:r w:rsidRPr="00A054F0">
        <w:lastRenderedPageBreak/>
        <w:fldChar w:fldCharType="begin"/>
      </w:r>
      <w:r w:rsidRPr="00A054F0">
        <w:instrText xml:space="preserve"> SEQ level0 \*arabic </w:instrText>
      </w:r>
      <w:r w:rsidRPr="00A054F0">
        <w:fldChar w:fldCharType="separate"/>
      </w:r>
      <w:r w:rsidR="00A054F0" w:rsidRPr="00A054F0">
        <w:rPr>
          <w:noProof/>
        </w:rPr>
        <w:t>7</w:t>
      </w:r>
      <w:r w:rsidRPr="00A054F0">
        <w:fldChar w:fldCharType="end"/>
      </w:r>
      <w:r w:rsidRPr="00A054F0">
        <w:t>.  Le 6 avril 2000, l</w:t>
      </w:r>
      <w:r w:rsidR="00A054F0" w:rsidRPr="00A054F0">
        <w:t>’</w:t>
      </w:r>
      <w:r w:rsidRPr="00A054F0">
        <w:t>audience fut renvoyée au 3 mai 2000 pour permettre un règlement amiable de l</w:t>
      </w:r>
      <w:r w:rsidR="00A054F0" w:rsidRPr="00A054F0">
        <w:t>’</w:t>
      </w:r>
      <w:r w:rsidRPr="00A054F0">
        <w:t>affaire ; puis elle fut renvoyée au 12</w:t>
      </w:r>
      <w:r w:rsidR="00A1162C" w:rsidRPr="00A054F0">
        <w:t> </w:t>
      </w:r>
      <w:r w:rsidRPr="00A054F0">
        <w:t>juillet 2000. À cette date, l</w:t>
      </w:r>
      <w:r w:rsidR="00A054F0" w:rsidRPr="00A054F0">
        <w:t>’</w:t>
      </w:r>
      <w:r w:rsidRPr="00A054F0">
        <w:t>audience fut reportée au 22 novembre 2000.</w:t>
      </w:r>
    </w:p>
    <w:p w14:paraId="44416930" w14:textId="6A18C504"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8</w:t>
      </w:r>
      <w:r w:rsidRPr="00A054F0">
        <w:fldChar w:fldCharType="end"/>
      </w:r>
      <w:r w:rsidRPr="00A054F0">
        <w:t>.  Ce jour-là, un expert fut nommé et l</w:t>
      </w:r>
      <w:r w:rsidR="00A054F0" w:rsidRPr="00A054F0">
        <w:t>’</w:t>
      </w:r>
      <w:r w:rsidRPr="00A054F0">
        <w:t>audience fut renvoyée au 17</w:t>
      </w:r>
      <w:r w:rsidR="005E593B" w:rsidRPr="00A054F0">
        <w:t> </w:t>
      </w:r>
      <w:r w:rsidRPr="00A054F0">
        <w:t>mai 2001 pour permettre le dépôt de l</w:t>
      </w:r>
      <w:r w:rsidR="00A054F0" w:rsidRPr="00A054F0">
        <w:t>’</w:t>
      </w:r>
      <w:r w:rsidRPr="00A054F0">
        <w:t>expertise ; par la suite, elle fut encore reportée au 17 juillet 2001.</w:t>
      </w:r>
    </w:p>
    <w:p w14:paraId="1C6D220B" w14:textId="219779A2"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9</w:t>
      </w:r>
      <w:r w:rsidRPr="00A054F0">
        <w:fldChar w:fldCharType="end"/>
      </w:r>
      <w:r w:rsidRPr="00A054F0">
        <w:t>.  Par un jugement déposé au greffe le 7 janvier 2003, le tribunal rejeta la demande du requérant, estimant que l</w:t>
      </w:r>
      <w:r w:rsidR="00A054F0" w:rsidRPr="00A054F0">
        <w:t>’</w:t>
      </w:r>
      <w:r w:rsidRPr="00A054F0">
        <w:t>indemnité qu</w:t>
      </w:r>
      <w:r w:rsidR="00A054F0" w:rsidRPr="00A054F0">
        <w:t>’</w:t>
      </w:r>
      <w:r w:rsidRPr="00A054F0">
        <w:t xml:space="preserve">il avait obtenue au titre de la loi </w:t>
      </w:r>
      <w:r w:rsidR="00496CEE" w:rsidRPr="00A054F0">
        <w:t>n</w:t>
      </w:r>
      <w:r w:rsidR="00496CEE" w:rsidRPr="00A054F0">
        <w:rPr>
          <w:vertAlign w:val="superscript"/>
        </w:rPr>
        <w:t>o</w:t>
      </w:r>
      <w:r w:rsidRPr="00A054F0">
        <w:t xml:space="preserve"> 210/92 couvrait également le préjudice subi. Le dommage moral subi par le requérant avait en effet été chiffré à 78 133 euros (EUR). </w:t>
      </w:r>
      <w:bookmarkStart w:id="6" w:name="_Hlk72164219"/>
      <w:r w:rsidRPr="00A054F0">
        <w:t xml:space="preserve">Or </w:t>
      </w:r>
      <w:bookmarkStart w:id="7" w:name="_Hlk72220509"/>
      <w:r w:rsidRPr="00A054F0">
        <w:t xml:space="preserve">le total des indemnités déjà perçues en vertu de la loi </w:t>
      </w:r>
      <w:r w:rsidR="00A1162C" w:rsidRPr="00A054F0">
        <w:t>n</w:t>
      </w:r>
      <w:r w:rsidR="00A1162C" w:rsidRPr="00A054F0">
        <w:rPr>
          <w:vertAlign w:val="superscript"/>
        </w:rPr>
        <w:t>o</w:t>
      </w:r>
      <w:r w:rsidRPr="00A054F0">
        <w:t xml:space="preserve"> 210/92 s</w:t>
      </w:r>
      <w:r w:rsidR="00A054F0" w:rsidRPr="00A054F0">
        <w:t>’</w:t>
      </w:r>
      <w:r w:rsidRPr="00A054F0">
        <w:t>élevait à 56 913,10 EUR et la capitalisation anticipée du montant à venir était évaluée à 108 618,74 EUR</w:t>
      </w:r>
      <w:r w:rsidRPr="00A054F0" w:rsidDel="00107859">
        <w:t xml:space="preserve"> </w:t>
      </w:r>
      <w:r w:rsidRPr="00A054F0">
        <w:t>sur la base d</w:t>
      </w:r>
      <w:r w:rsidR="00A054F0" w:rsidRPr="00A054F0">
        <w:t>’</w:t>
      </w:r>
      <w:r w:rsidRPr="00A054F0">
        <w:t>une espérance de vie moyenne</w:t>
      </w:r>
      <w:bookmarkEnd w:id="6"/>
      <w:r w:rsidRPr="00A054F0">
        <w:t xml:space="preserve">. </w:t>
      </w:r>
      <w:bookmarkEnd w:id="7"/>
      <w:r w:rsidRPr="00A054F0">
        <w:t>Ainsi, le tribunal estima que le dommage subi était largement couvert par le montant perçu au titre de l</w:t>
      </w:r>
      <w:r w:rsidR="00A054F0" w:rsidRPr="00A054F0">
        <w:t>’</w:t>
      </w:r>
      <w:r w:rsidRPr="00A054F0">
        <w:t>indemnité administrative.</w:t>
      </w:r>
    </w:p>
    <w:p w14:paraId="21BFBE0A" w14:textId="700C9981"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10</w:t>
      </w:r>
      <w:r w:rsidRPr="00A054F0">
        <w:fldChar w:fldCharType="end"/>
      </w:r>
      <w:r w:rsidRPr="00A054F0">
        <w:t>.  Le requérant interjeta appel et une audience fut fixée au 5 mai 2004. Ce jour-là, le juge reporta l</w:t>
      </w:r>
      <w:r w:rsidR="00A054F0" w:rsidRPr="00A054F0">
        <w:t>’</w:t>
      </w:r>
      <w:r w:rsidRPr="00A054F0">
        <w:t>affaire au 12 juillet 2006.</w:t>
      </w:r>
    </w:p>
    <w:p w14:paraId="53EA4865" w14:textId="2DEC9B07"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11</w:t>
      </w:r>
      <w:r w:rsidRPr="00A054F0">
        <w:fldChar w:fldCharType="end"/>
      </w:r>
      <w:r w:rsidRPr="00A054F0">
        <w:t>.  Par un arrêt déposé au greffe le 7 mai 2007, la cour d</w:t>
      </w:r>
      <w:r w:rsidR="00A054F0" w:rsidRPr="00A054F0">
        <w:t>’</w:t>
      </w:r>
      <w:r w:rsidRPr="00A054F0">
        <w:t>appel de Rome rejeta la demande du requérant.</w:t>
      </w:r>
    </w:p>
    <w:p w14:paraId="23769BE0" w14:textId="07CA3314"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12</w:t>
      </w:r>
      <w:r w:rsidRPr="00A054F0">
        <w:fldChar w:fldCharType="end"/>
      </w:r>
      <w:r w:rsidRPr="00A054F0">
        <w:t xml:space="preserve">.  Celui-ci se </w:t>
      </w:r>
      <w:proofErr w:type="spellStart"/>
      <w:r w:rsidRPr="00A054F0">
        <w:t>pourvut</w:t>
      </w:r>
      <w:proofErr w:type="spellEnd"/>
      <w:r w:rsidRPr="00A054F0">
        <w:t xml:space="preserve"> en cassation. Le 5 septembre 2007, le ministère de la Santé forma un pourvoi incident devant la Cour de cassation et, le 19 octobre 2007, le requérant en forma un à son tour afin de faire déclarer irrecevable la demande du ministère.</w:t>
      </w:r>
    </w:p>
    <w:p w14:paraId="2CE5718E" w14:textId="7F58D475"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13</w:t>
      </w:r>
      <w:r w:rsidRPr="00A054F0">
        <w:fldChar w:fldCharType="end"/>
      </w:r>
      <w:r w:rsidRPr="00A054F0">
        <w:t>.  Par un arrêt déposé au greffe le 20 janvier 2014, la Cour de cassation débouta le requérant.</w:t>
      </w:r>
    </w:p>
    <w:p w14:paraId="79422282" w14:textId="77777777" w:rsidR="00071E4F" w:rsidRPr="00A054F0" w:rsidRDefault="00071E4F" w:rsidP="00A054F0">
      <w:pPr>
        <w:pStyle w:val="JuHHead"/>
      </w:pPr>
      <w:bookmarkStart w:id="8" w:name="_Hlk36127250"/>
      <w:r w:rsidRPr="00A054F0">
        <w:rPr>
          <w:caps w:val="0"/>
        </w:rPr>
        <w:t>EN DROIT</w:t>
      </w:r>
    </w:p>
    <w:p w14:paraId="7932D1D4" w14:textId="605E6F55" w:rsidR="00071E4F" w:rsidRPr="00A054F0" w:rsidRDefault="00071E4F" w:rsidP="00A054F0">
      <w:pPr>
        <w:pStyle w:val="JuHIRoman"/>
      </w:pPr>
      <w:bookmarkStart w:id="9" w:name="_Hlk36127423"/>
      <w:bookmarkStart w:id="10" w:name="_Hlk34839031"/>
      <w:bookmarkEnd w:id="8"/>
      <w:r w:rsidRPr="00A054F0">
        <w:t>SUR LA VIOLATION ALLÉGUÉE DE L</w:t>
      </w:r>
      <w:r w:rsidR="00A054F0" w:rsidRPr="00A054F0">
        <w:t>’</w:t>
      </w:r>
      <w:r w:rsidRPr="00A054F0">
        <w:t>ARTICLE 2 DE LA CONVENTION</w:t>
      </w:r>
      <w:bookmarkEnd w:id="9"/>
    </w:p>
    <w:p w14:paraId="2DA8B4EB" w14:textId="066AE875"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14</w:t>
      </w:r>
      <w:r w:rsidRPr="00A054F0">
        <w:fldChar w:fldCharType="end"/>
      </w:r>
      <w:r w:rsidRPr="00A054F0">
        <w:t>.  Se référant à l</w:t>
      </w:r>
      <w:r w:rsidR="00A054F0" w:rsidRPr="00A054F0">
        <w:t>’</w:t>
      </w:r>
      <w:r w:rsidRPr="00A054F0">
        <w:t xml:space="preserve">affaire </w:t>
      </w:r>
      <w:r w:rsidRPr="00A054F0">
        <w:rPr>
          <w:i/>
        </w:rPr>
        <w:t xml:space="preserve">G.N. et autres c. Italie </w:t>
      </w:r>
      <w:r w:rsidRPr="00A054F0">
        <w:t>(précitée)</w:t>
      </w:r>
      <w:r w:rsidRPr="00A054F0">
        <w:rPr>
          <w:snapToGrid w:val="0"/>
        </w:rPr>
        <w:t xml:space="preserve">, le requérant dénonce la violation </w:t>
      </w:r>
      <w:r w:rsidRPr="00A054F0">
        <w:t>de l</w:t>
      </w:r>
      <w:r w:rsidR="00A054F0" w:rsidRPr="00A054F0">
        <w:t>’</w:t>
      </w:r>
      <w:r w:rsidRPr="00A054F0">
        <w:t>article 2 de la Convention, sous son volet procédural, en raison de la durée excessive de la procédure civile engagée par lui afin d</w:t>
      </w:r>
      <w:r w:rsidR="00A054F0" w:rsidRPr="00A054F0">
        <w:t>’</w:t>
      </w:r>
      <w:r w:rsidRPr="00A054F0">
        <w:t>obtenir réparation du préjudice subi à la suite de sa contamination.</w:t>
      </w:r>
      <w:bookmarkStart w:id="11" w:name="_Hlk36127508"/>
      <w:r w:rsidRPr="00A054F0">
        <w:t xml:space="preserve"> L</w:t>
      </w:r>
      <w:r w:rsidR="00A054F0" w:rsidRPr="00A054F0">
        <w:t>’</w:t>
      </w:r>
      <w:r w:rsidRPr="00A054F0">
        <w:t>article 2 de la Convention énonce :</w:t>
      </w:r>
    </w:p>
    <w:bookmarkEnd w:id="11"/>
    <w:p w14:paraId="3C315B6F" w14:textId="77777777" w:rsidR="00071E4F" w:rsidRPr="00A054F0" w:rsidRDefault="00071E4F" w:rsidP="00A054F0">
      <w:pPr>
        <w:pStyle w:val="JuQuot"/>
      </w:pPr>
      <w:r w:rsidRPr="00A054F0">
        <w:t>« Le droit de toute personne à la vie est protégé par la loi (...) »</w:t>
      </w:r>
    </w:p>
    <w:p w14:paraId="4C8D96C7" w14:textId="77777777" w:rsidR="00071E4F" w:rsidRPr="00A054F0" w:rsidRDefault="00071E4F" w:rsidP="00A054F0">
      <w:pPr>
        <w:pStyle w:val="JuHA"/>
      </w:pPr>
      <w:bookmarkStart w:id="12" w:name="_Hlk36127545"/>
      <w:r w:rsidRPr="00A054F0">
        <w:t>Sur la recevabilité</w:t>
      </w:r>
      <w:bookmarkEnd w:id="12"/>
    </w:p>
    <w:p w14:paraId="6EDE27E2" w14:textId="55186280"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15</w:t>
      </w:r>
      <w:r w:rsidRPr="00A054F0">
        <w:fldChar w:fldCharType="end"/>
      </w:r>
      <w:r w:rsidRPr="00A054F0">
        <w:t>.  </w:t>
      </w:r>
      <w:bookmarkStart w:id="13" w:name="_Hlk36127558"/>
      <w:r w:rsidRPr="00A054F0">
        <w:t>Le Gouvernement estime que le requérant a déjà obtenu la somme à laquelle il avait droit grâce à l</w:t>
      </w:r>
      <w:r w:rsidR="00A054F0" w:rsidRPr="00A054F0">
        <w:t>’</w:t>
      </w:r>
      <w:r w:rsidRPr="00A054F0">
        <w:t>exercice d</w:t>
      </w:r>
      <w:r w:rsidR="00A054F0" w:rsidRPr="00A054F0">
        <w:t>’</w:t>
      </w:r>
      <w:r w:rsidRPr="00A054F0">
        <w:t>un recours interne, à savoir la demande d</w:t>
      </w:r>
      <w:r w:rsidR="00A054F0" w:rsidRPr="00A054F0">
        <w:t>’</w:t>
      </w:r>
      <w:r w:rsidRPr="00A054F0">
        <w:t>indemnité administrative introduite au titre de la loi n</w:t>
      </w:r>
      <w:r w:rsidRPr="00A054F0">
        <w:rPr>
          <w:vertAlign w:val="superscript"/>
        </w:rPr>
        <w:t>o</w:t>
      </w:r>
      <w:r w:rsidRPr="00A054F0">
        <w:t> 210/92. Il expose que le requérant disposait au niveau interne de deux recours, l</w:t>
      </w:r>
      <w:r w:rsidR="00A054F0" w:rsidRPr="00A054F0">
        <w:t>’</w:t>
      </w:r>
      <w:r w:rsidRPr="00A054F0">
        <w:t xml:space="preserve">un </w:t>
      </w:r>
      <w:r w:rsidRPr="00A054F0">
        <w:lastRenderedPageBreak/>
        <w:t>prévu par la loi n</w:t>
      </w:r>
      <w:r w:rsidRPr="00A054F0">
        <w:rPr>
          <w:vertAlign w:val="superscript"/>
        </w:rPr>
        <w:t xml:space="preserve">o </w:t>
      </w:r>
      <w:r w:rsidRPr="00A054F0">
        <w:t>210/92 et l</w:t>
      </w:r>
      <w:r w:rsidR="00A054F0" w:rsidRPr="00A054F0">
        <w:t>’</w:t>
      </w:r>
      <w:r w:rsidRPr="00A054F0">
        <w:t>autre étant l</w:t>
      </w:r>
      <w:r w:rsidR="00A054F0" w:rsidRPr="00A054F0">
        <w:t>’</w:t>
      </w:r>
      <w:r w:rsidRPr="00A054F0">
        <w:t>action en indemnisation prévue par l</w:t>
      </w:r>
      <w:r w:rsidR="00A054F0" w:rsidRPr="00A054F0">
        <w:t>’</w:t>
      </w:r>
      <w:r w:rsidRPr="00A054F0">
        <w:t>article 2043 du code civil, et que l</w:t>
      </w:r>
      <w:r w:rsidR="00A054F0" w:rsidRPr="00A054F0">
        <w:t>’</w:t>
      </w:r>
      <w:r w:rsidRPr="00A054F0">
        <w:t>intéressé a obtenu gain de cause en exerçant le premier de ces recours. Dans ce contexte, le requérant ayant obtenu une protection adéquate dans le cadre du premier recours, le Gouvernement considère que le grief relatif à la durée de la procédure devrait être analysé sous l</w:t>
      </w:r>
      <w:r w:rsidR="00A054F0" w:rsidRPr="00A054F0">
        <w:t>’</w:t>
      </w:r>
      <w:r w:rsidRPr="00A054F0">
        <w:t>angle de l</w:t>
      </w:r>
      <w:r w:rsidR="00A054F0" w:rsidRPr="00A054F0">
        <w:t>’</w:t>
      </w:r>
      <w:r w:rsidRPr="00A054F0">
        <w:t>article 6 § 1 de la Convention selon les critères généraux de satisfaction équitable, à la lumière desquels le système italien a mis en place le recours prévu par la loi n</w:t>
      </w:r>
      <w:r w:rsidRPr="00A054F0">
        <w:rPr>
          <w:vertAlign w:val="superscript"/>
        </w:rPr>
        <w:t xml:space="preserve">o </w:t>
      </w:r>
      <w:r w:rsidRPr="00A054F0">
        <w:t>89 du 24 mars 2001 (« loi Pinto »).</w:t>
      </w:r>
    </w:p>
    <w:p w14:paraId="5BACEFE7" w14:textId="281FD331"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16</w:t>
      </w:r>
      <w:r w:rsidRPr="00A054F0">
        <w:fldChar w:fldCharType="end"/>
      </w:r>
      <w:r w:rsidRPr="00A054F0">
        <w:t>.  De l</w:t>
      </w:r>
      <w:r w:rsidR="00A054F0" w:rsidRPr="00A054F0">
        <w:t>’</w:t>
      </w:r>
      <w:r w:rsidRPr="00A054F0">
        <w:t>avis du Gouvernement, le requérant ne peut donc se prétendre victime de la violation alléguée et il aurait dû de toute manière exercer le recours prévu par la « loi Pinto ». De plus, selon le Gouvernement, dans le cas d</w:t>
      </w:r>
      <w:r w:rsidR="00A054F0" w:rsidRPr="00A054F0">
        <w:t>’</w:t>
      </w:r>
      <w:r w:rsidRPr="00A054F0">
        <w:t xml:space="preserve">espèce les juridictions internes ont à juste titre appliqué le principe </w:t>
      </w:r>
      <w:proofErr w:type="spellStart"/>
      <w:r w:rsidRPr="00A054F0">
        <w:rPr>
          <w:i/>
          <w:iCs/>
        </w:rPr>
        <w:t>compensatio</w:t>
      </w:r>
      <w:proofErr w:type="spellEnd"/>
      <w:r w:rsidRPr="00A054F0">
        <w:rPr>
          <w:i/>
          <w:iCs/>
        </w:rPr>
        <w:t xml:space="preserve"> </w:t>
      </w:r>
      <w:proofErr w:type="spellStart"/>
      <w:r w:rsidRPr="00A054F0">
        <w:rPr>
          <w:i/>
          <w:iCs/>
        </w:rPr>
        <w:t>lucri</w:t>
      </w:r>
      <w:proofErr w:type="spellEnd"/>
      <w:r w:rsidRPr="00A054F0">
        <w:rPr>
          <w:i/>
          <w:iCs/>
        </w:rPr>
        <w:t xml:space="preserve"> cum </w:t>
      </w:r>
      <w:proofErr w:type="spellStart"/>
      <w:r w:rsidRPr="00A054F0">
        <w:rPr>
          <w:i/>
          <w:iCs/>
        </w:rPr>
        <w:t>damno</w:t>
      </w:r>
      <w:proofErr w:type="spellEnd"/>
      <w:r w:rsidRPr="00A054F0">
        <w:t>.</w:t>
      </w:r>
      <w:bookmarkEnd w:id="13"/>
    </w:p>
    <w:p w14:paraId="147C52DA" w14:textId="3C3DAF7A"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17</w:t>
      </w:r>
      <w:r w:rsidRPr="00A054F0">
        <w:fldChar w:fldCharType="end"/>
      </w:r>
      <w:r w:rsidRPr="00A054F0">
        <w:t>.  Le requérant fait valoir que l</w:t>
      </w:r>
      <w:r w:rsidR="00A054F0" w:rsidRPr="00A054F0">
        <w:t>’</w:t>
      </w:r>
      <w:r w:rsidRPr="00A054F0">
        <w:t>indemnité perçue au titre de la loi n</w:t>
      </w:r>
      <w:r w:rsidRPr="00A054F0">
        <w:rPr>
          <w:vertAlign w:val="superscript"/>
        </w:rPr>
        <w:t>o</w:t>
      </w:r>
      <w:r w:rsidRPr="00A054F0">
        <w:t> 210/92 a la nature d</w:t>
      </w:r>
      <w:r w:rsidR="00A054F0" w:rsidRPr="00A054F0">
        <w:t>’</w:t>
      </w:r>
      <w:r w:rsidRPr="00A054F0">
        <w:t>une aide financière et ne correspond pas au redressement d</w:t>
      </w:r>
      <w:r w:rsidR="00A054F0" w:rsidRPr="00A054F0">
        <w:t>’</w:t>
      </w:r>
      <w:r w:rsidRPr="00A054F0">
        <w:t>un dommage. De plus, il soutient que l</w:t>
      </w:r>
      <w:r w:rsidR="00A054F0" w:rsidRPr="00A054F0">
        <w:t>’</w:t>
      </w:r>
      <w:r w:rsidRPr="00A054F0">
        <w:t>obligation procédurale découlant de l</w:t>
      </w:r>
      <w:r w:rsidR="00A054F0" w:rsidRPr="00A054F0">
        <w:t>’</w:t>
      </w:r>
      <w:r w:rsidRPr="00A054F0">
        <w:t>article 2 de la Convention se distingue de la violation matérielle du même article.</w:t>
      </w:r>
    </w:p>
    <w:p w14:paraId="0083382F" w14:textId="481EDB9F"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18</w:t>
      </w:r>
      <w:r w:rsidRPr="00A054F0">
        <w:fldChar w:fldCharType="end"/>
      </w:r>
      <w:r w:rsidRPr="00A054F0">
        <w:t>.  </w:t>
      </w:r>
      <w:bookmarkStart w:id="14" w:name="_Hlk36127606"/>
      <w:r w:rsidRPr="00A054F0">
        <w:t>La Cour observe qu</w:t>
      </w:r>
      <w:r w:rsidR="00A054F0" w:rsidRPr="00A054F0">
        <w:t>’</w:t>
      </w:r>
      <w:r w:rsidRPr="00A054F0">
        <w:t>elle s</w:t>
      </w:r>
      <w:r w:rsidR="00A054F0" w:rsidRPr="00A054F0">
        <w:t>’</w:t>
      </w:r>
      <w:r w:rsidRPr="00A054F0">
        <w:t>est déjà penchée sur la question du maintien de la qualité de victime de requérants qui avaient obtenu gain de cause dans le cadre de la procédure d</w:t>
      </w:r>
      <w:r w:rsidR="00A054F0" w:rsidRPr="00A054F0">
        <w:t>’</w:t>
      </w:r>
      <w:r w:rsidRPr="00A054F0">
        <w:t>indemnisation prévue par la loi n</w:t>
      </w:r>
      <w:r w:rsidRPr="00A054F0">
        <w:rPr>
          <w:vertAlign w:val="superscript"/>
        </w:rPr>
        <w:t>o</w:t>
      </w:r>
      <w:r w:rsidRPr="00A054F0">
        <w:t> </w:t>
      </w:r>
      <w:hyperlink r:id="rId17" w:anchor="{%22appno%22:[%22210/92%22]}" w:tgtFrame="_blank" w:history="1">
        <w:r w:rsidRPr="00A054F0">
          <w:t>210/92</w:t>
        </w:r>
      </w:hyperlink>
      <w:r w:rsidRPr="00A054F0">
        <w:t xml:space="preserve"> (</w:t>
      </w:r>
      <w:r w:rsidRPr="00A054F0">
        <w:rPr>
          <w:i/>
          <w:iCs/>
        </w:rPr>
        <w:t>G.N. et autres c. Italie</w:t>
      </w:r>
      <w:r w:rsidRPr="00A054F0">
        <w:t>, précité, §§ 53-59). À cette occasion, elle a conclu notamment que « eu égard aux caractéristiques de la procédure d</w:t>
      </w:r>
      <w:r w:rsidR="00A054F0" w:rsidRPr="00A054F0">
        <w:t>’</w:t>
      </w:r>
      <w:r w:rsidRPr="00A054F0">
        <w:t>indemnisation visée par la loi n</w:t>
      </w:r>
      <w:r w:rsidRPr="00A054F0">
        <w:rPr>
          <w:vertAlign w:val="superscript"/>
        </w:rPr>
        <w:t>o</w:t>
      </w:r>
      <w:r w:rsidRPr="00A054F0">
        <w:t xml:space="preserve"> </w:t>
      </w:r>
      <w:r w:rsidR="00496CEE" w:rsidRPr="00A054F0">
        <w:t xml:space="preserve">210/92, </w:t>
      </w:r>
      <w:r w:rsidRPr="00A054F0">
        <w:t>aux circonstances de l</w:t>
      </w:r>
      <w:r w:rsidR="00A054F0" w:rsidRPr="00A054F0">
        <w:t>’</w:t>
      </w:r>
      <w:r w:rsidRPr="00A054F0">
        <w:t xml:space="preserve">espèce et à la nécessité que, face à des griefs défendables tirés des articles 2 et 3 de la Convention, les États contractants mettent en place un système judiciaire efficace visant à identifier les causes des violations alléguées et, le cas échéant, à obliger les responsables à répondre de leurs actes (voir, </w:t>
      </w:r>
      <w:r w:rsidRPr="00A054F0">
        <w:rPr>
          <w:i/>
          <w:iCs/>
        </w:rPr>
        <w:t>mutatis mutandis</w:t>
      </w:r>
      <w:r w:rsidRPr="00A054F0">
        <w:t xml:space="preserve">, </w:t>
      </w:r>
      <w:proofErr w:type="spellStart"/>
      <w:r w:rsidRPr="00A054F0">
        <w:rPr>
          <w:i/>
          <w:iCs/>
        </w:rPr>
        <w:t>Calvelli</w:t>
      </w:r>
      <w:proofErr w:type="spellEnd"/>
      <w:r w:rsidRPr="00A054F0">
        <w:rPr>
          <w:i/>
          <w:iCs/>
        </w:rPr>
        <w:t xml:space="preserve"> et </w:t>
      </w:r>
      <w:proofErr w:type="spellStart"/>
      <w:r w:rsidRPr="00A054F0">
        <w:rPr>
          <w:i/>
          <w:iCs/>
        </w:rPr>
        <w:t>Ciglio</w:t>
      </w:r>
      <w:proofErr w:type="spellEnd"/>
      <w:r w:rsidRPr="00A054F0">
        <w:rPr>
          <w:i/>
          <w:iCs/>
        </w:rPr>
        <w:t xml:space="preserve"> c. Italie</w:t>
      </w:r>
      <w:r w:rsidRPr="00A054F0">
        <w:t xml:space="preserve"> [GC], n</w:t>
      </w:r>
      <w:r w:rsidRPr="00A054F0">
        <w:rPr>
          <w:vertAlign w:val="superscript"/>
        </w:rPr>
        <w:t>o</w:t>
      </w:r>
      <w:r w:rsidRPr="00A054F0">
        <w:t xml:space="preserve"> </w:t>
      </w:r>
      <w:r w:rsidR="00496CEE" w:rsidRPr="00A054F0">
        <w:t>32967/96</w:t>
      </w:r>
      <w:r w:rsidRPr="00A054F0">
        <w:t>, § 49, CEDH 2002</w:t>
      </w:r>
      <w:r w:rsidRPr="00A054F0">
        <w:noBreakHyphen/>
        <w:t>I (...)), les requérants peuvent être considérés comme étant « victimes » des violations qu</w:t>
      </w:r>
      <w:r w:rsidR="00A054F0" w:rsidRPr="00A054F0">
        <w:t>’</w:t>
      </w:r>
      <w:r w:rsidRPr="00A054F0">
        <w:t>ils allèguent. »</w:t>
      </w:r>
    </w:p>
    <w:p w14:paraId="450F2563" w14:textId="0DA3C74A"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19</w:t>
      </w:r>
      <w:r w:rsidRPr="00A054F0">
        <w:fldChar w:fldCharType="end"/>
      </w:r>
      <w:r w:rsidRPr="00A054F0">
        <w:t>.  Pour ce qui est de l</w:t>
      </w:r>
      <w:r w:rsidR="00A054F0" w:rsidRPr="00A054F0">
        <w:t>’</w:t>
      </w:r>
      <w:r w:rsidRPr="00A054F0">
        <w:t>argument du Gouvernement selon lequel le requérant aurait dû exercer le recours prévu par la « loi Pinto », permettant de se plaindre de la durée excessive d</w:t>
      </w:r>
      <w:r w:rsidR="00A054F0" w:rsidRPr="00A054F0">
        <w:t>’</w:t>
      </w:r>
      <w:r w:rsidRPr="00A054F0">
        <w:t>une procédure, la Cour réaffirme que ce recours aurait été insuffisant en l</w:t>
      </w:r>
      <w:r w:rsidR="00A054F0" w:rsidRPr="00A054F0">
        <w:t>’</w:t>
      </w:r>
      <w:r w:rsidRPr="00A054F0">
        <w:t>espèce, dès lors que ce n</w:t>
      </w:r>
      <w:r w:rsidR="00A054F0" w:rsidRPr="00A054F0">
        <w:t>’</w:t>
      </w:r>
      <w:r w:rsidRPr="00A054F0">
        <w:t>était pas simplement la durée de la procédure qui était en cause, mais la question de savoir si, dans les circonstances de l</w:t>
      </w:r>
      <w:r w:rsidR="00A054F0" w:rsidRPr="00A054F0">
        <w:t>’</w:t>
      </w:r>
      <w:r w:rsidRPr="00A054F0">
        <w:t>affaire prise globalement, l</w:t>
      </w:r>
      <w:r w:rsidR="00A054F0" w:rsidRPr="00A054F0">
        <w:t>’</w:t>
      </w:r>
      <w:r w:rsidRPr="00A054F0">
        <w:t>État pouvait passer pour avoir satisfait à ses obligations procédurales au regard de l</w:t>
      </w:r>
      <w:r w:rsidR="00A054F0" w:rsidRPr="00A054F0">
        <w:t>’</w:t>
      </w:r>
      <w:r w:rsidRPr="00A054F0">
        <w:t>article 2 de la Convention (</w:t>
      </w:r>
      <w:r w:rsidRPr="00A054F0">
        <w:rPr>
          <w:i/>
          <w:iCs/>
        </w:rPr>
        <w:t>G.N. et autres c. Italie</w:t>
      </w:r>
      <w:r w:rsidRPr="00A054F0">
        <w:t>, précité, § 101).</w:t>
      </w:r>
    </w:p>
    <w:p w14:paraId="711A1749" w14:textId="37BCF032"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20</w:t>
      </w:r>
      <w:r w:rsidRPr="00A054F0">
        <w:fldChar w:fldCharType="end"/>
      </w:r>
      <w:r w:rsidRPr="00A054F0">
        <w:t>.  Dès lors, il y a lieu de rejeter les exceptions du Gouvernement tirées d</w:t>
      </w:r>
      <w:r w:rsidR="00A054F0" w:rsidRPr="00A054F0">
        <w:t>’</w:t>
      </w:r>
      <w:r w:rsidRPr="00A054F0">
        <w:t>un défaut de qualité de victime du requérant et d</w:t>
      </w:r>
      <w:r w:rsidR="00A054F0" w:rsidRPr="00A054F0">
        <w:t>’</w:t>
      </w:r>
      <w:r w:rsidRPr="00A054F0">
        <w:t>un défaut d</w:t>
      </w:r>
      <w:r w:rsidR="00A054F0" w:rsidRPr="00A054F0">
        <w:t>’</w:t>
      </w:r>
      <w:r w:rsidRPr="00A054F0">
        <w:t>épuisement des voies de recours internes. Constatant que la requête n</w:t>
      </w:r>
      <w:r w:rsidR="00A054F0" w:rsidRPr="00A054F0">
        <w:t>’</w:t>
      </w:r>
      <w:r w:rsidRPr="00A054F0">
        <w:t xml:space="preserve">est pas </w:t>
      </w:r>
      <w:r w:rsidRPr="00A054F0">
        <w:lastRenderedPageBreak/>
        <w:t>manifestement mal fondée ni irrecevable pour un autre motif visé à l</w:t>
      </w:r>
      <w:r w:rsidR="00A054F0" w:rsidRPr="00A054F0">
        <w:t>’</w:t>
      </w:r>
      <w:r w:rsidRPr="00A054F0">
        <w:t>article 35 de la Convention, la Cour la déclare recevable.</w:t>
      </w:r>
      <w:bookmarkEnd w:id="14"/>
    </w:p>
    <w:p w14:paraId="10FC4C66" w14:textId="77777777" w:rsidR="00071E4F" w:rsidRPr="00A054F0" w:rsidRDefault="00071E4F" w:rsidP="00A054F0">
      <w:pPr>
        <w:pStyle w:val="JuHA"/>
      </w:pPr>
      <w:bookmarkStart w:id="15" w:name="_Hlk36127650"/>
      <w:r w:rsidRPr="00A054F0">
        <w:t>Sur le fond</w:t>
      </w:r>
      <w:bookmarkEnd w:id="15"/>
    </w:p>
    <w:p w14:paraId="3A0BA8B7" w14:textId="4B2A9D57"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21</w:t>
      </w:r>
      <w:r w:rsidRPr="00A054F0">
        <w:fldChar w:fldCharType="end"/>
      </w:r>
      <w:r w:rsidRPr="00A054F0">
        <w:t>.  Le requérant réitère son grief.</w:t>
      </w:r>
    </w:p>
    <w:p w14:paraId="6C544F24" w14:textId="13D01259"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22</w:t>
      </w:r>
      <w:r w:rsidRPr="00A054F0">
        <w:fldChar w:fldCharType="end"/>
      </w:r>
      <w:r w:rsidRPr="00A054F0">
        <w:t>.  Le Gouvernement estime que cette requête est dépourvue de fondement.</w:t>
      </w:r>
    </w:p>
    <w:bookmarkStart w:id="16" w:name="_Hlk36127691"/>
    <w:p w14:paraId="796D1009" w14:textId="1D812EF2"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23</w:t>
      </w:r>
      <w:r w:rsidRPr="00A054F0">
        <w:fldChar w:fldCharType="end"/>
      </w:r>
      <w:r w:rsidRPr="00A054F0">
        <w:t>.  La Cour rappelle d</w:t>
      </w:r>
      <w:r w:rsidR="00A054F0" w:rsidRPr="00A054F0">
        <w:t>’</w:t>
      </w:r>
      <w:r w:rsidRPr="00A054F0">
        <w:t>emblée que la présente requête a pour objet la durée de la procédure civile que le requérant avait introduite afin d</w:t>
      </w:r>
      <w:r w:rsidR="00A054F0" w:rsidRPr="00A054F0">
        <w:t>’</w:t>
      </w:r>
      <w:r w:rsidRPr="00A054F0">
        <w:t>obtenir une indemnisation au titre de sa contamination par le virus de l</w:t>
      </w:r>
      <w:r w:rsidR="00A054F0" w:rsidRPr="00A054F0">
        <w:t>’</w:t>
      </w:r>
      <w:r w:rsidRPr="00A054F0">
        <w:t>hépatite C à la suite de transfusions sanguines. Sur le fond, le requérant ne se plaint donc pas en soi du calcul de l</w:t>
      </w:r>
      <w:r w:rsidR="00A054F0" w:rsidRPr="00A054F0">
        <w:t>’</w:t>
      </w:r>
      <w:r w:rsidRPr="00A054F0">
        <w:t>indemnité qui lui a été octroyée.</w:t>
      </w:r>
    </w:p>
    <w:p w14:paraId="680D2220" w14:textId="04AA2D28"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24</w:t>
      </w:r>
      <w:r w:rsidRPr="00A054F0">
        <w:fldChar w:fldCharType="end"/>
      </w:r>
      <w:r w:rsidRPr="00A054F0">
        <w:t>.  La Cour relève que la procédure entamée par le requérant a duré environ quatorze ans, pour trois instances.</w:t>
      </w:r>
    </w:p>
    <w:p w14:paraId="5AE32560" w14:textId="1CDB7C87"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25</w:t>
      </w:r>
      <w:r w:rsidRPr="00A054F0">
        <w:fldChar w:fldCharType="end"/>
      </w:r>
      <w:r w:rsidRPr="00A054F0">
        <w:t xml:space="preserve">.  Elle observe ensuite que, dans les arrêts de principe </w:t>
      </w:r>
      <w:r w:rsidRPr="00A054F0">
        <w:rPr>
          <w:i/>
        </w:rPr>
        <w:t xml:space="preserve">G.N. et autres c. Italie </w:t>
      </w:r>
      <w:r w:rsidRPr="00A054F0">
        <w:rPr>
          <w:iCs/>
        </w:rPr>
        <w:t>(</w:t>
      </w:r>
      <w:r w:rsidRPr="00A054F0">
        <w:t xml:space="preserve">précité) et </w:t>
      </w:r>
      <w:r w:rsidRPr="00A054F0">
        <w:rPr>
          <w:i/>
        </w:rPr>
        <w:t xml:space="preserve">D.A. et autres c. Italie </w:t>
      </w:r>
      <w:r w:rsidRPr="00A054F0">
        <w:rPr>
          <w:iCs/>
        </w:rPr>
        <w:t>(</w:t>
      </w:r>
      <w:r w:rsidRPr="00A054F0">
        <w:t>n</w:t>
      </w:r>
      <w:r w:rsidRPr="00A054F0">
        <w:rPr>
          <w:vertAlign w:val="superscript"/>
        </w:rPr>
        <w:t>os</w:t>
      </w:r>
      <w:r w:rsidRPr="00A054F0">
        <w:t xml:space="preserve"> 68060/12 et 18 autres, 14 janvier 2016), elle a conclu à la violation relativement à des questions similaires à celle qui fait l</w:t>
      </w:r>
      <w:r w:rsidR="00A054F0" w:rsidRPr="00A054F0">
        <w:t>’</w:t>
      </w:r>
      <w:r w:rsidRPr="00A054F0">
        <w:t>objet de la présente affaire.</w:t>
      </w:r>
    </w:p>
    <w:p w14:paraId="673E1CE2" w14:textId="31FB6635"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26</w:t>
      </w:r>
      <w:r w:rsidRPr="00A054F0">
        <w:fldChar w:fldCharType="end"/>
      </w:r>
      <w:r w:rsidRPr="00A054F0">
        <w:t>.  Après examen de l</w:t>
      </w:r>
      <w:r w:rsidR="00A054F0" w:rsidRPr="00A054F0">
        <w:t>’</w:t>
      </w:r>
      <w:r w:rsidRPr="00A054F0">
        <w:t>ensemble des éléments qui lui ont été soumis, la Cour ne décèle aucun fait ou argument propre à la convaincre de parvenir à une conclusion différente quant au bien-fondé du grief en question. Compte tenu de sa jurisprudence en la matière, elle estime que la durée de la procédure en cause a été excessive et que les autorités italiennes, face à un grief défendable tiré de l</w:t>
      </w:r>
      <w:r w:rsidR="00A054F0" w:rsidRPr="00A054F0">
        <w:t>’</w:t>
      </w:r>
      <w:r w:rsidRPr="00A054F0">
        <w:t>article 2 de la Convention, ont manqué à offrir une réponse adéquate et rapide conforme aux obligations procédurales qui découlent de cette disposition.</w:t>
      </w:r>
    </w:p>
    <w:p w14:paraId="2CA048FC" w14:textId="2477BE03"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27</w:t>
      </w:r>
      <w:r w:rsidRPr="00A054F0">
        <w:fldChar w:fldCharType="end"/>
      </w:r>
      <w:r w:rsidRPr="00A054F0">
        <w:t>.  Il s</w:t>
      </w:r>
      <w:r w:rsidR="00A054F0" w:rsidRPr="00A054F0">
        <w:t>’</w:t>
      </w:r>
      <w:r w:rsidRPr="00A054F0">
        <w:t>ensuit que ce grief révèle une violation de l</w:t>
      </w:r>
      <w:r w:rsidR="00A054F0" w:rsidRPr="00A054F0">
        <w:t>’</w:t>
      </w:r>
      <w:r w:rsidRPr="00A054F0">
        <w:t xml:space="preserve">article </w:t>
      </w:r>
      <w:r w:rsidRPr="00A054F0">
        <w:rPr>
          <w:rFonts w:eastAsia="PMingLiU"/>
        </w:rPr>
        <w:t>2</w:t>
      </w:r>
      <w:r w:rsidRPr="00A054F0">
        <w:t xml:space="preserve"> de la Convention.</w:t>
      </w:r>
    </w:p>
    <w:bookmarkEnd w:id="10"/>
    <w:bookmarkEnd w:id="16"/>
    <w:p w14:paraId="1C1CB787" w14:textId="2D8280F6" w:rsidR="00071E4F" w:rsidRPr="00A054F0" w:rsidRDefault="00071E4F" w:rsidP="00A054F0">
      <w:pPr>
        <w:pStyle w:val="JuHIRoman"/>
      </w:pPr>
      <w:r w:rsidRPr="00A054F0">
        <w:t>SUR L</w:t>
      </w:r>
      <w:r w:rsidR="00A054F0" w:rsidRPr="00A054F0">
        <w:t>’</w:t>
      </w:r>
      <w:r w:rsidRPr="00A054F0">
        <w:t>APPLICATION DE L</w:t>
      </w:r>
      <w:r w:rsidR="00A054F0" w:rsidRPr="00A054F0">
        <w:t>’</w:t>
      </w:r>
      <w:r w:rsidRPr="00A054F0">
        <w:t>ARTICLE 41 DE LA CONVENTION</w:t>
      </w:r>
    </w:p>
    <w:p w14:paraId="14B97091" w14:textId="6E34013B"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28</w:t>
      </w:r>
      <w:r w:rsidRPr="00A054F0">
        <w:fldChar w:fldCharType="end"/>
      </w:r>
      <w:r w:rsidRPr="00A054F0">
        <w:t>.  </w:t>
      </w:r>
      <w:bookmarkStart w:id="17" w:name="_Hlk36128236"/>
      <w:r w:rsidRPr="00A054F0">
        <w:t>Aux termes de l</w:t>
      </w:r>
      <w:r w:rsidR="00A054F0" w:rsidRPr="00A054F0">
        <w:t>’</w:t>
      </w:r>
      <w:r w:rsidRPr="00A054F0">
        <w:t>article 41 de la Convention,</w:t>
      </w:r>
      <w:bookmarkEnd w:id="17"/>
    </w:p>
    <w:p w14:paraId="2F90299C" w14:textId="03A8C97C" w:rsidR="00071E4F" w:rsidRPr="00A054F0" w:rsidRDefault="00071E4F" w:rsidP="00A054F0">
      <w:pPr>
        <w:pStyle w:val="JuQuot"/>
      </w:pPr>
      <w:bookmarkStart w:id="18" w:name="_Hlk36128242"/>
      <w:r w:rsidRPr="00A054F0">
        <w:t>« Si la Cour déclare qu</w:t>
      </w:r>
      <w:r w:rsidR="00A054F0" w:rsidRPr="00A054F0">
        <w:t>’</w:t>
      </w:r>
      <w:r w:rsidRPr="00A054F0">
        <w:t>il y a eu violation de la Convention ou de ses Protocoles, et si le droit interne de la Haute Partie contractante ne permet d</w:t>
      </w:r>
      <w:r w:rsidR="00A054F0" w:rsidRPr="00A054F0">
        <w:t>’</w:t>
      </w:r>
      <w:r w:rsidRPr="00A054F0">
        <w:t>effacer qu</w:t>
      </w:r>
      <w:r w:rsidR="00A054F0" w:rsidRPr="00A054F0">
        <w:t>’</w:t>
      </w:r>
      <w:r w:rsidRPr="00A054F0">
        <w:t>imparfaitement les conséquences de cette violation, la Cour accorde à la partie lésée, s</w:t>
      </w:r>
      <w:r w:rsidR="00A054F0" w:rsidRPr="00A054F0">
        <w:t>’</w:t>
      </w:r>
      <w:r w:rsidRPr="00A054F0">
        <w:t>il y a lieu, une satisfaction équitable. »</w:t>
      </w:r>
      <w:bookmarkEnd w:id="18"/>
    </w:p>
    <w:p w14:paraId="4F657905" w14:textId="33673AA7"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29</w:t>
      </w:r>
      <w:r w:rsidRPr="00A054F0">
        <w:fldChar w:fldCharType="end"/>
      </w:r>
      <w:r w:rsidRPr="00A054F0">
        <w:t>.  Le requérant réclame 50 000 EUR au titre du préjudice moral qu</w:t>
      </w:r>
      <w:r w:rsidR="00A054F0" w:rsidRPr="00A054F0">
        <w:t>’</w:t>
      </w:r>
      <w:r w:rsidRPr="00A054F0">
        <w:t xml:space="preserve">il estime avoir subi. Il demande également 5 000 EUR pour frais et dépens engagés devant la Cour, sans toutefois </w:t>
      </w:r>
      <w:r w:rsidRPr="00A054F0">
        <w:rPr>
          <w:szCs w:val="20"/>
        </w:rPr>
        <w:t>produire les justificatifs à l</w:t>
      </w:r>
      <w:r w:rsidR="00A054F0" w:rsidRPr="00A054F0">
        <w:rPr>
          <w:szCs w:val="20"/>
        </w:rPr>
        <w:t>’</w:t>
      </w:r>
      <w:r w:rsidRPr="00A054F0">
        <w:rPr>
          <w:szCs w:val="20"/>
        </w:rPr>
        <w:t>appui</w:t>
      </w:r>
      <w:r w:rsidRPr="00A054F0">
        <w:t>.</w:t>
      </w:r>
    </w:p>
    <w:p w14:paraId="02E0A643" w14:textId="6E93FBCF"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30</w:t>
      </w:r>
      <w:r w:rsidRPr="00A054F0">
        <w:fldChar w:fldCharType="end"/>
      </w:r>
      <w:r w:rsidRPr="00A054F0">
        <w:t>.  Le Gouvernement s</w:t>
      </w:r>
      <w:r w:rsidR="00A054F0" w:rsidRPr="00A054F0">
        <w:t>’</w:t>
      </w:r>
      <w:r w:rsidRPr="00A054F0">
        <w:t>oppose à ces prétentions.</w:t>
      </w:r>
    </w:p>
    <w:p w14:paraId="7F570BF6" w14:textId="507C5C5C"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31</w:t>
      </w:r>
      <w:r w:rsidRPr="00A054F0">
        <w:fldChar w:fldCharType="end"/>
      </w:r>
      <w:r w:rsidRPr="00A054F0">
        <w:t>.  La Cour considère qu</w:t>
      </w:r>
      <w:r w:rsidR="00A054F0" w:rsidRPr="00A054F0">
        <w:t>’</w:t>
      </w:r>
      <w:r w:rsidRPr="00A054F0">
        <w:t>il y a lieu d</w:t>
      </w:r>
      <w:r w:rsidR="00A054F0" w:rsidRPr="00A054F0">
        <w:t>’</w:t>
      </w:r>
      <w:r w:rsidRPr="00A054F0">
        <w:t>octroyer au requérant 25 000 EUR au titre du préjudice moral, plus tout montant pouvant être dû sur cette somme à titre d</w:t>
      </w:r>
      <w:r w:rsidR="00A054F0" w:rsidRPr="00A054F0">
        <w:t>’</w:t>
      </w:r>
      <w:r w:rsidRPr="00A054F0">
        <w:t>impôt.</w:t>
      </w:r>
    </w:p>
    <w:p w14:paraId="4972E257" w14:textId="0FD9543F" w:rsidR="00071E4F" w:rsidRPr="00A054F0" w:rsidRDefault="00071E4F" w:rsidP="00A054F0">
      <w:pPr>
        <w:pStyle w:val="JuPara"/>
      </w:pPr>
      <w:r w:rsidRPr="00A054F0">
        <w:lastRenderedPageBreak/>
        <w:fldChar w:fldCharType="begin"/>
      </w:r>
      <w:r w:rsidRPr="00A054F0">
        <w:instrText xml:space="preserve"> SEQ level0 \*arabic </w:instrText>
      </w:r>
      <w:r w:rsidRPr="00A054F0">
        <w:fldChar w:fldCharType="separate"/>
      </w:r>
      <w:r w:rsidR="00A054F0" w:rsidRPr="00A054F0">
        <w:rPr>
          <w:noProof/>
        </w:rPr>
        <w:t>32</w:t>
      </w:r>
      <w:r w:rsidRPr="00A054F0">
        <w:fldChar w:fldCharType="end"/>
      </w:r>
      <w:r w:rsidRPr="00A054F0">
        <w:t>.  En outre, selon la jurisprudence de la Cour, un requérant ne peut obtenir le remboursement de ses frais et dépens que dans la mesure où se trouvent établis leur réalité, leur nécessité et le caractère raisonnable de leur taux. En l</w:t>
      </w:r>
      <w:r w:rsidR="00A054F0" w:rsidRPr="00A054F0">
        <w:t>’</w:t>
      </w:r>
      <w:r w:rsidRPr="00A054F0">
        <w:t>espèce, compte tenu des documents dont elle dispose et de sa jurisprudence, la Cour rejette la demande concernant les frais et dépens engagés devant la Cour.</w:t>
      </w:r>
    </w:p>
    <w:p w14:paraId="57620BD4" w14:textId="4AB7B9E2" w:rsidR="00071E4F" w:rsidRPr="00A054F0" w:rsidRDefault="00071E4F" w:rsidP="00A054F0">
      <w:pPr>
        <w:pStyle w:val="JuPara"/>
      </w:pPr>
      <w:r w:rsidRPr="00A054F0">
        <w:fldChar w:fldCharType="begin"/>
      </w:r>
      <w:r w:rsidRPr="00A054F0">
        <w:instrText xml:space="preserve"> SEQ level0 \*arabic </w:instrText>
      </w:r>
      <w:r w:rsidRPr="00A054F0">
        <w:fldChar w:fldCharType="separate"/>
      </w:r>
      <w:r w:rsidR="00A054F0" w:rsidRPr="00A054F0">
        <w:rPr>
          <w:noProof/>
        </w:rPr>
        <w:t>33</w:t>
      </w:r>
      <w:r w:rsidRPr="00A054F0">
        <w:fldChar w:fldCharType="end"/>
      </w:r>
      <w:r w:rsidRPr="00A054F0">
        <w:t>.  La Cour juge approprié de calquer le taux des intérêts moratoires sur le taux d</w:t>
      </w:r>
      <w:r w:rsidR="00A054F0" w:rsidRPr="00A054F0">
        <w:t>’</w:t>
      </w:r>
      <w:r w:rsidRPr="00A054F0">
        <w:t>intérêt de la facilité de prêt marginal de la Banque centrale européenne majoré de trois points de pourcentage.</w:t>
      </w:r>
    </w:p>
    <w:p w14:paraId="676CB741" w14:textId="3D0963AA" w:rsidR="00071E4F" w:rsidRPr="00A054F0" w:rsidRDefault="00071E4F" w:rsidP="00A054F0">
      <w:pPr>
        <w:pStyle w:val="JuHHead"/>
        <w:numPr>
          <w:ilvl w:val="0"/>
          <w:numId w:val="1"/>
        </w:numPr>
      </w:pPr>
      <w:r w:rsidRPr="00A054F0">
        <w:t xml:space="preserve">PAR CES MOTIFS, LA COUR, </w:t>
      </w:r>
      <w:r w:rsidRPr="00A054F0">
        <w:rPr>
          <w:caps w:val="0"/>
        </w:rPr>
        <w:t>À L</w:t>
      </w:r>
      <w:r w:rsidR="00A054F0" w:rsidRPr="00A054F0">
        <w:rPr>
          <w:caps w:val="0"/>
        </w:rPr>
        <w:t>’</w:t>
      </w:r>
      <w:r w:rsidRPr="00A054F0">
        <w:rPr>
          <w:caps w:val="0"/>
        </w:rPr>
        <w:t>UNANIMITÉ</w:t>
      </w:r>
      <w:r w:rsidRPr="00A054F0">
        <w:t>,</w:t>
      </w:r>
    </w:p>
    <w:p w14:paraId="50BF2063" w14:textId="77777777" w:rsidR="00071E4F" w:rsidRPr="00A054F0" w:rsidRDefault="00071E4F" w:rsidP="00A054F0">
      <w:pPr>
        <w:pStyle w:val="JuList"/>
      </w:pPr>
      <w:r w:rsidRPr="00A054F0">
        <w:rPr>
          <w:i/>
        </w:rPr>
        <w:t>Déclare</w:t>
      </w:r>
      <w:r w:rsidRPr="00A054F0">
        <w:t xml:space="preserve"> la requête recevable ;</w:t>
      </w:r>
    </w:p>
    <w:p w14:paraId="4F4A65C2" w14:textId="4940E6CD" w:rsidR="00071E4F" w:rsidRPr="00A054F0" w:rsidRDefault="00071E4F" w:rsidP="00A054F0">
      <w:pPr>
        <w:pStyle w:val="JuList"/>
      </w:pPr>
      <w:r w:rsidRPr="00A054F0">
        <w:rPr>
          <w:i/>
        </w:rPr>
        <w:t>Dit</w:t>
      </w:r>
      <w:r w:rsidRPr="00A054F0">
        <w:t xml:space="preserve"> qu</w:t>
      </w:r>
      <w:r w:rsidR="00A054F0" w:rsidRPr="00A054F0">
        <w:t>’</w:t>
      </w:r>
      <w:r w:rsidRPr="00A054F0">
        <w:t>il y a eu violation de l</w:t>
      </w:r>
      <w:r w:rsidR="00A054F0" w:rsidRPr="00A054F0">
        <w:t>’</w:t>
      </w:r>
      <w:r w:rsidRPr="00A054F0">
        <w:t>article 2 de la Convention ;</w:t>
      </w:r>
    </w:p>
    <w:p w14:paraId="742E9D9D" w14:textId="77777777" w:rsidR="00071E4F" w:rsidRPr="00A054F0" w:rsidRDefault="00071E4F" w:rsidP="00A054F0">
      <w:pPr>
        <w:pStyle w:val="JuList"/>
      </w:pPr>
      <w:r w:rsidRPr="00A054F0">
        <w:rPr>
          <w:i/>
        </w:rPr>
        <w:t>Dit</w:t>
      </w:r>
      <w:r w:rsidRPr="00A054F0">
        <w:t>,</w:t>
      </w:r>
    </w:p>
    <w:p w14:paraId="3B617D95" w14:textId="1EF028A7" w:rsidR="00071E4F" w:rsidRPr="00A054F0" w:rsidRDefault="00071E4F" w:rsidP="00A054F0">
      <w:pPr>
        <w:pStyle w:val="JuLista"/>
      </w:pPr>
      <w:proofErr w:type="gramStart"/>
      <w:r w:rsidRPr="00A054F0">
        <w:t>que</w:t>
      </w:r>
      <w:proofErr w:type="gramEnd"/>
      <w:r w:rsidRPr="00A054F0">
        <w:t xml:space="preserve"> l</w:t>
      </w:r>
      <w:r w:rsidR="00A054F0" w:rsidRPr="00A054F0">
        <w:t>’</w:t>
      </w:r>
      <w:r w:rsidRPr="00A054F0">
        <w:t>État défendeur doit verser au requérant, dans un délai de trois mois, 25 000 EUR (vingt-cinq mille euros), plus tout montant pouvant être dû sur cette somme à titre d</w:t>
      </w:r>
      <w:r w:rsidR="00A054F0" w:rsidRPr="00A054F0">
        <w:t>’</w:t>
      </w:r>
      <w:r w:rsidRPr="00A054F0">
        <w:t>impôt, pour dommage moral ;</w:t>
      </w:r>
    </w:p>
    <w:p w14:paraId="261B8630" w14:textId="1757ED93" w:rsidR="00071E4F" w:rsidRPr="00A054F0" w:rsidRDefault="00071E4F" w:rsidP="00A054F0">
      <w:pPr>
        <w:pStyle w:val="JuLista"/>
      </w:pPr>
      <w:proofErr w:type="gramStart"/>
      <w:r w:rsidRPr="00A054F0">
        <w:t>qu</w:t>
      </w:r>
      <w:r w:rsidR="00A054F0" w:rsidRPr="00A054F0">
        <w:t>’</w:t>
      </w:r>
      <w:r w:rsidRPr="00A054F0">
        <w:t>à</w:t>
      </w:r>
      <w:proofErr w:type="gramEnd"/>
      <w:r w:rsidRPr="00A054F0">
        <w:t xml:space="preserve"> compter de l</w:t>
      </w:r>
      <w:r w:rsidR="00A054F0" w:rsidRPr="00A054F0">
        <w:t>’</w:t>
      </w:r>
      <w:r w:rsidRPr="00A054F0">
        <w:t>expiration dudit délai et jusqu</w:t>
      </w:r>
      <w:r w:rsidR="00A054F0" w:rsidRPr="00A054F0">
        <w:t>’</w:t>
      </w:r>
      <w:r w:rsidRPr="00A054F0">
        <w:t>au versement, ce montant sera à majorer d</w:t>
      </w:r>
      <w:r w:rsidR="00A054F0" w:rsidRPr="00A054F0">
        <w:t>’</w:t>
      </w:r>
      <w:r w:rsidRPr="00A054F0">
        <w:t>un intérêt simple à un taux égal à celui de la facilité de prêt marginal de la Banque centrale européenne applicable pendant cette période, augmenté de trois points de pourcentage ;</w:t>
      </w:r>
    </w:p>
    <w:p w14:paraId="08F796BD" w14:textId="77777777" w:rsidR="00876F03" w:rsidRPr="00A054F0" w:rsidRDefault="00071E4F" w:rsidP="00A054F0">
      <w:pPr>
        <w:pStyle w:val="JuList"/>
      </w:pPr>
      <w:r w:rsidRPr="00A054F0">
        <w:rPr>
          <w:i/>
        </w:rPr>
        <w:t>Rejette</w:t>
      </w:r>
      <w:r w:rsidRPr="00A054F0">
        <w:t xml:space="preserve"> le surplus de la demande de satisfaction équitable.</w:t>
      </w:r>
    </w:p>
    <w:p w14:paraId="1D5E8616" w14:textId="2F30B2FF" w:rsidR="00893F30" w:rsidRPr="00A054F0" w:rsidRDefault="00893F30" w:rsidP="00A054F0">
      <w:pPr>
        <w:pStyle w:val="JuParaLast"/>
      </w:pPr>
      <w:r w:rsidRPr="00A054F0">
        <w:t xml:space="preserve">Fait en français, puis communiqué par écrit le </w:t>
      </w:r>
      <w:r w:rsidR="00071E4F" w:rsidRPr="00A054F0">
        <w:t>7 octobre 2021</w:t>
      </w:r>
      <w:r w:rsidRPr="00A054F0">
        <w:t>, en application de l</w:t>
      </w:r>
      <w:r w:rsidR="00A054F0" w:rsidRPr="00A054F0">
        <w:t>’</w:t>
      </w:r>
      <w:r w:rsidRPr="00A054F0">
        <w:t>article 77 §§ 2 et 3 du règlement.</w:t>
      </w:r>
    </w:p>
    <w:p w14:paraId="3432A395" w14:textId="179E53D6" w:rsidR="00071E4F" w:rsidRPr="00A054F0" w:rsidRDefault="00F94531" w:rsidP="00A054F0">
      <w:pPr>
        <w:pStyle w:val="JuSigned"/>
        <w:keepNext/>
        <w:keepLines/>
        <w:rPr>
          <w:color w:val="F8F8F8" w:themeColor="background2"/>
        </w:rPr>
      </w:pPr>
      <w:r w:rsidRPr="00A054F0">
        <w:rPr>
          <w:color w:val="F8F8F8" w:themeColor="background2"/>
        </w:rPr>
        <w:tab/>
        <w:t xml:space="preserve"> {</w:t>
      </w:r>
      <w:proofErr w:type="gramStart"/>
      <w:r w:rsidRPr="00A054F0">
        <w:rPr>
          <w:color w:val="F8F8F8" w:themeColor="background2"/>
        </w:rPr>
        <w:t>signature</w:t>
      </w:r>
      <w:proofErr w:type="gramEnd"/>
      <w:r w:rsidRPr="00A054F0">
        <w:rPr>
          <w:color w:val="F8F8F8" w:themeColor="background2"/>
        </w:rPr>
        <w:t>_p_2}</w:t>
      </w:r>
    </w:p>
    <w:p w14:paraId="5ACD6620" w14:textId="1FB4B578" w:rsidR="00876F03" w:rsidRPr="00A054F0" w:rsidRDefault="00B5259F" w:rsidP="00A054F0">
      <w:pPr>
        <w:pStyle w:val="JuSigned"/>
      </w:pPr>
      <w:r w:rsidRPr="00A054F0">
        <w:tab/>
      </w:r>
      <w:r w:rsidR="00071E4F" w:rsidRPr="00A054F0">
        <w:t>Liv Tigerstedt</w:t>
      </w:r>
      <w:r w:rsidR="004344E6" w:rsidRPr="00A054F0">
        <w:tab/>
      </w:r>
      <w:r w:rsidR="00071E4F" w:rsidRPr="00A054F0">
        <w:t xml:space="preserve">Péter Paczolay </w:t>
      </w:r>
      <w:r w:rsidR="004344E6" w:rsidRPr="00A054F0">
        <w:br/>
      </w:r>
      <w:r w:rsidR="004344E6" w:rsidRPr="00A054F0">
        <w:tab/>
      </w:r>
      <w:r w:rsidR="00071E4F" w:rsidRPr="00A054F0">
        <w:t>Greffière adjointe</w:t>
      </w:r>
      <w:r w:rsidR="004344E6" w:rsidRPr="00A054F0">
        <w:tab/>
      </w:r>
      <w:r w:rsidR="00071E4F" w:rsidRPr="00A054F0">
        <w:t>Président</w:t>
      </w:r>
    </w:p>
    <w:sectPr w:rsidR="00876F03" w:rsidRPr="00A054F0" w:rsidSect="002075C0">
      <w:headerReference w:type="even" r:id="rId18"/>
      <w:headerReference w:type="default" r:id="rId19"/>
      <w:footerReference w:type="default" r:id="rId20"/>
      <w:footnotePr>
        <w:numRestart w:val="eachSect"/>
      </w:footnotePr>
      <w:type w:val="oddPage"/>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3797F" w14:textId="77777777" w:rsidR="00B556DB" w:rsidRPr="00F25EFC" w:rsidRDefault="00B556DB" w:rsidP="00516B59">
      <w:r w:rsidRPr="00F25EFC">
        <w:separator/>
      </w:r>
    </w:p>
  </w:endnote>
  <w:endnote w:type="continuationSeparator" w:id="0">
    <w:p w14:paraId="37F07675" w14:textId="77777777" w:rsidR="00B556DB" w:rsidRPr="00F25EFC" w:rsidRDefault="00B556DB"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6CF4" w14:textId="6140CDD2" w:rsidR="00954AD6" w:rsidRPr="00F25EFC" w:rsidRDefault="00071E4F" w:rsidP="00954AD6">
    <w:pPr>
      <w:pStyle w:val="JuHeader"/>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46541" w14:textId="00A08F55" w:rsidR="00071E4F" w:rsidRPr="00150BFA" w:rsidRDefault="00071E4F" w:rsidP="0020718E">
    <w:pPr>
      <w:jc w:val="center"/>
    </w:pPr>
    <w:r>
      <w:rPr>
        <w:noProof/>
        <w:lang w:val="en-US" w:eastAsia="ja-JP"/>
      </w:rPr>
      <w:drawing>
        <wp:inline distT="0" distB="0" distL="0" distR="0" wp14:anchorId="629C94D4" wp14:editId="2C066A0D">
          <wp:extent cx="771525" cy="619125"/>
          <wp:effectExtent l="0" t="0" r="9525" b="9525"/>
          <wp:docPr id="73" name="Picture 7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7BE343E" w14:textId="0D1F30D2" w:rsidR="00F22D5C" w:rsidRPr="00F25EFC" w:rsidRDefault="00B556DB"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52090" w14:textId="72CB598F" w:rsidR="00071E4F" w:rsidRPr="00150BFA" w:rsidRDefault="00071E4F" w:rsidP="0020718E">
    <w:pPr>
      <w:jc w:val="center"/>
    </w:pPr>
    <w:r>
      <w:rPr>
        <w:noProof/>
        <w:lang w:val="en-US" w:eastAsia="ja-JP"/>
      </w:rPr>
      <w:drawing>
        <wp:inline distT="0" distB="0" distL="0" distR="0" wp14:anchorId="518D0890" wp14:editId="2A8E5DA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0271E8A" w14:textId="32AB5AE9" w:rsidR="00902601" w:rsidRPr="00F25EFC" w:rsidRDefault="00902601"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A3018" w14:textId="3D84CAE4" w:rsidR="00F22D5C" w:rsidRPr="00D01935" w:rsidRDefault="00071E4F" w:rsidP="00662882">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13A3A" w14:textId="77777777" w:rsidR="00B556DB" w:rsidRPr="00F25EFC" w:rsidRDefault="00B556DB" w:rsidP="00516B59">
      <w:r w:rsidRPr="00F25EFC">
        <w:separator/>
      </w:r>
    </w:p>
  </w:footnote>
  <w:footnote w:type="continuationSeparator" w:id="0">
    <w:p w14:paraId="517E7C16" w14:textId="77777777" w:rsidR="00B556DB" w:rsidRPr="00F25EFC" w:rsidRDefault="00B556DB" w:rsidP="00516B59">
      <w:r w:rsidRPr="00F25E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9DC2" w14:textId="77777777" w:rsidR="00EC2EC3" w:rsidRDefault="00EC2EC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374AF" w14:textId="2210ABA3" w:rsidR="00071E4F" w:rsidRPr="00A45145" w:rsidRDefault="00071E4F" w:rsidP="00A45145">
    <w:pPr>
      <w:jc w:val="center"/>
    </w:pPr>
    <w:r>
      <w:rPr>
        <w:noProof/>
        <w:lang w:val="en-US" w:eastAsia="ja-JP"/>
      </w:rPr>
      <w:drawing>
        <wp:inline distT="0" distB="0" distL="0" distR="0" wp14:anchorId="5EB7DFDC" wp14:editId="4F13F534">
          <wp:extent cx="2962275" cy="1219200"/>
          <wp:effectExtent l="0" t="0" r="9525" b="0"/>
          <wp:docPr id="70" name="Picture 7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F7B0A82" w14:textId="4BB2B683" w:rsidR="00F22D5C" w:rsidRPr="00F25EFC" w:rsidRDefault="00B556DB" w:rsidP="009840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D33B" w14:textId="2D534E60" w:rsidR="00071E4F" w:rsidRPr="00A45145" w:rsidRDefault="00071E4F" w:rsidP="00A45145">
    <w:pPr>
      <w:jc w:val="center"/>
    </w:pPr>
    <w:r>
      <w:rPr>
        <w:noProof/>
        <w:lang w:val="en-US" w:eastAsia="ja-JP"/>
      </w:rPr>
      <w:drawing>
        <wp:inline distT="0" distB="0" distL="0" distR="0" wp14:anchorId="3DDD7EEA" wp14:editId="755AAE12">
          <wp:extent cx="2962275" cy="1219200"/>
          <wp:effectExtent l="0" t="0" r="9525" b="0"/>
          <wp:docPr id="64" name="Picture 6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20F1ACF" w14:textId="32D4EB4A" w:rsidR="00902601" w:rsidRPr="00F25EFC" w:rsidRDefault="00902601" w:rsidP="00902601">
    <w:pP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93046" w14:textId="2A80BC05" w:rsidR="00F22D5C" w:rsidRPr="00592C8D" w:rsidRDefault="00A21624" w:rsidP="00A21624">
    <w:pPr>
      <w:pStyle w:val="JuHeader"/>
      <w:rPr>
        <w:lang w:val="en-US"/>
      </w:rPr>
    </w:pPr>
    <w:r w:rsidRPr="00592C8D">
      <w:rPr>
        <w:lang w:val="en-US"/>
      </w:rPr>
      <w:t>ARRÊT</w:t>
    </w:r>
    <w:r w:rsidR="00256F45" w:rsidRPr="00592C8D">
      <w:rPr>
        <w:lang w:val="en-US"/>
      </w:rPr>
      <w:t xml:space="preserve"> </w:t>
    </w:r>
    <w:r w:rsidR="00071E4F">
      <w:rPr>
        <w:lang w:val="en-US"/>
      </w:rPr>
      <w:t>A.C. c. ITALIE</w:t>
    </w:r>
    <w:r w:rsidR="00071E4F" w:rsidRPr="00592C8D">
      <w:rPr>
        <w:noProof/>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0ACE5" w14:textId="134017DB" w:rsidR="00F22D5C" w:rsidRPr="00662882" w:rsidRDefault="00256F45" w:rsidP="00662882">
    <w:pPr>
      <w:pStyle w:val="JuHeader"/>
    </w:pPr>
    <w:r w:rsidRPr="00592C8D">
      <w:rPr>
        <w:lang w:val="en-US"/>
      </w:rPr>
      <w:t>ARRÊT</w:t>
    </w:r>
    <w:r w:rsidR="00162967" w:rsidRPr="00592C8D">
      <w:rPr>
        <w:lang w:val="en-US"/>
      </w:rPr>
      <w:t xml:space="preserve"> </w:t>
    </w:r>
    <w:r w:rsidR="00071E4F">
      <w:rPr>
        <w:lang w:val="en-US"/>
      </w:rPr>
      <w:t>A.C. c. ITALIE</w:t>
    </w:r>
    <w:r w:rsidR="007971FF" w:rsidRPr="00592C8D">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 w:name="Plural" w:val="0"/>
  </w:docVars>
  <w:rsids>
    <w:rsidRoot w:val="00071E4F"/>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71E4F"/>
    <w:rsid w:val="00080EC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2684"/>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075C0"/>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191D"/>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C7"/>
    <w:rsid w:val="003609FA"/>
    <w:rsid w:val="00361D45"/>
    <w:rsid w:val="00367B4F"/>
    <w:rsid w:val="003710C8"/>
    <w:rsid w:val="003722CE"/>
    <w:rsid w:val="003750BE"/>
    <w:rsid w:val="00387B9D"/>
    <w:rsid w:val="003921BB"/>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96CEE"/>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E593B"/>
    <w:rsid w:val="005F51E1"/>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19AB"/>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A4070"/>
    <w:rsid w:val="007A716F"/>
    <w:rsid w:val="007B270A"/>
    <w:rsid w:val="007C0695"/>
    <w:rsid w:val="007C419A"/>
    <w:rsid w:val="007C4CC8"/>
    <w:rsid w:val="007C5426"/>
    <w:rsid w:val="007C5798"/>
    <w:rsid w:val="007D4832"/>
    <w:rsid w:val="007D48C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054F0"/>
    <w:rsid w:val="00A1162C"/>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4328"/>
    <w:rsid w:val="00AB5628"/>
    <w:rsid w:val="00AC00C2"/>
    <w:rsid w:val="00AC5872"/>
    <w:rsid w:val="00AD2473"/>
    <w:rsid w:val="00AE0A2E"/>
    <w:rsid w:val="00AE354C"/>
    <w:rsid w:val="00AF4B07"/>
    <w:rsid w:val="00AF6186"/>
    <w:rsid w:val="00AF7A3A"/>
    <w:rsid w:val="00B009F4"/>
    <w:rsid w:val="00B0720C"/>
    <w:rsid w:val="00B160DB"/>
    <w:rsid w:val="00B20836"/>
    <w:rsid w:val="00B235BB"/>
    <w:rsid w:val="00B25320"/>
    <w:rsid w:val="00B25943"/>
    <w:rsid w:val="00B25D3B"/>
    <w:rsid w:val="00B27A44"/>
    <w:rsid w:val="00B30BBF"/>
    <w:rsid w:val="00B33C03"/>
    <w:rsid w:val="00B44E56"/>
    <w:rsid w:val="00B46543"/>
    <w:rsid w:val="00B47D33"/>
    <w:rsid w:val="00B5259F"/>
    <w:rsid w:val="00B52BE0"/>
    <w:rsid w:val="00B54133"/>
    <w:rsid w:val="00B556DB"/>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B5AE4"/>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2EC3"/>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5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A054F0"/>
    <w:rPr>
      <w:sz w:val="24"/>
      <w:szCs w:val="24"/>
      <w:lang w:val="fr-FR"/>
    </w:rPr>
  </w:style>
  <w:style w:type="paragraph" w:styleId="Titolo1">
    <w:name w:val="heading 1"/>
    <w:basedOn w:val="Normale"/>
    <w:next w:val="Normale"/>
    <w:link w:val="Titolo1Carattere"/>
    <w:uiPriority w:val="98"/>
    <w:semiHidden/>
    <w:rsid w:val="00A054F0"/>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A054F0"/>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A054F0"/>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A054F0"/>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A054F0"/>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A054F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A054F0"/>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A054F0"/>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A054F0"/>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A054F0"/>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A054F0"/>
    <w:rPr>
      <w:rFonts w:ascii="Tahoma" w:hAnsi="Tahoma" w:cs="Tahoma"/>
      <w:sz w:val="16"/>
      <w:szCs w:val="16"/>
      <w:lang w:val="fr-FR"/>
    </w:rPr>
  </w:style>
  <w:style w:type="character" w:styleId="Titolodellibro">
    <w:name w:val="Book Title"/>
    <w:uiPriority w:val="98"/>
    <w:semiHidden/>
    <w:qFormat/>
    <w:rsid w:val="00A054F0"/>
    <w:rPr>
      <w:i/>
      <w:iCs/>
      <w:smallCaps/>
      <w:spacing w:val="5"/>
    </w:rPr>
  </w:style>
  <w:style w:type="paragraph" w:customStyle="1" w:styleId="JuHeader">
    <w:name w:val="Ju_Header"/>
    <w:aliases w:val="_Header"/>
    <w:basedOn w:val="Intestazione"/>
    <w:uiPriority w:val="29"/>
    <w:qFormat/>
    <w:rsid w:val="00A054F0"/>
    <w:pPr>
      <w:tabs>
        <w:tab w:val="clear" w:pos="4536"/>
        <w:tab w:val="clear" w:pos="9072"/>
      </w:tabs>
      <w:jc w:val="center"/>
    </w:pPr>
    <w:rPr>
      <w:sz w:val="18"/>
    </w:rPr>
  </w:style>
  <w:style w:type="paragraph" w:customStyle="1" w:styleId="DummyStyle">
    <w:name w:val="Dummy_Style"/>
    <w:aliases w:val="_Dummy"/>
    <w:basedOn w:val="Normale"/>
    <w:semiHidden/>
    <w:qFormat/>
    <w:rsid w:val="00A054F0"/>
    <w:rPr>
      <w:color w:val="00B050"/>
      <w:sz w:val="22"/>
    </w:rPr>
  </w:style>
  <w:style w:type="character" w:styleId="Enfasigrassetto">
    <w:name w:val="Strong"/>
    <w:uiPriority w:val="98"/>
    <w:semiHidden/>
    <w:qFormat/>
    <w:rsid w:val="00A054F0"/>
    <w:rPr>
      <w:b/>
      <w:bCs/>
    </w:rPr>
  </w:style>
  <w:style w:type="paragraph" w:styleId="Nessunaspaziatura">
    <w:name w:val="No Spacing"/>
    <w:basedOn w:val="Normale"/>
    <w:link w:val="NessunaspaziaturaCarattere"/>
    <w:uiPriority w:val="98"/>
    <w:semiHidden/>
    <w:qFormat/>
    <w:rsid w:val="00A054F0"/>
  </w:style>
  <w:style w:type="character" w:customStyle="1" w:styleId="NessunaspaziaturaCarattere">
    <w:name w:val="Nessuna spaziatura Carattere"/>
    <w:basedOn w:val="Carpredefinitoparagrafo"/>
    <w:link w:val="Nessunaspaziatura"/>
    <w:uiPriority w:val="98"/>
    <w:semiHidden/>
    <w:rsid w:val="00A054F0"/>
    <w:rPr>
      <w:sz w:val="24"/>
      <w:szCs w:val="24"/>
      <w:lang w:val="fr-FR"/>
    </w:rPr>
  </w:style>
  <w:style w:type="paragraph" w:customStyle="1" w:styleId="JuQuot">
    <w:name w:val="Ju_Quot"/>
    <w:aliases w:val="_Quote"/>
    <w:basedOn w:val="NormalJustified"/>
    <w:uiPriority w:val="20"/>
    <w:qFormat/>
    <w:rsid w:val="00A054F0"/>
    <w:pPr>
      <w:spacing w:before="120" w:after="120"/>
      <w:ind w:left="425" w:firstLine="142"/>
    </w:pPr>
    <w:rPr>
      <w:sz w:val="20"/>
    </w:rPr>
  </w:style>
  <w:style w:type="paragraph" w:customStyle="1" w:styleId="JuList">
    <w:name w:val="Ju_List"/>
    <w:aliases w:val="_List_1"/>
    <w:basedOn w:val="NormalJustified"/>
    <w:uiPriority w:val="23"/>
    <w:qFormat/>
    <w:rsid w:val="00A054F0"/>
    <w:pPr>
      <w:numPr>
        <w:numId w:val="7"/>
      </w:numPr>
      <w:spacing w:before="280" w:after="60"/>
    </w:pPr>
  </w:style>
  <w:style w:type="paragraph" w:customStyle="1" w:styleId="JuLista">
    <w:name w:val="Ju_List_a"/>
    <w:aliases w:val="_List_2"/>
    <w:basedOn w:val="NormalJustified"/>
    <w:uiPriority w:val="23"/>
    <w:rsid w:val="00A054F0"/>
    <w:pPr>
      <w:numPr>
        <w:ilvl w:val="1"/>
        <w:numId w:val="7"/>
      </w:numPr>
    </w:pPr>
  </w:style>
  <w:style w:type="paragraph" w:customStyle="1" w:styleId="JuListi">
    <w:name w:val="Ju_List_i"/>
    <w:aliases w:val="_List_3"/>
    <w:basedOn w:val="NormalJustified"/>
    <w:uiPriority w:val="23"/>
    <w:rsid w:val="00A054F0"/>
    <w:pPr>
      <w:numPr>
        <w:ilvl w:val="2"/>
        <w:numId w:val="7"/>
      </w:numPr>
    </w:pPr>
  </w:style>
  <w:style w:type="paragraph" w:customStyle="1" w:styleId="DecHTitle">
    <w:name w:val="Dec_H_Title"/>
    <w:aliases w:val="_Title_1"/>
    <w:basedOn w:val="JuPara"/>
    <w:next w:val="JuPara"/>
    <w:uiPriority w:val="38"/>
    <w:qFormat/>
    <w:rsid w:val="00A054F0"/>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A054F0"/>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A054F0"/>
    <w:pPr>
      <w:keepNext/>
      <w:keepLines/>
      <w:tabs>
        <w:tab w:val="right" w:pos="7938"/>
      </w:tabs>
      <w:ind w:firstLine="0"/>
      <w:jc w:val="center"/>
    </w:pPr>
    <w:rPr>
      <w:i/>
    </w:rPr>
  </w:style>
  <w:style w:type="numbering" w:customStyle="1" w:styleId="ECHRA1StyleBulletedSquare">
    <w:name w:val="ECHR_A1_Style_Bulleted_Square"/>
    <w:basedOn w:val="Nessunelenco"/>
    <w:rsid w:val="00A054F0"/>
    <w:pPr>
      <w:numPr>
        <w:numId w:val="6"/>
      </w:numPr>
    </w:pPr>
  </w:style>
  <w:style w:type="paragraph" w:customStyle="1" w:styleId="JuHHead">
    <w:name w:val="Ju_H_Head"/>
    <w:aliases w:val="_Head_1"/>
    <w:basedOn w:val="Titolo1"/>
    <w:next w:val="JuPara"/>
    <w:uiPriority w:val="17"/>
    <w:qFormat/>
    <w:rsid w:val="00A054F0"/>
    <w:pPr>
      <w:keepNext/>
      <w:keepLines/>
      <w:numPr>
        <w:numId w:val="2"/>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A054F0"/>
    <w:pPr>
      <w:numPr>
        <w:numId w:val="7"/>
      </w:numPr>
    </w:pPr>
  </w:style>
  <w:style w:type="paragraph" w:customStyle="1" w:styleId="JuSigned">
    <w:name w:val="Ju_Signed"/>
    <w:aliases w:val="_Signature"/>
    <w:basedOn w:val="Normale"/>
    <w:next w:val="JuPara"/>
    <w:uiPriority w:val="31"/>
    <w:qFormat/>
    <w:rsid w:val="00A054F0"/>
    <w:pPr>
      <w:tabs>
        <w:tab w:val="center" w:pos="851"/>
        <w:tab w:val="center" w:pos="6407"/>
      </w:tabs>
      <w:spacing w:before="720"/>
    </w:pPr>
  </w:style>
  <w:style w:type="paragraph" w:styleId="Titolo">
    <w:name w:val="Title"/>
    <w:basedOn w:val="Normale"/>
    <w:next w:val="Normale"/>
    <w:link w:val="TitoloCarattere"/>
    <w:uiPriority w:val="98"/>
    <w:semiHidden/>
    <w:qFormat/>
    <w:rsid w:val="00A054F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A054F0"/>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A054F0"/>
    <w:pPr>
      <w:numPr>
        <w:numId w:val="8"/>
      </w:numPr>
    </w:pPr>
  </w:style>
  <w:style w:type="table" w:customStyle="1" w:styleId="ECHRTable2019">
    <w:name w:val="ECHR_Table_2019"/>
    <w:basedOn w:val="Tabellanormale"/>
    <w:uiPriority w:val="99"/>
    <w:rsid w:val="00A054F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A054F0"/>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A054F0"/>
    <w:pPr>
      <w:tabs>
        <w:tab w:val="center" w:pos="6407"/>
      </w:tabs>
      <w:spacing w:before="720"/>
      <w:jc w:val="right"/>
    </w:pPr>
  </w:style>
  <w:style w:type="paragraph" w:customStyle="1" w:styleId="JuHIRoman">
    <w:name w:val="Ju_H_I_Roman"/>
    <w:aliases w:val="_Head_2"/>
    <w:basedOn w:val="Titolo2"/>
    <w:next w:val="JuPara"/>
    <w:uiPriority w:val="17"/>
    <w:qFormat/>
    <w:rsid w:val="00A054F0"/>
    <w:pPr>
      <w:keepNext/>
      <w:keepLines/>
      <w:numPr>
        <w:ilvl w:val="1"/>
        <w:numId w:val="2"/>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A054F0"/>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A054F0"/>
    <w:pPr>
      <w:keepNext/>
      <w:keepLines/>
      <w:numPr>
        <w:ilvl w:val="3"/>
        <w:numId w:val="2"/>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A054F0"/>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A054F0"/>
    <w:rPr>
      <w:sz w:val="24"/>
      <w:szCs w:val="24"/>
      <w:lang w:val="fr-FR"/>
    </w:rPr>
  </w:style>
  <w:style w:type="character" w:customStyle="1" w:styleId="Titolo1Carattere">
    <w:name w:val="Titolo 1 Carattere"/>
    <w:basedOn w:val="Carpredefinitoparagrafo"/>
    <w:link w:val="Titolo1"/>
    <w:uiPriority w:val="98"/>
    <w:semiHidden/>
    <w:rsid w:val="00A054F0"/>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A054F0"/>
    <w:pPr>
      <w:keepNext/>
      <w:keepLines/>
      <w:numPr>
        <w:ilvl w:val="4"/>
        <w:numId w:val="2"/>
      </w:numPr>
      <w:spacing w:before="100" w:beforeAutospacing="1" w:after="120"/>
      <w:jc w:val="both"/>
    </w:pPr>
    <w:rPr>
      <w:color w:val="auto"/>
      <w:sz w:val="20"/>
    </w:rPr>
  </w:style>
  <w:style w:type="paragraph" w:customStyle="1" w:styleId="JuHi">
    <w:name w:val="Ju_H_i"/>
    <w:aliases w:val="_Head_6"/>
    <w:basedOn w:val="Titolo6"/>
    <w:next w:val="JuPara"/>
    <w:uiPriority w:val="17"/>
    <w:rsid w:val="00A054F0"/>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A054F0"/>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A054F0"/>
    <w:pPr>
      <w:keepNext/>
      <w:keepLines/>
      <w:numPr>
        <w:ilvl w:val="6"/>
        <w:numId w:val="2"/>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A054F0"/>
    <w:pPr>
      <w:keepNext/>
      <w:keepLines/>
      <w:numPr>
        <w:ilvl w:val="7"/>
        <w:numId w:val="2"/>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A054F0"/>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A054F0"/>
    <w:pPr>
      <w:keepNext/>
      <w:keepLines/>
      <w:spacing w:before="240" w:after="240"/>
      <w:ind w:firstLine="284"/>
    </w:pPr>
  </w:style>
  <w:style w:type="paragraph" w:customStyle="1" w:styleId="JuJudges">
    <w:name w:val="Ju_Judges"/>
    <w:aliases w:val="_Judges"/>
    <w:basedOn w:val="Normale"/>
    <w:uiPriority w:val="32"/>
    <w:qFormat/>
    <w:rsid w:val="00A054F0"/>
    <w:pPr>
      <w:tabs>
        <w:tab w:val="left" w:pos="567"/>
        <w:tab w:val="left" w:pos="1134"/>
      </w:tabs>
    </w:pPr>
  </w:style>
  <w:style w:type="character" w:customStyle="1" w:styleId="Titolo4Carattere">
    <w:name w:val="Titolo 4 Carattere"/>
    <w:basedOn w:val="Carpredefinitoparagrafo"/>
    <w:link w:val="Titolo4"/>
    <w:uiPriority w:val="98"/>
    <w:semiHidden/>
    <w:rsid w:val="00A054F0"/>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semiHidden/>
    <w:qFormat/>
    <w:rsid w:val="00A054F0"/>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A054F0"/>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A054F0"/>
    <w:rPr>
      <w:caps w:val="0"/>
      <w:smallCaps/>
    </w:rPr>
  </w:style>
  <w:style w:type="paragraph" w:customStyle="1" w:styleId="NormalJustified">
    <w:name w:val="Normal_Justified"/>
    <w:basedOn w:val="Normale"/>
    <w:semiHidden/>
    <w:rsid w:val="00A054F0"/>
    <w:pPr>
      <w:jc w:val="both"/>
    </w:pPr>
  </w:style>
  <w:style w:type="character" w:styleId="Enfasidelicata">
    <w:name w:val="Subtle Emphasis"/>
    <w:uiPriority w:val="98"/>
    <w:semiHidden/>
    <w:qFormat/>
    <w:rsid w:val="00A054F0"/>
    <w:rPr>
      <w:i/>
      <w:iCs/>
    </w:rPr>
  </w:style>
  <w:style w:type="table" w:customStyle="1" w:styleId="ECHRTable">
    <w:name w:val="ECHR_Table"/>
    <w:basedOn w:val="Tabellanormale"/>
    <w:rsid w:val="00A054F0"/>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A054F0"/>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A054F0"/>
    <w:rPr>
      <w:b/>
      <w:bCs/>
      <w:i/>
      <w:iCs/>
      <w:spacing w:val="10"/>
      <w:bdr w:val="none" w:sz="0" w:space="0" w:color="auto"/>
      <w:shd w:val="clear" w:color="auto" w:fill="auto"/>
    </w:rPr>
  </w:style>
  <w:style w:type="paragraph" w:styleId="Pidipagina">
    <w:name w:val="footer"/>
    <w:basedOn w:val="Normale"/>
    <w:link w:val="PidipaginaCarattere"/>
    <w:uiPriority w:val="98"/>
    <w:semiHidden/>
    <w:rsid w:val="00A054F0"/>
    <w:pPr>
      <w:tabs>
        <w:tab w:val="center" w:pos="3686"/>
        <w:tab w:val="right" w:pos="7371"/>
      </w:tabs>
    </w:pPr>
  </w:style>
  <w:style w:type="character" w:customStyle="1" w:styleId="PidipaginaCarattere">
    <w:name w:val="Piè di pagina Carattere"/>
    <w:basedOn w:val="Carpredefinitoparagrafo"/>
    <w:link w:val="Pidipagina"/>
    <w:uiPriority w:val="98"/>
    <w:semiHidden/>
    <w:rsid w:val="00A054F0"/>
    <w:rPr>
      <w:sz w:val="24"/>
      <w:szCs w:val="24"/>
      <w:lang w:val="fr-FR"/>
    </w:rPr>
  </w:style>
  <w:style w:type="character" w:styleId="Rimandonotaapidipagina">
    <w:name w:val="footnote reference"/>
    <w:basedOn w:val="Carpredefinitoparagrafo"/>
    <w:uiPriority w:val="98"/>
    <w:semiHidden/>
    <w:rsid w:val="00A054F0"/>
    <w:rPr>
      <w:vertAlign w:val="superscript"/>
    </w:rPr>
  </w:style>
  <w:style w:type="paragraph" w:styleId="Testonotaapidipagina">
    <w:name w:val="footnote text"/>
    <w:basedOn w:val="Normale"/>
    <w:link w:val="TestonotaapidipaginaCarattere"/>
    <w:uiPriority w:val="98"/>
    <w:semiHidden/>
    <w:rsid w:val="00A054F0"/>
    <w:rPr>
      <w:sz w:val="20"/>
      <w:szCs w:val="20"/>
    </w:rPr>
  </w:style>
  <w:style w:type="character" w:customStyle="1" w:styleId="TestonotaapidipaginaCarattere">
    <w:name w:val="Testo nota a piè di pagina Carattere"/>
    <w:basedOn w:val="Carpredefinitoparagrafo"/>
    <w:link w:val="Testonotaapidipagina"/>
    <w:uiPriority w:val="98"/>
    <w:semiHidden/>
    <w:rsid w:val="00A054F0"/>
    <w:rPr>
      <w:sz w:val="20"/>
      <w:szCs w:val="20"/>
      <w:lang w:val="fr-FR"/>
    </w:rPr>
  </w:style>
  <w:style w:type="character" w:customStyle="1" w:styleId="Titolo6Carattere">
    <w:name w:val="Titolo 6 Carattere"/>
    <w:basedOn w:val="Carpredefinitoparagrafo"/>
    <w:link w:val="Titolo6"/>
    <w:uiPriority w:val="98"/>
    <w:semiHidden/>
    <w:rsid w:val="00A054F0"/>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A054F0"/>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A054F0"/>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A054F0"/>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A054F0"/>
    <w:rPr>
      <w:color w:val="0072BC" w:themeColor="hyperlink"/>
      <w:u w:val="single"/>
    </w:rPr>
  </w:style>
  <w:style w:type="character" w:styleId="Enfasiintensa">
    <w:name w:val="Intense Emphasis"/>
    <w:uiPriority w:val="98"/>
    <w:semiHidden/>
    <w:qFormat/>
    <w:rsid w:val="00A054F0"/>
    <w:rPr>
      <w:b/>
      <w:bCs/>
    </w:rPr>
  </w:style>
  <w:style w:type="paragraph" w:styleId="Citazioneintensa">
    <w:name w:val="Intense Quote"/>
    <w:basedOn w:val="Normale"/>
    <w:next w:val="Normale"/>
    <w:link w:val="CitazioneintensaCarattere"/>
    <w:uiPriority w:val="98"/>
    <w:semiHidden/>
    <w:qFormat/>
    <w:rsid w:val="00A054F0"/>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A054F0"/>
    <w:rPr>
      <w:b/>
      <w:bCs/>
      <w:i/>
      <w:iCs/>
      <w:sz w:val="24"/>
      <w:szCs w:val="24"/>
      <w:lang w:val="fr-FR" w:bidi="en-US"/>
    </w:rPr>
  </w:style>
  <w:style w:type="character" w:styleId="Riferimentointenso">
    <w:name w:val="Intense Reference"/>
    <w:uiPriority w:val="98"/>
    <w:semiHidden/>
    <w:qFormat/>
    <w:rsid w:val="00A054F0"/>
    <w:rPr>
      <w:smallCaps/>
      <w:spacing w:val="5"/>
      <w:u w:val="single"/>
    </w:rPr>
  </w:style>
  <w:style w:type="paragraph" w:styleId="Paragrafoelenco">
    <w:name w:val="List Paragraph"/>
    <w:basedOn w:val="Normale"/>
    <w:uiPriority w:val="98"/>
    <w:semiHidden/>
    <w:qFormat/>
    <w:rsid w:val="00A054F0"/>
    <w:pPr>
      <w:ind w:left="720"/>
      <w:contextualSpacing/>
    </w:pPr>
  </w:style>
  <w:style w:type="table" w:customStyle="1" w:styleId="LtrTableAddress">
    <w:name w:val="Ltr_Table_Address"/>
    <w:aliases w:val="ECHR_Ltr_Table_Address"/>
    <w:basedOn w:val="Tabellanormale"/>
    <w:uiPriority w:val="99"/>
    <w:rsid w:val="00A054F0"/>
    <w:rPr>
      <w:sz w:val="24"/>
      <w:szCs w:val="24"/>
    </w:rPr>
    <w:tblPr>
      <w:tblInd w:w="5103" w:type="dxa"/>
    </w:tblPr>
  </w:style>
  <w:style w:type="paragraph" w:styleId="Citazione">
    <w:name w:val="Quote"/>
    <w:basedOn w:val="Normale"/>
    <w:next w:val="Normale"/>
    <w:link w:val="CitazioneCarattere"/>
    <w:uiPriority w:val="98"/>
    <w:semiHidden/>
    <w:qFormat/>
    <w:rsid w:val="00A054F0"/>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A054F0"/>
    <w:rPr>
      <w:i/>
      <w:iCs/>
      <w:sz w:val="24"/>
      <w:szCs w:val="24"/>
      <w:lang w:val="fr-FR" w:bidi="en-US"/>
    </w:rPr>
  </w:style>
  <w:style w:type="character" w:styleId="Riferimentodelicato">
    <w:name w:val="Subtle Reference"/>
    <w:uiPriority w:val="98"/>
    <w:semiHidden/>
    <w:qFormat/>
    <w:rsid w:val="00A054F0"/>
    <w:rPr>
      <w:smallCaps/>
    </w:rPr>
  </w:style>
  <w:style w:type="table" w:styleId="Grigliatabella">
    <w:name w:val="Table Grid"/>
    <w:basedOn w:val="Tabellanormale"/>
    <w:uiPriority w:val="59"/>
    <w:semiHidden/>
    <w:rsid w:val="00A054F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A054F0"/>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A054F0"/>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A054F0"/>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A054F0"/>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A054F0"/>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A054F0"/>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A054F0"/>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A054F0"/>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A054F0"/>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A054F0"/>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A054F0"/>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A054F0"/>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A054F0"/>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A054F0"/>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A054F0"/>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A054F0"/>
    <w:pPr>
      <w:numPr>
        <w:numId w:val="3"/>
      </w:numPr>
    </w:pPr>
  </w:style>
  <w:style w:type="paragraph" w:customStyle="1" w:styleId="JuPara">
    <w:name w:val="Ju_Para"/>
    <w:aliases w:val="_Para"/>
    <w:basedOn w:val="NormalJustified"/>
    <w:link w:val="JuParaChar"/>
    <w:uiPriority w:val="4"/>
    <w:qFormat/>
    <w:rsid w:val="00A054F0"/>
    <w:pPr>
      <w:ind w:firstLine="284"/>
    </w:pPr>
  </w:style>
  <w:style w:type="numbering" w:styleId="1ai">
    <w:name w:val="Outline List 1"/>
    <w:basedOn w:val="Nessunelenco"/>
    <w:uiPriority w:val="99"/>
    <w:semiHidden/>
    <w:unhideWhenUsed/>
    <w:rsid w:val="00A054F0"/>
    <w:pPr>
      <w:numPr>
        <w:numId w:val="4"/>
      </w:numPr>
    </w:pPr>
  </w:style>
  <w:style w:type="table" w:customStyle="1" w:styleId="ECHRTableSimpleBox">
    <w:name w:val="ECHR_Table_Simple_Box"/>
    <w:basedOn w:val="Tabellanormale"/>
    <w:uiPriority w:val="99"/>
    <w:rsid w:val="00A054F0"/>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A054F0"/>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A054F0"/>
    <w:pPr>
      <w:numPr>
        <w:numId w:val="5"/>
      </w:numPr>
    </w:pPr>
  </w:style>
  <w:style w:type="table" w:customStyle="1" w:styleId="ECHRTableForInternalUse">
    <w:name w:val="ECHR_Table_For_Internal_Use"/>
    <w:basedOn w:val="Tabellanormale"/>
    <w:uiPriority w:val="99"/>
    <w:rsid w:val="00A054F0"/>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054F0"/>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A054F0"/>
  </w:style>
  <w:style w:type="paragraph" w:styleId="Testodelblocco">
    <w:name w:val="Block Text"/>
    <w:basedOn w:val="Normale"/>
    <w:uiPriority w:val="98"/>
    <w:semiHidden/>
    <w:rsid w:val="00A054F0"/>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A054F0"/>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A054F0"/>
    <w:pPr>
      <w:spacing w:after="120"/>
    </w:pPr>
  </w:style>
  <w:style w:type="character" w:customStyle="1" w:styleId="CorpotestoCarattere">
    <w:name w:val="Corpo testo Carattere"/>
    <w:basedOn w:val="Carpredefinitoparagrafo"/>
    <w:link w:val="Corpotesto"/>
    <w:uiPriority w:val="98"/>
    <w:semiHidden/>
    <w:rsid w:val="00A054F0"/>
    <w:rPr>
      <w:sz w:val="24"/>
      <w:szCs w:val="24"/>
      <w:lang w:val="fr-FR"/>
    </w:rPr>
  </w:style>
  <w:style w:type="table" w:customStyle="1" w:styleId="ECHRTableOddBanded">
    <w:name w:val="ECHR_Table_Odd_Banded"/>
    <w:basedOn w:val="Tabellanormale"/>
    <w:uiPriority w:val="99"/>
    <w:rsid w:val="00A054F0"/>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A054F0"/>
    <w:pPr>
      <w:spacing w:after="120" w:line="480" w:lineRule="auto"/>
    </w:pPr>
  </w:style>
  <w:style w:type="table" w:customStyle="1" w:styleId="ECHRHeaderTableReduced">
    <w:name w:val="ECHR_Header_Table_Reduced"/>
    <w:basedOn w:val="Tabellanormale"/>
    <w:uiPriority w:val="99"/>
    <w:rsid w:val="00A054F0"/>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A054F0"/>
    <w:pPr>
      <w:ind w:firstLine="284"/>
      <w:jc w:val="both"/>
    </w:pPr>
    <w:rPr>
      <w:b/>
    </w:rPr>
  </w:style>
  <w:style w:type="character" w:styleId="Numeropagina">
    <w:name w:val="page number"/>
    <w:uiPriority w:val="98"/>
    <w:semiHidden/>
    <w:rsid w:val="00A054F0"/>
    <w:rPr>
      <w:sz w:val="18"/>
    </w:rPr>
  </w:style>
  <w:style w:type="paragraph" w:styleId="Puntoelenco2">
    <w:name w:val="List Bullet 2"/>
    <w:basedOn w:val="Normale"/>
    <w:uiPriority w:val="98"/>
    <w:semiHidden/>
    <w:rsid w:val="00A054F0"/>
    <w:pPr>
      <w:numPr>
        <w:numId w:val="10"/>
      </w:numPr>
      <w:contextualSpacing/>
    </w:pPr>
  </w:style>
  <w:style w:type="character" w:customStyle="1" w:styleId="Corpodeltesto2Carattere">
    <w:name w:val="Corpo del testo 2 Carattere"/>
    <w:basedOn w:val="Carpredefinitoparagrafo"/>
    <w:link w:val="Corpodeltesto2"/>
    <w:uiPriority w:val="98"/>
    <w:semiHidden/>
    <w:rsid w:val="00A054F0"/>
    <w:rPr>
      <w:sz w:val="24"/>
      <w:szCs w:val="24"/>
      <w:lang w:val="fr-FR"/>
    </w:rPr>
  </w:style>
  <w:style w:type="paragraph" w:styleId="Corpodeltesto3">
    <w:name w:val="Body Text 3"/>
    <w:basedOn w:val="Normale"/>
    <w:link w:val="Corpodeltesto3Carattere"/>
    <w:uiPriority w:val="98"/>
    <w:semiHidden/>
    <w:rsid w:val="00A054F0"/>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A054F0"/>
    <w:rPr>
      <w:sz w:val="16"/>
      <w:szCs w:val="16"/>
      <w:lang w:val="fr-FR"/>
    </w:rPr>
  </w:style>
  <w:style w:type="paragraph" w:styleId="Primorientrocorpodeltesto">
    <w:name w:val="Body Text First Indent"/>
    <w:basedOn w:val="Corpotesto"/>
    <w:link w:val="PrimorientrocorpodeltestoCarattere"/>
    <w:uiPriority w:val="98"/>
    <w:semiHidden/>
    <w:rsid w:val="00A054F0"/>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A054F0"/>
    <w:rPr>
      <w:sz w:val="24"/>
      <w:szCs w:val="24"/>
      <w:lang w:val="fr-FR"/>
    </w:rPr>
  </w:style>
  <w:style w:type="paragraph" w:styleId="Rientrocorpodeltesto">
    <w:name w:val="Body Text Indent"/>
    <w:basedOn w:val="Normale"/>
    <w:link w:val="RientrocorpodeltestoCarattere"/>
    <w:uiPriority w:val="98"/>
    <w:semiHidden/>
    <w:rsid w:val="00A054F0"/>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A054F0"/>
    <w:rPr>
      <w:sz w:val="24"/>
      <w:szCs w:val="24"/>
      <w:lang w:val="fr-FR"/>
    </w:rPr>
  </w:style>
  <w:style w:type="paragraph" w:styleId="Primorientrocorpodeltesto2">
    <w:name w:val="Body Text First Indent 2"/>
    <w:basedOn w:val="Rientrocorpodeltesto"/>
    <w:link w:val="Primorientrocorpodeltesto2Carattere"/>
    <w:uiPriority w:val="98"/>
    <w:semiHidden/>
    <w:rsid w:val="00A054F0"/>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A054F0"/>
    <w:rPr>
      <w:sz w:val="24"/>
      <w:szCs w:val="24"/>
      <w:lang w:val="fr-FR"/>
    </w:rPr>
  </w:style>
  <w:style w:type="paragraph" w:styleId="Rientrocorpodeltesto2">
    <w:name w:val="Body Text Indent 2"/>
    <w:basedOn w:val="Normale"/>
    <w:link w:val="Rientrocorpodeltesto2Carattere"/>
    <w:uiPriority w:val="98"/>
    <w:semiHidden/>
    <w:rsid w:val="00A054F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A054F0"/>
    <w:rPr>
      <w:sz w:val="24"/>
      <w:szCs w:val="24"/>
      <w:lang w:val="fr-FR"/>
    </w:rPr>
  </w:style>
  <w:style w:type="paragraph" w:styleId="Rientrocorpodeltesto3">
    <w:name w:val="Body Text Indent 3"/>
    <w:basedOn w:val="Normale"/>
    <w:link w:val="Rientrocorpodeltesto3Carattere"/>
    <w:uiPriority w:val="98"/>
    <w:semiHidden/>
    <w:rsid w:val="00A054F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A054F0"/>
    <w:rPr>
      <w:sz w:val="16"/>
      <w:szCs w:val="16"/>
      <w:lang w:val="fr-FR"/>
    </w:rPr>
  </w:style>
  <w:style w:type="paragraph" w:styleId="Didascalia">
    <w:name w:val="caption"/>
    <w:basedOn w:val="Normale"/>
    <w:next w:val="Normale"/>
    <w:uiPriority w:val="98"/>
    <w:semiHidden/>
    <w:qFormat/>
    <w:rsid w:val="00A054F0"/>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A054F0"/>
    <w:pPr>
      <w:ind w:left="4252"/>
    </w:pPr>
  </w:style>
  <w:style w:type="character" w:customStyle="1" w:styleId="FormuladichiusuraCarattere">
    <w:name w:val="Formula di chiusura Carattere"/>
    <w:basedOn w:val="Carpredefinitoparagrafo"/>
    <w:link w:val="Formuladichiusura"/>
    <w:uiPriority w:val="98"/>
    <w:semiHidden/>
    <w:rsid w:val="00A054F0"/>
    <w:rPr>
      <w:sz w:val="24"/>
      <w:szCs w:val="24"/>
      <w:lang w:val="fr-FR"/>
    </w:rPr>
  </w:style>
  <w:style w:type="table" w:styleId="Grigliaacolori">
    <w:name w:val="Colorful Grid"/>
    <w:basedOn w:val="Tabellanormale"/>
    <w:uiPriority w:val="73"/>
    <w:semiHidden/>
    <w:rsid w:val="00A054F0"/>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A054F0"/>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A054F0"/>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A054F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A054F0"/>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A054F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A054F0"/>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A054F0"/>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A054F0"/>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A054F0"/>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A054F0"/>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A054F0"/>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A054F0"/>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A054F0"/>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A054F0"/>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A054F0"/>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A054F0"/>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A054F0"/>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A054F0"/>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A054F0"/>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A054F0"/>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A054F0"/>
    <w:rPr>
      <w:sz w:val="16"/>
      <w:szCs w:val="16"/>
    </w:rPr>
  </w:style>
  <w:style w:type="paragraph" w:styleId="Testocommento">
    <w:name w:val="annotation text"/>
    <w:basedOn w:val="Normale"/>
    <w:link w:val="TestocommentoCarattere"/>
    <w:uiPriority w:val="98"/>
    <w:semiHidden/>
    <w:rsid w:val="00A054F0"/>
    <w:rPr>
      <w:sz w:val="20"/>
      <w:szCs w:val="20"/>
    </w:rPr>
  </w:style>
  <w:style w:type="character" w:customStyle="1" w:styleId="TestocommentoCarattere">
    <w:name w:val="Testo commento Carattere"/>
    <w:basedOn w:val="Carpredefinitoparagrafo"/>
    <w:link w:val="Testocommento"/>
    <w:uiPriority w:val="98"/>
    <w:semiHidden/>
    <w:rsid w:val="00A054F0"/>
    <w:rPr>
      <w:sz w:val="20"/>
      <w:szCs w:val="20"/>
      <w:lang w:val="fr-FR"/>
    </w:rPr>
  </w:style>
  <w:style w:type="paragraph" w:styleId="Soggettocommento">
    <w:name w:val="annotation subject"/>
    <w:basedOn w:val="Testocommento"/>
    <w:next w:val="Testocommento"/>
    <w:link w:val="SoggettocommentoCarattere"/>
    <w:uiPriority w:val="98"/>
    <w:semiHidden/>
    <w:rsid w:val="00A054F0"/>
    <w:rPr>
      <w:b/>
      <w:bCs/>
    </w:rPr>
  </w:style>
  <w:style w:type="character" w:customStyle="1" w:styleId="SoggettocommentoCarattere">
    <w:name w:val="Soggetto commento Carattere"/>
    <w:basedOn w:val="TestocommentoCarattere"/>
    <w:link w:val="Soggettocommento"/>
    <w:uiPriority w:val="98"/>
    <w:semiHidden/>
    <w:rsid w:val="00A054F0"/>
    <w:rPr>
      <w:b/>
      <w:bCs/>
      <w:sz w:val="20"/>
      <w:szCs w:val="20"/>
      <w:lang w:val="fr-FR"/>
    </w:rPr>
  </w:style>
  <w:style w:type="table" w:styleId="Elencoscuro">
    <w:name w:val="Dark List"/>
    <w:basedOn w:val="Tabellanormale"/>
    <w:uiPriority w:val="70"/>
    <w:semiHidden/>
    <w:rsid w:val="00A054F0"/>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A054F0"/>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A054F0"/>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A054F0"/>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A054F0"/>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A054F0"/>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A054F0"/>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A054F0"/>
  </w:style>
  <w:style w:type="character" w:customStyle="1" w:styleId="DataCarattere">
    <w:name w:val="Data Carattere"/>
    <w:basedOn w:val="Carpredefinitoparagrafo"/>
    <w:link w:val="Data"/>
    <w:uiPriority w:val="98"/>
    <w:semiHidden/>
    <w:rsid w:val="00A054F0"/>
    <w:rPr>
      <w:sz w:val="24"/>
      <w:szCs w:val="24"/>
      <w:lang w:val="fr-FR"/>
    </w:rPr>
  </w:style>
  <w:style w:type="paragraph" w:styleId="Mappadocumento">
    <w:name w:val="Document Map"/>
    <w:basedOn w:val="Normale"/>
    <w:link w:val="MappadocumentoCarattere"/>
    <w:uiPriority w:val="98"/>
    <w:semiHidden/>
    <w:rsid w:val="00A054F0"/>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A054F0"/>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A054F0"/>
  </w:style>
  <w:style w:type="character" w:customStyle="1" w:styleId="FirmadipostaelettronicaCarattere">
    <w:name w:val="Firma di posta elettronica Carattere"/>
    <w:basedOn w:val="Carpredefinitoparagrafo"/>
    <w:link w:val="Firmadipostaelettronica"/>
    <w:uiPriority w:val="98"/>
    <w:semiHidden/>
    <w:rsid w:val="00A054F0"/>
    <w:rPr>
      <w:sz w:val="24"/>
      <w:szCs w:val="24"/>
      <w:lang w:val="fr-FR"/>
    </w:rPr>
  </w:style>
  <w:style w:type="character" w:styleId="Rimandonotadichiusura">
    <w:name w:val="endnote reference"/>
    <w:basedOn w:val="Carpredefinitoparagrafo"/>
    <w:uiPriority w:val="98"/>
    <w:semiHidden/>
    <w:rsid w:val="00A054F0"/>
    <w:rPr>
      <w:vertAlign w:val="superscript"/>
    </w:rPr>
  </w:style>
  <w:style w:type="paragraph" w:styleId="Testonotadichiusura">
    <w:name w:val="endnote text"/>
    <w:basedOn w:val="Normale"/>
    <w:link w:val="TestonotadichiusuraCarattere"/>
    <w:uiPriority w:val="98"/>
    <w:semiHidden/>
    <w:rsid w:val="00A054F0"/>
    <w:rPr>
      <w:sz w:val="20"/>
      <w:szCs w:val="20"/>
    </w:rPr>
  </w:style>
  <w:style w:type="character" w:customStyle="1" w:styleId="TestonotadichiusuraCarattere">
    <w:name w:val="Testo nota di chiusura Carattere"/>
    <w:basedOn w:val="Carpredefinitoparagrafo"/>
    <w:link w:val="Testonotadichiusura"/>
    <w:uiPriority w:val="98"/>
    <w:semiHidden/>
    <w:rsid w:val="00A054F0"/>
    <w:rPr>
      <w:sz w:val="20"/>
      <w:szCs w:val="20"/>
      <w:lang w:val="fr-FR"/>
    </w:rPr>
  </w:style>
  <w:style w:type="paragraph" w:styleId="Indirizzodestinatario">
    <w:name w:val="envelope address"/>
    <w:basedOn w:val="Normale"/>
    <w:uiPriority w:val="98"/>
    <w:semiHidden/>
    <w:rsid w:val="00A054F0"/>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A054F0"/>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A054F0"/>
    <w:rPr>
      <w:color w:val="7030A0" w:themeColor="followedHyperlink"/>
      <w:u w:val="single"/>
    </w:rPr>
  </w:style>
  <w:style w:type="character" w:styleId="AcronimoHTML">
    <w:name w:val="HTML Acronym"/>
    <w:basedOn w:val="Carpredefinitoparagrafo"/>
    <w:uiPriority w:val="98"/>
    <w:semiHidden/>
    <w:rsid w:val="00A054F0"/>
  </w:style>
  <w:style w:type="paragraph" w:styleId="IndirizzoHTML">
    <w:name w:val="HTML Address"/>
    <w:basedOn w:val="Normale"/>
    <w:link w:val="IndirizzoHTMLCarattere"/>
    <w:uiPriority w:val="98"/>
    <w:semiHidden/>
    <w:rsid w:val="00A054F0"/>
    <w:rPr>
      <w:i/>
      <w:iCs/>
    </w:rPr>
  </w:style>
  <w:style w:type="character" w:customStyle="1" w:styleId="IndirizzoHTMLCarattere">
    <w:name w:val="Indirizzo HTML Carattere"/>
    <w:basedOn w:val="Carpredefinitoparagrafo"/>
    <w:link w:val="IndirizzoHTML"/>
    <w:uiPriority w:val="98"/>
    <w:semiHidden/>
    <w:rsid w:val="00A054F0"/>
    <w:rPr>
      <w:i/>
      <w:iCs/>
      <w:sz w:val="24"/>
      <w:szCs w:val="24"/>
      <w:lang w:val="fr-FR"/>
    </w:rPr>
  </w:style>
  <w:style w:type="character" w:styleId="CitazioneHTML">
    <w:name w:val="HTML Cite"/>
    <w:basedOn w:val="Carpredefinitoparagrafo"/>
    <w:uiPriority w:val="98"/>
    <w:semiHidden/>
    <w:rsid w:val="00A054F0"/>
    <w:rPr>
      <w:i/>
      <w:iCs/>
    </w:rPr>
  </w:style>
  <w:style w:type="character" w:styleId="CodiceHTML">
    <w:name w:val="HTML Code"/>
    <w:basedOn w:val="Carpredefinitoparagrafo"/>
    <w:uiPriority w:val="98"/>
    <w:semiHidden/>
    <w:rsid w:val="00A054F0"/>
    <w:rPr>
      <w:rFonts w:ascii="Consolas" w:hAnsi="Consolas" w:cs="Consolas"/>
      <w:sz w:val="20"/>
      <w:szCs w:val="20"/>
    </w:rPr>
  </w:style>
  <w:style w:type="character" w:styleId="DefinizioneHTML">
    <w:name w:val="HTML Definition"/>
    <w:basedOn w:val="Carpredefinitoparagrafo"/>
    <w:uiPriority w:val="98"/>
    <w:semiHidden/>
    <w:rsid w:val="00A054F0"/>
    <w:rPr>
      <w:i/>
      <w:iCs/>
    </w:rPr>
  </w:style>
  <w:style w:type="character" w:styleId="TastieraHTML">
    <w:name w:val="HTML Keyboard"/>
    <w:basedOn w:val="Carpredefinitoparagrafo"/>
    <w:uiPriority w:val="98"/>
    <w:semiHidden/>
    <w:rsid w:val="00A054F0"/>
    <w:rPr>
      <w:rFonts w:ascii="Consolas" w:hAnsi="Consolas" w:cs="Consolas"/>
      <w:sz w:val="20"/>
      <w:szCs w:val="20"/>
    </w:rPr>
  </w:style>
  <w:style w:type="paragraph" w:styleId="PreformattatoHTML">
    <w:name w:val="HTML Preformatted"/>
    <w:basedOn w:val="Normale"/>
    <w:link w:val="PreformattatoHTMLCarattere"/>
    <w:uiPriority w:val="98"/>
    <w:semiHidden/>
    <w:rsid w:val="00A054F0"/>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A054F0"/>
    <w:rPr>
      <w:rFonts w:ascii="Consolas" w:hAnsi="Consolas" w:cs="Consolas"/>
      <w:sz w:val="20"/>
      <w:szCs w:val="20"/>
      <w:lang w:val="fr-FR"/>
    </w:rPr>
  </w:style>
  <w:style w:type="character" w:styleId="EsempioHTML">
    <w:name w:val="HTML Sample"/>
    <w:basedOn w:val="Carpredefinitoparagrafo"/>
    <w:uiPriority w:val="98"/>
    <w:semiHidden/>
    <w:rsid w:val="00A054F0"/>
    <w:rPr>
      <w:rFonts w:ascii="Consolas" w:hAnsi="Consolas" w:cs="Consolas"/>
      <w:sz w:val="24"/>
      <w:szCs w:val="24"/>
    </w:rPr>
  </w:style>
  <w:style w:type="character" w:styleId="MacchinadascrivereHTML">
    <w:name w:val="HTML Typewriter"/>
    <w:basedOn w:val="Carpredefinitoparagrafo"/>
    <w:uiPriority w:val="98"/>
    <w:semiHidden/>
    <w:rsid w:val="00A054F0"/>
    <w:rPr>
      <w:rFonts w:ascii="Consolas" w:hAnsi="Consolas" w:cs="Consolas"/>
      <w:sz w:val="20"/>
      <w:szCs w:val="20"/>
    </w:rPr>
  </w:style>
  <w:style w:type="character" w:styleId="VariabileHTML">
    <w:name w:val="HTML Variable"/>
    <w:basedOn w:val="Carpredefinitoparagrafo"/>
    <w:uiPriority w:val="98"/>
    <w:semiHidden/>
    <w:rsid w:val="00A054F0"/>
    <w:rPr>
      <w:i/>
      <w:iCs/>
    </w:rPr>
  </w:style>
  <w:style w:type="paragraph" w:styleId="Indice1">
    <w:name w:val="index 1"/>
    <w:basedOn w:val="Normale"/>
    <w:next w:val="Normale"/>
    <w:autoRedefine/>
    <w:uiPriority w:val="98"/>
    <w:semiHidden/>
    <w:rsid w:val="00A054F0"/>
    <w:pPr>
      <w:ind w:left="240" w:hanging="240"/>
    </w:pPr>
  </w:style>
  <w:style w:type="paragraph" w:styleId="Indice2">
    <w:name w:val="index 2"/>
    <w:basedOn w:val="Normale"/>
    <w:next w:val="Normale"/>
    <w:autoRedefine/>
    <w:uiPriority w:val="98"/>
    <w:semiHidden/>
    <w:rsid w:val="00A054F0"/>
    <w:pPr>
      <w:ind w:left="480" w:hanging="240"/>
    </w:pPr>
  </w:style>
  <w:style w:type="paragraph" w:styleId="Indice3">
    <w:name w:val="index 3"/>
    <w:basedOn w:val="Normale"/>
    <w:next w:val="Normale"/>
    <w:autoRedefine/>
    <w:uiPriority w:val="98"/>
    <w:semiHidden/>
    <w:rsid w:val="00A054F0"/>
    <w:pPr>
      <w:ind w:left="720" w:hanging="240"/>
    </w:pPr>
  </w:style>
  <w:style w:type="paragraph" w:styleId="Indice4">
    <w:name w:val="index 4"/>
    <w:basedOn w:val="Normale"/>
    <w:next w:val="Normale"/>
    <w:autoRedefine/>
    <w:uiPriority w:val="98"/>
    <w:semiHidden/>
    <w:rsid w:val="00A054F0"/>
    <w:pPr>
      <w:ind w:left="960" w:hanging="240"/>
    </w:pPr>
  </w:style>
  <w:style w:type="paragraph" w:styleId="Indice5">
    <w:name w:val="index 5"/>
    <w:basedOn w:val="Normale"/>
    <w:next w:val="Normale"/>
    <w:autoRedefine/>
    <w:uiPriority w:val="98"/>
    <w:semiHidden/>
    <w:rsid w:val="00A054F0"/>
    <w:pPr>
      <w:ind w:left="1200" w:hanging="240"/>
    </w:pPr>
  </w:style>
  <w:style w:type="paragraph" w:styleId="Indice6">
    <w:name w:val="index 6"/>
    <w:basedOn w:val="Normale"/>
    <w:next w:val="Normale"/>
    <w:autoRedefine/>
    <w:uiPriority w:val="98"/>
    <w:semiHidden/>
    <w:rsid w:val="00A054F0"/>
    <w:pPr>
      <w:ind w:left="1440" w:hanging="240"/>
    </w:pPr>
  </w:style>
  <w:style w:type="paragraph" w:styleId="Indice7">
    <w:name w:val="index 7"/>
    <w:basedOn w:val="Normale"/>
    <w:next w:val="Normale"/>
    <w:autoRedefine/>
    <w:uiPriority w:val="98"/>
    <w:semiHidden/>
    <w:rsid w:val="00A054F0"/>
    <w:pPr>
      <w:ind w:left="1680" w:hanging="240"/>
    </w:pPr>
  </w:style>
  <w:style w:type="paragraph" w:styleId="Indice8">
    <w:name w:val="index 8"/>
    <w:basedOn w:val="Normale"/>
    <w:next w:val="Normale"/>
    <w:autoRedefine/>
    <w:uiPriority w:val="98"/>
    <w:semiHidden/>
    <w:rsid w:val="00A054F0"/>
    <w:pPr>
      <w:ind w:left="1920" w:hanging="240"/>
    </w:pPr>
  </w:style>
  <w:style w:type="paragraph" w:styleId="Indice9">
    <w:name w:val="index 9"/>
    <w:basedOn w:val="Normale"/>
    <w:next w:val="Normale"/>
    <w:autoRedefine/>
    <w:uiPriority w:val="98"/>
    <w:semiHidden/>
    <w:rsid w:val="00A054F0"/>
    <w:pPr>
      <w:ind w:left="2160" w:hanging="240"/>
    </w:pPr>
  </w:style>
  <w:style w:type="paragraph" w:styleId="Titoloindice">
    <w:name w:val="index heading"/>
    <w:basedOn w:val="Normale"/>
    <w:next w:val="Indice1"/>
    <w:uiPriority w:val="98"/>
    <w:semiHidden/>
    <w:rsid w:val="00A054F0"/>
    <w:rPr>
      <w:rFonts w:asciiTheme="majorHAnsi" w:eastAsiaTheme="majorEastAsia" w:hAnsiTheme="majorHAnsi" w:cstheme="majorBidi"/>
      <w:b/>
      <w:bCs/>
    </w:rPr>
  </w:style>
  <w:style w:type="table" w:styleId="Grigliachiara">
    <w:name w:val="Light Grid"/>
    <w:basedOn w:val="Tabellanormale"/>
    <w:uiPriority w:val="62"/>
    <w:semiHidden/>
    <w:rsid w:val="00A054F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A054F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A054F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A054F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A054F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A054F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A054F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A054F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A054F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A054F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A054F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A054F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A054F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A054F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A054F0"/>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A054F0"/>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A054F0"/>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A054F0"/>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A054F0"/>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A054F0"/>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A054F0"/>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A054F0"/>
  </w:style>
  <w:style w:type="paragraph" w:styleId="Elenco">
    <w:name w:val="List"/>
    <w:basedOn w:val="Normale"/>
    <w:uiPriority w:val="98"/>
    <w:semiHidden/>
    <w:rsid w:val="00A054F0"/>
    <w:pPr>
      <w:ind w:left="283" w:hanging="283"/>
      <w:contextualSpacing/>
    </w:pPr>
  </w:style>
  <w:style w:type="paragraph" w:styleId="Elenco2">
    <w:name w:val="List 2"/>
    <w:basedOn w:val="Normale"/>
    <w:uiPriority w:val="98"/>
    <w:semiHidden/>
    <w:rsid w:val="00A054F0"/>
    <w:pPr>
      <w:ind w:left="566" w:hanging="283"/>
      <w:contextualSpacing/>
    </w:pPr>
  </w:style>
  <w:style w:type="paragraph" w:styleId="Elenco3">
    <w:name w:val="List 3"/>
    <w:basedOn w:val="Normale"/>
    <w:uiPriority w:val="98"/>
    <w:semiHidden/>
    <w:rsid w:val="00A054F0"/>
    <w:pPr>
      <w:ind w:left="849" w:hanging="283"/>
      <w:contextualSpacing/>
    </w:pPr>
  </w:style>
  <w:style w:type="paragraph" w:styleId="Elenco4">
    <w:name w:val="List 4"/>
    <w:basedOn w:val="Normale"/>
    <w:uiPriority w:val="98"/>
    <w:semiHidden/>
    <w:rsid w:val="00A054F0"/>
    <w:pPr>
      <w:ind w:left="1132" w:hanging="283"/>
      <w:contextualSpacing/>
    </w:pPr>
  </w:style>
  <w:style w:type="paragraph" w:styleId="Elenco5">
    <w:name w:val="List 5"/>
    <w:basedOn w:val="Normale"/>
    <w:uiPriority w:val="98"/>
    <w:semiHidden/>
    <w:rsid w:val="00A054F0"/>
    <w:pPr>
      <w:ind w:left="1415" w:hanging="283"/>
      <w:contextualSpacing/>
    </w:pPr>
  </w:style>
  <w:style w:type="paragraph" w:styleId="Puntoelenco">
    <w:name w:val="List Bullet"/>
    <w:basedOn w:val="Normale"/>
    <w:uiPriority w:val="98"/>
    <w:semiHidden/>
    <w:rsid w:val="00A054F0"/>
    <w:pPr>
      <w:numPr>
        <w:numId w:val="9"/>
      </w:numPr>
    </w:pPr>
  </w:style>
  <w:style w:type="paragraph" w:styleId="Puntoelenco3">
    <w:name w:val="List Bullet 3"/>
    <w:basedOn w:val="Normale"/>
    <w:uiPriority w:val="98"/>
    <w:semiHidden/>
    <w:rsid w:val="00A054F0"/>
    <w:pPr>
      <w:numPr>
        <w:numId w:val="11"/>
      </w:numPr>
      <w:contextualSpacing/>
    </w:pPr>
  </w:style>
  <w:style w:type="paragraph" w:styleId="Puntoelenco4">
    <w:name w:val="List Bullet 4"/>
    <w:basedOn w:val="Normale"/>
    <w:uiPriority w:val="98"/>
    <w:semiHidden/>
    <w:rsid w:val="00A054F0"/>
    <w:pPr>
      <w:numPr>
        <w:numId w:val="12"/>
      </w:numPr>
      <w:contextualSpacing/>
    </w:pPr>
  </w:style>
  <w:style w:type="paragraph" w:styleId="Puntoelenco5">
    <w:name w:val="List Bullet 5"/>
    <w:basedOn w:val="Normale"/>
    <w:uiPriority w:val="98"/>
    <w:semiHidden/>
    <w:rsid w:val="00A054F0"/>
    <w:pPr>
      <w:numPr>
        <w:numId w:val="13"/>
      </w:numPr>
      <w:contextualSpacing/>
    </w:pPr>
  </w:style>
  <w:style w:type="paragraph" w:styleId="Elencocontinua">
    <w:name w:val="List Continue"/>
    <w:basedOn w:val="Normale"/>
    <w:uiPriority w:val="98"/>
    <w:semiHidden/>
    <w:rsid w:val="00A054F0"/>
    <w:pPr>
      <w:spacing w:after="120"/>
      <w:ind w:left="283"/>
      <w:contextualSpacing/>
    </w:pPr>
  </w:style>
  <w:style w:type="paragraph" w:styleId="Elencocontinua2">
    <w:name w:val="List Continue 2"/>
    <w:basedOn w:val="Normale"/>
    <w:uiPriority w:val="98"/>
    <w:semiHidden/>
    <w:rsid w:val="00A054F0"/>
    <w:pPr>
      <w:spacing w:after="120"/>
      <w:ind w:left="566"/>
      <w:contextualSpacing/>
    </w:pPr>
  </w:style>
  <w:style w:type="paragraph" w:styleId="Elencocontinua3">
    <w:name w:val="List Continue 3"/>
    <w:basedOn w:val="Normale"/>
    <w:uiPriority w:val="98"/>
    <w:semiHidden/>
    <w:rsid w:val="00A054F0"/>
    <w:pPr>
      <w:spacing w:after="120"/>
      <w:ind w:left="849"/>
      <w:contextualSpacing/>
    </w:pPr>
  </w:style>
  <w:style w:type="paragraph" w:styleId="Elencocontinua4">
    <w:name w:val="List Continue 4"/>
    <w:basedOn w:val="Normale"/>
    <w:uiPriority w:val="98"/>
    <w:semiHidden/>
    <w:rsid w:val="00A054F0"/>
    <w:pPr>
      <w:spacing w:after="120"/>
      <w:ind w:left="1132"/>
      <w:contextualSpacing/>
    </w:pPr>
  </w:style>
  <w:style w:type="paragraph" w:styleId="Elencocontinua5">
    <w:name w:val="List Continue 5"/>
    <w:basedOn w:val="Normale"/>
    <w:uiPriority w:val="98"/>
    <w:semiHidden/>
    <w:rsid w:val="00A054F0"/>
    <w:pPr>
      <w:spacing w:after="120"/>
      <w:ind w:left="1415"/>
      <w:contextualSpacing/>
    </w:pPr>
  </w:style>
  <w:style w:type="paragraph" w:styleId="Numeroelenco">
    <w:name w:val="List Number"/>
    <w:basedOn w:val="Normale"/>
    <w:uiPriority w:val="98"/>
    <w:semiHidden/>
    <w:rsid w:val="00A054F0"/>
    <w:pPr>
      <w:numPr>
        <w:numId w:val="14"/>
      </w:numPr>
      <w:contextualSpacing/>
    </w:pPr>
  </w:style>
  <w:style w:type="paragraph" w:styleId="Numeroelenco2">
    <w:name w:val="List Number 2"/>
    <w:basedOn w:val="Normale"/>
    <w:uiPriority w:val="98"/>
    <w:semiHidden/>
    <w:rsid w:val="00A054F0"/>
    <w:pPr>
      <w:numPr>
        <w:numId w:val="15"/>
      </w:numPr>
      <w:contextualSpacing/>
    </w:pPr>
  </w:style>
  <w:style w:type="paragraph" w:styleId="Numeroelenco3">
    <w:name w:val="List Number 3"/>
    <w:basedOn w:val="Normale"/>
    <w:uiPriority w:val="98"/>
    <w:semiHidden/>
    <w:rsid w:val="00A054F0"/>
    <w:pPr>
      <w:numPr>
        <w:numId w:val="16"/>
      </w:numPr>
      <w:contextualSpacing/>
    </w:pPr>
  </w:style>
  <w:style w:type="paragraph" w:styleId="Numeroelenco4">
    <w:name w:val="List Number 4"/>
    <w:basedOn w:val="Normale"/>
    <w:uiPriority w:val="98"/>
    <w:semiHidden/>
    <w:rsid w:val="00A054F0"/>
    <w:pPr>
      <w:numPr>
        <w:numId w:val="17"/>
      </w:numPr>
      <w:contextualSpacing/>
    </w:pPr>
  </w:style>
  <w:style w:type="paragraph" w:styleId="Numeroelenco5">
    <w:name w:val="List Number 5"/>
    <w:basedOn w:val="Normale"/>
    <w:uiPriority w:val="98"/>
    <w:semiHidden/>
    <w:rsid w:val="00A054F0"/>
    <w:pPr>
      <w:numPr>
        <w:numId w:val="18"/>
      </w:numPr>
      <w:contextualSpacing/>
    </w:pPr>
  </w:style>
  <w:style w:type="paragraph" w:styleId="Testomacro">
    <w:name w:val="macro"/>
    <w:link w:val="TestomacroCarattere"/>
    <w:uiPriority w:val="98"/>
    <w:semiHidden/>
    <w:rsid w:val="00A054F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A054F0"/>
    <w:rPr>
      <w:rFonts w:ascii="Consolas" w:eastAsiaTheme="minorEastAsia" w:hAnsi="Consolas" w:cs="Consolas"/>
      <w:sz w:val="20"/>
      <w:szCs w:val="20"/>
    </w:rPr>
  </w:style>
  <w:style w:type="table" w:styleId="Grigliamedia1">
    <w:name w:val="Medium Grid 1"/>
    <w:basedOn w:val="Tabellanormale"/>
    <w:uiPriority w:val="67"/>
    <w:semiHidden/>
    <w:rsid w:val="00A054F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A054F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A054F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A054F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A054F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A054F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A054F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A054F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A054F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A054F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A054F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A054F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A054F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A054F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A054F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A054F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A054F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A054F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A054F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A054F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A054F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A054F0"/>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A054F0"/>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A054F0"/>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A054F0"/>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A054F0"/>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A054F0"/>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A054F0"/>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A054F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A054F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A054F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A054F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A054F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A054F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A054F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A054F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A054F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A054F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A054F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A054F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A054F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A054F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A054F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A054F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A054F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A054F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A054F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A054F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A054F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A054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A054F0"/>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A054F0"/>
    <w:rPr>
      <w:rFonts w:ascii="Times New Roman" w:hAnsi="Times New Roman" w:cs="Times New Roman"/>
    </w:rPr>
  </w:style>
  <w:style w:type="paragraph" w:styleId="Rientronormale">
    <w:name w:val="Normal Indent"/>
    <w:basedOn w:val="Normale"/>
    <w:uiPriority w:val="98"/>
    <w:semiHidden/>
    <w:rsid w:val="00A054F0"/>
    <w:pPr>
      <w:ind w:left="720"/>
    </w:pPr>
  </w:style>
  <w:style w:type="paragraph" w:styleId="Intestazionenota">
    <w:name w:val="Note Heading"/>
    <w:basedOn w:val="Normale"/>
    <w:next w:val="Normale"/>
    <w:link w:val="IntestazionenotaCarattere"/>
    <w:uiPriority w:val="98"/>
    <w:semiHidden/>
    <w:rsid w:val="00A054F0"/>
  </w:style>
  <w:style w:type="character" w:customStyle="1" w:styleId="IntestazionenotaCarattere">
    <w:name w:val="Intestazione nota Carattere"/>
    <w:basedOn w:val="Carpredefinitoparagrafo"/>
    <w:link w:val="Intestazionenota"/>
    <w:uiPriority w:val="98"/>
    <w:semiHidden/>
    <w:rsid w:val="00A054F0"/>
    <w:rPr>
      <w:sz w:val="24"/>
      <w:szCs w:val="24"/>
      <w:lang w:val="fr-FR"/>
    </w:rPr>
  </w:style>
  <w:style w:type="character" w:styleId="Testosegnaposto">
    <w:name w:val="Placeholder Text"/>
    <w:basedOn w:val="Carpredefinitoparagrafo"/>
    <w:uiPriority w:val="98"/>
    <w:semiHidden/>
    <w:rsid w:val="00A054F0"/>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A054F0"/>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A054F0"/>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A054F0"/>
  </w:style>
  <w:style w:type="character" w:customStyle="1" w:styleId="FormuladiaperturaCarattere">
    <w:name w:val="Formula di apertura Carattere"/>
    <w:basedOn w:val="Carpredefinitoparagrafo"/>
    <w:link w:val="Formuladiapertura"/>
    <w:uiPriority w:val="98"/>
    <w:semiHidden/>
    <w:rsid w:val="00A054F0"/>
    <w:rPr>
      <w:sz w:val="24"/>
      <w:szCs w:val="24"/>
      <w:lang w:val="fr-FR"/>
    </w:rPr>
  </w:style>
  <w:style w:type="paragraph" w:styleId="Firma">
    <w:name w:val="Signature"/>
    <w:basedOn w:val="Normale"/>
    <w:link w:val="FirmaCarattere"/>
    <w:uiPriority w:val="98"/>
    <w:semiHidden/>
    <w:rsid w:val="00A054F0"/>
    <w:pPr>
      <w:ind w:left="4252"/>
    </w:pPr>
  </w:style>
  <w:style w:type="character" w:customStyle="1" w:styleId="FirmaCarattere">
    <w:name w:val="Firma Carattere"/>
    <w:basedOn w:val="Carpredefinitoparagrafo"/>
    <w:link w:val="Firma"/>
    <w:uiPriority w:val="98"/>
    <w:semiHidden/>
    <w:rsid w:val="00A054F0"/>
    <w:rPr>
      <w:sz w:val="24"/>
      <w:szCs w:val="24"/>
      <w:lang w:val="fr-FR"/>
    </w:rPr>
  </w:style>
  <w:style w:type="table" w:styleId="Tabellaeffetti3D1">
    <w:name w:val="Table 3D effects 1"/>
    <w:basedOn w:val="Tabellanormale"/>
    <w:uiPriority w:val="99"/>
    <w:semiHidden/>
    <w:unhideWhenUsed/>
    <w:rsid w:val="00A054F0"/>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A054F0"/>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A054F0"/>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A054F0"/>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A054F0"/>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A054F0"/>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A054F0"/>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A054F0"/>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A054F0"/>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A054F0"/>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A054F0"/>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A054F0"/>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A054F0"/>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A054F0"/>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A054F0"/>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A054F0"/>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A054F0"/>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A054F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A054F0"/>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A054F0"/>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A054F0"/>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A054F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A054F0"/>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A054F0"/>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A054F0"/>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A054F0"/>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A054F0"/>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A054F0"/>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A054F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A054F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A054F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A054F0"/>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A054F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A054F0"/>
    <w:pPr>
      <w:ind w:left="240" w:hanging="240"/>
    </w:pPr>
  </w:style>
  <w:style w:type="paragraph" w:styleId="Indicedellefigure">
    <w:name w:val="table of figures"/>
    <w:basedOn w:val="Normale"/>
    <w:next w:val="Normale"/>
    <w:uiPriority w:val="98"/>
    <w:semiHidden/>
    <w:rsid w:val="00A054F0"/>
  </w:style>
  <w:style w:type="table" w:styleId="Tabellaprofessionale">
    <w:name w:val="Table Professional"/>
    <w:basedOn w:val="Tabellanormale"/>
    <w:uiPriority w:val="99"/>
    <w:semiHidden/>
    <w:unhideWhenUsed/>
    <w:rsid w:val="00A054F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A054F0"/>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A054F0"/>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A054F0"/>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A054F0"/>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A054F0"/>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A054F0"/>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A054F0"/>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A054F0"/>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A054F0"/>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A054F0"/>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A054F0"/>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A054F0"/>
    <w:pPr>
      <w:spacing w:after="100"/>
      <w:ind w:left="1680"/>
    </w:pPr>
  </w:style>
  <w:style w:type="paragraph" w:styleId="Sommario9">
    <w:name w:val="toc 9"/>
    <w:basedOn w:val="Normale"/>
    <w:next w:val="Normale"/>
    <w:autoRedefine/>
    <w:uiPriority w:val="98"/>
    <w:semiHidden/>
    <w:rsid w:val="00A054F0"/>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A054F0"/>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A054F0"/>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A054F0"/>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A054F0"/>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A054F0"/>
    <w:pPr>
      <w:numPr>
        <w:numId w:val="6"/>
      </w:numPr>
      <w:spacing w:before="60" w:after="60"/>
    </w:pPr>
  </w:style>
  <w:style w:type="paragraph" w:customStyle="1" w:styleId="ECHRBullet2">
    <w:name w:val="ECHR_Bullet_2"/>
    <w:aliases w:val="_Bul_2"/>
    <w:basedOn w:val="ECHRBullet1"/>
    <w:uiPriority w:val="23"/>
    <w:semiHidden/>
    <w:rsid w:val="00A054F0"/>
    <w:pPr>
      <w:numPr>
        <w:ilvl w:val="1"/>
      </w:numPr>
    </w:pPr>
  </w:style>
  <w:style w:type="paragraph" w:customStyle="1" w:styleId="ECHRBullet3">
    <w:name w:val="ECHR_Bullet_3"/>
    <w:aliases w:val="_Bul_3"/>
    <w:basedOn w:val="ECHRBullet2"/>
    <w:uiPriority w:val="23"/>
    <w:semiHidden/>
    <w:rsid w:val="00A054F0"/>
    <w:pPr>
      <w:numPr>
        <w:ilvl w:val="2"/>
      </w:numPr>
    </w:pPr>
  </w:style>
  <w:style w:type="paragraph" w:customStyle="1" w:styleId="ECHRBullet4">
    <w:name w:val="ECHR_Bullet_4"/>
    <w:aliases w:val="_Bul_4"/>
    <w:basedOn w:val="ECHRBullet3"/>
    <w:uiPriority w:val="23"/>
    <w:semiHidden/>
    <w:rsid w:val="00A054F0"/>
    <w:pPr>
      <w:numPr>
        <w:ilvl w:val="3"/>
      </w:numPr>
    </w:pPr>
  </w:style>
  <w:style w:type="paragraph" w:customStyle="1" w:styleId="ECHRConfidential">
    <w:name w:val="ECHR_Confidential"/>
    <w:aliases w:val="_Confidential"/>
    <w:basedOn w:val="Normale"/>
    <w:next w:val="Normale"/>
    <w:uiPriority w:val="42"/>
    <w:semiHidden/>
    <w:qFormat/>
    <w:rsid w:val="00A054F0"/>
    <w:pPr>
      <w:jc w:val="right"/>
    </w:pPr>
    <w:rPr>
      <w:color w:val="C00000"/>
      <w:sz w:val="20"/>
    </w:rPr>
  </w:style>
  <w:style w:type="paragraph" w:customStyle="1" w:styleId="ECHRDecisionBody">
    <w:name w:val="ECHR_Decision_Body"/>
    <w:aliases w:val="_Decision_Body"/>
    <w:basedOn w:val="NormalJustified"/>
    <w:uiPriority w:val="54"/>
    <w:semiHidden/>
    <w:rsid w:val="00A054F0"/>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A054F0"/>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A054F0"/>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A054F0"/>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A054F0"/>
    <w:pPr>
      <w:jc w:val="right"/>
    </w:pPr>
    <w:rPr>
      <w:sz w:val="20"/>
    </w:rPr>
  </w:style>
  <w:style w:type="paragraph" w:customStyle="1" w:styleId="ECHRHeaderRefIt">
    <w:name w:val="ECHR_Header_Ref_It"/>
    <w:aliases w:val="_Ref_Ital"/>
    <w:basedOn w:val="Normale"/>
    <w:next w:val="ECHRHeaderDate"/>
    <w:uiPriority w:val="43"/>
    <w:semiHidden/>
    <w:qFormat/>
    <w:rsid w:val="00A054F0"/>
    <w:pPr>
      <w:jc w:val="right"/>
    </w:pPr>
    <w:rPr>
      <w:i/>
      <w:sz w:val="20"/>
    </w:rPr>
  </w:style>
  <w:style w:type="paragraph" w:customStyle="1" w:styleId="ECHRHeading9">
    <w:name w:val="ECHR_Heading_9"/>
    <w:aliases w:val="_Head_9"/>
    <w:basedOn w:val="Titolo9"/>
    <w:uiPriority w:val="17"/>
    <w:semiHidden/>
    <w:rsid w:val="00A054F0"/>
    <w:pPr>
      <w:keepNext/>
      <w:keepLines/>
      <w:numPr>
        <w:ilvl w:val="8"/>
        <w:numId w:val="2"/>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A054F0"/>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A054F0"/>
    <w:pPr>
      <w:numPr>
        <w:numId w:val="8"/>
      </w:numPr>
      <w:spacing w:before="60" w:after="60"/>
    </w:pPr>
  </w:style>
  <w:style w:type="paragraph" w:customStyle="1" w:styleId="ECHRNumberedList2">
    <w:name w:val="ECHR_Numbered_List_2"/>
    <w:aliases w:val="_Num_2"/>
    <w:basedOn w:val="ECHRNumberedList1"/>
    <w:uiPriority w:val="23"/>
    <w:semiHidden/>
    <w:rsid w:val="00A054F0"/>
    <w:pPr>
      <w:numPr>
        <w:ilvl w:val="1"/>
      </w:numPr>
    </w:pPr>
  </w:style>
  <w:style w:type="paragraph" w:customStyle="1" w:styleId="ECHRNumberedList3">
    <w:name w:val="ECHR_Numbered_List_3"/>
    <w:aliases w:val="_Num_3"/>
    <w:basedOn w:val="ECHRNumberedList2"/>
    <w:uiPriority w:val="23"/>
    <w:semiHidden/>
    <w:rsid w:val="00A054F0"/>
    <w:pPr>
      <w:numPr>
        <w:ilvl w:val="2"/>
      </w:numPr>
    </w:pPr>
  </w:style>
  <w:style w:type="paragraph" w:customStyle="1" w:styleId="ECHRParaHanging">
    <w:name w:val="ECHR_Para_Hanging"/>
    <w:aliases w:val="_Hanging"/>
    <w:basedOn w:val="Normale"/>
    <w:uiPriority w:val="8"/>
    <w:semiHidden/>
    <w:qFormat/>
    <w:rsid w:val="00A054F0"/>
    <w:pPr>
      <w:ind w:left="567" w:hanging="567"/>
      <w:jc w:val="both"/>
    </w:pPr>
  </w:style>
  <w:style w:type="paragraph" w:customStyle="1" w:styleId="ECHRParaIndent">
    <w:name w:val="ECHR_Para_Indent"/>
    <w:aliases w:val="_Indent"/>
    <w:basedOn w:val="Normale"/>
    <w:uiPriority w:val="7"/>
    <w:semiHidden/>
    <w:qFormat/>
    <w:rsid w:val="00A054F0"/>
    <w:pPr>
      <w:spacing w:before="120" w:after="120"/>
      <w:ind w:left="567"/>
      <w:jc w:val="both"/>
    </w:pPr>
  </w:style>
  <w:style w:type="character" w:customStyle="1" w:styleId="ECHRRed">
    <w:name w:val="ECHR_Red"/>
    <w:aliases w:val="_Red"/>
    <w:basedOn w:val="Carpredefinitoparagrafo"/>
    <w:uiPriority w:val="15"/>
    <w:semiHidden/>
    <w:qFormat/>
    <w:rsid w:val="00A054F0"/>
    <w:rPr>
      <w:color w:val="C00000" w:themeColor="accent2"/>
    </w:rPr>
  </w:style>
  <w:style w:type="paragraph" w:customStyle="1" w:styleId="DecList">
    <w:name w:val="Dec_List"/>
    <w:aliases w:val="_List"/>
    <w:basedOn w:val="JuList"/>
    <w:uiPriority w:val="22"/>
    <w:rsid w:val="00A054F0"/>
    <w:pPr>
      <w:numPr>
        <w:numId w:val="0"/>
      </w:numPr>
      <w:ind w:left="284"/>
    </w:pPr>
  </w:style>
  <w:style w:type="table" w:customStyle="1" w:styleId="ECHRTable2">
    <w:name w:val="ECHR_Table_2"/>
    <w:basedOn w:val="Tabellanormale"/>
    <w:uiPriority w:val="99"/>
    <w:rsid w:val="00A054F0"/>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A054F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A054F0"/>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A054F0"/>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A054F0"/>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A054F0"/>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A054F0"/>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A054F0"/>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A054F0"/>
    <w:pPr>
      <w:outlineLvl w:val="0"/>
    </w:pPr>
  </w:style>
  <w:style w:type="paragraph" w:customStyle="1" w:styleId="ECHRTitleTOC1">
    <w:name w:val="ECHR_Title_TOC_1"/>
    <w:aliases w:val="_Title_L_TOC"/>
    <w:basedOn w:val="ECHRTitle1"/>
    <w:next w:val="Normale"/>
    <w:uiPriority w:val="27"/>
    <w:semiHidden/>
    <w:qFormat/>
    <w:rsid w:val="00A054F0"/>
    <w:pPr>
      <w:outlineLvl w:val="0"/>
    </w:pPr>
  </w:style>
  <w:style w:type="paragraph" w:customStyle="1" w:styleId="ECHRPlaceholder">
    <w:name w:val="ECHR_Placeholder"/>
    <w:aliases w:val="_Placeholder"/>
    <w:basedOn w:val="JuSigned"/>
    <w:uiPriority w:val="31"/>
    <w:rsid w:val="00A054F0"/>
    <w:rPr>
      <w:color w:val="FFFFFF"/>
    </w:rPr>
  </w:style>
  <w:style w:type="paragraph" w:customStyle="1" w:styleId="ECHRSpacer">
    <w:name w:val="ECHR_Spacer"/>
    <w:aliases w:val="_Spacer"/>
    <w:basedOn w:val="Normale"/>
    <w:uiPriority w:val="45"/>
    <w:semiHidden/>
    <w:rsid w:val="00A054F0"/>
    <w:rPr>
      <w:sz w:val="4"/>
    </w:rPr>
  </w:style>
  <w:style w:type="table" w:customStyle="1" w:styleId="ECHRTableGrey">
    <w:name w:val="ECHR_Table_Grey"/>
    <w:basedOn w:val="Tabellanormale"/>
    <w:uiPriority w:val="99"/>
    <w:rsid w:val="00A054F0"/>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071E4F"/>
    <w:rPr>
      <w:sz w:val="24"/>
      <w:szCs w:val="24"/>
      <w:lang w:val="fr-FR"/>
    </w:rPr>
  </w:style>
  <w:style w:type="table" w:styleId="Tabellagriglia1chiara">
    <w:name w:val="Grid Table 1 Light"/>
    <w:basedOn w:val="Tabellanormale"/>
    <w:uiPriority w:val="46"/>
    <w:semiHidden/>
    <w:rsid w:val="0029191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29191D"/>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29191D"/>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29191D"/>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29191D"/>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29191D"/>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29191D"/>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29191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29191D"/>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29191D"/>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29191D"/>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29191D"/>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29191D"/>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29191D"/>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2919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29191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29191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29191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29191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29191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29191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2919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29191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29191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29191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29191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29191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29191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29191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29191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29191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29191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29191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29191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29191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29191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29191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29191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29191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29191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29191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29191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29191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29191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29191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29191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29191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29191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29191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29191D"/>
    <w:rPr>
      <w:color w:val="2B579A"/>
      <w:shd w:val="clear" w:color="auto" w:fill="E1DFDD"/>
    </w:rPr>
  </w:style>
  <w:style w:type="table" w:styleId="Tabellaelenco1chiara">
    <w:name w:val="List Table 1 Light"/>
    <w:basedOn w:val="Tabellanormale"/>
    <w:uiPriority w:val="46"/>
    <w:semiHidden/>
    <w:rsid w:val="0029191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29191D"/>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29191D"/>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29191D"/>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29191D"/>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29191D"/>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29191D"/>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29191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29191D"/>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29191D"/>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29191D"/>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29191D"/>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29191D"/>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29191D"/>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29191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29191D"/>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29191D"/>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29191D"/>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29191D"/>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29191D"/>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29191D"/>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2919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29191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29191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29191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29191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29191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29191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29191D"/>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29191D"/>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29191D"/>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29191D"/>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29191D"/>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29191D"/>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29191D"/>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29191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29191D"/>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29191D"/>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29191D"/>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29191D"/>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29191D"/>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29191D"/>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29191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29191D"/>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29191D"/>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29191D"/>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29191D"/>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29191D"/>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29191D"/>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29191D"/>
    <w:rPr>
      <w:color w:val="2B579A"/>
      <w:shd w:val="clear" w:color="auto" w:fill="E1DFDD"/>
    </w:rPr>
  </w:style>
  <w:style w:type="table" w:styleId="Tabellasemplice-1">
    <w:name w:val="Plain Table 1"/>
    <w:basedOn w:val="Tabellanormale"/>
    <w:uiPriority w:val="41"/>
    <w:semiHidden/>
    <w:rsid w:val="0029191D"/>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29191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29191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291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29191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29191D"/>
    <w:rPr>
      <w:u w:val="dotted"/>
    </w:rPr>
  </w:style>
  <w:style w:type="character" w:customStyle="1" w:styleId="SmartLink">
    <w:name w:val="Smart Link"/>
    <w:basedOn w:val="Carpredefinitoparagrafo"/>
    <w:uiPriority w:val="99"/>
    <w:semiHidden/>
    <w:unhideWhenUsed/>
    <w:rsid w:val="0029191D"/>
    <w:rPr>
      <w:color w:val="0000FF"/>
      <w:u w:val="single"/>
      <w:shd w:val="clear" w:color="auto" w:fill="F3F2F1"/>
    </w:rPr>
  </w:style>
  <w:style w:type="table" w:styleId="Grigliatabellachiara">
    <w:name w:val="Grid Table Light"/>
    <w:basedOn w:val="Tabellanormale"/>
    <w:uiPriority w:val="40"/>
    <w:semiHidden/>
    <w:rsid w:val="0029191D"/>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291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hudoc.echr.coe.int/en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4C6A-394B-4DCE-BA30-6373350CB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168C8A-5A13-498A-9BC5-C9835A66C2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09E098-859D-4D7C-ABA5-BD83EF44E657}">
  <ds:schemaRefs>
    <ds:schemaRef ds:uri="http://schemas.microsoft.com/sharepoint/v3/contenttype/forms"/>
  </ds:schemaRefs>
</ds:datastoreItem>
</file>

<file path=customXml/itemProps4.xml><?xml version="1.0" encoding="utf-8"?>
<ds:datastoreItem xmlns:ds="http://schemas.openxmlformats.org/officeDocument/2006/customXml" ds:itemID="{EAC5278F-449C-45A0-9EA5-321BB8EA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1854</Words>
  <Characters>10574</Characters>
  <Application>Microsoft Office Word</Application>
  <DocSecurity>0</DocSecurity>
  <Lines>88</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2022-01-11T10:13:00Z</dcterms:created>
  <dcterms:modified xsi:type="dcterms:W3CDTF">2022-01-11T10:13:00Z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42488/12</vt:lpwstr>
  </property>
  <property fmtid="{D5CDD505-2E9C-101B-9397-08002B2CF9AE}" pid="4" name="CASEID">
    <vt:lpwstr>811156</vt:lpwstr>
  </property>
  <property fmtid="{D5CDD505-2E9C-101B-9397-08002B2CF9AE}" pid="5" name="ContentTypeId">
    <vt:lpwstr>0x010100558EB02BDB9E204AB350EDD385B68E10</vt:lpwstr>
  </property>
</Properties>
</file>