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9D45" w14:textId="77777777" w:rsidR="00A6701F" w:rsidRPr="00886C0B" w:rsidRDefault="00A6701F" w:rsidP="00886C0B">
      <w:pPr>
        <w:rPr>
          <w:rFonts w:ascii="Times New Roman" w:hAnsi="Times New Roman" w:cs="Times New Roman"/>
          <w:noProof/>
        </w:rPr>
      </w:pPr>
    </w:p>
    <w:p w14:paraId="2DFE4BF7" w14:textId="77777777" w:rsidR="007A4070" w:rsidRPr="00886C0B" w:rsidRDefault="007A4070" w:rsidP="00886C0B"/>
    <w:p w14:paraId="0FB50BCA" w14:textId="77777777" w:rsidR="007A4070" w:rsidRPr="00886C0B" w:rsidRDefault="007F4790" w:rsidP="00886C0B">
      <w:pPr>
        <w:pStyle w:val="DecHTitle"/>
        <w:rPr>
          <w:lang w:val="it-IT"/>
        </w:rPr>
      </w:pPr>
      <w:r w:rsidRPr="00886C0B">
        <w:rPr>
          <w:lang w:val="it-IT"/>
        </w:rPr>
        <w:t>PREMIÈRE SECTION</w:t>
      </w:r>
    </w:p>
    <w:p w14:paraId="2F91FBAE" w14:textId="77777777" w:rsidR="007A4070" w:rsidRPr="00886C0B" w:rsidRDefault="007F4790" w:rsidP="00886C0B">
      <w:pPr>
        <w:pStyle w:val="JuTitle"/>
        <w:rPr>
          <w:lang w:val="it-IT"/>
        </w:rPr>
      </w:pPr>
      <w:r w:rsidRPr="00886C0B">
        <w:rPr>
          <w:lang w:val="it-IT"/>
        </w:rPr>
        <w:t xml:space="preserve">AFFAIRE </w:t>
      </w:r>
      <w:r w:rsidR="00A6701F" w:rsidRPr="00886C0B">
        <w:rPr>
          <w:lang w:val="it-IT"/>
        </w:rPr>
        <w:t>L</w:t>
      </w:r>
      <w:r w:rsidR="00886C0B" w:rsidRPr="00886C0B">
        <w:rPr>
          <w:lang w:val="it-IT"/>
        </w:rPr>
        <w:t>’</w:t>
      </w:r>
      <w:r w:rsidR="00A6701F" w:rsidRPr="00886C0B">
        <w:rPr>
          <w:lang w:val="it-IT"/>
        </w:rPr>
        <w:t>ORTOFRUTTICOLA</w:t>
      </w:r>
      <w:r w:rsidR="00CC033B" w:rsidRPr="00886C0B">
        <w:rPr>
          <w:lang w:val="it-IT"/>
        </w:rPr>
        <w:br/>
      </w:r>
      <w:r w:rsidR="00A6701F" w:rsidRPr="00886C0B">
        <w:rPr>
          <w:lang w:val="it-IT"/>
        </w:rPr>
        <w:t>SOCIET</w:t>
      </w:r>
      <w:r w:rsidR="00CC033B" w:rsidRPr="00886C0B">
        <w:rPr>
          <w:lang w:val="it-IT"/>
        </w:rPr>
        <w:t>À</w:t>
      </w:r>
      <w:r w:rsidR="00A6701F" w:rsidRPr="00886C0B">
        <w:rPr>
          <w:lang w:val="it-IT"/>
        </w:rPr>
        <w:t xml:space="preserve"> COOPERATIVA c. ITALIE</w:t>
      </w:r>
    </w:p>
    <w:p w14:paraId="0E711E00" w14:textId="77777777" w:rsidR="007A4070" w:rsidRPr="00886C0B" w:rsidRDefault="007F4790" w:rsidP="00886C0B">
      <w:pPr>
        <w:pStyle w:val="ECHRCoverTitle4"/>
      </w:pPr>
      <w:r w:rsidRPr="00886C0B">
        <w:t>(</w:t>
      </w:r>
      <w:r w:rsidR="00A6701F" w:rsidRPr="00886C0B">
        <w:rPr>
          <w:noProof/>
        </w:rPr>
        <w:t>Requête n</w:t>
      </w:r>
      <w:r w:rsidR="00A6701F" w:rsidRPr="00886C0B">
        <w:rPr>
          <w:noProof/>
          <w:vertAlign w:val="superscript"/>
        </w:rPr>
        <w:t>o</w:t>
      </w:r>
      <w:r w:rsidRPr="00886C0B">
        <w:t xml:space="preserve"> </w:t>
      </w:r>
      <w:r w:rsidR="00A6701F" w:rsidRPr="00886C0B">
        <w:t>35538/16</w:t>
      </w:r>
      <w:r w:rsidRPr="00886C0B">
        <w:t>)</w:t>
      </w:r>
    </w:p>
    <w:p w14:paraId="2498AD09" w14:textId="77777777" w:rsidR="007A4070" w:rsidRPr="00886C0B" w:rsidRDefault="007A4070" w:rsidP="00886C0B">
      <w:pPr>
        <w:pStyle w:val="DecHCase"/>
      </w:pPr>
    </w:p>
    <w:p w14:paraId="1032ED3E" w14:textId="77777777" w:rsidR="007A4070" w:rsidRPr="00886C0B" w:rsidRDefault="007A4070" w:rsidP="00886C0B">
      <w:pPr>
        <w:pStyle w:val="DecHCase"/>
      </w:pPr>
    </w:p>
    <w:p w14:paraId="0CC41521" w14:textId="77777777" w:rsidR="007A4070" w:rsidRPr="00886C0B" w:rsidRDefault="007A4070" w:rsidP="00886C0B">
      <w:pPr>
        <w:pStyle w:val="DecHCase"/>
      </w:pPr>
    </w:p>
    <w:p w14:paraId="596B4FE7" w14:textId="77777777" w:rsidR="007A4070" w:rsidRPr="00886C0B" w:rsidRDefault="007A4070" w:rsidP="00886C0B">
      <w:pPr>
        <w:pStyle w:val="DecHCase"/>
      </w:pPr>
    </w:p>
    <w:p w14:paraId="04E5449C" w14:textId="77777777" w:rsidR="007A4070" w:rsidRPr="00886C0B" w:rsidRDefault="007A4070" w:rsidP="00886C0B">
      <w:pPr>
        <w:pStyle w:val="DecHCase"/>
      </w:pPr>
    </w:p>
    <w:p w14:paraId="6A85D987" w14:textId="77777777" w:rsidR="007A4070" w:rsidRPr="00886C0B" w:rsidRDefault="007A4070" w:rsidP="00886C0B">
      <w:pPr>
        <w:pStyle w:val="DecHCase"/>
      </w:pPr>
    </w:p>
    <w:p w14:paraId="2BF70D79" w14:textId="77777777" w:rsidR="007A4070" w:rsidRPr="00886C0B" w:rsidRDefault="007F4790" w:rsidP="00886C0B">
      <w:pPr>
        <w:pStyle w:val="DecHCase"/>
      </w:pPr>
      <w:r w:rsidRPr="00886C0B">
        <w:t>ARRÊT</w:t>
      </w:r>
      <w:r w:rsidRPr="00886C0B">
        <w:br/>
      </w:r>
    </w:p>
    <w:p w14:paraId="3FCCB758" w14:textId="77777777" w:rsidR="007A4070" w:rsidRPr="00886C0B" w:rsidRDefault="007F4790" w:rsidP="00886C0B">
      <w:pPr>
        <w:pStyle w:val="DecHCase"/>
      </w:pPr>
      <w:r w:rsidRPr="00886C0B">
        <w:t>STRASBOURG</w:t>
      </w:r>
    </w:p>
    <w:p w14:paraId="2BA28363" w14:textId="77777777" w:rsidR="007A4070" w:rsidRPr="00886C0B" w:rsidRDefault="007F4790" w:rsidP="00886C0B">
      <w:pPr>
        <w:pStyle w:val="DecHCase"/>
      </w:pPr>
      <w:r w:rsidRPr="00886C0B">
        <w:rPr>
          <w:noProof/>
        </w:rPr>
        <w:t>13 juillet 2023</w:t>
      </w:r>
    </w:p>
    <w:p w14:paraId="14972D55" w14:textId="77777777" w:rsidR="007A4070" w:rsidRPr="00886C0B" w:rsidRDefault="007A4070" w:rsidP="00886C0B">
      <w:pPr>
        <w:pStyle w:val="DecHCase"/>
      </w:pPr>
    </w:p>
    <w:p w14:paraId="06B2CA7B" w14:textId="77777777" w:rsidR="00CC033B" w:rsidRPr="00886C0B" w:rsidRDefault="00CC033B" w:rsidP="00886C0B">
      <w:pPr>
        <w:pStyle w:val="JuPara"/>
      </w:pPr>
    </w:p>
    <w:p w14:paraId="140E97CB" w14:textId="77777777" w:rsidR="00CC033B" w:rsidRPr="00886C0B" w:rsidRDefault="00CC033B" w:rsidP="00886C0B">
      <w:pPr>
        <w:pStyle w:val="JuPara"/>
      </w:pPr>
    </w:p>
    <w:p w14:paraId="0EE208B0" w14:textId="77777777" w:rsidR="00CC033B" w:rsidRPr="00886C0B" w:rsidRDefault="00CC033B" w:rsidP="00886C0B">
      <w:pPr>
        <w:pStyle w:val="JuPara"/>
      </w:pPr>
    </w:p>
    <w:p w14:paraId="1073F56C" w14:textId="77777777" w:rsidR="00516B59" w:rsidRPr="00886C0B" w:rsidRDefault="007F4790" w:rsidP="00886C0B">
      <w:pPr>
        <w:rPr>
          <w:rFonts w:ascii="Times New Roman" w:hAnsi="Times New Roman" w:cs="Times New Roman"/>
          <w:i/>
          <w:sz w:val="22"/>
        </w:rPr>
      </w:pPr>
      <w:r w:rsidRPr="00886C0B">
        <w:rPr>
          <w:i/>
          <w:sz w:val="22"/>
        </w:rPr>
        <w:t>Cet arrêt</w:t>
      </w:r>
      <w:r w:rsidR="00A6701F" w:rsidRPr="00886C0B">
        <w:rPr>
          <w:i/>
          <w:sz w:val="22"/>
        </w:rPr>
        <w:t xml:space="preserve"> </w:t>
      </w:r>
      <w:r w:rsidR="00A6701F" w:rsidRPr="00886C0B">
        <w:rPr>
          <w:i/>
          <w:noProof/>
          <w:sz w:val="22"/>
        </w:rPr>
        <w:t>est définitif</w:t>
      </w:r>
      <w:r w:rsidRPr="00886C0B">
        <w:rPr>
          <w:i/>
          <w:sz w:val="22"/>
        </w:rPr>
        <w:t>. Il peut subir des retouches de fo</w:t>
      </w:r>
      <w:r w:rsidRPr="00886C0B">
        <w:rPr>
          <w:rFonts w:ascii="Times New Roman" w:hAnsi="Times New Roman" w:cs="Times New Roman"/>
          <w:i/>
          <w:sz w:val="22"/>
        </w:rPr>
        <w:t>rme.</w:t>
      </w:r>
    </w:p>
    <w:p w14:paraId="4B9AED86" w14:textId="77777777" w:rsidR="00516B59" w:rsidRPr="00886C0B" w:rsidRDefault="00516B59" w:rsidP="00886C0B">
      <w:pPr>
        <w:ind w:left="720"/>
        <w:rPr>
          <w:rFonts w:ascii="Times New Roman" w:hAnsi="Times New Roman" w:cs="Times New Roman"/>
          <w:sz w:val="22"/>
        </w:rPr>
        <w:sectPr w:rsidR="00516B59" w:rsidRPr="00886C0B" w:rsidSect="0090260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11971DDA" w14:textId="77777777" w:rsidR="004344E6" w:rsidRPr="00886C0B" w:rsidRDefault="007F4790" w:rsidP="00886C0B">
      <w:pPr>
        <w:pStyle w:val="JuCase"/>
        <w:rPr>
          <w:lang w:val="it-IT"/>
        </w:rPr>
      </w:pPr>
      <w:r w:rsidRPr="00886C0B">
        <w:rPr>
          <w:lang w:val="it-IT"/>
        </w:rPr>
        <w:lastRenderedPageBreak/>
        <w:t>En l</w:t>
      </w:r>
      <w:r w:rsidR="00886C0B" w:rsidRPr="00886C0B">
        <w:rPr>
          <w:lang w:val="it-IT"/>
        </w:rPr>
        <w:t>’</w:t>
      </w:r>
      <w:r w:rsidRPr="00886C0B">
        <w:rPr>
          <w:lang w:val="it-IT"/>
        </w:rPr>
        <w:t xml:space="preserve">affaire </w:t>
      </w:r>
      <w:r w:rsidR="00A6701F" w:rsidRPr="00886C0B">
        <w:rPr>
          <w:lang w:val="it-IT"/>
        </w:rPr>
        <w:t>L</w:t>
      </w:r>
      <w:r w:rsidR="00886C0B" w:rsidRPr="00886C0B">
        <w:rPr>
          <w:lang w:val="it-IT"/>
        </w:rPr>
        <w:t>’</w:t>
      </w:r>
      <w:r w:rsidR="00A6701F" w:rsidRPr="00886C0B">
        <w:rPr>
          <w:lang w:val="it-IT"/>
        </w:rPr>
        <w:t>Ortofrutticola Societ</w:t>
      </w:r>
      <w:r w:rsidR="00CC033B" w:rsidRPr="00886C0B">
        <w:rPr>
          <w:lang w:val="it-IT"/>
        </w:rPr>
        <w:t>à</w:t>
      </w:r>
      <w:r w:rsidR="00A6701F" w:rsidRPr="00886C0B">
        <w:rPr>
          <w:lang w:val="it-IT"/>
        </w:rPr>
        <w:t xml:space="preserve"> Cooperativa c. Italie</w:t>
      </w:r>
      <w:r w:rsidRPr="00886C0B">
        <w:rPr>
          <w:lang w:val="it-IT"/>
        </w:rPr>
        <w:t>,</w:t>
      </w:r>
    </w:p>
    <w:p w14:paraId="6D60E472" w14:textId="77777777" w:rsidR="004344E6" w:rsidRPr="00886C0B" w:rsidRDefault="007F4790" w:rsidP="00886C0B">
      <w:pPr>
        <w:pStyle w:val="JuPara"/>
      </w:pPr>
      <w:r w:rsidRPr="00886C0B">
        <w:t>La Cour européenne des droits de l</w:t>
      </w:r>
      <w:r w:rsidR="00886C0B" w:rsidRPr="00886C0B">
        <w:t>’</w:t>
      </w:r>
      <w:r w:rsidRPr="00886C0B">
        <w:t>homme (</w:t>
      </w:r>
      <w:r w:rsidR="00A6701F" w:rsidRPr="00886C0B">
        <w:t>première section</w:t>
      </w:r>
      <w:r w:rsidRPr="00886C0B">
        <w:t xml:space="preserve">), siégeant en </w:t>
      </w:r>
      <w:r w:rsidR="00A6701F" w:rsidRPr="00886C0B">
        <w:rPr>
          <w:noProof/>
          <w:color w:val="000000"/>
        </w:rPr>
        <w:t>un</w:t>
      </w:r>
      <w:r w:rsidR="00A6701F" w:rsidRPr="00886C0B">
        <w:rPr>
          <w:noProof/>
        </w:rPr>
        <w:t xml:space="preserve"> comité</w:t>
      </w:r>
      <w:r w:rsidR="00AA33C7" w:rsidRPr="00886C0B">
        <w:rPr>
          <w:noProof/>
        </w:rPr>
        <w:t xml:space="preserve"> </w:t>
      </w:r>
      <w:r w:rsidR="00A6701F" w:rsidRPr="00886C0B">
        <w:rPr>
          <w:noProof/>
        </w:rPr>
        <w:t>composé</w:t>
      </w:r>
      <w:r w:rsidRPr="00886C0B">
        <w:t xml:space="preserve"> de :</w:t>
      </w:r>
    </w:p>
    <w:p w14:paraId="3928E8B8" w14:textId="77777777" w:rsidR="004344E6" w:rsidRPr="00886C0B" w:rsidRDefault="007F4790" w:rsidP="00886C0B">
      <w:pPr>
        <w:pStyle w:val="JuJudges"/>
      </w:pPr>
      <w:r w:rsidRPr="00886C0B">
        <w:tab/>
        <w:t>Péter Paczolay</w:t>
      </w:r>
      <w:r w:rsidRPr="00886C0B">
        <w:rPr>
          <w:i/>
        </w:rPr>
        <w:t>, président</w:t>
      </w:r>
      <w:r w:rsidRPr="00886C0B">
        <w:t>,</w:t>
      </w:r>
      <w:r w:rsidRPr="00886C0B">
        <w:br/>
      </w:r>
      <w:r w:rsidRPr="00886C0B">
        <w:tab/>
        <w:t>Gilberto Felici,</w:t>
      </w:r>
      <w:r w:rsidRPr="00886C0B">
        <w:br/>
      </w:r>
      <w:r w:rsidRPr="00886C0B">
        <w:tab/>
        <w:t xml:space="preserve">Raffaele </w:t>
      </w:r>
      <w:r w:rsidRPr="00886C0B">
        <w:t>Sabato</w:t>
      </w:r>
      <w:r w:rsidRPr="00886C0B">
        <w:rPr>
          <w:i/>
        </w:rPr>
        <w:t>, juges</w:t>
      </w:r>
      <w:r w:rsidRPr="00886C0B">
        <w:t>,</w:t>
      </w:r>
      <w:r w:rsidRPr="00886C0B">
        <w:br/>
        <w:t xml:space="preserve">et de </w:t>
      </w:r>
      <w:r w:rsidR="00A6701F" w:rsidRPr="00886C0B">
        <w:rPr>
          <w:noProof/>
        </w:rPr>
        <w:t>Liv Tigerstedt</w:t>
      </w:r>
      <w:r w:rsidRPr="00886C0B">
        <w:t xml:space="preserve">, </w:t>
      </w:r>
      <w:r w:rsidR="00A6701F" w:rsidRPr="00886C0B">
        <w:rPr>
          <w:i/>
          <w:noProof/>
        </w:rPr>
        <w:t>greffière adjointe</w:t>
      </w:r>
      <w:r w:rsidR="001C6A7B" w:rsidRPr="00886C0B">
        <w:rPr>
          <w:i/>
          <w:iCs/>
        </w:rPr>
        <w:t xml:space="preserve"> d</w:t>
      </w:r>
      <w:r w:rsidR="001C6A7B" w:rsidRPr="00886C0B">
        <w:rPr>
          <w:i/>
        </w:rPr>
        <w:t>e section</w:t>
      </w:r>
      <w:r w:rsidRPr="00886C0B">
        <w:t>,</w:t>
      </w:r>
    </w:p>
    <w:p w14:paraId="7174A5B2" w14:textId="77777777" w:rsidR="00A6701F" w:rsidRPr="00886C0B" w:rsidRDefault="007F4790" w:rsidP="00886C0B">
      <w:pPr>
        <w:pStyle w:val="JuPara"/>
      </w:pPr>
      <w:r w:rsidRPr="00886C0B">
        <w:t>Vu :</w:t>
      </w:r>
    </w:p>
    <w:p w14:paraId="2305891D" w14:textId="77777777" w:rsidR="00A6701F" w:rsidRPr="00886C0B" w:rsidRDefault="007F4790" w:rsidP="00886C0B">
      <w:pPr>
        <w:pStyle w:val="JuPara"/>
      </w:pPr>
      <w:r w:rsidRPr="00886C0B">
        <w:t>la requête (n</w:t>
      </w:r>
      <w:r w:rsidRPr="00886C0B">
        <w:rPr>
          <w:vertAlign w:val="superscript"/>
        </w:rPr>
        <w:t>o</w:t>
      </w:r>
      <w:r w:rsidRPr="00886C0B">
        <w:t> 35538/16) contre la République italienne et dont une société de cet État, L</w:t>
      </w:r>
      <w:r w:rsidR="00886C0B" w:rsidRPr="00886C0B">
        <w:t>’</w:t>
      </w:r>
      <w:r w:rsidRPr="00886C0B">
        <w:t xml:space="preserve">Ortofrutticola Società Cooperativa (« la société </w:t>
      </w:r>
      <w:r w:rsidR="00CC033B" w:rsidRPr="00886C0B">
        <w:t>requérante »</w:t>
      </w:r>
      <w:r w:rsidRPr="00886C0B">
        <w:t>), ayant son siège à Albenga, représenté</w:t>
      </w:r>
      <w:r w:rsidR="00CC033B" w:rsidRPr="00886C0B">
        <w:t>e</w:t>
      </w:r>
      <w:r w:rsidRPr="00886C0B">
        <w:t xml:space="preserve"> par M</w:t>
      </w:r>
      <w:r w:rsidRPr="00886C0B">
        <w:rPr>
          <w:vertAlign w:val="superscript"/>
        </w:rPr>
        <w:t>e</w:t>
      </w:r>
      <w:r w:rsidR="00CC033B" w:rsidRPr="00886C0B">
        <w:t xml:space="preserve"> </w:t>
      </w:r>
      <w:r w:rsidRPr="00886C0B">
        <w:t>A. Mari, avocate à Rome, a saisi la Cour le 16 juin 2016</w:t>
      </w:r>
      <w:r w:rsidRPr="00886C0B">
        <w:rPr>
          <w:color w:val="0072BC" w:themeColor="background1"/>
        </w:rPr>
        <w:t xml:space="preserve"> </w:t>
      </w:r>
      <w:r w:rsidRPr="00886C0B">
        <w:t>en vertu de l</w:t>
      </w:r>
      <w:r w:rsidR="00886C0B" w:rsidRPr="00886C0B">
        <w:t>’</w:t>
      </w:r>
      <w:r w:rsidRPr="00886C0B">
        <w:t>article</w:t>
      </w:r>
      <w:r w:rsidR="00CC033B" w:rsidRPr="00886C0B">
        <w:t xml:space="preserve"> </w:t>
      </w:r>
      <w:r w:rsidRPr="00886C0B">
        <w:t>34 de la Convention de sauvegarde des droits de l</w:t>
      </w:r>
      <w:r w:rsidR="00886C0B" w:rsidRPr="00886C0B">
        <w:t>’</w:t>
      </w:r>
      <w:r w:rsidRPr="00886C0B">
        <w:t>homme et des libertés fondamentales (« la Convention »),</w:t>
      </w:r>
    </w:p>
    <w:p w14:paraId="2669E34C" w14:textId="77777777" w:rsidR="00A6701F" w:rsidRPr="00886C0B" w:rsidRDefault="007F4790" w:rsidP="00886C0B">
      <w:pPr>
        <w:pStyle w:val="JuPara"/>
      </w:pPr>
      <w:r w:rsidRPr="00886C0B">
        <w:t xml:space="preserve">la décision de porter la requête à la connaissance du gouvernement italien (« le Gouvernement »), représenté </w:t>
      </w:r>
      <w:r w:rsidR="00CC033B" w:rsidRPr="00886C0B">
        <w:t xml:space="preserve">par </w:t>
      </w:r>
      <w:r w:rsidRPr="00886C0B">
        <w:t>son ancien agent, M</w:t>
      </w:r>
      <w:r w:rsidRPr="00886C0B">
        <w:rPr>
          <w:vertAlign w:val="superscript"/>
        </w:rPr>
        <w:t>me</w:t>
      </w:r>
      <w:r w:rsidRPr="00886C0B">
        <w:t xml:space="preserve"> E. Spatafora, et par son coagent, M</w:t>
      </w:r>
      <w:r w:rsidRPr="00886C0B">
        <w:rPr>
          <w:vertAlign w:val="superscript"/>
        </w:rPr>
        <w:t xml:space="preserve">me </w:t>
      </w:r>
      <w:r w:rsidRPr="00886C0B">
        <w:t>P. Accardo,</w:t>
      </w:r>
    </w:p>
    <w:p w14:paraId="47419235" w14:textId="77777777" w:rsidR="00A6701F" w:rsidRPr="00886C0B" w:rsidRDefault="007F4790" w:rsidP="00886C0B">
      <w:pPr>
        <w:pStyle w:val="JuPara"/>
      </w:pPr>
      <w:r w:rsidRPr="00886C0B">
        <w:t>les observations des parties,</w:t>
      </w:r>
    </w:p>
    <w:p w14:paraId="3992CC8D" w14:textId="77777777" w:rsidR="00A6701F" w:rsidRPr="00886C0B" w:rsidRDefault="007F4790" w:rsidP="00886C0B">
      <w:pPr>
        <w:pStyle w:val="JuPara"/>
      </w:pPr>
      <w:r w:rsidRPr="00886C0B">
        <w:t>la décision par laquelle la Cour a rejeté l</w:t>
      </w:r>
      <w:r w:rsidR="00886C0B" w:rsidRPr="00886C0B">
        <w:t>’</w:t>
      </w:r>
      <w:r w:rsidRPr="00886C0B">
        <w:t>opposition du Gouvernement à l</w:t>
      </w:r>
      <w:r w:rsidR="00886C0B" w:rsidRPr="00886C0B">
        <w:t>’</w:t>
      </w:r>
      <w:r w:rsidRPr="00886C0B">
        <w:t xml:space="preserve">examen de la </w:t>
      </w:r>
      <w:r w:rsidRPr="00886C0B">
        <w:t>requête par un comité,</w:t>
      </w:r>
    </w:p>
    <w:p w14:paraId="4FBE1A22" w14:textId="77777777" w:rsidR="004344E6" w:rsidRPr="00886C0B" w:rsidRDefault="007F4790" w:rsidP="00886C0B">
      <w:pPr>
        <w:pStyle w:val="JuPara"/>
      </w:pPr>
      <w:r w:rsidRPr="00886C0B">
        <w:t xml:space="preserve">Après en avoir délibéré en chambre du conseil le </w:t>
      </w:r>
      <w:r w:rsidR="00A6701F" w:rsidRPr="00886C0B">
        <w:t>20 juin 2023</w:t>
      </w:r>
      <w:r w:rsidRPr="00886C0B">
        <w:t>,</w:t>
      </w:r>
    </w:p>
    <w:p w14:paraId="4AFD6D2E" w14:textId="77777777" w:rsidR="00876F03" w:rsidRPr="00886C0B" w:rsidRDefault="007F4790" w:rsidP="00886C0B">
      <w:pPr>
        <w:pStyle w:val="JuPara"/>
      </w:pPr>
      <w:r w:rsidRPr="00886C0B">
        <w:t>Rend l</w:t>
      </w:r>
      <w:r w:rsidR="00886C0B" w:rsidRPr="00886C0B">
        <w:t>’</w:t>
      </w:r>
      <w:r w:rsidRPr="00886C0B">
        <w:t>arrêt que voici, adopté à cette date :</w:t>
      </w:r>
    </w:p>
    <w:p w14:paraId="77526DF3" w14:textId="77777777" w:rsidR="00A6701F" w:rsidRPr="00886C0B" w:rsidRDefault="007F4790" w:rsidP="00886C0B">
      <w:pPr>
        <w:pStyle w:val="JuHHead"/>
      </w:pPr>
      <w:r w:rsidRPr="00886C0B">
        <w:t>OBJET DE L</w:t>
      </w:r>
      <w:r w:rsidR="00886C0B" w:rsidRPr="00886C0B">
        <w:t>’</w:t>
      </w:r>
      <w:r w:rsidRPr="00886C0B">
        <w:t>AFFAIRE</w:t>
      </w:r>
    </w:p>
    <w:p w14:paraId="3051073A" w14:textId="77777777" w:rsidR="00A6701F" w:rsidRPr="00886C0B" w:rsidRDefault="007F4790" w:rsidP="00886C0B">
      <w:pPr>
        <w:pStyle w:val="JuPara"/>
        <w:rPr>
          <w:rFonts w:cstheme="minorHAnsi"/>
        </w:rPr>
      </w:pPr>
      <w:r w:rsidRPr="00886C0B">
        <w:rPr>
          <w:rFonts w:cstheme="minorHAnsi"/>
        </w:rPr>
        <w:fldChar w:fldCharType="begin"/>
      </w:r>
      <w:r w:rsidRPr="00886C0B">
        <w:rPr>
          <w:rFonts w:cstheme="minorHAnsi"/>
        </w:rPr>
        <w:instrText xml:space="preserve"> SEQ level0 \*arabic \* MERGEFORMAT </w:instrText>
      </w:r>
      <w:r w:rsidRPr="00886C0B">
        <w:rPr>
          <w:rFonts w:cstheme="minorHAnsi"/>
        </w:rPr>
        <w:fldChar w:fldCharType="separate"/>
      </w:r>
      <w:r w:rsidR="00886C0B" w:rsidRPr="00886C0B">
        <w:rPr>
          <w:rFonts w:cstheme="minorHAnsi"/>
          <w:noProof/>
        </w:rPr>
        <w:t>1</w:t>
      </w:r>
      <w:r w:rsidRPr="00886C0B">
        <w:rPr>
          <w:rFonts w:cstheme="minorHAnsi"/>
        </w:rPr>
        <w:fldChar w:fldCharType="end"/>
      </w:r>
      <w:r w:rsidRPr="00886C0B">
        <w:rPr>
          <w:rFonts w:cstheme="minorHAnsi"/>
        </w:rPr>
        <w:t>.  L</w:t>
      </w:r>
      <w:r w:rsidR="00886C0B" w:rsidRPr="00886C0B">
        <w:rPr>
          <w:rFonts w:cstheme="minorHAnsi"/>
        </w:rPr>
        <w:t>’</w:t>
      </w:r>
      <w:r w:rsidRPr="00886C0B">
        <w:rPr>
          <w:rFonts w:cstheme="minorHAnsi"/>
        </w:rPr>
        <w:t>affaire concerne l</w:t>
      </w:r>
      <w:r w:rsidR="00886C0B" w:rsidRPr="00886C0B">
        <w:rPr>
          <w:rFonts w:cstheme="minorHAnsi"/>
        </w:rPr>
        <w:t>’</w:t>
      </w:r>
      <w:r w:rsidRPr="00886C0B">
        <w:rPr>
          <w:rFonts w:cstheme="minorHAnsi"/>
        </w:rPr>
        <w:t>alléguée intervention législative dans une procédure en cours, causée par l</w:t>
      </w:r>
      <w:r w:rsidR="00886C0B" w:rsidRPr="00886C0B">
        <w:rPr>
          <w:rFonts w:cstheme="minorHAnsi"/>
        </w:rPr>
        <w:t>’</w:t>
      </w:r>
      <w:r w:rsidRPr="00886C0B">
        <w:rPr>
          <w:rFonts w:cstheme="minorHAnsi"/>
        </w:rPr>
        <w:t>adoption de la loi n</w:t>
      </w:r>
      <w:r w:rsidRPr="00886C0B">
        <w:rPr>
          <w:rFonts w:cstheme="minorHAnsi"/>
          <w:vertAlign w:val="superscript"/>
        </w:rPr>
        <w:t>o</w:t>
      </w:r>
      <w:r w:rsidRPr="00886C0B">
        <w:rPr>
          <w:rFonts w:cstheme="minorHAnsi"/>
        </w:rPr>
        <w:t xml:space="preserve"> 326/2003.</w:t>
      </w:r>
    </w:p>
    <w:p w14:paraId="2F8F10F7" w14:textId="77777777" w:rsidR="00A6701F" w:rsidRPr="00886C0B" w:rsidRDefault="007F4790" w:rsidP="00886C0B">
      <w:pPr>
        <w:pStyle w:val="JuPara"/>
      </w:pPr>
      <w:r w:rsidRPr="00886C0B">
        <w:rPr>
          <w:rFonts w:cstheme="minorHAnsi"/>
        </w:rPr>
        <w:fldChar w:fldCharType="begin"/>
      </w:r>
      <w:r w:rsidRPr="00886C0B">
        <w:rPr>
          <w:rFonts w:cstheme="minorHAnsi"/>
        </w:rPr>
        <w:instrText xml:space="preserve"> SEQ level0 \*arabic \* MERGEFORMAT </w:instrText>
      </w:r>
      <w:r w:rsidRPr="00886C0B">
        <w:rPr>
          <w:rFonts w:cstheme="minorHAnsi"/>
        </w:rPr>
        <w:fldChar w:fldCharType="separate"/>
      </w:r>
      <w:r w:rsidR="00886C0B" w:rsidRPr="00886C0B">
        <w:rPr>
          <w:rFonts w:cstheme="minorHAnsi"/>
          <w:noProof/>
        </w:rPr>
        <w:t>2</w:t>
      </w:r>
      <w:r w:rsidRPr="00886C0B">
        <w:rPr>
          <w:rFonts w:cstheme="minorHAnsi"/>
        </w:rPr>
        <w:fldChar w:fldCharType="end"/>
      </w:r>
      <w:r w:rsidRPr="00886C0B">
        <w:rPr>
          <w:rFonts w:cstheme="minorHAnsi"/>
        </w:rPr>
        <w:t>.  À</w:t>
      </w:r>
      <w:r w:rsidRPr="00886C0B">
        <w:t xml:space="preserve"> partir des années 1980, les sociétés agricoles italiennes, dont la société requérante, bénéficièrent d</w:t>
      </w:r>
      <w:r w:rsidR="00886C0B" w:rsidRPr="00886C0B">
        <w:t>’</w:t>
      </w:r>
      <w:r w:rsidRPr="00886C0B">
        <w:t>une double réduction au travers d</w:t>
      </w:r>
      <w:r w:rsidR="00886C0B" w:rsidRPr="00886C0B">
        <w:t>’</w:t>
      </w:r>
      <w:r w:rsidRPr="00886C0B">
        <w:t>avantages et d</w:t>
      </w:r>
      <w:r w:rsidR="00886C0B" w:rsidRPr="00886C0B">
        <w:t>’</w:t>
      </w:r>
      <w:r w:rsidRPr="00886C0B">
        <w:t>exonérations des cotisations de sécurité sociale qu</w:t>
      </w:r>
      <w:r w:rsidR="00886C0B" w:rsidRPr="00886C0B">
        <w:t>’</w:t>
      </w:r>
      <w:r w:rsidRPr="00886C0B">
        <w:t>elles versaient pour leurs employés.</w:t>
      </w:r>
    </w:p>
    <w:p w14:paraId="1E8AA5DB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3</w:t>
      </w:r>
      <w:r w:rsidRPr="00886C0B">
        <w:fldChar w:fldCharType="end"/>
      </w:r>
      <w:r w:rsidRPr="00886C0B">
        <w:t>.  En juillet 1988, l</w:t>
      </w:r>
      <w:r w:rsidR="00886C0B" w:rsidRPr="00886C0B">
        <w:t>’</w:t>
      </w:r>
      <w:r w:rsidRPr="00886C0B">
        <w:t>Institut national de la sécurité sociale (INPS) publia une circulaire selon laquelle les avantages et les exonérations n</w:t>
      </w:r>
      <w:r w:rsidR="00886C0B" w:rsidRPr="00886C0B">
        <w:t>’</w:t>
      </w:r>
      <w:r w:rsidRPr="00886C0B">
        <w:t>étaient pas cumulatifs mais alternatifs (pour une analyse plus détaillée du contexte pertinent, voir l</w:t>
      </w:r>
      <w:r w:rsidR="00886C0B" w:rsidRPr="00886C0B">
        <w:t>’</w:t>
      </w:r>
      <w:r w:rsidRPr="00886C0B">
        <w:t xml:space="preserve">arrêt </w:t>
      </w:r>
      <w:r w:rsidRPr="00886C0B">
        <w:rPr>
          <w:i/>
        </w:rPr>
        <w:t>Azienda Agricola Silverfunghi S.a.s. et autres c. Italie</w:t>
      </w:r>
      <w:r w:rsidRPr="00886C0B">
        <w:t xml:space="preserve"> (n</w:t>
      </w:r>
      <w:r w:rsidRPr="00886C0B">
        <w:rPr>
          <w:vertAlign w:val="superscript"/>
        </w:rPr>
        <w:t>os</w:t>
      </w:r>
      <w:r w:rsidRPr="00886C0B">
        <w:t xml:space="preserve"> 48357/07 et 3 autres, §§ 5-15, 24 juin 2014).</w:t>
      </w:r>
    </w:p>
    <w:p w14:paraId="48097908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4</w:t>
      </w:r>
      <w:r w:rsidRPr="00886C0B">
        <w:fldChar w:fldCharType="end"/>
      </w:r>
      <w:r w:rsidRPr="00886C0B">
        <w:t>.  Le 24 décembre 2002, la société requérante engagea une procédure contre l</w:t>
      </w:r>
      <w:r w:rsidR="00886C0B" w:rsidRPr="00886C0B">
        <w:t>’</w:t>
      </w:r>
      <w:r w:rsidRPr="00886C0B">
        <w:t>INPS en contestant l</w:t>
      </w:r>
      <w:r w:rsidR="00886C0B" w:rsidRPr="00886C0B">
        <w:t>’</w:t>
      </w:r>
      <w:r w:rsidRPr="00886C0B">
        <w:t>application de la circulaire.</w:t>
      </w:r>
    </w:p>
    <w:p w14:paraId="2E7503C5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\* MERGEFORMAT </w:instrText>
      </w:r>
      <w:r w:rsidRPr="00886C0B">
        <w:fldChar w:fldCharType="separate"/>
      </w:r>
      <w:r w:rsidRPr="00886C0B">
        <w:rPr>
          <w:noProof/>
        </w:rPr>
        <w:t>5</w:t>
      </w:r>
      <w:r w:rsidRPr="00886C0B">
        <w:rPr>
          <w:noProof/>
        </w:rPr>
        <w:fldChar w:fldCharType="end"/>
      </w:r>
      <w:r w:rsidRPr="00886C0B">
        <w:t>.  En novembre 2003, alors que la procédure entamée par la société requérante était pendante devant le tribunal de première instance, le législateur italien adopta la loi n</w:t>
      </w:r>
      <w:r w:rsidRPr="00886C0B">
        <w:rPr>
          <w:vertAlign w:val="superscript"/>
        </w:rPr>
        <w:t>o</w:t>
      </w:r>
      <w:r w:rsidRPr="00886C0B">
        <w:t xml:space="preserve"> 326/2003, qui énonçait expressément que les avantages et les exonérations n’étaient pas cumulatifs, mais alternatifs.</w:t>
      </w:r>
    </w:p>
    <w:p w14:paraId="5A1E6A91" w14:textId="77777777" w:rsidR="00A6701F" w:rsidRPr="00886C0B" w:rsidRDefault="007F4790" w:rsidP="00886C0B">
      <w:pPr>
        <w:pStyle w:val="JuPara"/>
      </w:pPr>
      <w:r w:rsidRPr="00886C0B">
        <w:lastRenderedPageBreak/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6</w:t>
      </w:r>
      <w:r w:rsidRPr="00886C0B">
        <w:fldChar w:fldCharType="end"/>
      </w:r>
      <w:r w:rsidRPr="00886C0B">
        <w:t>.  Le tribunal rejeta la demande de la société requérante en raison de l</w:t>
      </w:r>
      <w:r w:rsidR="00886C0B" w:rsidRPr="00886C0B">
        <w:t>’</w:t>
      </w:r>
      <w:r w:rsidRPr="00886C0B">
        <w:t>application de ladite loi. Cette décision fut ensuite confirmée par la cour d</w:t>
      </w:r>
      <w:r w:rsidR="00886C0B" w:rsidRPr="00886C0B">
        <w:t>’</w:t>
      </w:r>
      <w:r w:rsidRPr="00886C0B">
        <w:t>appel de Gênes et la Cour de cassation (arrêt déposé le 16 décembre 2015).</w:t>
      </w:r>
    </w:p>
    <w:p w14:paraId="5BEB19E3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\* MERGEFORMAT </w:instrText>
      </w:r>
      <w:r w:rsidRPr="00886C0B">
        <w:fldChar w:fldCharType="separate"/>
      </w:r>
      <w:r w:rsidRPr="00886C0B">
        <w:rPr>
          <w:noProof/>
        </w:rPr>
        <w:t>7</w:t>
      </w:r>
      <w:r w:rsidRPr="00886C0B">
        <w:rPr>
          <w:noProof/>
        </w:rPr>
        <w:fldChar w:fldCharType="end"/>
      </w:r>
      <w:r w:rsidRPr="00886C0B">
        <w:t>.  La société requérante allègue que l’adoption de la loi n</w:t>
      </w:r>
      <w:r w:rsidRPr="00886C0B">
        <w:rPr>
          <w:vertAlign w:val="superscript"/>
        </w:rPr>
        <w:t>o</w:t>
      </w:r>
      <w:r w:rsidRPr="00886C0B">
        <w:t xml:space="preserve"> 326/2003 a constitué une ingérence du législateur dans une procédure judiciaire en violation de son droit à un procès équitable tel que prévu par l’article 6 § 1 de la Convention.</w:t>
      </w:r>
    </w:p>
    <w:p w14:paraId="654CF1CE" w14:textId="77777777" w:rsidR="00A6701F" w:rsidRPr="00886C0B" w:rsidRDefault="007F4790" w:rsidP="00886C0B">
      <w:pPr>
        <w:pStyle w:val="JuHHead"/>
      </w:pPr>
      <w:r w:rsidRPr="00886C0B">
        <w:t>APPR</w:t>
      </w:r>
      <w:r w:rsidRPr="00886C0B">
        <w:rPr>
          <w:rFonts w:cstheme="majorHAnsi"/>
        </w:rPr>
        <w:t>É</w:t>
      </w:r>
      <w:r w:rsidRPr="00886C0B">
        <w:t>CIATION DE LA COUR</w:t>
      </w:r>
    </w:p>
    <w:p w14:paraId="53E54B98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8</w:t>
      </w:r>
      <w:r w:rsidRPr="00886C0B">
        <w:fldChar w:fldCharType="end"/>
      </w:r>
      <w:r w:rsidRPr="00886C0B">
        <w:t>.  Constatant que la requête n</w:t>
      </w:r>
      <w:r w:rsidR="00886C0B" w:rsidRPr="00886C0B">
        <w:t>’</w:t>
      </w:r>
      <w:r w:rsidRPr="00886C0B">
        <w:t>est pas manifestement mal fondée au sens de l</w:t>
      </w:r>
      <w:r w:rsidR="00886C0B" w:rsidRPr="00886C0B">
        <w:t>’</w:t>
      </w:r>
      <w:r w:rsidRPr="00886C0B">
        <w:t>article 35 § 3 a) de la Convention et qu</w:t>
      </w:r>
      <w:r w:rsidR="00886C0B" w:rsidRPr="00886C0B">
        <w:t>’</w:t>
      </w:r>
      <w:r w:rsidRPr="00886C0B">
        <w:t>elle ne se heurte par ailleurs à aucun autre motif d</w:t>
      </w:r>
      <w:r w:rsidR="00886C0B" w:rsidRPr="00886C0B">
        <w:t>’</w:t>
      </w:r>
      <w:r w:rsidRPr="00886C0B">
        <w:t>irrecevabilité, la Cour la déclare recevable.</w:t>
      </w:r>
    </w:p>
    <w:p w14:paraId="1E91E54E" w14:textId="77777777" w:rsidR="00A6701F" w:rsidRPr="00886C0B" w:rsidRDefault="007F4790" w:rsidP="00886C0B">
      <w:pPr>
        <w:pStyle w:val="JuPara"/>
        <w:rPr>
          <w:snapToGrid w:val="0"/>
        </w:rPr>
      </w:pPr>
      <w:r w:rsidRPr="00886C0B">
        <w:fldChar w:fldCharType="begin"/>
      </w:r>
      <w:r w:rsidRPr="00886C0B">
        <w:instrText xml:space="preserve"> SEQ level0 \*arabic \* MERGEFORMAT </w:instrText>
      </w:r>
      <w:r w:rsidRPr="00886C0B">
        <w:fldChar w:fldCharType="separate"/>
      </w:r>
      <w:r w:rsidRPr="00886C0B">
        <w:rPr>
          <w:noProof/>
        </w:rPr>
        <w:t>9</w:t>
      </w:r>
      <w:r w:rsidRPr="00886C0B">
        <w:rPr>
          <w:noProof/>
        </w:rPr>
        <w:fldChar w:fldCharType="end"/>
      </w:r>
      <w:r w:rsidRPr="00886C0B">
        <w:t xml:space="preserve">.  Le droit et la pratique internes pertinents, ainsi que les principes généraux applicables, ont été résumés dans l’arrêt </w:t>
      </w:r>
      <w:r w:rsidRPr="00886C0B">
        <w:rPr>
          <w:i/>
        </w:rPr>
        <w:t>Azienda Agricola Silverfunghi S.a.s.</w:t>
      </w:r>
      <w:r w:rsidRPr="00886C0B">
        <w:t xml:space="preserve"> </w:t>
      </w:r>
      <w:r w:rsidRPr="00886C0B">
        <w:rPr>
          <w:i/>
        </w:rPr>
        <w:t>et autres</w:t>
      </w:r>
      <w:r w:rsidRPr="00886C0B">
        <w:rPr>
          <w:iCs/>
        </w:rPr>
        <w:t>, précité</w:t>
      </w:r>
      <w:r w:rsidRPr="00886C0B">
        <w:rPr>
          <w:snapToGrid w:val="0"/>
        </w:rPr>
        <w:t>.</w:t>
      </w:r>
    </w:p>
    <w:p w14:paraId="5E16A811" w14:textId="77777777" w:rsidR="00A6701F" w:rsidRPr="00886C0B" w:rsidRDefault="007F4790" w:rsidP="00886C0B">
      <w:pPr>
        <w:pStyle w:val="JuPara"/>
      </w:pPr>
      <w:r w:rsidRPr="00886C0B">
        <w:rPr>
          <w:snapToGrid w:val="0"/>
        </w:rPr>
        <w:fldChar w:fldCharType="begin"/>
      </w:r>
      <w:r w:rsidRPr="00886C0B">
        <w:rPr>
          <w:snapToGrid w:val="0"/>
        </w:rPr>
        <w:instrText xml:space="preserve"> SEQ level0 \*arabic \* MERGEFORMAT </w:instrText>
      </w:r>
      <w:r w:rsidRPr="00886C0B">
        <w:rPr>
          <w:snapToGrid w:val="0"/>
        </w:rPr>
        <w:fldChar w:fldCharType="separate"/>
      </w:r>
      <w:r w:rsidR="00886C0B" w:rsidRPr="00886C0B">
        <w:rPr>
          <w:noProof/>
          <w:snapToGrid w:val="0"/>
        </w:rPr>
        <w:t>10</w:t>
      </w:r>
      <w:r w:rsidRPr="00886C0B">
        <w:rPr>
          <w:snapToGrid w:val="0"/>
        </w:rPr>
        <w:fldChar w:fldCharType="end"/>
      </w:r>
      <w:r w:rsidRPr="00886C0B">
        <w:rPr>
          <w:snapToGrid w:val="0"/>
        </w:rPr>
        <w:t>.  </w:t>
      </w:r>
      <w:r w:rsidRPr="00886C0B">
        <w:t xml:space="preserve">La Cour </w:t>
      </w:r>
      <w:r w:rsidRPr="00886C0B">
        <w:t>rappelle que dans ledit arrêt elle avait conclu à la violation de l</w:t>
      </w:r>
      <w:r w:rsidR="00886C0B" w:rsidRPr="00886C0B">
        <w:t>’</w:t>
      </w:r>
      <w:r w:rsidRPr="00886C0B">
        <w:t>article 6 § 1 (</w:t>
      </w:r>
      <w:r w:rsidRPr="00886C0B">
        <w:rPr>
          <w:i/>
          <w:iCs/>
        </w:rPr>
        <w:t>ibidem</w:t>
      </w:r>
      <w:r w:rsidRPr="00886C0B">
        <w:t>, §§ 76-89). En l</w:t>
      </w:r>
      <w:r w:rsidR="00886C0B" w:rsidRPr="00886C0B">
        <w:t>’</w:t>
      </w:r>
      <w:r w:rsidRPr="00886C0B">
        <w:t>absence de tout argument nouveau soulevé par le Gouvernement, la Cour ne voit pas de raison de s</w:t>
      </w:r>
      <w:r w:rsidR="00886C0B" w:rsidRPr="00886C0B">
        <w:t>’</w:t>
      </w:r>
      <w:r w:rsidRPr="00886C0B">
        <w:t>écarter de la conclusion à laquelle elle était parvenue.</w:t>
      </w:r>
    </w:p>
    <w:p w14:paraId="263A8000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11</w:t>
      </w:r>
      <w:r w:rsidRPr="00886C0B">
        <w:fldChar w:fldCharType="end"/>
      </w:r>
      <w:r w:rsidRPr="00886C0B">
        <w:t>.  Partant, la Cour juge qu</w:t>
      </w:r>
      <w:r w:rsidR="00886C0B" w:rsidRPr="00886C0B">
        <w:t>’</w:t>
      </w:r>
      <w:r w:rsidRPr="00886C0B">
        <w:t>il y a eu violation de l</w:t>
      </w:r>
      <w:r w:rsidR="00886C0B" w:rsidRPr="00886C0B">
        <w:t>’</w:t>
      </w:r>
      <w:r w:rsidRPr="00886C0B">
        <w:t>article 6 § 1 de la Convention.</w:t>
      </w:r>
    </w:p>
    <w:p w14:paraId="2D4D4217" w14:textId="77777777" w:rsidR="00A6701F" w:rsidRPr="00886C0B" w:rsidRDefault="007F4790" w:rsidP="00886C0B">
      <w:pPr>
        <w:pStyle w:val="JuHHead"/>
      </w:pPr>
      <w:r w:rsidRPr="00886C0B">
        <w:t>APPLICATION DE L</w:t>
      </w:r>
      <w:r w:rsidR="00886C0B" w:rsidRPr="00886C0B">
        <w:t>’</w:t>
      </w:r>
      <w:r w:rsidRPr="00886C0B">
        <w:t>ARTICLE 41 DE LA CONVENTION</w:t>
      </w:r>
    </w:p>
    <w:p w14:paraId="07ED27C7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12</w:t>
      </w:r>
      <w:r w:rsidRPr="00886C0B">
        <w:fldChar w:fldCharType="end"/>
      </w:r>
      <w:r w:rsidRPr="00886C0B">
        <w:t>.  Au titre de dommage matériel, la société requérante demande 721 891,39 euros (EUR), correspondant au montant qu</w:t>
      </w:r>
      <w:r w:rsidR="00886C0B" w:rsidRPr="00886C0B">
        <w:t>’</w:t>
      </w:r>
      <w:r w:rsidRPr="00886C0B">
        <w:t>elle aurait perçu en l</w:t>
      </w:r>
      <w:r w:rsidR="00886C0B" w:rsidRPr="00886C0B">
        <w:t>’</w:t>
      </w:r>
      <w:r w:rsidRPr="00886C0B">
        <w:t>absence de la loi litigieuse ; elle demande en sus 439 738,73 EUR à titre de réparation pour les coûts des financements bancaires soutenus en raison de l</w:t>
      </w:r>
      <w:r w:rsidR="00886C0B" w:rsidRPr="00886C0B">
        <w:t>’</w:t>
      </w:r>
      <w:r w:rsidRPr="00886C0B">
        <w:t>indisponibilité de la somme susmentionnée. En outre, elle demande 2</w:t>
      </w:r>
      <w:r w:rsidR="00CF2300" w:rsidRPr="00886C0B">
        <w:t> </w:t>
      </w:r>
      <w:r w:rsidRPr="00886C0B">
        <w:t>000</w:t>
      </w:r>
      <w:r w:rsidR="00CF2300" w:rsidRPr="00886C0B">
        <w:t> </w:t>
      </w:r>
      <w:r w:rsidRPr="00886C0B">
        <w:t>EUR au titre de dommage moral et 54 514,42 EUR au titre des frais et dépens engagés dans le cadre de la procédure menée devant les juridictions inte</w:t>
      </w:r>
      <w:r w:rsidRPr="00886C0B">
        <w:t>rnes et devant la Cour.</w:t>
      </w:r>
    </w:p>
    <w:p w14:paraId="301BB258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13</w:t>
      </w:r>
      <w:r w:rsidRPr="00886C0B">
        <w:fldChar w:fldCharType="end"/>
      </w:r>
      <w:r w:rsidRPr="00886C0B">
        <w:t>.  Le Gouvernement conteste les sommes réclamées par la société requérante. Il a fourni une note de l</w:t>
      </w:r>
      <w:r w:rsidR="00886C0B" w:rsidRPr="00886C0B">
        <w:t>’</w:t>
      </w:r>
      <w:r w:rsidRPr="00886C0B">
        <w:t>INPS indiquant que, en l</w:t>
      </w:r>
      <w:r w:rsidR="00886C0B" w:rsidRPr="00886C0B">
        <w:t>’</w:t>
      </w:r>
      <w:r w:rsidRPr="00886C0B">
        <w:t>absence de l</w:t>
      </w:r>
      <w:r w:rsidR="00886C0B" w:rsidRPr="00886C0B">
        <w:t>’</w:t>
      </w:r>
      <w:r w:rsidRPr="00886C0B">
        <w:t>adoption de la loi n</w:t>
      </w:r>
      <w:r w:rsidRPr="00886C0B">
        <w:rPr>
          <w:vertAlign w:val="superscript"/>
        </w:rPr>
        <w:t>o</w:t>
      </w:r>
      <w:r w:rsidRPr="00886C0B">
        <w:t xml:space="preserve"> 326/2003, la requérante aurait perçu 60 563,92</w:t>
      </w:r>
      <w:r w:rsidR="00CF2300" w:rsidRPr="00886C0B">
        <w:t> </w:t>
      </w:r>
      <w:r w:rsidRPr="00886C0B">
        <w:t>EUR. Ce montant a été calculé sur la base du critère adopté par les tribunaux internes dans un certain nombre d</w:t>
      </w:r>
      <w:r w:rsidR="00886C0B" w:rsidRPr="00886C0B">
        <w:t>’</w:t>
      </w:r>
      <w:r w:rsidRPr="00886C0B">
        <w:t>affaires analogues.</w:t>
      </w:r>
    </w:p>
    <w:p w14:paraId="3195A486" w14:textId="77777777" w:rsidR="00A6701F" w:rsidRPr="00886C0B" w:rsidRDefault="007F4790" w:rsidP="00886C0B">
      <w:pPr>
        <w:pStyle w:val="JuPara"/>
        <w:rPr>
          <w:rFonts w:asciiTheme="majorHAnsi" w:hAnsiTheme="majorHAnsi" w:cstheme="majorHAnsi"/>
        </w:rPr>
      </w:pPr>
      <w:r w:rsidRPr="00886C0B">
        <w:fldChar w:fldCharType="begin"/>
      </w:r>
      <w:r w:rsidRPr="00886C0B">
        <w:instrText xml:space="preserve"> SEQ level0 \*arabic \* MERGEFORMAT </w:instrText>
      </w:r>
      <w:r w:rsidRPr="00886C0B">
        <w:fldChar w:fldCharType="separate"/>
      </w:r>
      <w:r w:rsidRPr="00886C0B">
        <w:rPr>
          <w:noProof/>
        </w:rPr>
        <w:t>14</w:t>
      </w:r>
      <w:r w:rsidRPr="00886C0B">
        <w:rPr>
          <w:noProof/>
        </w:rPr>
        <w:fldChar w:fldCharType="end"/>
      </w:r>
      <w:r w:rsidRPr="00886C0B">
        <w:t xml:space="preserve">.  La Cour constate qu’il ressort des observations des parties qu’il n’existait pas une jurisprudence bien-établie au niveau national concernant les critères pour </w:t>
      </w:r>
      <w:r w:rsidRPr="00886C0B">
        <w:rPr>
          <w:rFonts w:asciiTheme="majorHAnsi" w:hAnsiTheme="majorHAnsi" w:cstheme="majorHAnsi"/>
        </w:rPr>
        <w:t>calculer les montants au</w:t>
      </w:r>
      <w:r w:rsidR="00CF2300" w:rsidRPr="00886C0B">
        <w:rPr>
          <w:rFonts w:asciiTheme="majorHAnsi" w:hAnsiTheme="majorHAnsi" w:cstheme="majorHAnsi"/>
        </w:rPr>
        <w:t>x</w:t>
      </w:r>
      <w:r w:rsidRPr="00886C0B">
        <w:rPr>
          <w:rFonts w:asciiTheme="majorHAnsi" w:hAnsiTheme="majorHAnsi" w:cstheme="majorHAnsi"/>
        </w:rPr>
        <w:t>quel</w:t>
      </w:r>
      <w:r w:rsidR="00CF2300" w:rsidRPr="00886C0B">
        <w:rPr>
          <w:rFonts w:asciiTheme="majorHAnsi" w:hAnsiTheme="majorHAnsi" w:cstheme="majorHAnsi"/>
        </w:rPr>
        <w:t>s</w:t>
      </w:r>
      <w:r w:rsidRPr="00886C0B">
        <w:rPr>
          <w:rFonts w:asciiTheme="majorHAnsi" w:hAnsiTheme="majorHAnsi" w:cstheme="majorHAnsi"/>
        </w:rPr>
        <w:t xml:space="preserve"> les sociétés agricoles avaient droit avant l’entrée en vigueur de la loi n</w:t>
      </w:r>
      <w:r w:rsidRPr="00886C0B">
        <w:rPr>
          <w:rFonts w:asciiTheme="majorHAnsi" w:hAnsiTheme="majorHAnsi" w:cstheme="majorHAnsi"/>
          <w:vertAlign w:val="superscript"/>
        </w:rPr>
        <w:t>o</w:t>
      </w:r>
      <w:r w:rsidRPr="00886C0B">
        <w:rPr>
          <w:rFonts w:asciiTheme="majorHAnsi" w:hAnsiTheme="majorHAnsi" w:cstheme="majorHAnsi"/>
        </w:rPr>
        <w:t xml:space="preserve"> 326/2003 (</w:t>
      </w:r>
      <w:r w:rsidRPr="00886C0B">
        <w:rPr>
          <w:rFonts w:asciiTheme="majorHAnsi" w:hAnsiTheme="majorHAnsi" w:cstheme="majorHAnsi"/>
          <w:i/>
          <w:iCs/>
        </w:rPr>
        <w:t xml:space="preserve">Frubona Cooperativa Frutticoltori Bolzano-Nalles s.c.a. et autres c. Italie </w:t>
      </w:r>
      <w:r w:rsidRPr="00886C0B">
        <w:rPr>
          <w:rFonts w:asciiTheme="majorHAnsi" w:hAnsiTheme="majorHAnsi" w:cstheme="majorHAnsi"/>
        </w:rPr>
        <w:t>[comité], n</w:t>
      </w:r>
      <w:r w:rsidRPr="00886C0B">
        <w:rPr>
          <w:rFonts w:asciiTheme="majorHAnsi" w:hAnsiTheme="majorHAnsi" w:cstheme="majorHAnsi"/>
          <w:vertAlign w:val="superscript"/>
        </w:rPr>
        <w:t>os</w:t>
      </w:r>
      <w:r w:rsidRPr="00886C0B">
        <w:rPr>
          <w:rFonts w:asciiTheme="majorHAnsi" w:hAnsiTheme="majorHAnsi" w:cstheme="majorHAnsi"/>
        </w:rPr>
        <w:t xml:space="preserve"> 4180/08 et 49</w:t>
      </w:r>
      <w:r w:rsidR="00CF2300" w:rsidRPr="00886C0B">
        <w:rPr>
          <w:rFonts w:asciiTheme="majorHAnsi" w:hAnsiTheme="majorHAnsi" w:cstheme="majorHAnsi"/>
        </w:rPr>
        <w:t> </w:t>
      </w:r>
      <w:r w:rsidRPr="00886C0B">
        <w:rPr>
          <w:rFonts w:asciiTheme="majorHAnsi" w:hAnsiTheme="majorHAnsi" w:cstheme="majorHAnsi"/>
        </w:rPr>
        <w:t xml:space="preserve">autres, § 29, 7 </w:t>
      </w:r>
      <w:r w:rsidRPr="00886C0B">
        <w:rPr>
          <w:rFonts w:asciiTheme="majorHAnsi" w:hAnsiTheme="majorHAnsi" w:cstheme="majorHAnsi"/>
        </w:rPr>
        <w:t>décembre 2017).</w:t>
      </w:r>
    </w:p>
    <w:p w14:paraId="54D57841" w14:textId="77777777" w:rsidR="00A6701F" w:rsidRPr="00886C0B" w:rsidRDefault="007F4790" w:rsidP="00886C0B">
      <w:pPr>
        <w:pStyle w:val="JuPara"/>
        <w:rPr>
          <w:rFonts w:asciiTheme="majorHAnsi" w:hAnsiTheme="majorHAnsi" w:cstheme="majorHAnsi"/>
          <w:color w:val="000000"/>
          <w:sz w:val="17"/>
          <w:szCs w:val="17"/>
        </w:rPr>
      </w:pPr>
      <w:r w:rsidRPr="00886C0B">
        <w:rPr>
          <w:rFonts w:asciiTheme="majorHAnsi" w:hAnsiTheme="majorHAnsi" w:cstheme="majorHAnsi"/>
        </w:rPr>
        <w:lastRenderedPageBreak/>
        <w:fldChar w:fldCharType="begin"/>
      </w:r>
      <w:r w:rsidRPr="00886C0B">
        <w:rPr>
          <w:rFonts w:asciiTheme="majorHAnsi" w:hAnsiTheme="majorHAnsi" w:cstheme="majorHAnsi"/>
        </w:rPr>
        <w:instrText xml:space="preserve"> SEQ level0 \*arabic \* MERGEFORMAT </w:instrText>
      </w:r>
      <w:r w:rsidRPr="00886C0B">
        <w:rPr>
          <w:rFonts w:asciiTheme="majorHAnsi" w:hAnsiTheme="majorHAnsi" w:cstheme="majorHAnsi"/>
        </w:rPr>
        <w:fldChar w:fldCharType="separate"/>
      </w:r>
      <w:r w:rsidR="00886C0B" w:rsidRPr="00886C0B">
        <w:rPr>
          <w:rFonts w:asciiTheme="majorHAnsi" w:hAnsiTheme="majorHAnsi" w:cstheme="majorHAnsi"/>
          <w:noProof/>
        </w:rPr>
        <w:t>15</w:t>
      </w:r>
      <w:r w:rsidRPr="00886C0B">
        <w:rPr>
          <w:rFonts w:asciiTheme="majorHAnsi" w:hAnsiTheme="majorHAnsi" w:cstheme="majorHAnsi"/>
        </w:rPr>
        <w:fldChar w:fldCharType="end"/>
      </w:r>
      <w:r w:rsidRPr="00886C0B">
        <w:rPr>
          <w:rFonts w:asciiTheme="majorHAnsi" w:hAnsiTheme="majorHAnsi" w:cstheme="majorHAnsi"/>
        </w:rPr>
        <w:t xml:space="preserve">.  La Cour estime que, à la lumière </w:t>
      </w:r>
      <w:r w:rsidRPr="00886C0B">
        <w:rPr>
          <w:rFonts w:asciiTheme="majorHAnsi" w:hAnsiTheme="majorHAnsi" w:cstheme="majorHAnsi"/>
          <w:color w:val="000000"/>
        </w:rPr>
        <w:t>du fait que l</w:t>
      </w:r>
      <w:r w:rsidR="00886C0B" w:rsidRPr="00886C0B">
        <w:rPr>
          <w:rFonts w:asciiTheme="majorHAnsi" w:hAnsiTheme="majorHAnsi" w:cstheme="majorHAnsi"/>
          <w:color w:val="000000"/>
        </w:rPr>
        <w:t>’</w:t>
      </w:r>
      <w:r w:rsidRPr="00886C0B">
        <w:rPr>
          <w:rFonts w:asciiTheme="majorHAnsi" w:hAnsiTheme="majorHAnsi" w:cstheme="majorHAnsi"/>
          <w:color w:val="000000"/>
        </w:rPr>
        <w:t>application de la loi n</w:t>
      </w:r>
      <w:r w:rsidRPr="00886C0B">
        <w:rPr>
          <w:rFonts w:asciiTheme="majorHAnsi" w:hAnsiTheme="majorHAnsi" w:cstheme="majorHAnsi"/>
          <w:color w:val="000000"/>
          <w:vertAlign w:val="superscript"/>
        </w:rPr>
        <w:t>o</w:t>
      </w:r>
      <w:r w:rsidR="00CF2300" w:rsidRPr="00886C0B">
        <w:rPr>
          <w:rFonts w:asciiTheme="majorHAnsi" w:hAnsiTheme="majorHAnsi" w:cstheme="majorHAnsi"/>
          <w:color w:val="000000"/>
        </w:rPr>
        <w:t> </w:t>
      </w:r>
      <w:r w:rsidRPr="00886C0B">
        <w:rPr>
          <w:rFonts w:asciiTheme="majorHAnsi" w:hAnsiTheme="majorHAnsi" w:cstheme="majorHAnsi"/>
          <w:color w:val="000000"/>
        </w:rPr>
        <w:t>326/2003 a été la cause unique empêchant les tribunaux de décider sur les critères à adopter, il faut prendre en compte le montant indiqué par l</w:t>
      </w:r>
      <w:r w:rsidR="00886C0B" w:rsidRPr="00886C0B">
        <w:rPr>
          <w:rFonts w:asciiTheme="majorHAnsi" w:hAnsiTheme="majorHAnsi" w:cstheme="majorHAnsi"/>
          <w:color w:val="000000"/>
        </w:rPr>
        <w:t>’</w:t>
      </w:r>
      <w:r w:rsidRPr="00886C0B">
        <w:rPr>
          <w:rFonts w:asciiTheme="majorHAnsi" w:hAnsiTheme="majorHAnsi" w:cstheme="majorHAnsi"/>
          <w:color w:val="000000"/>
        </w:rPr>
        <w:t>expert judiciaire nommé au cours de la procédure de première instance.</w:t>
      </w:r>
    </w:p>
    <w:p w14:paraId="1C732BB5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\* MERGEFORMAT </w:instrText>
      </w:r>
      <w:r w:rsidRPr="00886C0B">
        <w:fldChar w:fldCharType="separate"/>
      </w:r>
      <w:r w:rsidRPr="00886C0B">
        <w:rPr>
          <w:noProof/>
        </w:rPr>
        <w:t>16</w:t>
      </w:r>
      <w:r w:rsidRPr="00886C0B">
        <w:rPr>
          <w:noProof/>
        </w:rPr>
        <w:fldChar w:fldCharType="end"/>
      </w:r>
      <w:r w:rsidRPr="00886C0B">
        <w:t xml:space="preserve">.  Quant à la question concernant la détermination du préjudice à dédommager sur le total que la société </w:t>
      </w:r>
      <w:r w:rsidRPr="00886C0B">
        <w:t>requérante aurait pu obtenir, la Cour considère que, conformément à l’approche adoptée dans l’affaire</w:t>
      </w:r>
      <w:r w:rsidR="00CF2300" w:rsidRPr="00886C0B">
        <w:t xml:space="preserve"> </w:t>
      </w:r>
      <w:r w:rsidRPr="00886C0B">
        <w:rPr>
          <w:i/>
          <w:iCs/>
        </w:rPr>
        <w:t>Azienda</w:t>
      </w:r>
      <w:r w:rsidR="00CF2300" w:rsidRPr="00886C0B">
        <w:rPr>
          <w:i/>
          <w:iCs/>
        </w:rPr>
        <w:t xml:space="preserve"> </w:t>
      </w:r>
      <w:r w:rsidRPr="00886C0B">
        <w:rPr>
          <w:i/>
          <w:iCs/>
        </w:rPr>
        <w:t>Agricola Silverfunghi S.a.s. et autres</w:t>
      </w:r>
      <w:r w:rsidRPr="00886C0B">
        <w:t> (précité, § 112), le préjudice subi par les requérantes relève uniquement de la « perte de chance ».</w:t>
      </w:r>
    </w:p>
    <w:p w14:paraId="09608D48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\* MERGEFORMAT </w:instrText>
      </w:r>
      <w:r w:rsidRPr="00886C0B">
        <w:fldChar w:fldCharType="separate"/>
      </w:r>
      <w:r w:rsidRPr="00886C0B">
        <w:rPr>
          <w:noProof/>
        </w:rPr>
        <w:t>17</w:t>
      </w:r>
      <w:r w:rsidRPr="00886C0B">
        <w:rPr>
          <w:noProof/>
        </w:rPr>
        <w:fldChar w:fldCharType="end"/>
      </w:r>
      <w:r w:rsidRPr="00886C0B">
        <w:t>.  La Cour note que, dans</w:t>
      </w:r>
      <w:r w:rsidR="00CF2300" w:rsidRPr="00886C0B">
        <w:t xml:space="preserve"> </w:t>
      </w:r>
      <w:r w:rsidRPr="00886C0B">
        <w:t>le cas d’espèce, la loi litigieuse a été appliqué</w:t>
      </w:r>
      <w:r w:rsidR="00CF2300" w:rsidRPr="00886C0B">
        <w:t>e</w:t>
      </w:r>
      <w:r w:rsidRPr="00886C0B">
        <w:t xml:space="preserve"> par le juge de première instance (voir </w:t>
      </w:r>
      <w:r w:rsidRPr="00886C0B">
        <w:rPr>
          <w:i/>
          <w:iCs/>
        </w:rPr>
        <w:t>Frubona Cooperativa Frutticoltori Bolzano-Nalles s.c.a. et autres</w:t>
      </w:r>
      <w:r w:rsidRPr="00886C0B">
        <w:t>, précité, § 32). La Cour décide donc d’accorder en équité à la société requérante le montant de 144 380 EUR.</w:t>
      </w:r>
    </w:p>
    <w:p w14:paraId="5818C46B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\* MERGEFORMAT </w:instrText>
      </w:r>
      <w:r w:rsidRPr="00886C0B">
        <w:fldChar w:fldCharType="separate"/>
      </w:r>
      <w:r w:rsidRPr="00886C0B">
        <w:rPr>
          <w:noProof/>
        </w:rPr>
        <w:t>18</w:t>
      </w:r>
      <w:r w:rsidRPr="00886C0B">
        <w:rPr>
          <w:noProof/>
        </w:rPr>
        <w:fldChar w:fldCharType="end"/>
      </w:r>
      <w:r w:rsidRPr="00886C0B">
        <w:t>.  En revanche, la Cour ne distingue aucun lien de causalité entre la violation constatée et les coûts des financements bancaires soutenus par la société requérante.</w:t>
      </w:r>
    </w:p>
    <w:p w14:paraId="49341EBA" w14:textId="77777777" w:rsidR="00A6701F" w:rsidRPr="00886C0B" w:rsidRDefault="007F4790" w:rsidP="00886C0B">
      <w:pPr>
        <w:ind w:firstLine="284"/>
        <w:jc w:val="both"/>
        <w:rPr>
          <w:rFonts w:asciiTheme="majorHAnsi" w:hAnsiTheme="majorHAnsi" w:cstheme="majorHAnsi"/>
          <w:color w:val="000000"/>
          <w:sz w:val="17"/>
          <w:szCs w:val="17"/>
        </w:rPr>
      </w:pPr>
      <w:r w:rsidRPr="00886C0B">
        <w:rPr>
          <w:rFonts w:asciiTheme="majorHAnsi" w:hAnsiTheme="majorHAnsi" w:cstheme="majorHAnsi"/>
          <w:color w:val="000000"/>
        </w:rPr>
        <w:fldChar w:fldCharType="begin"/>
      </w:r>
      <w:r w:rsidRPr="00886C0B">
        <w:rPr>
          <w:rFonts w:asciiTheme="majorHAnsi" w:hAnsiTheme="majorHAnsi" w:cstheme="majorHAnsi"/>
          <w:color w:val="000000"/>
        </w:rPr>
        <w:instrText xml:space="preserve"> SEQ level0 \*arabic \* MERGEFORMAT </w:instrText>
      </w:r>
      <w:r w:rsidRPr="00886C0B">
        <w:rPr>
          <w:rFonts w:asciiTheme="majorHAnsi" w:hAnsiTheme="majorHAnsi" w:cstheme="majorHAnsi"/>
          <w:color w:val="000000"/>
        </w:rPr>
        <w:fldChar w:fldCharType="separate"/>
      </w:r>
      <w:r w:rsidR="00886C0B" w:rsidRPr="00886C0B">
        <w:rPr>
          <w:rFonts w:asciiTheme="majorHAnsi" w:hAnsiTheme="majorHAnsi" w:cstheme="majorHAnsi"/>
          <w:noProof/>
          <w:color w:val="000000"/>
        </w:rPr>
        <w:t>19</w:t>
      </w:r>
      <w:r w:rsidRPr="00886C0B">
        <w:rPr>
          <w:rFonts w:asciiTheme="majorHAnsi" w:hAnsiTheme="majorHAnsi" w:cstheme="majorHAnsi"/>
          <w:color w:val="000000"/>
        </w:rPr>
        <w:fldChar w:fldCharType="end"/>
      </w:r>
      <w:r w:rsidRPr="00886C0B">
        <w:rPr>
          <w:rFonts w:asciiTheme="majorHAnsi" w:hAnsiTheme="majorHAnsi" w:cstheme="majorHAnsi"/>
          <w:color w:val="000000"/>
        </w:rPr>
        <w:t>.  En outre, la Cour estime qu</w:t>
      </w:r>
      <w:r w:rsidR="00886C0B" w:rsidRPr="00886C0B">
        <w:rPr>
          <w:rFonts w:asciiTheme="majorHAnsi" w:hAnsiTheme="majorHAnsi" w:cstheme="majorHAnsi"/>
          <w:color w:val="000000"/>
        </w:rPr>
        <w:t>’</w:t>
      </w:r>
      <w:r w:rsidRPr="00886C0B">
        <w:rPr>
          <w:rFonts w:asciiTheme="majorHAnsi" w:hAnsiTheme="majorHAnsi" w:cstheme="majorHAnsi"/>
          <w:color w:val="000000"/>
        </w:rPr>
        <w:t>il y a lieu d</w:t>
      </w:r>
      <w:r w:rsidR="00886C0B" w:rsidRPr="00886C0B">
        <w:rPr>
          <w:rFonts w:asciiTheme="majorHAnsi" w:hAnsiTheme="majorHAnsi" w:cstheme="majorHAnsi"/>
          <w:color w:val="000000"/>
        </w:rPr>
        <w:t>’</w:t>
      </w:r>
      <w:r w:rsidRPr="00886C0B">
        <w:rPr>
          <w:rFonts w:asciiTheme="majorHAnsi" w:hAnsiTheme="majorHAnsi" w:cstheme="majorHAnsi"/>
          <w:color w:val="000000"/>
        </w:rPr>
        <w:t>indemniser la société requérante du préjudice moral qu</w:t>
      </w:r>
      <w:r w:rsidR="00886C0B" w:rsidRPr="00886C0B">
        <w:rPr>
          <w:rFonts w:asciiTheme="majorHAnsi" w:hAnsiTheme="majorHAnsi" w:cstheme="majorHAnsi"/>
          <w:color w:val="000000"/>
        </w:rPr>
        <w:t>’</w:t>
      </w:r>
      <w:r w:rsidRPr="00886C0B">
        <w:rPr>
          <w:rFonts w:asciiTheme="majorHAnsi" w:hAnsiTheme="majorHAnsi" w:cstheme="majorHAnsi"/>
          <w:color w:val="000000"/>
        </w:rPr>
        <w:t>elle a subi à hauteur de 900 EUR</w:t>
      </w:r>
      <w:r w:rsidRPr="00886C0B">
        <w:t>, plus tout montant pouvant être dû sur cette somme à titre d</w:t>
      </w:r>
      <w:r w:rsidR="00886C0B" w:rsidRPr="00886C0B">
        <w:t>’</w:t>
      </w:r>
      <w:r w:rsidRPr="00886C0B">
        <w:t>impôt.</w:t>
      </w:r>
    </w:p>
    <w:p w14:paraId="6F8BA7F3" w14:textId="77777777" w:rsidR="00A6701F" w:rsidRPr="00886C0B" w:rsidRDefault="007F4790" w:rsidP="00886C0B">
      <w:pPr>
        <w:pStyle w:val="JuPara"/>
      </w:pPr>
      <w:r w:rsidRPr="00886C0B">
        <w:fldChar w:fldCharType="begin"/>
      </w:r>
      <w:r w:rsidRPr="00886C0B">
        <w:instrText xml:space="preserve"> SEQ level0 \*arabic </w:instrText>
      </w:r>
      <w:r w:rsidRPr="00886C0B">
        <w:fldChar w:fldCharType="separate"/>
      </w:r>
      <w:r w:rsidR="00886C0B" w:rsidRPr="00886C0B">
        <w:rPr>
          <w:noProof/>
        </w:rPr>
        <w:t>20</w:t>
      </w:r>
      <w:r w:rsidRPr="00886C0B">
        <w:fldChar w:fldCharType="end"/>
      </w:r>
      <w:r w:rsidRPr="00886C0B">
        <w:t>.  Compte tenu des documents en sa possession et de sa jurisprudence, la Cour juge raisonnable d</w:t>
      </w:r>
      <w:r w:rsidR="00886C0B" w:rsidRPr="00886C0B">
        <w:t>’</w:t>
      </w:r>
      <w:r w:rsidRPr="00886C0B">
        <w:t>allouer à la société requérante la somme de 22</w:t>
      </w:r>
      <w:r w:rsidR="003A748A" w:rsidRPr="00886C0B">
        <w:t> </w:t>
      </w:r>
      <w:r w:rsidRPr="00886C0B">
        <w:t>800</w:t>
      </w:r>
      <w:r w:rsidR="003A748A" w:rsidRPr="00886C0B">
        <w:t> </w:t>
      </w:r>
      <w:r w:rsidRPr="00886C0B">
        <w:t>EUR pour frais et dépens devant les tribunaux nationaux et de 500</w:t>
      </w:r>
      <w:r w:rsidR="003A748A" w:rsidRPr="00886C0B">
        <w:t> </w:t>
      </w:r>
      <w:r w:rsidRPr="00886C0B">
        <w:t>EUR pour frais et dépens devant la Cour, plus tout montant pouvant être dû sur cette somme à titre d</w:t>
      </w:r>
      <w:r w:rsidR="00886C0B" w:rsidRPr="00886C0B">
        <w:t>’</w:t>
      </w:r>
      <w:r w:rsidRPr="00886C0B">
        <w:t>impôt par la société requérante.</w:t>
      </w:r>
    </w:p>
    <w:p w14:paraId="5BB70212" w14:textId="77777777" w:rsidR="00A6701F" w:rsidRPr="00886C0B" w:rsidRDefault="007F4790" w:rsidP="00886C0B">
      <w:pPr>
        <w:pStyle w:val="JuHHead"/>
      </w:pPr>
      <w:r w:rsidRPr="00886C0B">
        <w:t>PAR CES MOTIFS, LA COUR, À L</w:t>
      </w:r>
      <w:r w:rsidR="00886C0B" w:rsidRPr="00886C0B">
        <w:t>’</w:t>
      </w:r>
      <w:r w:rsidRPr="00886C0B">
        <w:t>UNANIMITÉ,</w:t>
      </w:r>
    </w:p>
    <w:p w14:paraId="16D762DB" w14:textId="77777777" w:rsidR="00A6701F" w:rsidRPr="00886C0B" w:rsidRDefault="007F4790" w:rsidP="00886C0B">
      <w:pPr>
        <w:pStyle w:val="JuList"/>
        <w:numPr>
          <w:ilvl w:val="0"/>
          <w:numId w:val="10"/>
        </w:numPr>
        <w:rPr>
          <w:lang w:val="fr-FR"/>
        </w:rPr>
      </w:pPr>
      <w:r w:rsidRPr="00886C0B">
        <w:rPr>
          <w:i/>
          <w:lang w:val="fr-FR"/>
        </w:rPr>
        <w:t>Déclare</w:t>
      </w:r>
      <w:r w:rsidRPr="00886C0B">
        <w:rPr>
          <w:lang w:val="fr-FR"/>
        </w:rPr>
        <w:t xml:space="preserve"> la requête recevable ;</w:t>
      </w:r>
    </w:p>
    <w:p w14:paraId="5FF817C4" w14:textId="77777777" w:rsidR="00A6701F" w:rsidRPr="00886C0B" w:rsidRDefault="007F4790" w:rsidP="00886C0B">
      <w:pPr>
        <w:pStyle w:val="JuList"/>
        <w:numPr>
          <w:ilvl w:val="0"/>
          <w:numId w:val="10"/>
        </w:numPr>
        <w:rPr>
          <w:lang w:val="fr-FR"/>
        </w:rPr>
      </w:pPr>
      <w:r w:rsidRPr="00886C0B">
        <w:rPr>
          <w:i/>
          <w:lang w:val="fr-FR"/>
        </w:rPr>
        <w:t>Dit</w:t>
      </w:r>
      <w:r w:rsidRPr="00886C0B">
        <w:rPr>
          <w:lang w:val="fr-FR"/>
        </w:rPr>
        <w:t xml:space="preserve"> qu</w:t>
      </w:r>
      <w:r w:rsidR="00886C0B" w:rsidRPr="00886C0B">
        <w:rPr>
          <w:lang w:val="fr-FR"/>
        </w:rPr>
        <w:t>’</w:t>
      </w:r>
      <w:r w:rsidRPr="00886C0B">
        <w:rPr>
          <w:lang w:val="fr-FR"/>
        </w:rPr>
        <w:t>il y a eu violation de l</w:t>
      </w:r>
      <w:r w:rsidR="00886C0B" w:rsidRPr="00886C0B">
        <w:rPr>
          <w:lang w:val="fr-FR"/>
        </w:rPr>
        <w:t>’</w:t>
      </w:r>
      <w:r w:rsidRPr="00886C0B">
        <w:rPr>
          <w:lang w:val="fr-FR"/>
        </w:rPr>
        <w:t>article 6 § 1 de la Convention ;</w:t>
      </w:r>
    </w:p>
    <w:p w14:paraId="4BB49A7C" w14:textId="77777777" w:rsidR="00A6701F" w:rsidRPr="00886C0B" w:rsidRDefault="007F4790" w:rsidP="00886C0B">
      <w:pPr>
        <w:pStyle w:val="JuList"/>
        <w:numPr>
          <w:ilvl w:val="0"/>
          <w:numId w:val="10"/>
        </w:numPr>
        <w:rPr>
          <w:lang w:val="fr-FR"/>
        </w:rPr>
      </w:pPr>
      <w:r w:rsidRPr="00886C0B">
        <w:rPr>
          <w:i/>
          <w:lang w:val="fr-FR"/>
        </w:rPr>
        <w:t>Dit</w:t>
      </w:r>
      <w:r w:rsidRPr="00886C0B">
        <w:rPr>
          <w:lang w:val="fr-FR"/>
        </w:rPr>
        <w:t>,</w:t>
      </w:r>
    </w:p>
    <w:p w14:paraId="6A97708B" w14:textId="77777777" w:rsidR="00A6701F" w:rsidRPr="00886C0B" w:rsidRDefault="007F4790" w:rsidP="00886C0B">
      <w:pPr>
        <w:pStyle w:val="JuLista"/>
        <w:numPr>
          <w:ilvl w:val="1"/>
          <w:numId w:val="10"/>
        </w:numPr>
      </w:pPr>
      <w:r w:rsidRPr="00886C0B">
        <w:t>que l</w:t>
      </w:r>
      <w:r w:rsidR="00886C0B" w:rsidRPr="00886C0B">
        <w:t>’</w:t>
      </w:r>
      <w:r w:rsidRPr="00886C0B">
        <w:t>État défendeur doit verser à la société requérante, dans un délai de trois mois les sommes suivantes</w:t>
      </w:r>
      <w:r w:rsidR="00323B85" w:rsidRPr="00886C0B">
        <w:t> </w:t>
      </w:r>
      <w:r w:rsidRPr="00886C0B">
        <w:t>:</w:t>
      </w:r>
    </w:p>
    <w:p w14:paraId="4EC57B1B" w14:textId="77777777" w:rsidR="00A6701F" w:rsidRPr="00886C0B" w:rsidRDefault="007F4790" w:rsidP="00886C0B">
      <w:pPr>
        <w:pStyle w:val="JuListi"/>
        <w:numPr>
          <w:ilvl w:val="2"/>
          <w:numId w:val="10"/>
        </w:numPr>
      </w:pPr>
      <w:r w:rsidRPr="00886C0B">
        <w:rPr>
          <w:rFonts w:asciiTheme="majorHAnsi" w:hAnsiTheme="majorHAnsi" w:cstheme="majorHAnsi"/>
          <w:color w:val="000000"/>
        </w:rPr>
        <w:t>144 380 E</w:t>
      </w:r>
      <w:r w:rsidRPr="00886C0B">
        <w:t>UR (cent quarante-quatre mille trois cent quatre-vingts euros), plus tout montant pouvant être dû sur cette somme à titre d</w:t>
      </w:r>
      <w:r w:rsidR="00886C0B" w:rsidRPr="00886C0B">
        <w:t>’</w:t>
      </w:r>
      <w:r w:rsidRPr="00886C0B">
        <w:t>impôt, pour dommage matériel ;</w:t>
      </w:r>
    </w:p>
    <w:p w14:paraId="0910A942" w14:textId="77777777" w:rsidR="00A6701F" w:rsidRPr="00886C0B" w:rsidRDefault="007F4790" w:rsidP="00886C0B">
      <w:pPr>
        <w:pStyle w:val="JuListi"/>
        <w:numPr>
          <w:ilvl w:val="2"/>
          <w:numId w:val="10"/>
        </w:numPr>
      </w:pPr>
      <w:r w:rsidRPr="00886C0B">
        <w:t>900 EUR (neuf cents euros), plus tout montant pouvant être dû sur cette somme à titre d</w:t>
      </w:r>
      <w:r w:rsidR="00886C0B" w:rsidRPr="00886C0B">
        <w:t>’</w:t>
      </w:r>
      <w:r w:rsidRPr="00886C0B">
        <w:t>impôt, pour dommage moral ;</w:t>
      </w:r>
    </w:p>
    <w:p w14:paraId="5F39F269" w14:textId="77777777" w:rsidR="00A6701F" w:rsidRPr="00886C0B" w:rsidRDefault="007F4790" w:rsidP="00886C0B">
      <w:pPr>
        <w:pStyle w:val="JuListi"/>
        <w:numPr>
          <w:ilvl w:val="2"/>
          <w:numId w:val="10"/>
        </w:numPr>
      </w:pPr>
      <w:r w:rsidRPr="00886C0B">
        <w:t>23 300 EUR (vingt-trois mille trois cents euros), plus tout montant pouvant être dû sur cette somme par la société requérante à titre d</w:t>
      </w:r>
      <w:r w:rsidR="00886C0B" w:rsidRPr="00886C0B">
        <w:t>’</w:t>
      </w:r>
      <w:r w:rsidRPr="00886C0B">
        <w:t>impôt, pour frais et dépens ;</w:t>
      </w:r>
    </w:p>
    <w:p w14:paraId="4D159124" w14:textId="77777777" w:rsidR="00A6701F" w:rsidRPr="00886C0B" w:rsidRDefault="007F4790" w:rsidP="00886C0B">
      <w:pPr>
        <w:pStyle w:val="JuLista"/>
        <w:keepNext/>
        <w:keepLines/>
        <w:numPr>
          <w:ilvl w:val="1"/>
          <w:numId w:val="10"/>
        </w:numPr>
      </w:pPr>
      <w:r w:rsidRPr="00886C0B">
        <w:lastRenderedPageBreak/>
        <w:t>qu</w:t>
      </w:r>
      <w:r w:rsidR="00886C0B" w:rsidRPr="00886C0B">
        <w:t>’</w:t>
      </w:r>
      <w:r w:rsidRPr="00886C0B">
        <w:t>à compter de l</w:t>
      </w:r>
      <w:r w:rsidR="00886C0B" w:rsidRPr="00886C0B">
        <w:t>’</w:t>
      </w:r>
      <w:r w:rsidRPr="00886C0B">
        <w:t>expiration dudit délai et jusqu</w:t>
      </w:r>
      <w:r w:rsidR="00886C0B" w:rsidRPr="00886C0B">
        <w:t>’</w:t>
      </w:r>
      <w:r w:rsidRPr="00886C0B">
        <w:t>au versement, ces montants seront à majorer d</w:t>
      </w:r>
      <w:r w:rsidR="00886C0B" w:rsidRPr="00886C0B">
        <w:t>’</w:t>
      </w:r>
      <w:r w:rsidRPr="00886C0B">
        <w:t>un intérêt simple à un taux égal à celui de la facilité de prêt marginal de la Banque centrale européenne applicable pendant cette période, augmenté de trois points de pourcentage ;</w:t>
      </w:r>
    </w:p>
    <w:p w14:paraId="4F6DFA9A" w14:textId="77777777" w:rsidR="00C643EB" w:rsidRPr="00886C0B" w:rsidRDefault="007F4790" w:rsidP="00886C0B">
      <w:pPr>
        <w:pStyle w:val="JuList"/>
        <w:numPr>
          <w:ilvl w:val="0"/>
          <w:numId w:val="10"/>
        </w:numPr>
        <w:rPr>
          <w:lang w:val="fr-FR"/>
        </w:rPr>
      </w:pPr>
      <w:r w:rsidRPr="00886C0B">
        <w:rPr>
          <w:i/>
          <w:lang w:val="fr-FR"/>
        </w:rPr>
        <w:t>Rejette</w:t>
      </w:r>
      <w:r w:rsidRPr="00886C0B">
        <w:rPr>
          <w:lang w:val="fr-FR"/>
        </w:rPr>
        <w:t xml:space="preserve"> le surplus de la demande de satisfaction équitable.</w:t>
      </w:r>
    </w:p>
    <w:p w14:paraId="4933CEB2" w14:textId="77777777" w:rsidR="00893F30" w:rsidRPr="00886C0B" w:rsidRDefault="007F4790" w:rsidP="00886C0B">
      <w:pPr>
        <w:pStyle w:val="JuParaLast"/>
      </w:pPr>
      <w:r w:rsidRPr="00886C0B">
        <w:t xml:space="preserve">Fait en français, puis communiqué par écrit le </w:t>
      </w:r>
      <w:r w:rsidR="00A6701F" w:rsidRPr="00886C0B">
        <w:t>13 juillet 2023</w:t>
      </w:r>
      <w:r w:rsidRPr="00886C0B">
        <w:t>, en application de l</w:t>
      </w:r>
      <w:r w:rsidR="00886C0B" w:rsidRPr="00886C0B">
        <w:t>’</w:t>
      </w:r>
      <w:r w:rsidRPr="00886C0B">
        <w:t>article 77 §§ 2 et</w:t>
      </w:r>
      <w:r w:rsidR="003A748A" w:rsidRPr="00886C0B">
        <w:t xml:space="preserve"> </w:t>
      </w:r>
      <w:r w:rsidRPr="00886C0B">
        <w:t>3 du règlement.</w:t>
      </w:r>
    </w:p>
    <w:p w14:paraId="638D59F4" w14:textId="77777777" w:rsidR="00F94531" w:rsidRPr="00886C0B" w:rsidRDefault="007F4790" w:rsidP="00886C0B">
      <w:pPr>
        <w:pStyle w:val="JuSigned"/>
        <w:keepNext/>
        <w:keepLines/>
        <w:rPr>
          <w:color w:val="F8F8F8" w:themeColor="background2"/>
        </w:rPr>
      </w:pPr>
      <w:r w:rsidRPr="00886C0B">
        <w:rPr>
          <w:color w:val="F8F8F8" w:themeColor="background2"/>
        </w:rPr>
        <w:tab/>
      </w:r>
    </w:p>
    <w:p w14:paraId="40C0D6EF" w14:textId="77777777" w:rsidR="00876F03" w:rsidRPr="00886C0B" w:rsidRDefault="007F4790" w:rsidP="00886C0B">
      <w:pPr>
        <w:pStyle w:val="JuSigned"/>
      </w:pPr>
      <w:r w:rsidRPr="00886C0B">
        <w:tab/>
      </w:r>
      <w:r w:rsidR="00A6701F" w:rsidRPr="00886C0B">
        <w:rPr>
          <w:noProof/>
        </w:rPr>
        <w:t>Liv Tigerstedt</w:t>
      </w:r>
      <w:r w:rsidR="004344E6" w:rsidRPr="00886C0B">
        <w:tab/>
      </w:r>
      <w:r w:rsidR="00A6701F" w:rsidRPr="00886C0B">
        <w:rPr>
          <w:noProof/>
        </w:rPr>
        <w:t>Péter Paczolay</w:t>
      </w:r>
      <w:r w:rsidR="004344E6" w:rsidRPr="00886C0B">
        <w:br/>
      </w:r>
      <w:r w:rsidR="004344E6" w:rsidRPr="00886C0B">
        <w:tab/>
      </w:r>
      <w:r w:rsidR="00A6701F" w:rsidRPr="00886C0B">
        <w:rPr>
          <w:noProof/>
        </w:rPr>
        <w:t>Greffière adjointe</w:t>
      </w:r>
      <w:r w:rsidR="009E0E2A" w:rsidRPr="00886C0B">
        <w:rPr>
          <w:iCs/>
        </w:rPr>
        <w:tab/>
      </w:r>
      <w:r w:rsidR="00A6701F" w:rsidRPr="00886C0B">
        <w:rPr>
          <w:noProof/>
        </w:rPr>
        <w:t>Président</w:t>
      </w:r>
    </w:p>
    <w:sectPr w:rsidR="00876F03" w:rsidRPr="00886C0B" w:rsidSect="00CC033B">
      <w:headerReference w:type="even" r:id="rId13"/>
      <w:headerReference w:type="default" r:id="rId14"/>
      <w:footerReference w:type="default" r:id="rId15"/>
      <w:footnotePr>
        <w:numRestart w:val="eachSect"/>
      </w:footnotePr>
      <w:pgSz w:w="11906" w:h="16838" w:code="9"/>
      <w:pgMar w:top="2274" w:right="2274" w:bottom="2274" w:left="2274" w:header="141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5B98" w14:textId="77777777" w:rsidR="007F4790" w:rsidRDefault="007F4790">
      <w:r>
        <w:separator/>
      </w:r>
    </w:p>
  </w:endnote>
  <w:endnote w:type="continuationSeparator" w:id="0">
    <w:p w14:paraId="5B81446D" w14:textId="77777777" w:rsidR="007F4790" w:rsidRDefault="007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F9F" w14:textId="77777777" w:rsidR="00954AD6" w:rsidRPr="00A6701F" w:rsidRDefault="007F4790" w:rsidP="00954AD6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80F1" w14:textId="77777777" w:rsidR="00A6701F" w:rsidRPr="00150BFA" w:rsidRDefault="007F4790" w:rsidP="0020718E">
    <w:pPr>
      <w:jc w:val="center"/>
    </w:pPr>
    <w:r>
      <w:rPr>
        <w:noProof/>
        <w:lang w:val="en-US"/>
      </w:rPr>
      <w:drawing>
        <wp:inline distT="0" distB="0" distL="0" distR="0" wp14:anchorId="60F99727" wp14:editId="6228A1D6">
          <wp:extent cx="771525" cy="619125"/>
          <wp:effectExtent l="0" t="0" r="9525" b="9525"/>
          <wp:docPr id="70" name="Picture 7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C766B" w14:textId="77777777" w:rsidR="00F22D5C" w:rsidRPr="00A6701F" w:rsidRDefault="00F22D5C" w:rsidP="00F27D13">
    <w:pPr>
      <w:pStyle w:val="Pidipagina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86CD" w14:textId="77777777" w:rsidR="00A6701F" w:rsidRPr="00150BFA" w:rsidRDefault="007F4790" w:rsidP="0020718E">
    <w:pPr>
      <w:jc w:val="center"/>
    </w:pPr>
    <w:r>
      <w:rPr>
        <w:noProof/>
        <w:lang w:val="en-US"/>
      </w:rPr>
      <w:drawing>
        <wp:inline distT="0" distB="0" distL="0" distR="0" wp14:anchorId="54A6A502" wp14:editId="18151BE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22F01" w14:textId="77777777" w:rsidR="00902601" w:rsidRPr="00A6701F" w:rsidRDefault="00902601" w:rsidP="00902601">
    <w:pPr>
      <w:pStyle w:val="Pidipagina"/>
      <w:jc w:val="cen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C62" w14:textId="77777777" w:rsidR="00F22D5C" w:rsidRPr="00D01935" w:rsidRDefault="007F4790" w:rsidP="00662882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5AE0" w14:textId="77777777" w:rsidR="007F4790" w:rsidRDefault="007F4790">
      <w:r>
        <w:separator/>
      </w:r>
    </w:p>
  </w:footnote>
  <w:footnote w:type="continuationSeparator" w:id="0">
    <w:p w14:paraId="4E382078" w14:textId="77777777" w:rsidR="007F4790" w:rsidRDefault="007F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C8A" w14:textId="77777777" w:rsidR="00A6701F" w:rsidRPr="00A45145" w:rsidRDefault="007F4790" w:rsidP="00A45145">
    <w:pPr>
      <w:jc w:val="center"/>
    </w:pPr>
    <w:r>
      <w:rPr>
        <w:noProof/>
        <w:lang w:val="en-US"/>
      </w:rPr>
      <w:drawing>
        <wp:inline distT="0" distB="0" distL="0" distR="0" wp14:anchorId="54FE9C13" wp14:editId="46B676D5">
          <wp:extent cx="2962275" cy="1219200"/>
          <wp:effectExtent l="0" t="0" r="9525" b="0"/>
          <wp:docPr id="67" name="Picture 6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36835" w14:textId="77777777" w:rsidR="00F22D5C" w:rsidRPr="00A6701F" w:rsidRDefault="00F22D5C" w:rsidP="009840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BDD0" w14:textId="77777777" w:rsidR="00A6701F" w:rsidRPr="00A45145" w:rsidRDefault="007F4790" w:rsidP="00A45145">
    <w:pPr>
      <w:jc w:val="center"/>
    </w:pPr>
    <w:r>
      <w:rPr>
        <w:noProof/>
        <w:lang w:val="en-US"/>
      </w:rPr>
      <w:drawing>
        <wp:inline distT="0" distB="0" distL="0" distR="0" wp14:anchorId="4BD57372" wp14:editId="56BABB0C">
          <wp:extent cx="2962275" cy="1219200"/>
          <wp:effectExtent l="0" t="0" r="9525" b="0"/>
          <wp:docPr id="60" name="Picture 6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D9DEC" w14:textId="77777777" w:rsidR="00902601" w:rsidRPr="00A6701F" w:rsidRDefault="00902601" w:rsidP="00902601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8EF1" w14:textId="77777777" w:rsidR="00F22D5C" w:rsidRPr="00A6701F" w:rsidRDefault="007F4790" w:rsidP="00A21624">
    <w:pPr>
      <w:pStyle w:val="JuHeader"/>
      <w:rPr>
        <w:lang w:val="it-IT"/>
      </w:rPr>
    </w:pPr>
    <w:r w:rsidRPr="00A6701F">
      <w:rPr>
        <w:lang w:val="it-IT"/>
      </w:rPr>
      <w:t>ARRÊT</w:t>
    </w:r>
    <w:r w:rsidR="00256F45" w:rsidRPr="00A6701F">
      <w:rPr>
        <w:lang w:val="it-IT"/>
      </w:rPr>
      <w:t xml:space="preserve"> </w:t>
    </w:r>
    <w:r w:rsidR="00A6701F" w:rsidRPr="00A6701F">
      <w:rPr>
        <w:lang w:val="it-IT"/>
      </w:rPr>
      <w:t>L'ORTOFRUTTICOLA SOCIET</w:t>
    </w:r>
    <w:r w:rsidR="00CC033B">
      <w:rPr>
        <w:lang w:val="it-IT"/>
      </w:rPr>
      <w:t>À</w:t>
    </w:r>
    <w:r w:rsidR="00A6701F" w:rsidRPr="00A6701F">
      <w:rPr>
        <w:lang w:val="it-IT"/>
      </w:rPr>
      <w:t xml:space="preserve"> COOPERATIVA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A9C6" w14:textId="77777777" w:rsidR="00F22D5C" w:rsidRPr="00A6701F" w:rsidRDefault="007F4790" w:rsidP="00662882">
    <w:pPr>
      <w:pStyle w:val="JuHeader"/>
      <w:rPr>
        <w:lang w:val="it-IT"/>
      </w:rPr>
    </w:pPr>
    <w:r w:rsidRPr="00A6701F">
      <w:rPr>
        <w:lang w:val="it-IT"/>
      </w:rPr>
      <w:t>ARRÊT</w:t>
    </w:r>
    <w:r w:rsidR="00162967" w:rsidRPr="00A6701F">
      <w:rPr>
        <w:lang w:val="it-IT"/>
      </w:rPr>
      <w:t xml:space="preserve"> </w:t>
    </w:r>
    <w:r w:rsidR="00A6701F" w:rsidRPr="00A6701F">
      <w:rPr>
        <w:lang w:val="it-IT"/>
      </w:rPr>
      <w:t>L'ORTOFRUTTICOLA SOCIET</w:t>
    </w:r>
    <w:r w:rsidR="00CC033B">
      <w:rPr>
        <w:lang w:val="it-IT"/>
      </w:rPr>
      <w:t>À</w:t>
    </w:r>
    <w:r w:rsidR="00A6701F" w:rsidRPr="00A6701F">
      <w:rPr>
        <w:lang w:val="it-IT"/>
      </w:rPr>
      <w:t xml:space="preserve"> COOPERATIVA c. ITALIE</w:t>
    </w:r>
    <w:r w:rsidR="007971FF" w:rsidRPr="00A6701F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28722A74"/>
    <w:numStyleLink w:val="ECHRA1StyleList"/>
  </w:abstractNum>
  <w:abstractNum w:abstractNumId="10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28722A74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4EEC14F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FF47B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5E6D50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98A2DA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390455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ABA3AA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6C00D0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F8C3B1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05A49A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B75D23"/>
    <w:multiLevelType w:val="hybridMultilevel"/>
    <w:tmpl w:val="4FEED0BA"/>
    <w:lvl w:ilvl="0" w:tplc="74BCAD3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7CAEAC0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710422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686B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1A8E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2821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E096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6085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645E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C54F2"/>
    <w:multiLevelType w:val="multilevel"/>
    <w:tmpl w:val="28722A74"/>
    <w:numStyleLink w:val="ECHRA1StyleList"/>
  </w:abstractNum>
  <w:abstractNum w:abstractNumId="20" w15:restartNumberingAfterBreak="0">
    <w:nsid w:val="74605EAE"/>
    <w:multiLevelType w:val="multilevel"/>
    <w:tmpl w:val="28722A74"/>
    <w:numStyleLink w:val="ECHRA1StyleList"/>
  </w:abstractNum>
  <w:num w:numId="1" w16cid:durableId="999625946">
    <w:abstractNumId w:val="14"/>
  </w:num>
  <w:num w:numId="2" w16cid:durableId="1114053148">
    <w:abstractNumId w:val="12"/>
  </w:num>
  <w:num w:numId="3" w16cid:durableId="1431121948">
    <w:abstractNumId w:val="11"/>
  </w:num>
  <w:num w:numId="4" w16cid:durableId="457182223">
    <w:abstractNumId w:val="15"/>
  </w:num>
  <w:num w:numId="5" w16cid:durableId="922186025">
    <w:abstractNumId w:val="13"/>
  </w:num>
  <w:num w:numId="6" w16cid:durableId="1437217632">
    <w:abstractNumId w:val="16"/>
  </w:num>
  <w:num w:numId="7" w16cid:durableId="1342046557">
    <w:abstractNumId w:val="15"/>
  </w:num>
  <w:num w:numId="8" w16cid:durableId="1562592529">
    <w:abstractNumId w:val="16"/>
  </w:num>
  <w:num w:numId="9" w16cid:durableId="164590284">
    <w:abstractNumId w:val="10"/>
  </w:num>
  <w:num w:numId="10" w16cid:durableId="778985224">
    <w:abstractNumId w:val="19"/>
  </w:num>
  <w:num w:numId="11" w16cid:durableId="920024600">
    <w:abstractNumId w:val="17"/>
  </w:num>
  <w:num w:numId="12" w16cid:durableId="898707849">
    <w:abstractNumId w:val="7"/>
  </w:num>
  <w:num w:numId="13" w16cid:durableId="1533959594">
    <w:abstractNumId w:val="6"/>
  </w:num>
  <w:num w:numId="14" w16cid:durableId="1687445508">
    <w:abstractNumId w:val="5"/>
  </w:num>
  <w:num w:numId="15" w16cid:durableId="84159200">
    <w:abstractNumId w:val="4"/>
  </w:num>
  <w:num w:numId="16" w16cid:durableId="20667251">
    <w:abstractNumId w:val="8"/>
  </w:num>
  <w:num w:numId="17" w16cid:durableId="1536044245">
    <w:abstractNumId w:val="3"/>
  </w:num>
  <w:num w:numId="18" w16cid:durableId="251084457">
    <w:abstractNumId w:val="2"/>
  </w:num>
  <w:num w:numId="19" w16cid:durableId="1487359188">
    <w:abstractNumId w:val="1"/>
  </w:num>
  <w:num w:numId="20" w16cid:durableId="1440568362">
    <w:abstractNumId w:val="0"/>
  </w:num>
  <w:num w:numId="21" w16cid:durableId="81295764">
    <w:abstractNumId w:val="9"/>
  </w:num>
  <w:num w:numId="22" w16cid:durableId="1520923566">
    <w:abstractNumId w:val="20"/>
  </w:num>
  <w:num w:numId="23" w16cid:durableId="4693283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1"/>
    <w:docVar w:name="NBEMMDOC" w:val="0"/>
    <w:docVar w:name="Plural" w:val="0"/>
    <w:docVar w:name="SignForeName" w:val="0"/>
    <w:docVar w:name="SndCaseNumber" w:val="Error!Nodocumentvariablesupplied."/>
  </w:docVars>
  <w:rsids>
    <w:rsidRoot w:val="00A6701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51015"/>
    <w:rsid w:val="000602DF"/>
    <w:rsid w:val="00061B05"/>
    <w:rsid w:val="000632D5"/>
    <w:rsid w:val="000644EE"/>
    <w:rsid w:val="000675A9"/>
    <w:rsid w:val="00080ECE"/>
    <w:rsid w:val="00086E4E"/>
    <w:rsid w:val="00086E70"/>
    <w:rsid w:val="0009057B"/>
    <w:rsid w:val="000925AD"/>
    <w:rsid w:val="000A20EB"/>
    <w:rsid w:val="000A24EB"/>
    <w:rsid w:val="000B5D17"/>
    <w:rsid w:val="000B6923"/>
    <w:rsid w:val="000C5F3C"/>
    <w:rsid w:val="000C6DCC"/>
    <w:rsid w:val="000D04C2"/>
    <w:rsid w:val="000D47AA"/>
    <w:rsid w:val="000D721F"/>
    <w:rsid w:val="000E069B"/>
    <w:rsid w:val="000E0E82"/>
    <w:rsid w:val="000E1DC5"/>
    <w:rsid w:val="000E223F"/>
    <w:rsid w:val="000E4AC8"/>
    <w:rsid w:val="000E7D45"/>
    <w:rsid w:val="000F1305"/>
    <w:rsid w:val="000F19D8"/>
    <w:rsid w:val="000F7851"/>
    <w:rsid w:val="00104E23"/>
    <w:rsid w:val="00111B0C"/>
    <w:rsid w:val="00117CD2"/>
    <w:rsid w:val="00120D6C"/>
    <w:rsid w:val="001257EC"/>
    <w:rsid w:val="00133D33"/>
    <w:rsid w:val="00134D64"/>
    <w:rsid w:val="00135A30"/>
    <w:rsid w:val="0013612C"/>
    <w:rsid w:val="00137FF6"/>
    <w:rsid w:val="00141650"/>
    <w:rsid w:val="00150BFA"/>
    <w:rsid w:val="001625AD"/>
    <w:rsid w:val="00162967"/>
    <w:rsid w:val="00162A12"/>
    <w:rsid w:val="00166530"/>
    <w:rsid w:val="00181508"/>
    <w:rsid w:val="001832BD"/>
    <w:rsid w:val="001943B5"/>
    <w:rsid w:val="00194C5B"/>
    <w:rsid w:val="00195134"/>
    <w:rsid w:val="001A145B"/>
    <w:rsid w:val="001A2684"/>
    <w:rsid w:val="001A674C"/>
    <w:rsid w:val="001B3B24"/>
    <w:rsid w:val="001C0F98"/>
    <w:rsid w:val="001C2A42"/>
    <w:rsid w:val="001C2B5C"/>
    <w:rsid w:val="001C6A7B"/>
    <w:rsid w:val="001D63ED"/>
    <w:rsid w:val="001D7348"/>
    <w:rsid w:val="001E035B"/>
    <w:rsid w:val="001E0961"/>
    <w:rsid w:val="001E3EAE"/>
    <w:rsid w:val="001E6F32"/>
    <w:rsid w:val="001F2145"/>
    <w:rsid w:val="001F39F4"/>
    <w:rsid w:val="001F6262"/>
    <w:rsid w:val="001F67B0"/>
    <w:rsid w:val="001F7B3D"/>
    <w:rsid w:val="00204F24"/>
    <w:rsid w:val="00205F9F"/>
    <w:rsid w:val="0020718E"/>
    <w:rsid w:val="00210338"/>
    <w:rsid w:val="002115FC"/>
    <w:rsid w:val="00212184"/>
    <w:rsid w:val="0021423C"/>
    <w:rsid w:val="00230D00"/>
    <w:rsid w:val="00231364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546AE"/>
    <w:rsid w:val="00256F45"/>
    <w:rsid w:val="00260C03"/>
    <w:rsid w:val="0026540E"/>
    <w:rsid w:val="00275123"/>
    <w:rsid w:val="00282240"/>
    <w:rsid w:val="002948AD"/>
    <w:rsid w:val="0029739C"/>
    <w:rsid w:val="002A01CC"/>
    <w:rsid w:val="002A61B1"/>
    <w:rsid w:val="002A663C"/>
    <w:rsid w:val="002B444B"/>
    <w:rsid w:val="002B5887"/>
    <w:rsid w:val="002B7E83"/>
    <w:rsid w:val="002C0E27"/>
    <w:rsid w:val="002C3040"/>
    <w:rsid w:val="002D022D"/>
    <w:rsid w:val="002D24BB"/>
    <w:rsid w:val="002F29AA"/>
    <w:rsid w:val="002F2AF7"/>
    <w:rsid w:val="002F7E1C"/>
    <w:rsid w:val="00301A75"/>
    <w:rsid w:val="00302F70"/>
    <w:rsid w:val="0030336F"/>
    <w:rsid w:val="0030375E"/>
    <w:rsid w:val="0030660C"/>
    <w:rsid w:val="00312A30"/>
    <w:rsid w:val="00316323"/>
    <w:rsid w:val="00320F72"/>
    <w:rsid w:val="00323B85"/>
    <w:rsid w:val="0032463E"/>
    <w:rsid w:val="00326224"/>
    <w:rsid w:val="00337EE4"/>
    <w:rsid w:val="00340FFD"/>
    <w:rsid w:val="003471AF"/>
    <w:rsid w:val="003506B1"/>
    <w:rsid w:val="00356AC7"/>
    <w:rsid w:val="003609FA"/>
    <w:rsid w:val="00361D45"/>
    <w:rsid w:val="00367B4F"/>
    <w:rsid w:val="003710C8"/>
    <w:rsid w:val="003722CE"/>
    <w:rsid w:val="003750BE"/>
    <w:rsid w:val="00387B9D"/>
    <w:rsid w:val="00387DFB"/>
    <w:rsid w:val="0039364F"/>
    <w:rsid w:val="00396686"/>
    <w:rsid w:val="0039778E"/>
    <w:rsid w:val="003A37B8"/>
    <w:rsid w:val="003A748A"/>
    <w:rsid w:val="003B4941"/>
    <w:rsid w:val="003B6A2E"/>
    <w:rsid w:val="003C5714"/>
    <w:rsid w:val="003C6B9F"/>
    <w:rsid w:val="003C6E2A"/>
    <w:rsid w:val="003D0299"/>
    <w:rsid w:val="003D32BE"/>
    <w:rsid w:val="003E3FE3"/>
    <w:rsid w:val="003E6D80"/>
    <w:rsid w:val="003E7A9C"/>
    <w:rsid w:val="003F05FA"/>
    <w:rsid w:val="003F244A"/>
    <w:rsid w:val="003F30B8"/>
    <w:rsid w:val="003F4C45"/>
    <w:rsid w:val="003F5F7B"/>
    <w:rsid w:val="003F6E9E"/>
    <w:rsid w:val="003F7D64"/>
    <w:rsid w:val="00401F7D"/>
    <w:rsid w:val="0041177B"/>
    <w:rsid w:val="00414300"/>
    <w:rsid w:val="00425C67"/>
    <w:rsid w:val="00427E7A"/>
    <w:rsid w:val="00431C07"/>
    <w:rsid w:val="004344E6"/>
    <w:rsid w:val="00436C49"/>
    <w:rsid w:val="0044318F"/>
    <w:rsid w:val="00445366"/>
    <w:rsid w:val="00447F5B"/>
    <w:rsid w:val="00456549"/>
    <w:rsid w:val="004604A0"/>
    <w:rsid w:val="00461DB0"/>
    <w:rsid w:val="00463926"/>
    <w:rsid w:val="00464C9A"/>
    <w:rsid w:val="00474F3D"/>
    <w:rsid w:val="00477E3A"/>
    <w:rsid w:val="00483E5F"/>
    <w:rsid w:val="00484EA4"/>
    <w:rsid w:val="00485FF9"/>
    <w:rsid w:val="004907F0"/>
    <w:rsid w:val="0049140B"/>
    <w:rsid w:val="004923A5"/>
    <w:rsid w:val="00496197"/>
    <w:rsid w:val="00496BFB"/>
    <w:rsid w:val="004A15C7"/>
    <w:rsid w:val="004B013B"/>
    <w:rsid w:val="004B112B"/>
    <w:rsid w:val="004C01E4"/>
    <w:rsid w:val="004C086C"/>
    <w:rsid w:val="004C14C4"/>
    <w:rsid w:val="004C1A3F"/>
    <w:rsid w:val="004C1F56"/>
    <w:rsid w:val="004C27BC"/>
    <w:rsid w:val="004D15F3"/>
    <w:rsid w:val="004D51C3"/>
    <w:rsid w:val="004D5311"/>
    <w:rsid w:val="004D5DCC"/>
    <w:rsid w:val="004E22F1"/>
    <w:rsid w:val="004F10AF"/>
    <w:rsid w:val="004F11A4"/>
    <w:rsid w:val="004F2389"/>
    <w:rsid w:val="004F304D"/>
    <w:rsid w:val="004F61BE"/>
    <w:rsid w:val="004F66B1"/>
    <w:rsid w:val="00510D77"/>
    <w:rsid w:val="00511C07"/>
    <w:rsid w:val="00516967"/>
    <w:rsid w:val="00516B59"/>
    <w:rsid w:val="005173A6"/>
    <w:rsid w:val="00520BAA"/>
    <w:rsid w:val="00522AB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6E2B"/>
    <w:rsid w:val="0057271C"/>
    <w:rsid w:val="00572845"/>
    <w:rsid w:val="00576986"/>
    <w:rsid w:val="005864BF"/>
    <w:rsid w:val="00592772"/>
    <w:rsid w:val="00592C8D"/>
    <w:rsid w:val="00594B9A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53F"/>
    <w:rsid w:val="005C3EE8"/>
    <w:rsid w:val="005C5494"/>
    <w:rsid w:val="005D34F9"/>
    <w:rsid w:val="005D4190"/>
    <w:rsid w:val="005D67A3"/>
    <w:rsid w:val="005E2988"/>
    <w:rsid w:val="005E3085"/>
    <w:rsid w:val="005F51E1"/>
    <w:rsid w:val="00610F7A"/>
    <w:rsid w:val="00611C80"/>
    <w:rsid w:val="00613B21"/>
    <w:rsid w:val="00620692"/>
    <w:rsid w:val="006242CA"/>
    <w:rsid w:val="00627507"/>
    <w:rsid w:val="00633717"/>
    <w:rsid w:val="006344E1"/>
    <w:rsid w:val="006361FD"/>
    <w:rsid w:val="006545C4"/>
    <w:rsid w:val="00654B7E"/>
    <w:rsid w:val="00661971"/>
    <w:rsid w:val="00661CE8"/>
    <w:rsid w:val="006623D9"/>
    <w:rsid w:val="00662882"/>
    <w:rsid w:val="0066550C"/>
    <w:rsid w:val="006716F2"/>
    <w:rsid w:val="006779BD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475E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172B0"/>
    <w:rsid w:val="00723580"/>
    <w:rsid w:val="00723755"/>
    <w:rsid w:val="00724AE2"/>
    <w:rsid w:val="00730B5C"/>
    <w:rsid w:val="0073136C"/>
    <w:rsid w:val="00731F0F"/>
    <w:rsid w:val="00733250"/>
    <w:rsid w:val="00735951"/>
    <w:rsid w:val="00741404"/>
    <w:rsid w:val="007449E5"/>
    <w:rsid w:val="00747FF0"/>
    <w:rsid w:val="007612E2"/>
    <w:rsid w:val="00764D4E"/>
    <w:rsid w:val="00765A1F"/>
    <w:rsid w:val="00775B6D"/>
    <w:rsid w:val="00776D68"/>
    <w:rsid w:val="007850EE"/>
    <w:rsid w:val="00785B95"/>
    <w:rsid w:val="00790AAD"/>
    <w:rsid w:val="00790E96"/>
    <w:rsid w:val="00793366"/>
    <w:rsid w:val="00794E99"/>
    <w:rsid w:val="007971FF"/>
    <w:rsid w:val="007A407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4790"/>
    <w:rsid w:val="00801300"/>
    <w:rsid w:val="00802C64"/>
    <w:rsid w:val="0080523A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3D9C"/>
    <w:rsid w:val="008748BE"/>
    <w:rsid w:val="008754AB"/>
    <w:rsid w:val="00876A02"/>
    <w:rsid w:val="00876F03"/>
    <w:rsid w:val="0088060C"/>
    <w:rsid w:val="00884261"/>
    <w:rsid w:val="00886C0B"/>
    <w:rsid w:val="00891107"/>
    <w:rsid w:val="00893576"/>
    <w:rsid w:val="00893E73"/>
    <w:rsid w:val="00893F30"/>
    <w:rsid w:val="00895F5B"/>
    <w:rsid w:val="008B02DC"/>
    <w:rsid w:val="008B2698"/>
    <w:rsid w:val="008B57CE"/>
    <w:rsid w:val="008C26DE"/>
    <w:rsid w:val="008D2225"/>
    <w:rsid w:val="008D4752"/>
    <w:rsid w:val="008E271C"/>
    <w:rsid w:val="008E418E"/>
    <w:rsid w:val="008E5BC6"/>
    <w:rsid w:val="008E6A25"/>
    <w:rsid w:val="008E7A1B"/>
    <w:rsid w:val="008F5193"/>
    <w:rsid w:val="009013A7"/>
    <w:rsid w:val="009017FB"/>
    <w:rsid w:val="009017FC"/>
    <w:rsid w:val="009020E3"/>
    <w:rsid w:val="00902601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375A5"/>
    <w:rsid w:val="00941747"/>
    <w:rsid w:val="00941EFB"/>
    <w:rsid w:val="00947AFB"/>
    <w:rsid w:val="00951D7D"/>
    <w:rsid w:val="00954AD6"/>
    <w:rsid w:val="009630C7"/>
    <w:rsid w:val="00972B55"/>
    <w:rsid w:val="009743B7"/>
    <w:rsid w:val="00975039"/>
    <w:rsid w:val="00977227"/>
    <w:rsid w:val="0098228B"/>
    <w:rsid w:val="009828DA"/>
    <w:rsid w:val="009840A2"/>
    <w:rsid w:val="00985BAB"/>
    <w:rsid w:val="009B1B5F"/>
    <w:rsid w:val="009B6673"/>
    <w:rsid w:val="009C191B"/>
    <w:rsid w:val="009C2BD6"/>
    <w:rsid w:val="009D2F52"/>
    <w:rsid w:val="009E0E2A"/>
    <w:rsid w:val="009E16D2"/>
    <w:rsid w:val="009E1F32"/>
    <w:rsid w:val="009E776C"/>
    <w:rsid w:val="00A00672"/>
    <w:rsid w:val="00A065BF"/>
    <w:rsid w:val="00A132AD"/>
    <w:rsid w:val="00A1726E"/>
    <w:rsid w:val="00A17EF6"/>
    <w:rsid w:val="00A204CF"/>
    <w:rsid w:val="00A21624"/>
    <w:rsid w:val="00A23D49"/>
    <w:rsid w:val="00A27004"/>
    <w:rsid w:val="00A30C29"/>
    <w:rsid w:val="00A34DD6"/>
    <w:rsid w:val="00A36819"/>
    <w:rsid w:val="00A36989"/>
    <w:rsid w:val="00A43628"/>
    <w:rsid w:val="00A43AA3"/>
    <w:rsid w:val="00A45145"/>
    <w:rsid w:val="00A4783F"/>
    <w:rsid w:val="00A54192"/>
    <w:rsid w:val="00A6035E"/>
    <w:rsid w:val="00A6144C"/>
    <w:rsid w:val="00A66617"/>
    <w:rsid w:val="00A6701F"/>
    <w:rsid w:val="00A671F8"/>
    <w:rsid w:val="00A673A4"/>
    <w:rsid w:val="00A724AE"/>
    <w:rsid w:val="00A73329"/>
    <w:rsid w:val="00A75785"/>
    <w:rsid w:val="00A8094B"/>
    <w:rsid w:val="00A82359"/>
    <w:rsid w:val="00A865D2"/>
    <w:rsid w:val="00A94C20"/>
    <w:rsid w:val="00AA227F"/>
    <w:rsid w:val="00AA33C7"/>
    <w:rsid w:val="00AA3BC7"/>
    <w:rsid w:val="00AA754A"/>
    <w:rsid w:val="00AB099E"/>
    <w:rsid w:val="00AB4328"/>
    <w:rsid w:val="00AB5628"/>
    <w:rsid w:val="00AC00C2"/>
    <w:rsid w:val="00AC5872"/>
    <w:rsid w:val="00AD2473"/>
    <w:rsid w:val="00AE0A2E"/>
    <w:rsid w:val="00AE354C"/>
    <w:rsid w:val="00AF4B07"/>
    <w:rsid w:val="00AF6186"/>
    <w:rsid w:val="00AF7A3A"/>
    <w:rsid w:val="00B009F4"/>
    <w:rsid w:val="00B160DB"/>
    <w:rsid w:val="00B20836"/>
    <w:rsid w:val="00B235BB"/>
    <w:rsid w:val="00B25320"/>
    <w:rsid w:val="00B25943"/>
    <w:rsid w:val="00B25D3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751F4"/>
    <w:rsid w:val="00B8086C"/>
    <w:rsid w:val="00B840F7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5CA3"/>
    <w:rsid w:val="00BB68EA"/>
    <w:rsid w:val="00BC1C27"/>
    <w:rsid w:val="00BC1F03"/>
    <w:rsid w:val="00BC6BBF"/>
    <w:rsid w:val="00BD1572"/>
    <w:rsid w:val="00BE14E3"/>
    <w:rsid w:val="00BE3774"/>
    <w:rsid w:val="00BE41E5"/>
    <w:rsid w:val="00BF4109"/>
    <w:rsid w:val="00BF4B9C"/>
    <w:rsid w:val="00BF4CC3"/>
    <w:rsid w:val="00C00E59"/>
    <w:rsid w:val="00C054C7"/>
    <w:rsid w:val="00C057B5"/>
    <w:rsid w:val="00C149F0"/>
    <w:rsid w:val="00C22687"/>
    <w:rsid w:val="00C25983"/>
    <w:rsid w:val="00C32E4D"/>
    <w:rsid w:val="00C333A0"/>
    <w:rsid w:val="00C36408"/>
    <w:rsid w:val="00C36A81"/>
    <w:rsid w:val="00C41974"/>
    <w:rsid w:val="00C45616"/>
    <w:rsid w:val="00C53F4A"/>
    <w:rsid w:val="00C54125"/>
    <w:rsid w:val="00C55B54"/>
    <w:rsid w:val="00C6098E"/>
    <w:rsid w:val="00C6152C"/>
    <w:rsid w:val="00C643EB"/>
    <w:rsid w:val="00C74810"/>
    <w:rsid w:val="00C81ACF"/>
    <w:rsid w:val="00C90D68"/>
    <w:rsid w:val="00C939FE"/>
    <w:rsid w:val="00CA4BDA"/>
    <w:rsid w:val="00CA7C61"/>
    <w:rsid w:val="00CB1F66"/>
    <w:rsid w:val="00CB2951"/>
    <w:rsid w:val="00CC033B"/>
    <w:rsid w:val="00CD282B"/>
    <w:rsid w:val="00CD4C35"/>
    <w:rsid w:val="00CD7369"/>
    <w:rsid w:val="00CE0B0E"/>
    <w:rsid w:val="00CE3831"/>
    <w:rsid w:val="00CE57AB"/>
    <w:rsid w:val="00CF2300"/>
    <w:rsid w:val="00D00ABB"/>
    <w:rsid w:val="00D01935"/>
    <w:rsid w:val="00D02781"/>
    <w:rsid w:val="00D02EEC"/>
    <w:rsid w:val="00D03551"/>
    <w:rsid w:val="00D06A63"/>
    <w:rsid w:val="00D07E0E"/>
    <w:rsid w:val="00D11478"/>
    <w:rsid w:val="00D15ED0"/>
    <w:rsid w:val="00D21B3E"/>
    <w:rsid w:val="00D21C26"/>
    <w:rsid w:val="00D21FED"/>
    <w:rsid w:val="00D24251"/>
    <w:rsid w:val="00D343E2"/>
    <w:rsid w:val="00D361A2"/>
    <w:rsid w:val="00D44C2E"/>
    <w:rsid w:val="00D45414"/>
    <w:rsid w:val="00D54FF1"/>
    <w:rsid w:val="00D55E2C"/>
    <w:rsid w:val="00D566BD"/>
    <w:rsid w:val="00D57A4D"/>
    <w:rsid w:val="00D60AA7"/>
    <w:rsid w:val="00D62A67"/>
    <w:rsid w:val="00D6435F"/>
    <w:rsid w:val="00D75E28"/>
    <w:rsid w:val="00D772C2"/>
    <w:rsid w:val="00D8008E"/>
    <w:rsid w:val="00D82C45"/>
    <w:rsid w:val="00D908A8"/>
    <w:rsid w:val="00D977B6"/>
    <w:rsid w:val="00DA3634"/>
    <w:rsid w:val="00DA4A31"/>
    <w:rsid w:val="00DA7B04"/>
    <w:rsid w:val="00DB36C2"/>
    <w:rsid w:val="00DB5CBD"/>
    <w:rsid w:val="00DC169B"/>
    <w:rsid w:val="00DC2AB9"/>
    <w:rsid w:val="00DC63F0"/>
    <w:rsid w:val="00DD10E5"/>
    <w:rsid w:val="00DD5382"/>
    <w:rsid w:val="00DD6EE5"/>
    <w:rsid w:val="00DE2362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37E79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182B"/>
    <w:rsid w:val="00EB32A5"/>
    <w:rsid w:val="00EB34ED"/>
    <w:rsid w:val="00EB4A37"/>
    <w:rsid w:val="00EB7BE0"/>
    <w:rsid w:val="00EC315E"/>
    <w:rsid w:val="00EC58D1"/>
    <w:rsid w:val="00ED077C"/>
    <w:rsid w:val="00ED1190"/>
    <w:rsid w:val="00ED6544"/>
    <w:rsid w:val="00EE0277"/>
    <w:rsid w:val="00EE3E00"/>
    <w:rsid w:val="00EE5DD2"/>
    <w:rsid w:val="00EF34CB"/>
    <w:rsid w:val="00EF6E2D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2D5C"/>
    <w:rsid w:val="00F25EFC"/>
    <w:rsid w:val="00F266A2"/>
    <w:rsid w:val="00F27D13"/>
    <w:rsid w:val="00F32269"/>
    <w:rsid w:val="00F56A6F"/>
    <w:rsid w:val="00F5709C"/>
    <w:rsid w:val="00F626DA"/>
    <w:rsid w:val="00F64EF1"/>
    <w:rsid w:val="00F659F3"/>
    <w:rsid w:val="00F83589"/>
    <w:rsid w:val="00F8765F"/>
    <w:rsid w:val="00F90767"/>
    <w:rsid w:val="00F912E4"/>
    <w:rsid w:val="00F94531"/>
    <w:rsid w:val="00F9588E"/>
    <w:rsid w:val="00FA0688"/>
    <w:rsid w:val="00FA685B"/>
    <w:rsid w:val="00FB0C01"/>
    <w:rsid w:val="00FC04E5"/>
    <w:rsid w:val="00FC18F2"/>
    <w:rsid w:val="00FC39E5"/>
    <w:rsid w:val="00FC3A78"/>
    <w:rsid w:val="00FD1005"/>
    <w:rsid w:val="00FD61AA"/>
    <w:rsid w:val="00FD6C75"/>
    <w:rsid w:val="00FD7649"/>
    <w:rsid w:val="00FE71B3"/>
    <w:rsid w:val="00FF42C5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D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semiHidden/>
    <w:rsid w:val="006779B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94E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94E9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94E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94E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94E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94E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94E9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94E9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94E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94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94E99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94E9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94E99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ummyStyle">
    <w:name w:val="Dummy_Style"/>
    <w:aliases w:val="_Dummy"/>
    <w:basedOn w:val="Normale"/>
    <w:semiHidden/>
    <w:qFormat/>
    <w:rsid w:val="00794E99"/>
    <w:rPr>
      <w:color w:val="00B050"/>
      <w:sz w:val="22"/>
    </w:rPr>
  </w:style>
  <w:style w:type="character" w:styleId="Enfasigrassetto">
    <w:name w:val="Strong"/>
    <w:uiPriority w:val="98"/>
    <w:semiHidden/>
    <w:qFormat/>
    <w:rsid w:val="00794E99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94E99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94E99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794E99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EF34CB"/>
    <w:pPr>
      <w:numPr>
        <w:numId w:val="22"/>
      </w:numPr>
      <w:spacing w:before="280" w:after="60"/>
    </w:pPr>
    <w:rPr>
      <w:lang w:val="en-GB"/>
    </w:rPr>
  </w:style>
  <w:style w:type="paragraph" w:customStyle="1" w:styleId="JuLista">
    <w:name w:val="Ju_List_a"/>
    <w:aliases w:val="_List_2"/>
    <w:basedOn w:val="NormalJustified"/>
    <w:uiPriority w:val="23"/>
    <w:rsid w:val="00794E99"/>
    <w:pPr>
      <w:numPr>
        <w:ilvl w:val="1"/>
        <w:numId w:val="22"/>
      </w:numPr>
    </w:pPr>
  </w:style>
  <w:style w:type="paragraph" w:customStyle="1" w:styleId="JuListi">
    <w:name w:val="Ju_List_i"/>
    <w:aliases w:val="_List_3"/>
    <w:basedOn w:val="NormalJustified"/>
    <w:uiPriority w:val="23"/>
    <w:rsid w:val="00794E99"/>
    <w:pPr>
      <w:numPr>
        <w:ilvl w:val="2"/>
        <w:numId w:val="22"/>
      </w:numPr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94E9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94E99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94E99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94E99"/>
    <w:pPr>
      <w:numPr>
        <w:numId w:val="4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94E99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List">
    <w:name w:val="ECHR_A1_Style_List"/>
    <w:basedOn w:val="Nessunelenco"/>
    <w:uiPriority w:val="99"/>
    <w:rsid w:val="00794E99"/>
    <w:pPr>
      <w:numPr>
        <w:numId w:val="5"/>
      </w:numPr>
    </w:p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94E99"/>
    <w:pPr>
      <w:tabs>
        <w:tab w:val="center" w:pos="1418"/>
        <w:tab w:val="center" w:pos="5954"/>
      </w:tabs>
      <w:spacing w:before="720"/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94E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94E9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essunelenco"/>
    <w:rsid w:val="00794E99"/>
    <w:pPr>
      <w:numPr>
        <w:numId w:val="6"/>
      </w:numPr>
    </w:pPr>
  </w:style>
  <w:style w:type="table" w:customStyle="1" w:styleId="ECHRTable2019">
    <w:name w:val="ECHR_Table_2019"/>
    <w:basedOn w:val="Tabellanormale"/>
    <w:uiPriority w:val="99"/>
    <w:rsid w:val="00794E9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A00672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94E9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94E99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94E99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ECHR_Heading_2,_Head_3"/>
    <w:basedOn w:val="Titolo3"/>
    <w:next w:val="JuPara"/>
    <w:uiPriority w:val="20"/>
    <w:qFormat/>
    <w:rsid w:val="00794E99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794E99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94E9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94E99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94E9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794E99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794E99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94E9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94E99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794E99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94E99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94E99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e"/>
    <w:uiPriority w:val="32"/>
    <w:qFormat/>
    <w:rsid w:val="00794E99"/>
    <w:pPr>
      <w:tabs>
        <w:tab w:val="left" w:pos="567"/>
        <w:tab w:val="left" w:pos="1134"/>
      </w:tabs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94E99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794E9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94E99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794E99"/>
    <w:rPr>
      <w:caps w:val="0"/>
      <w:smallCaps/>
    </w:rPr>
  </w:style>
  <w:style w:type="paragraph" w:customStyle="1" w:styleId="NormalJustified">
    <w:name w:val="Normal_Justified"/>
    <w:basedOn w:val="Normale"/>
    <w:semiHidden/>
    <w:rsid w:val="00794E99"/>
    <w:pPr>
      <w:jc w:val="both"/>
    </w:pPr>
  </w:style>
  <w:style w:type="character" w:styleId="Enfasidelicata">
    <w:name w:val="Subtle Emphasis"/>
    <w:uiPriority w:val="98"/>
    <w:semiHidden/>
    <w:qFormat/>
    <w:rsid w:val="00794E99"/>
    <w:rPr>
      <w:i/>
      <w:iCs/>
    </w:rPr>
  </w:style>
  <w:style w:type="table" w:customStyle="1" w:styleId="ECHRTable">
    <w:name w:val="ECHR_Table"/>
    <w:basedOn w:val="Tabellanormale"/>
    <w:rsid w:val="00794E99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94E9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nfasicorsivo">
    <w:name w:val="Emphasis"/>
    <w:uiPriority w:val="98"/>
    <w:semiHidden/>
    <w:qFormat/>
    <w:rsid w:val="00794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94E99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94E99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94E9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94E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94E99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94E9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94E99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94E9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94E9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94E99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94E9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94E9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94E99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94E99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94E99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94E99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94E9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94E99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94E99"/>
    <w:rPr>
      <w:smallCaps/>
    </w:rPr>
  </w:style>
  <w:style w:type="table" w:styleId="Grigliatabella">
    <w:name w:val="Table Grid"/>
    <w:basedOn w:val="Tabellanormale"/>
    <w:uiPriority w:val="59"/>
    <w:semiHidden/>
    <w:rsid w:val="00794E9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94E9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94E9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94E9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94E99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94E9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94E9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94E99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94E99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94E99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94E99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94E99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94E99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94E9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94E99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94E9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numbering" w:styleId="111111">
    <w:name w:val="Outline List 2"/>
    <w:basedOn w:val="Nessunelenco"/>
    <w:uiPriority w:val="99"/>
    <w:semiHidden/>
    <w:unhideWhenUsed/>
    <w:rsid w:val="00794E99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12"/>
    <w:qFormat/>
    <w:rsid w:val="00794E99"/>
    <w:pPr>
      <w:ind w:firstLine="284"/>
    </w:pPr>
  </w:style>
  <w:style w:type="numbering" w:styleId="1ai">
    <w:name w:val="Outline List 1"/>
    <w:basedOn w:val="Nessunelenco"/>
    <w:uiPriority w:val="99"/>
    <w:semiHidden/>
    <w:unhideWhenUsed/>
    <w:rsid w:val="00794E99"/>
    <w:pPr>
      <w:numPr>
        <w:numId w:val="2"/>
      </w:numPr>
    </w:pPr>
  </w:style>
  <w:style w:type="table" w:customStyle="1" w:styleId="ECHRTableSimpleBox">
    <w:name w:val="ECHR_Table_Simple_Box"/>
    <w:basedOn w:val="Tabellanormale"/>
    <w:uiPriority w:val="99"/>
    <w:rsid w:val="00794E99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94E99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oloSezione">
    <w:name w:val="Outline List 3"/>
    <w:basedOn w:val="Nessunelenco"/>
    <w:uiPriority w:val="99"/>
    <w:semiHidden/>
    <w:unhideWhenUsed/>
    <w:rsid w:val="00794E99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794E99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94E99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fia">
    <w:name w:val="Bibliography"/>
    <w:basedOn w:val="Normale"/>
    <w:next w:val="Normale"/>
    <w:uiPriority w:val="98"/>
    <w:semiHidden/>
    <w:rsid w:val="00794E99"/>
  </w:style>
  <w:style w:type="paragraph" w:styleId="Testodelblocco">
    <w:name w:val="Block Text"/>
    <w:basedOn w:val="Normale"/>
    <w:uiPriority w:val="98"/>
    <w:semiHidden/>
    <w:rsid w:val="00794E9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ellanormale"/>
    <w:uiPriority w:val="99"/>
    <w:rsid w:val="00794E99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Corpotesto">
    <w:name w:val="Body Text"/>
    <w:basedOn w:val="Normale"/>
    <w:link w:val="CorpotestoCarattere"/>
    <w:uiPriority w:val="98"/>
    <w:semiHidden/>
    <w:rsid w:val="00794E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94E99"/>
    <w:rPr>
      <w:sz w:val="24"/>
      <w:szCs w:val="24"/>
      <w:lang w:val="fr-FR"/>
    </w:rPr>
  </w:style>
  <w:style w:type="table" w:customStyle="1" w:styleId="ECHRTableOddBanded">
    <w:name w:val="ECHR_Table_Odd_Banded"/>
    <w:basedOn w:val="Tabellanormale"/>
    <w:uiPriority w:val="99"/>
    <w:rsid w:val="00794E99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deltesto2">
    <w:name w:val="Body Text 2"/>
    <w:basedOn w:val="Normale"/>
    <w:link w:val="Corpodeltesto2Carattere"/>
    <w:uiPriority w:val="98"/>
    <w:semiHidden/>
    <w:rsid w:val="00794E99"/>
    <w:pPr>
      <w:spacing w:after="120" w:line="480" w:lineRule="auto"/>
    </w:pPr>
  </w:style>
  <w:style w:type="table" w:customStyle="1" w:styleId="ECHRHeaderTableReduced">
    <w:name w:val="ECHR_Header_Table_Reduced"/>
    <w:basedOn w:val="Tabellanormale"/>
    <w:uiPriority w:val="99"/>
    <w:rsid w:val="00794E99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e"/>
    <w:next w:val="JuPara"/>
    <w:uiPriority w:val="32"/>
    <w:rsid w:val="00794E99"/>
    <w:pPr>
      <w:ind w:firstLine="284"/>
      <w:jc w:val="both"/>
    </w:pPr>
    <w:rPr>
      <w:b/>
    </w:rPr>
  </w:style>
  <w:style w:type="character" w:styleId="Numeropagina">
    <w:name w:val="page number"/>
    <w:uiPriority w:val="98"/>
    <w:semiHidden/>
    <w:rsid w:val="00794E99"/>
    <w:rPr>
      <w:sz w:val="18"/>
    </w:rPr>
  </w:style>
  <w:style w:type="paragraph" w:styleId="Puntoelenco2">
    <w:name w:val="List Bullet 2"/>
    <w:basedOn w:val="Normale"/>
    <w:uiPriority w:val="98"/>
    <w:semiHidden/>
    <w:rsid w:val="00794E99"/>
    <w:pPr>
      <w:numPr>
        <w:numId w:val="12"/>
      </w:numPr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94E99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94E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94E99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94E9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94E99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94E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94E99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94E9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94E99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94E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94E99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94E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94E99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94E9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94E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94E99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8"/>
    <w:semiHidden/>
    <w:rsid w:val="00794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94E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94E99"/>
    <w:rPr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94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94E99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94E9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94E9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94E9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94E9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94E9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94E9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94E9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94E99"/>
  </w:style>
  <w:style w:type="character" w:customStyle="1" w:styleId="DataCarattere">
    <w:name w:val="Data Carattere"/>
    <w:basedOn w:val="Carpredefinitoparagrafo"/>
    <w:link w:val="Data"/>
    <w:uiPriority w:val="98"/>
    <w:semiHidden/>
    <w:rsid w:val="00794E99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94E9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94E99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94E9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94E99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94E9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94E9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94E99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94E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94E9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94E9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94E99"/>
  </w:style>
  <w:style w:type="paragraph" w:styleId="IndirizzoHTML">
    <w:name w:val="HTML Address"/>
    <w:basedOn w:val="Normale"/>
    <w:link w:val="IndirizzoHTMLCarattere"/>
    <w:uiPriority w:val="98"/>
    <w:semiHidden/>
    <w:rsid w:val="00794E9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94E99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94E99"/>
    <w:rPr>
      <w:i/>
      <w:iCs/>
    </w:rPr>
  </w:style>
  <w:style w:type="character" w:styleId="CodiceHTML">
    <w:name w:val="HTML Code"/>
    <w:basedOn w:val="Carpredefinitoparagrafo"/>
    <w:uiPriority w:val="98"/>
    <w:semiHidden/>
    <w:rsid w:val="00794E9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94E99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94E9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94E9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94E99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94E9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94E9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94E99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94E99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94E99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94E99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94E99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94E9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94E9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94E9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94E9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94E99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94E9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94E99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94E99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94E99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94E99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94E99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94E99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94E99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94E99"/>
  </w:style>
  <w:style w:type="paragraph" w:styleId="Elenco">
    <w:name w:val="List"/>
    <w:basedOn w:val="Normale"/>
    <w:uiPriority w:val="98"/>
    <w:semiHidden/>
    <w:rsid w:val="00794E99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94E99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94E99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94E99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94E99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94E99"/>
    <w:pPr>
      <w:numPr>
        <w:numId w:val="11"/>
      </w:numPr>
    </w:pPr>
  </w:style>
  <w:style w:type="paragraph" w:styleId="Puntoelenco3">
    <w:name w:val="List Bullet 3"/>
    <w:basedOn w:val="Normale"/>
    <w:uiPriority w:val="98"/>
    <w:semiHidden/>
    <w:rsid w:val="00794E99"/>
    <w:pPr>
      <w:numPr>
        <w:numId w:val="13"/>
      </w:numPr>
      <w:contextualSpacing/>
    </w:pPr>
  </w:style>
  <w:style w:type="paragraph" w:styleId="Puntoelenco4">
    <w:name w:val="List Bullet 4"/>
    <w:basedOn w:val="Normale"/>
    <w:uiPriority w:val="98"/>
    <w:semiHidden/>
    <w:rsid w:val="00794E99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94E99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94E9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94E9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94E9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94E9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94E9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94E99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94E99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94E99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94E99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94E99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94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94E9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94E9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94E9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94E9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94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94E9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94E9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94E9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94E99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94E99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794E9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94E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94E99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94E99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94E99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94E9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94E99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94E99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94E99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94E99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94E99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94E99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94E99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94E99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94E99"/>
  </w:style>
  <w:style w:type="table" w:styleId="Tabellaprofessionale">
    <w:name w:val="Table Professional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94E99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94E9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94E9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94E9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94E9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893F3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94E99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94E9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94E99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94E99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94E99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94E99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94E99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94E99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94E99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94E99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94E99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94E99"/>
    <w:rPr>
      <w:rFonts w:ascii="Arial" w:hAnsi="Arial"/>
      <w:i/>
      <w:color w:val="002856"/>
      <w:sz w:val="32"/>
      <w:szCs w:val="24"/>
      <w:lang w:val="fr-FR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94E99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94E99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94E99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Titolo9"/>
    <w:uiPriority w:val="17"/>
    <w:semiHidden/>
    <w:rsid w:val="00794E99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94E99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94E99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94E99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94E99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94E99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94E99"/>
    <w:pPr>
      <w:spacing w:before="120" w:after="120"/>
      <w:ind w:left="567"/>
      <w:jc w:val="both"/>
    </w:p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94E99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794E99"/>
    <w:pPr>
      <w:numPr>
        <w:numId w:val="0"/>
      </w:numPr>
      <w:ind w:left="284"/>
    </w:pPr>
  </w:style>
  <w:style w:type="table" w:customStyle="1" w:styleId="ECHRTable2">
    <w:name w:val="ECHR_Table_2"/>
    <w:basedOn w:val="Tabellanormale"/>
    <w:uiPriority w:val="99"/>
    <w:rsid w:val="00794E99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94E9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94E99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94E9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94E9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94E9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94E9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94E9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94E99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94E99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794E99"/>
    <w:rPr>
      <w:color w:val="FFFFFF"/>
    </w:rPr>
  </w:style>
  <w:style w:type="paragraph" w:customStyle="1" w:styleId="ECHRSpacer">
    <w:name w:val="ECHR_Spacer"/>
    <w:aliases w:val="_Spacer"/>
    <w:basedOn w:val="Normale"/>
    <w:uiPriority w:val="45"/>
    <w:semiHidden/>
    <w:rsid w:val="00794E99"/>
    <w:rPr>
      <w:sz w:val="4"/>
    </w:rPr>
  </w:style>
  <w:style w:type="table" w:customStyle="1" w:styleId="ECHRTableGrey">
    <w:name w:val="ECHR_Table_Grey"/>
    <w:basedOn w:val="Tabellanormale"/>
    <w:uiPriority w:val="99"/>
    <w:rsid w:val="00794E99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426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12"/>
    <w:rsid w:val="00A6701F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3" ma:contentTypeDescription="Creare un nuovo documento." ma:contentTypeScope="" ma:versionID="01a7907a8481773d3b26ca931a2684d9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f246e405c9db9c4affbf9ccc43f3b0c5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caf543a-b211-42a7-98fd-fd75508b5be3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Props1.xml><?xml version="1.0" encoding="utf-8"?>
<ds:datastoreItem xmlns:ds="http://schemas.openxmlformats.org/officeDocument/2006/customXml" ds:itemID="{9E586608-82F1-4D1E-8CD5-774D30786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BFA40-D925-4637-8B11-B17DBF0D803A}"/>
</file>

<file path=customXml/itemProps3.xml><?xml version="1.0" encoding="utf-8"?>
<ds:datastoreItem xmlns:ds="http://schemas.openxmlformats.org/officeDocument/2006/customXml" ds:itemID="{54C545AE-241A-4256-8721-D57A9FC1A31B}"/>
</file>

<file path=customXml/itemProps4.xml><?xml version="1.0" encoding="utf-8"?>
<ds:datastoreItem xmlns:ds="http://schemas.openxmlformats.org/officeDocument/2006/customXml" ds:itemID="{FB85E348-4622-4BE2-88CD-0D8DA0C13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2023-11-14T13:36:00Z</dcterms:created>
  <dcterms:modified xsi:type="dcterms:W3CDTF">2023-11-14T13:36:00Z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1219027</vt:lpwstr>
  </property>
  <property fmtid="{D5CDD505-2E9C-101B-9397-08002B2CF9AE}" pid="3" name="cstLanguage">
    <vt:i4>1036</vt:i4>
  </property>
  <property fmtid="{D5CDD505-2E9C-101B-9397-08002B2CF9AE}" pid="4" name="RegisteredNo">
    <vt:lpwstr>35538/16</vt:lpwstr>
  </property>
  <property fmtid="{D5CDD505-2E9C-101B-9397-08002B2CF9AE}" pid="5" name="MSIP_Label_5097a60d-5525-435b-8989-8eb48ac0c8cd_Enabled">
    <vt:lpwstr>true</vt:lpwstr>
  </property>
  <property fmtid="{D5CDD505-2E9C-101B-9397-08002B2CF9AE}" pid="6" name="MSIP_Label_5097a60d-5525-435b-8989-8eb48ac0c8cd_SetDate">
    <vt:lpwstr>2023-11-14T13:36:49Z</vt:lpwstr>
  </property>
  <property fmtid="{D5CDD505-2E9C-101B-9397-08002B2CF9AE}" pid="7" name="MSIP_Label_5097a60d-5525-435b-8989-8eb48ac0c8cd_Method">
    <vt:lpwstr>Standard</vt:lpwstr>
  </property>
  <property fmtid="{D5CDD505-2E9C-101B-9397-08002B2CF9AE}" pid="8" name="MSIP_Label_5097a60d-5525-435b-8989-8eb48ac0c8cd_Name">
    <vt:lpwstr>defa4170-0d19-0005-0004-bc88714345d2</vt:lpwstr>
  </property>
  <property fmtid="{D5CDD505-2E9C-101B-9397-08002B2CF9AE}" pid="9" name="MSIP_Label_5097a60d-5525-435b-8989-8eb48ac0c8cd_SiteId">
    <vt:lpwstr>3e90938b-8b27-4762-b4e8-006a8127a119</vt:lpwstr>
  </property>
  <property fmtid="{D5CDD505-2E9C-101B-9397-08002B2CF9AE}" pid="10" name="MSIP_Label_5097a60d-5525-435b-8989-8eb48ac0c8cd_ActionId">
    <vt:lpwstr>cf4d5082-a9ca-48d6-a480-e1d5f4f0df55</vt:lpwstr>
  </property>
  <property fmtid="{D5CDD505-2E9C-101B-9397-08002B2CF9AE}" pid="11" name="MSIP_Label_5097a60d-5525-435b-8989-8eb48ac0c8cd_ContentBits">
    <vt:lpwstr>0</vt:lpwstr>
  </property>
  <property fmtid="{D5CDD505-2E9C-101B-9397-08002B2CF9AE}" pid="12" name="ContentTypeId">
    <vt:lpwstr>0x010100E29FEADFC340DA40B2139D4BBB1A48D7</vt:lpwstr>
  </property>
</Properties>
</file>