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7A42" w14:textId="77777777" w:rsidR="007940F5" w:rsidRPr="00710742" w:rsidRDefault="007940F5" w:rsidP="00710742">
      <w:pPr>
        <w:jc w:val="center"/>
        <w:rPr>
          <w:rFonts w:ascii="Times New Roman" w:hAnsi="Times New Roman" w:cs="Times New Roman"/>
          <w:noProof/>
        </w:rPr>
      </w:pPr>
    </w:p>
    <w:p w14:paraId="7283F7C3" w14:textId="77777777" w:rsidR="0098410D" w:rsidRPr="00710742" w:rsidRDefault="0098410D" w:rsidP="00710742">
      <w:pPr>
        <w:jc w:val="center"/>
      </w:pPr>
    </w:p>
    <w:p w14:paraId="4BC4E01C" w14:textId="77777777" w:rsidR="0098410D" w:rsidRPr="00710742" w:rsidRDefault="00C762FC" w:rsidP="00710742">
      <w:pPr>
        <w:pStyle w:val="DecHTitle"/>
        <w:rPr>
          <w:lang w:val="it-IT"/>
        </w:rPr>
      </w:pPr>
      <w:r w:rsidRPr="00710742">
        <w:rPr>
          <w:lang w:val="it-IT"/>
        </w:rPr>
        <w:t>FIRST SECTION</w:t>
      </w:r>
    </w:p>
    <w:p w14:paraId="5AD67E24" w14:textId="77777777" w:rsidR="008E6217" w:rsidRPr="00710742" w:rsidRDefault="00C762FC" w:rsidP="00710742">
      <w:pPr>
        <w:pStyle w:val="JuTitle"/>
        <w:rPr>
          <w:lang w:val="it-IT"/>
        </w:rPr>
      </w:pPr>
      <w:r w:rsidRPr="00710742">
        <w:rPr>
          <w:color w:val="000000" w:themeColor="text1"/>
          <w:lang w:val="it-IT"/>
        </w:rPr>
        <w:t xml:space="preserve">CASE OF </w:t>
      </w:r>
      <w:r w:rsidR="007940F5" w:rsidRPr="00710742">
        <w:rPr>
          <w:lang w:val="it-IT"/>
        </w:rPr>
        <w:t xml:space="preserve">ISTITUTO DIOCESANO PER IL SOSTENTAMENTO DEL CLERO DI CAPUA </w:t>
      </w:r>
      <w:r w:rsidR="00882C65" w:rsidRPr="00710742">
        <w:rPr>
          <w:lang w:val="it-IT"/>
        </w:rPr>
        <w:t xml:space="preserve">AND OTHERS </w:t>
      </w:r>
      <w:r w:rsidR="007940F5" w:rsidRPr="00710742">
        <w:rPr>
          <w:lang w:val="it-IT"/>
        </w:rPr>
        <w:t>v. ITALY</w:t>
      </w:r>
    </w:p>
    <w:p w14:paraId="71B22176" w14:textId="77777777" w:rsidR="00D74888" w:rsidRPr="00710742" w:rsidRDefault="00C762FC" w:rsidP="00710742">
      <w:pPr>
        <w:pStyle w:val="ECHRCoverTitle4"/>
      </w:pPr>
      <w:r w:rsidRPr="00710742">
        <w:t>(</w:t>
      </w:r>
      <w:r w:rsidR="007940F5" w:rsidRPr="00710742">
        <w:rPr>
          <w:noProof/>
        </w:rPr>
        <w:t>Applications nos.</w:t>
      </w:r>
      <w:r w:rsidRPr="00710742">
        <w:t xml:space="preserve"> </w:t>
      </w:r>
      <w:r w:rsidR="007940F5" w:rsidRPr="00710742">
        <w:t>41591/07</w:t>
      </w:r>
      <w:r w:rsidR="007940F5" w:rsidRPr="00710742">
        <w:rPr>
          <w:noProof/>
        </w:rPr>
        <w:t xml:space="preserve"> and 2 others</w:t>
      </w:r>
      <w:r w:rsidR="00C54724" w:rsidRPr="00710742">
        <w:rPr>
          <w:noProof/>
        </w:rPr>
        <w:t xml:space="preserve"> – </w:t>
      </w:r>
      <w:r w:rsidR="009724CD" w:rsidRPr="00710742">
        <w:rPr>
          <w:noProof/>
        </w:rPr>
        <w:t>see appended list</w:t>
      </w:r>
      <w:r w:rsidRPr="00710742">
        <w:t>)</w:t>
      </w:r>
    </w:p>
    <w:p w14:paraId="59BAABC5" w14:textId="77777777" w:rsidR="0098410D" w:rsidRPr="00710742" w:rsidRDefault="0098410D" w:rsidP="00710742">
      <w:pPr>
        <w:pStyle w:val="DecHCase"/>
      </w:pPr>
    </w:p>
    <w:p w14:paraId="695C80CD" w14:textId="77777777" w:rsidR="0098410D" w:rsidRPr="00710742" w:rsidRDefault="0098410D" w:rsidP="00710742">
      <w:pPr>
        <w:pStyle w:val="DecHCase"/>
      </w:pPr>
    </w:p>
    <w:p w14:paraId="1CC62951" w14:textId="77777777" w:rsidR="00AC4CD4" w:rsidRPr="00710742" w:rsidRDefault="00AC4CD4" w:rsidP="00710742">
      <w:pPr>
        <w:pStyle w:val="DecHCase"/>
      </w:pPr>
    </w:p>
    <w:p w14:paraId="792BD107" w14:textId="77777777" w:rsidR="00882C65" w:rsidRPr="00710742" w:rsidRDefault="00882C65" w:rsidP="00710742">
      <w:pPr>
        <w:pStyle w:val="JuPara"/>
      </w:pPr>
    </w:p>
    <w:p w14:paraId="20FEFA1F" w14:textId="77777777" w:rsidR="00882C65" w:rsidRPr="00710742" w:rsidRDefault="00882C65" w:rsidP="00710742">
      <w:pPr>
        <w:pStyle w:val="JuPara"/>
      </w:pPr>
    </w:p>
    <w:p w14:paraId="70CE4569" w14:textId="77777777" w:rsidR="00882C65" w:rsidRPr="00710742" w:rsidRDefault="00882C65" w:rsidP="00710742">
      <w:pPr>
        <w:pStyle w:val="JuPara"/>
      </w:pPr>
    </w:p>
    <w:p w14:paraId="3449B84B" w14:textId="77777777" w:rsidR="0098410D" w:rsidRPr="00710742" w:rsidRDefault="0098410D" w:rsidP="00710742">
      <w:pPr>
        <w:pStyle w:val="DecHCase"/>
      </w:pPr>
    </w:p>
    <w:p w14:paraId="0B2FE57F" w14:textId="77777777" w:rsidR="0098410D" w:rsidRPr="00710742" w:rsidRDefault="00C762FC" w:rsidP="00710742">
      <w:pPr>
        <w:pStyle w:val="DecHCase"/>
      </w:pPr>
      <w:r w:rsidRPr="00710742">
        <w:t>JUDGMENT</w:t>
      </w:r>
      <w:r w:rsidR="00AC4CD4" w:rsidRPr="00710742">
        <w:br/>
      </w:r>
    </w:p>
    <w:p w14:paraId="47840138" w14:textId="77777777" w:rsidR="00882C65" w:rsidRPr="00710742" w:rsidRDefault="00882C65" w:rsidP="00710742">
      <w:pPr>
        <w:pStyle w:val="JuPara"/>
      </w:pPr>
    </w:p>
    <w:p w14:paraId="2E2F9125" w14:textId="77777777" w:rsidR="00882C65" w:rsidRPr="00710742" w:rsidRDefault="00882C65" w:rsidP="00710742">
      <w:pPr>
        <w:pStyle w:val="JuPara"/>
      </w:pPr>
    </w:p>
    <w:p w14:paraId="71DFFD13" w14:textId="77777777" w:rsidR="00882C65" w:rsidRPr="00710742" w:rsidRDefault="00882C65" w:rsidP="00710742">
      <w:pPr>
        <w:pStyle w:val="JuPara"/>
      </w:pPr>
    </w:p>
    <w:p w14:paraId="38FCAA6E" w14:textId="77777777" w:rsidR="0098410D" w:rsidRPr="00710742" w:rsidRDefault="00C762FC" w:rsidP="00710742">
      <w:pPr>
        <w:pStyle w:val="DecHCase"/>
      </w:pPr>
      <w:r w:rsidRPr="00710742">
        <w:t>STRASBOURG</w:t>
      </w:r>
    </w:p>
    <w:p w14:paraId="5023006C" w14:textId="77777777" w:rsidR="0098410D" w:rsidRPr="00710742" w:rsidRDefault="00C762FC" w:rsidP="00710742">
      <w:pPr>
        <w:pStyle w:val="DecHCase"/>
      </w:pPr>
      <w:r w:rsidRPr="00710742">
        <w:rPr>
          <w:rFonts w:ascii="Times New Roman" w:hAnsi="Times New Roman" w:cs="Times New Roman"/>
        </w:rPr>
        <w:t>13 July 2023</w:t>
      </w:r>
    </w:p>
    <w:p w14:paraId="69D40D7E" w14:textId="77777777" w:rsidR="00AC4CD4" w:rsidRPr="00710742" w:rsidRDefault="00AC4CD4" w:rsidP="00710742">
      <w:pPr>
        <w:pStyle w:val="JuPara"/>
      </w:pPr>
    </w:p>
    <w:p w14:paraId="071687F3" w14:textId="77777777" w:rsidR="002422B6" w:rsidRPr="00710742" w:rsidRDefault="00C762FC" w:rsidP="00710742">
      <w:pPr>
        <w:rPr>
          <w:i/>
          <w:sz w:val="22"/>
        </w:rPr>
      </w:pPr>
      <w:r w:rsidRPr="00710742">
        <w:rPr>
          <w:i/>
          <w:sz w:val="22"/>
        </w:rPr>
        <w:t xml:space="preserve">This judgment </w:t>
      </w:r>
      <w:r w:rsidR="007940F5" w:rsidRPr="00710742">
        <w:rPr>
          <w:i/>
          <w:noProof/>
          <w:sz w:val="22"/>
        </w:rPr>
        <w:t>is final but it</w:t>
      </w:r>
      <w:r w:rsidRPr="00710742">
        <w:rPr>
          <w:i/>
          <w:sz w:val="22"/>
        </w:rPr>
        <w:t xml:space="preserve"> may be subject to editorial revision.</w:t>
      </w:r>
    </w:p>
    <w:p w14:paraId="066A1B58" w14:textId="77777777" w:rsidR="0098410D" w:rsidRPr="00710742" w:rsidRDefault="0098410D" w:rsidP="00710742">
      <w:pPr>
        <w:sectPr w:rsidR="0098410D" w:rsidRPr="00710742"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FA7BCF0" w14:textId="77777777" w:rsidR="0098410D" w:rsidRPr="00710742" w:rsidRDefault="00C762FC" w:rsidP="00710742">
      <w:pPr>
        <w:pStyle w:val="JuCase"/>
        <w:rPr>
          <w:lang w:val="it-IT"/>
        </w:rPr>
      </w:pPr>
      <w:r w:rsidRPr="00710742">
        <w:rPr>
          <w:lang w:val="it-IT"/>
        </w:rPr>
        <w:lastRenderedPageBreak/>
        <w:t xml:space="preserve">In the case of </w:t>
      </w:r>
      <w:r w:rsidR="007940F5" w:rsidRPr="00710742">
        <w:rPr>
          <w:lang w:val="it-IT"/>
        </w:rPr>
        <w:t xml:space="preserve">Istituto diocesano per il Sostentamento del Clero di Capua </w:t>
      </w:r>
      <w:r w:rsidR="00882C65" w:rsidRPr="00710742">
        <w:rPr>
          <w:lang w:val="it-IT"/>
        </w:rPr>
        <w:t xml:space="preserve">and Others </w:t>
      </w:r>
      <w:r w:rsidR="007940F5" w:rsidRPr="00710742">
        <w:rPr>
          <w:lang w:val="it-IT"/>
        </w:rPr>
        <w:t>v. Italy</w:t>
      </w:r>
      <w:r w:rsidRPr="00710742">
        <w:rPr>
          <w:lang w:val="it-IT"/>
        </w:rPr>
        <w:t>,</w:t>
      </w:r>
    </w:p>
    <w:p w14:paraId="5107FEFB" w14:textId="77777777" w:rsidR="009F4C8F" w:rsidRPr="00710742" w:rsidRDefault="00C762FC" w:rsidP="00710742">
      <w:pPr>
        <w:pStyle w:val="JuPara"/>
      </w:pPr>
      <w:r w:rsidRPr="00710742">
        <w:t>The European Court of Human Rights (</w:t>
      </w:r>
      <w:r w:rsidR="007940F5" w:rsidRPr="00710742">
        <w:t>First Section</w:t>
      </w:r>
      <w:r w:rsidRPr="00710742">
        <w:t xml:space="preserve">), sitting as a </w:t>
      </w:r>
      <w:r w:rsidR="007940F5" w:rsidRPr="00710742">
        <w:rPr>
          <w:noProof/>
        </w:rPr>
        <w:t>Committee</w:t>
      </w:r>
      <w:r w:rsidRPr="00710742">
        <w:t xml:space="preserve"> composed of:</w:t>
      </w:r>
    </w:p>
    <w:p w14:paraId="3ACDBB13" w14:textId="77777777" w:rsidR="00A92625" w:rsidRPr="00710742" w:rsidRDefault="00C762FC" w:rsidP="00710742">
      <w:pPr>
        <w:pStyle w:val="JuJudges"/>
      </w:pPr>
      <w:r w:rsidRPr="00710742">
        <w:tab/>
        <w:t>Péter Paczolay</w:t>
      </w:r>
      <w:r w:rsidRPr="00710742">
        <w:rPr>
          <w:i/>
        </w:rPr>
        <w:t>, President</w:t>
      </w:r>
      <w:r w:rsidRPr="00710742">
        <w:t>,</w:t>
      </w:r>
      <w:r w:rsidRPr="00710742">
        <w:br/>
      </w:r>
      <w:r w:rsidRPr="00710742">
        <w:tab/>
        <w:t>Gilberto Felici,</w:t>
      </w:r>
      <w:r w:rsidRPr="00710742">
        <w:br/>
      </w:r>
      <w:r w:rsidRPr="00710742">
        <w:tab/>
        <w:t>Raffaele Sabato</w:t>
      </w:r>
      <w:r w:rsidRPr="00710742">
        <w:rPr>
          <w:i/>
        </w:rPr>
        <w:t>, judges</w:t>
      </w:r>
      <w:r w:rsidRPr="00710742">
        <w:t>,</w:t>
      </w:r>
      <w:r w:rsidR="009F4C8F" w:rsidRPr="00710742">
        <w:br/>
        <w:t>and</w:t>
      </w:r>
      <w:r w:rsidR="005C2C62" w:rsidRPr="00710742">
        <w:t xml:space="preserve"> </w:t>
      </w:r>
      <w:r w:rsidR="007940F5" w:rsidRPr="00710742">
        <w:rPr>
          <w:rFonts w:eastAsia="PMingLiU"/>
          <w:noProof/>
        </w:rPr>
        <w:t>Liv Tigerstedt</w:t>
      </w:r>
      <w:r w:rsidRPr="00710742">
        <w:t xml:space="preserve">, </w:t>
      </w:r>
      <w:r w:rsidR="007940F5" w:rsidRPr="00710742">
        <w:rPr>
          <w:i/>
          <w:iCs/>
          <w:noProof/>
        </w:rPr>
        <w:t xml:space="preserve">Deputy </w:t>
      </w:r>
      <w:r w:rsidR="00E744E0" w:rsidRPr="00710742">
        <w:rPr>
          <w:i/>
        </w:rPr>
        <w:t xml:space="preserve">Section </w:t>
      </w:r>
      <w:r w:rsidR="00E744E0" w:rsidRPr="00710742">
        <w:rPr>
          <w:i/>
          <w:iCs/>
        </w:rPr>
        <w:t>Registrar</w:t>
      </w:r>
      <w:r w:rsidR="008F2465" w:rsidRPr="00710742">
        <w:rPr>
          <w:i/>
        </w:rPr>
        <w:t>,</w:t>
      </w:r>
    </w:p>
    <w:p w14:paraId="018EA438" w14:textId="77777777" w:rsidR="007940F5" w:rsidRPr="00710742" w:rsidRDefault="00C762FC" w:rsidP="00710742">
      <w:pPr>
        <w:pStyle w:val="JuPara"/>
      </w:pPr>
      <w:r w:rsidRPr="00710742">
        <w:t>Having regard to:</w:t>
      </w:r>
    </w:p>
    <w:p w14:paraId="583EA36D" w14:textId="77777777" w:rsidR="007940F5" w:rsidRPr="00710742" w:rsidRDefault="00C762FC" w:rsidP="00710742">
      <w:pPr>
        <w:pStyle w:val="JuPara"/>
      </w:pPr>
      <w:r w:rsidRPr="00710742">
        <w:t xml:space="preserve">the applications against the Italian Republic lodged with the Court under </w:t>
      </w:r>
      <w:r w:rsidRPr="00710742">
        <w:t>Article</w:t>
      </w:r>
      <w:r w:rsidR="0059734F" w:rsidRPr="00710742">
        <w:t> </w:t>
      </w:r>
      <w:r w:rsidRPr="00710742">
        <w:t xml:space="preserve">34 of the Convention for the Protection of Human Rights and Fundamental Freedoms (“the Convention”) by the institutes listed in the appended table (“the applicant institutes”), on the </w:t>
      </w:r>
      <w:r w:rsidRPr="00710742">
        <w:rPr>
          <w:rFonts w:eastAsia="PMingLiU"/>
        </w:rPr>
        <w:t>dates and with the representatives indicated therein</w:t>
      </w:r>
      <w:r w:rsidRPr="00710742">
        <w:t>;</w:t>
      </w:r>
    </w:p>
    <w:p w14:paraId="76107772" w14:textId="77777777" w:rsidR="007940F5" w:rsidRPr="00710742" w:rsidRDefault="00C762FC" w:rsidP="00710742">
      <w:pPr>
        <w:pStyle w:val="JuPara"/>
      </w:pPr>
      <w:r w:rsidRPr="00710742">
        <w:t>the decision to give notice of the complaints concerning the interference with the applicant institutes</w:t>
      </w:r>
      <w:r w:rsidR="00710742" w:rsidRPr="00710742">
        <w:t>’</w:t>
      </w:r>
      <w:r w:rsidRPr="00710742">
        <w:t xml:space="preserve"> property rights to the Italian Government (“the</w:t>
      </w:r>
      <w:r w:rsidR="0059734F" w:rsidRPr="00710742">
        <w:t> </w:t>
      </w:r>
      <w:r w:rsidRPr="00710742">
        <w:t>Government”), represented by their Agent, Mr L. D</w:t>
      </w:r>
      <w:r w:rsidR="00710742" w:rsidRPr="00710742">
        <w:t>’</w:t>
      </w:r>
      <w:r w:rsidRPr="00710742">
        <w:t>Ascia, and to declare the remainder of the applications nos. 21970/09 and 74234/11 inadmissible;</w:t>
      </w:r>
    </w:p>
    <w:p w14:paraId="70C33677" w14:textId="77777777" w:rsidR="007940F5" w:rsidRPr="00710742" w:rsidRDefault="00C762FC" w:rsidP="00710742">
      <w:pPr>
        <w:pStyle w:val="JuPara"/>
      </w:pPr>
      <w:r w:rsidRPr="00710742">
        <w:t>the parties</w:t>
      </w:r>
      <w:r w:rsidR="00710742" w:rsidRPr="00710742">
        <w:t>’</w:t>
      </w:r>
      <w:r w:rsidRPr="00710742">
        <w:t xml:space="preserve"> observations;</w:t>
      </w:r>
    </w:p>
    <w:p w14:paraId="0C0D5C5C" w14:textId="77777777" w:rsidR="007940F5" w:rsidRPr="00710742" w:rsidRDefault="00C762FC" w:rsidP="00710742">
      <w:pPr>
        <w:pStyle w:val="JuPara"/>
      </w:pPr>
      <w:r w:rsidRPr="00710742">
        <w:t>the decision to reject the Government</w:t>
      </w:r>
      <w:r w:rsidR="00710742" w:rsidRPr="00710742">
        <w:t>’</w:t>
      </w:r>
      <w:r w:rsidRPr="00710742">
        <w:t>s objection to the examination of the applications by a Committee;</w:t>
      </w:r>
    </w:p>
    <w:p w14:paraId="779CE2E6" w14:textId="77777777" w:rsidR="009F4C8F" w:rsidRPr="00710742" w:rsidRDefault="00C762FC" w:rsidP="00710742">
      <w:pPr>
        <w:pStyle w:val="JuPara"/>
      </w:pPr>
      <w:r w:rsidRPr="00710742">
        <w:t xml:space="preserve">Having deliberated in private on </w:t>
      </w:r>
      <w:r w:rsidR="007940F5" w:rsidRPr="00710742">
        <w:t>20 June 2023</w:t>
      </w:r>
      <w:r w:rsidRPr="00710742">
        <w:t>,</w:t>
      </w:r>
    </w:p>
    <w:p w14:paraId="58B99B92" w14:textId="77777777" w:rsidR="009F4C8F" w:rsidRPr="00710742" w:rsidRDefault="00C762FC" w:rsidP="00710742">
      <w:pPr>
        <w:pStyle w:val="JuPara"/>
      </w:pPr>
      <w:r w:rsidRPr="00710742">
        <w:t>Delivers the following judgment, which was adopted on that date:</w:t>
      </w:r>
    </w:p>
    <w:p w14:paraId="6392205B" w14:textId="77777777" w:rsidR="007940F5" w:rsidRPr="00710742" w:rsidRDefault="00C762FC" w:rsidP="00710742">
      <w:pPr>
        <w:pStyle w:val="JuHHead"/>
        <w:numPr>
          <w:ilvl w:val="0"/>
          <w:numId w:val="0"/>
        </w:numPr>
      </w:pPr>
      <w:r w:rsidRPr="00710742">
        <w:t>SUBJECT MATTER OF THE CASE</w:t>
      </w:r>
    </w:p>
    <w:p w14:paraId="77F0279C" w14:textId="77777777" w:rsidR="007940F5" w:rsidRPr="00710742" w:rsidRDefault="00C762FC" w:rsidP="00710742">
      <w:pPr>
        <w:pStyle w:val="JuPara"/>
      </w:pPr>
      <w:r w:rsidRPr="00710742">
        <w:fldChar w:fldCharType="begin"/>
      </w:r>
      <w:r w:rsidRPr="00710742">
        <w:instrText xml:space="preserve"> SEQ level0 \*arabic </w:instrText>
      </w:r>
      <w:r w:rsidRPr="00710742">
        <w:fldChar w:fldCharType="separate"/>
      </w:r>
      <w:r w:rsidR="00710742" w:rsidRPr="00710742">
        <w:rPr>
          <w:noProof/>
        </w:rPr>
        <w:t>1</w:t>
      </w:r>
      <w:r w:rsidRPr="00710742">
        <w:fldChar w:fldCharType="end"/>
      </w:r>
      <w:r w:rsidRPr="00710742">
        <w:t>.  The case concerns the expropriation of the applicant institutes</w:t>
      </w:r>
      <w:r w:rsidR="00710742" w:rsidRPr="00710742">
        <w:t>’</w:t>
      </w:r>
      <w:r w:rsidRPr="00710742">
        <w:t xml:space="preserve"> land and the subsequent award of compensation based on the criteria established by section 5 </w:t>
      </w:r>
      <w:r w:rsidRPr="00710742">
        <w:rPr>
          <w:i/>
          <w:iCs/>
        </w:rPr>
        <w:t>bis</w:t>
      </w:r>
      <w:r w:rsidRPr="00710742">
        <w:t xml:space="preserve"> of Law no. 359 of 8 August 1992 (“Law no. 359/1992”).</w:t>
      </w:r>
    </w:p>
    <w:p w14:paraId="532C82BB"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2</w:t>
      </w:r>
      <w:r w:rsidRPr="00710742">
        <w:rPr>
          <w:noProof/>
        </w:rPr>
        <w:fldChar w:fldCharType="end"/>
      </w:r>
      <w:r w:rsidRPr="00710742">
        <w:t>.  The applicant institutes were the owners of plots of land located in San</w:t>
      </w:r>
      <w:r w:rsidR="0059734F" w:rsidRPr="00710742">
        <w:t> </w:t>
      </w:r>
      <w:r w:rsidRPr="00710742">
        <w:t>Prisco and Marcianise (see the appended table for details). The national authorities adopted development plans, which included portions of the applicant institutes’ land, and authorised the immediate occupation of the land in question. Subsequently, they issued expropriation orders and offered to pay compensation, which the applicant institutes refused.</w:t>
      </w:r>
    </w:p>
    <w:p w14:paraId="6DA031E6"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3</w:t>
      </w:r>
      <w:r w:rsidRPr="00710742">
        <w:rPr>
          <w:noProof/>
        </w:rPr>
        <w:fldChar w:fldCharType="end"/>
      </w:r>
      <w:r w:rsidRPr="00710742">
        <w:t>.  The applicant institutes brought judicial proceedings, arguing that the compensation offered by the national authorities was insufficient.</w:t>
      </w:r>
    </w:p>
    <w:p w14:paraId="35A728F6"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4</w:t>
      </w:r>
      <w:r w:rsidRPr="00710742">
        <w:rPr>
          <w:noProof/>
        </w:rPr>
        <w:fldChar w:fldCharType="end"/>
      </w:r>
      <w:r w:rsidRPr="00710742">
        <w:t>.  In each case, the national courts appointed experts to carry out a valuation of the land and awarded compensation for the expropriation and also for the period during which the land had been occupied before the expropriation order had been issued (</w:t>
      </w:r>
      <w:r w:rsidRPr="00710742">
        <w:rPr>
          <w:i/>
          <w:iCs/>
        </w:rPr>
        <w:t>indennità di occupazione</w:t>
      </w:r>
      <w:r w:rsidRPr="00710742">
        <w:t>). The calculation of those amounts was based on the criteria set out in section 5 </w:t>
      </w:r>
      <w:r w:rsidRPr="00710742">
        <w:rPr>
          <w:i/>
          <w:iCs/>
        </w:rPr>
        <w:t>bis</w:t>
      </w:r>
      <w:r w:rsidRPr="00710742">
        <w:t xml:space="preserve"> of Law no. 359/1992, which had entered into force on 14 August 1992.</w:t>
      </w:r>
    </w:p>
    <w:p w14:paraId="68DB2820" w14:textId="77777777" w:rsidR="007940F5" w:rsidRPr="00710742" w:rsidRDefault="00C762FC" w:rsidP="00710742">
      <w:pPr>
        <w:pStyle w:val="JuPara"/>
      </w:pPr>
      <w:r w:rsidRPr="00710742">
        <w:lastRenderedPageBreak/>
        <w:fldChar w:fldCharType="begin"/>
      </w:r>
      <w:r w:rsidRPr="00710742">
        <w:instrText xml:space="preserve"> SEQ level0 \*arabic \* MERGEFORMAT </w:instrText>
      </w:r>
      <w:r w:rsidRPr="00710742">
        <w:fldChar w:fldCharType="separate"/>
      </w:r>
      <w:r w:rsidRPr="00710742">
        <w:rPr>
          <w:noProof/>
        </w:rPr>
        <w:t>5</w:t>
      </w:r>
      <w:r w:rsidRPr="00710742">
        <w:rPr>
          <w:noProof/>
        </w:rPr>
        <w:fldChar w:fldCharType="end"/>
      </w:r>
      <w:r w:rsidRPr="00710742">
        <w:t>.  Further details of each application and the compensation awarded can be found in the appended table.</w:t>
      </w:r>
    </w:p>
    <w:p w14:paraId="3A9F4DC2"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6</w:t>
      </w:r>
      <w:r w:rsidRPr="00710742">
        <w:rPr>
          <w:noProof/>
        </w:rPr>
        <w:fldChar w:fldCharType="end"/>
      </w:r>
      <w:r w:rsidRPr="00710742">
        <w:t>.  The applicant institutes complained under Article 1 of Protocol No. 1 to the Convention of a disproportionate interference with their property rights on account of the allegedly inadequate amounts of compensation they had received for the expropriation of their land. They further complained that the compensation awarded to them had effectively been reduced by 20% on account of the amount they had had to pay in tax.</w:t>
      </w:r>
    </w:p>
    <w:p w14:paraId="0C76E82B" w14:textId="77777777" w:rsidR="007940F5" w:rsidRPr="00710742" w:rsidRDefault="00C762FC" w:rsidP="00710742">
      <w:pPr>
        <w:pStyle w:val="JuHHead"/>
      </w:pPr>
      <w:r w:rsidRPr="00710742">
        <w:t>THE COURT</w:t>
      </w:r>
      <w:r w:rsidR="00710742" w:rsidRPr="00710742">
        <w:t>’</w:t>
      </w:r>
      <w:r w:rsidRPr="00710742">
        <w:t>S ASSESSMENT</w:t>
      </w:r>
    </w:p>
    <w:p w14:paraId="48B5612F" w14:textId="77777777" w:rsidR="007940F5" w:rsidRPr="00710742" w:rsidRDefault="00C762FC" w:rsidP="00710742">
      <w:pPr>
        <w:pStyle w:val="JuHIRoman"/>
      </w:pPr>
      <w:r w:rsidRPr="00710742">
        <w:t>JOINDER OF THE APPLICATIONS</w:t>
      </w:r>
    </w:p>
    <w:p w14:paraId="715E1E50" w14:textId="77777777" w:rsidR="007940F5" w:rsidRPr="00710742" w:rsidRDefault="00C762FC" w:rsidP="00710742">
      <w:pPr>
        <w:pStyle w:val="JuPara"/>
      </w:pPr>
      <w:r w:rsidRPr="00710742">
        <w:fldChar w:fldCharType="begin"/>
      </w:r>
      <w:r w:rsidRPr="00710742">
        <w:instrText xml:space="preserve"> SEQ level0 \*arabic </w:instrText>
      </w:r>
      <w:r w:rsidRPr="00710742">
        <w:fldChar w:fldCharType="separate"/>
      </w:r>
      <w:r w:rsidR="00710742" w:rsidRPr="00710742">
        <w:rPr>
          <w:noProof/>
        </w:rPr>
        <w:t>7</w:t>
      </w:r>
      <w:r w:rsidRPr="00710742">
        <w:fldChar w:fldCharType="end"/>
      </w:r>
      <w:r w:rsidRPr="00710742">
        <w:t>.  Having regard to the similar subject matter of the applications, the Court finds it appropriate to examine them jointly in a single judgment.</w:t>
      </w:r>
    </w:p>
    <w:p w14:paraId="42BDE5E3" w14:textId="77777777" w:rsidR="007940F5" w:rsidRPr="00710742" w:rsidRDefault="00C762FC" w:rsidP="00710742">
      <w:pPr>
        <w:pStyle w:val="JuHIRoman"/>
      </w:pPr>
      <w:r w:rsidRPr="00710742">
        <w:t>ALLEGED VIOLATION OF ARTICLE 1 OF PROTOCOL N</w:t>
      </w:r>
      <w:r w:rsidRPr="00710742">
        <w:rPr>
          <w:caps w:val="0"/>
        </w:rPr>
        <w:t>o</w:t>
      </w:r>
      <w:r w:rsidRPr="00710742">
        <w:t>. 1 TO THE CONVENTION</w:t>
      </w:r>
    </w:p>
    <w:p w14:paraId="0A291501" w14:textId="77777777" w:rsidR="007940F5" w:rsidRPr="00710742" w:rsidRDefault="00C762FC" w:rsidP="00710742">
      <w:pPr>
        <w:pStyle w:val="JuPara"/>
        <w:rPr>
          <w:rFonts w:cstheme="minorHAnsi"/>
          <w:color w:val="000000"/>
        </w:rPr>
      </w:pPr>
      <w:r w:rsidRPr="00710742">
        <w:rPr>
          <w:rFonts w:cstheme="minorHAnsi"/>
          <w:color w:val="000000"/>
        </w:rPr>
        <w:fldChar w:fldCharType="begin"/>
      </w:r>
      <w:r w:rsidRPr="00710742">
        <w:rPr>
          <w:rFonts w:cstheme="minorHAnsi"/>
          <w:color w:val="000000"/>
        </w:rPr>
        <w:instrText xml:space="preserve"> SEQ level0 \*arabic \* MERGEFORMAT </w:instrText>
      </w:r>
      <w:r w:rsidRPr="00710742">
        <w:rPr>
          <w:rFonts w:cstheme="minorHAnsi"/>
          <w:color w:val="000000"/>
        </w:rPr>
        <w:fldChar w:fldCharType="separate"/>
      </w:r>
      <w:r w:rsidR="00710742" w:rsidRPr="00710742">
        <w:rPr>
          <w:rFonts w:cstheme="minorHAnsi"/>
          <w:noProof/>
          <w:color w:val="000000"/>
        </w:rPr>
        <w:t>8</w:t>
      </w:r>
      <w:r w:rsidRPr="00710742">
        <w:rPr>
          <w:rFonts w:cstheme="minorHAnsi"/>
          <w:color w:val="000000"/>
        </w:rPr>
        <w:fldChar w:fldCharType="end"/>
      </w:r>
      <w:r w:rsidRPr="00710742">
        <w:rPr>
          <w:rFonts w:cstheme="minorHAnsi"/>
          <w:color w:val="000000"/>
        </w:rPr>
        <w:t xml:space="preserve">.  The relevant domestic law and practice have been summarised in </w:t>
      </w:r>
      <w:r w:rsidRPr="00710742">
        <w:rPr>
          <w:rFonts w:cstheme="minorHAnsi"/>
          <w:i/>
          <w:iCs/>
          <w:color w:val="000000"/>
        </w:rPr>
        <w:t>Scordino v. Italy (no. 1)</w:t>
      </w:r>
      <w:r w:rsidRPr="00710742">
        <w:rPr>
          <w:rFonts w:cstheme="minorHAnsi"/>
          <w:color w:val="000000"/>
        </w:rPr>
        <w:t xml:space="preserve"> ([GC], no. 36813/97, §§ 47-61, ECHR 2006-V).</w:t>
      </w:r>
    </w:p>
    <w:p w14:paraId="65176B2D" w14:textId="77777777" w:rsidR="007940F5" w:rsidRPr="00710742" w:rsidRDefault="00C762FC" w:rsidP="00710742">
      <w:pPr>
        <w:pStyle w:val="JuPara"/>
        <w:rPr>
          <w:rFonts w:cstheme="minorHAnsi"/>
          <w:color w:val="000000"/>
        </w:rPr>
      </w:pPr>
      <w:r w:rsidRPr="00710742">
        <w:rPr>
          <w:rFonts w:cstheme="minorHAnsi"/>
          <w:color w:val="000000"/>
        </w:rPr>
        <w:fldChar w:fldCharType="begin"/>
      </w:r>
      <w:r w:rsidRPr="00710742">
        <w:rPr>
          <w:rFonts w:cstheme="minorHAnsi"/>
          <w:color w:val="000000"/>
        </w:rPr>
        <w:instrText xml:space="preserve"> SEQ level0 \*arabic \* MERGEFORMAT </w:instrText>
      </w:r>
      <w:r w:rsidRPr="00710742">
        <w:rPr>
          <w:rFonts w:cstheme="minorHAnsi"/>
          <w:color w:val="000000"/>
        </w:rPr>
        <w:fldChar w:fldCharType="separate"/>
      </w:r>
      <w:r w:rsidR="00710742" w:rsidRPr="00710742">
        <w:rPr>
          <w:rFonts w:cstheme="minorHAnsi"/>
          <w:noProof/>
          <w:color w:val="000000"/>
        </w:rPr>
        <w:t>9</w:t>
      </w:r>
      <w:r w:rsidRPr="00710742">
        <w:rPr>
          <w:rFonts w:cstheme="minorHAnsi"/>
          <w:color w:val="000000"/>
        </w:rPr>
        <w:fldChar w:fldCharType="end"/>
      </w:r>
      <w:r w:rsidRPr="00710742">
        <w:rPr>
          <w:rFonts w:cstheme="minorHAnsi"/>
          <w:color w:val="000000"/>
        </w:rPr>
        <w:t>.  The Government submitted that the applicant institutes were no longer victims of the violations complained of as a consequence of settlement agreements that had been concluded with the respective municipalities on 13 April 2012 (applications nos.</w:t>
      </w:r>
      <w:r w:rsidR="007271EB" w:rsidRPr="00710742">
        <w:rPr>
          <w:rFonts w:cstheme="minorHAnsi"/>
          <w:color w:val="000000"/>
        </w:rPr>
        <w:t xml:space="preserve"> </w:t>
      </w:r>
      <w:r w:rsidRPr="00710742">
        <w:rPr>
          <w:rFonts w:cstheme="minorHAnsi"/>
          <w:color w:val="000000"/>
        </w:rPr>
        <w:t>41591/07 and 74234/11) and on 16 November 2010 (application no.</w:t>
      </w:r>
      <w:r w:rsidR="007271EB" w:rsidRPr="00710742">
        <w:rPr>
          <w:rFonts w:cstheme="minorHAnsi"/>
          <w:color w:val="000000"/>
        </w:rPr>
        <w:t xml:space="preserve"> </w:t>
      </w:r>
      <w:r w:rsidRPr="00710742">
        <w:rPr>
          <w:rFonts w:cstheme="minorHAnsi"/>
          <w:color w:val="000000"/>
        </w:rPr>
        <w:t>21970/09). The Court notes that those agreements concerned the manner of enforcing the domestic decisions, namely by means of payment by instalments or a final payment of the amounts due, and the on</w:t>
      </w:r>
      <w:r w:rsidRPr="00710742">
        <w:rPr>
          <w:rFonts w:cstheme="minorHAnsi"/>
          <w:color w:val="000000"/>
        </w:rPr>
        <w:t xml:space="preserve">ly waivers contained therein concerned the costs incurred for the enforcement proceedings. </w:t>
      </w:r>
      <w:r w:rsidRPr="00710742">
        <w:t xml:space="preserve">It follows that the agreements cannot be interpreted as a </w:t>
      </w:r>
      <w:r w:rsidRPr="00710742">
        <w:rPr>
          <w:rFonts w:cstheme="minorHAnsi"/>
          <w:color w:val="000000"/>
        </w:rPr>
        <w:t>waiver to pursue the complaints invoked in the present proceedings. Therefore, the Court dismisses the Government</w:t>
      </w:r>
      <w:r w:rsidR="00710742" w:rsidRPr="00710742">
        <w:rPr>
          <w:rFonts w:cstheme="minorHAnsi"/>
          <w:color w:val="000000"/>
        </w:rPr>
        <w:t>’</w:t>
      </w:r>
      <w:r w:rsidRPr="00710742">
        <w:rPr>
          <w:rFonts w:cstheme="minorHAnsi"/>
          <w:color w:val="000000"/>
        </w:rPr>
        <w:t>s objection.</w:t>
      </w:r>
    </w:p>
    <w:p w14:paraId="4E7796CE" w14:textId="77777777" w:rsidR="007940F5" w:rsidRPr="00710742" w:rsidRDefault="00C762FC" w:rsidP="00710742">
      <w:pPr>
        <w:pStyle w:val="JuPara"/>
      </w:pPr>
      <w:r w:rsidRPr="00710742">
        <w:rPr>
          <w:rFonts w:cstheme="minorHAnsi"/>
          <w:color w:val="000000"/>
        </w:rPr>
        <w:fldChar w:fldCharType="begin"/>
      </w:r>
      <w:r w:rsidRPr="00710742">
        <w:rPr>
          <w:rFonts w:cstheme="minorHAnsi"/>
          <w:color w:val="000000"/>
        </w:rPr>
        <w:instrText xml:space="preserve"> SEQ level0 \*arabic \* MERGEFORMAT </w:instrText>
      </w:r>
      <w:r w:rsidRPr="00710742">
        <w:rPr>
          <w:rFonts w:cstheme="minorHAnsi"/>
          <w:color w:val="000000"/>
        </w:rPr>
        <w:fldChar w:fldCharType="separate"/>
      </w:r>
      <w:r w:rsidR="00710742" w:rsidRPr="00710742">
        <w:rPr>
          <w:rFonts w:cstheme="minorHAnsi"/>
          <w:noProof/>
          <w:color w:val="000000"/>
        </w:rPr>
        <w:t>10</w:t>
      </w:r>
      <w:r w:rsidRPr="00710742">
        <w:rPr>
          <w:rFonts w:cstheme="minorHAnsi"/>
          <w:color w:val="000000"/>
        </w:rPr>
        <w:fldChar w:fldCharType="end"/>
      </w:r>
      <w:r w:rsidRPr="00710742">
        <w:rPr>
          <w:rFonts w:cstheme="minorHAnsi"/>
          <w:color w:val="000000"/>
        </w:rPr>
        <w:t>.  </w:t>
      </w:r>
      <w:r w:rsidRPr="00710742">
        <w:rPr>
          <w:rFonts w:cstheme="minorHAnsi"/>
        </w:rPr>
        <w:t>As the applicant institutes</w:t>
      </w:r>
      <w:r w:rsidR="00710742" w:rsidRPr="00710742">
        <w:rPr>
          <w:rFonts w:cstheme="minorHAnsi"/>
        </w:rPr>
        <w:t>’</w:t>
      </w:r>
      <w:r w:rsidRPr="00710742">
        <w:rPr>
          <w:rFonts w:cstheme="minorHAnsi"/>
        </w:rPr>
        <w:t xml:space="preserve"> complaint is </w:t>
      </w:r>
      <w:r w:rsidRPr="00710742">
        <w:t>not manifestly ill-founded within the meaning of Article 35 § 3 (a) of the Convention or inadmissible on any other grounds, it must be declared admissible.</w:t>
      </w:r>
    </w:p>
    <w:p w14:paraId="5CE14788"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11</w:t>
      </w:r>
      <w:r w:rsidRPr="00710742">
        <w:rPr>
          <w:noProof/>
        </w:rPr>
        <w:fldChar w:fldCharType="end"/>
      </w:r>
      <w:r w:rsidRPr="00710742">
        <w:t xml:space="preserve">.  The Court refers to its judgment in </w:t>
      </w:r>
      <w:r w:rsidRPr="00710742">
        <w:rPr>
          <w:i/>
          <w:iCs/>
        </w:rPr>
        <w:t xml:space="preserve">Scordino </w:t>
      </w:r>
      <w:r w:rsidRPr="00710742">
        <w:t>(cited above, §§ 93-98) for a summary of the relevant principles applicable in the present case.</w:t>
      </w:r>
    </w:p>
    <w:p w14:paraId="49821F6C"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12</w:t>
      </w:r>
      <w:r w:rsidRPr="00710742">
        <w:rPr>
          <w:noProof/>
        </w:rPr>
        <w:fldChar w:fldCharType="end"/>
      </w:r>
      <w:r w:rsidRPr="00710742">
        <w:t xml:space="preserve">.  The Court notes that the applicant institutes have been deprived of their land in accordance with national law and that the expropriation pursued a legitimate aim in the public interest. Furthermore, the applications concern distinct expropriations, which were neither carried out as part of a process of economic, social or political reform nor linked to any other specific circumstances. Accordingly, the Court does not discern any legitimate </w:t>
      </w:r>
      <w:r w:rsidRPr="00710742">
        <w:lastRenderedPageBreak/>
        <w:t>objective “in the public interest” capable of justifying the pay</w:t>
      </w:r>
      <w:r w:rsidRPr="00710742">
        <w:t>ment of compensation below the market value.</w:t>
      </w:r>
    </w:p>
    <w:p w14:paraId="1FFC451B"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bookmarkStart w:id="0" w:name="paragraph00016"/>
      <w:r w:rsidRPr="00710742">
        <w:rPr>
          <w:noProof/>
        </w:rPr>
        <w:t>13</w:t>
      </w:r>
      <w:bookmarkEnd w:id="0"/>
      <w:r w:rsidRPr="00710742">
        <w:rPr>
          <w:noProof/>
        </w:rPr>
        <w:fldChar w:fldCharType="end"/>
      </w:r>
      <w:r w:rsidRPr="00710742">
        <w:t>.  In the present case the compensation awarded to the applicant institutes for the expropriation was calculated on the basis of the criteria laid down in section 5 </w:t>
      </w:r>
      <w:r w:rsidRPr="00710742">
        <w:rPr>
          <w:i/>
          <w:iCs/>
        </w:rPr>
        <w:t xml:space="preserve">bis </w:t>
      </w:r>
      <w:r w:rsidRPr="00710742">
        <w:t>of Law no. 359/1992 and, as a consequence, they received amounts far lower than the market value of the properties. Additionally, the compensation they received was, in effect, reduced by 20% on account of tax.</w:t>
      </w:r>
    </w:p>
    <w:p w14:paraId="2BF3F29A"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14</w:t>
      </w:r>
      <w:r w:rsidRPr="00710742">
        <w:rPr>
          <w:noProof/>
        </w:rPr>
        <w:fldChar w:fldCharType="end"/>
      </w:r>
      <w:r w:rsidRPr="00710742">
        <w:t xml:space="preserve">.  The Court has already found that the levying of taxes on the </w:t>
      </w:r>
      <w:r w:rsidRPr="00710742">
        <w:rPr>
          <w:rFonts w:cstheme="minorHAnsi"/>
          <w:color w:val="000000"/>
        </w:rPr>
        <w:t xml:space="preserve">compensation for expropriation does not amount to a disproportionate interference under Article 1 of Protocol No. 1 </w:t>
      </w:r>
      <w:r w:rsidRPr="00710742">
        <w:t xml:space="preserve">(see </w:t>
      </w:r>
      <w:r w:rsidRPr="00710742">
        <w:rPr>
          <w:i/>
          <w:iCs/>
        </w:rPr>
        <w:t xml:space="preserve">Cacciato v. Italy </w:t>
      </w:r>
      <w:r w:rsidRPr="00710742">
        <w:t>(dec.), no.</w:t>
      </w:r>
      <w:r w:rsidR="007271EB" w:rsidRPr="00710742">
        <w:t> </w:t>
      </w:r>
      <w:r w:rsidRPr="00710742">
        <w:t>60633/16, § 32, 16 January 2018).</w:t>
      </w:r>
    </w:p>
    <w:p w14:paraId="48AED6F6"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bookmarkStart w:id="1" w:name="paragraph00017"/>
      <w:r w:rsidRPr="00710742">
        <w:rPr>
          <w:noProof/>
        </w:rPr>
        <w:t>15</w:t>
      </w:r>
      <w:bookmarkEnd w:id="1"/>
      <w:r w:rsidRPr="00710742">
        <w:rPr>
          <w:noProof/>
        </w:rPr>
        <w:fldChar w:fldCharType="end"/>
      </w:r>
      <w:r w:rsidRPr="00710742">
        <w:t>.  Nevertheless, it has also found, in similar cases, that the level of compensation under section 5 </w:t>
      </w:r>
      <w:r w:rsidRPr="00710742">
        <w:rPr>
          <w:i/>
          <w:iCs/>
        </w:rPr>
        <w:t>bis</w:t>
      </w:r>
      <w:r w:rsidRPr="00710742">
        <w:t xml:space="preserve"> of Law no. 359/1992 was inadequate and that applicants in those cases had to bear a disproportionate and excessive burden (see </w:t>
      </w:r>
      <w:r w:rsidRPr="00710742">
        <w:rPr>
          <w:i/>
          <w:iCs/>
        </w:rPr>
        <w:t>Scordino</w:t>
      </w:r>
      <w:r w:rsidRPr="00710742">
        <w:t>, cited above, §§ 99-104). Having examined all the material submitted to it and the parties’ observations (see the appended table), the Court has not found any fact or argument capable of persuading it to reach a different conclusion in the present case.</w:t>
      </w:r>
    </w:p>
    <w:p w14:paraId="76796D1C" w14:textId="77777777" w:rsidR="007940F5" w:rsidRPr="00710742" w:rsidRDefault="00C762FC" w:rsidP="00710742">
      <w:pPr>
        <w:pStyle w:val="JuPara"/>
      </w:pPr>
      <w:r w:rsidRPr="00710742">
        <w:fldChar w:fldCharType="begin"/>
      </w:r>
      <w:r w:rsidRPr="00710742">
        <w:instrText xml:space="preserve"> SEQ level0 \*arabic </w:instrText>
      </w:r>
      <w:r w:rsidRPr="00710742">
        <w:fldChar w:fldCharType="separate"/>
      </w:r>
      <w:r w:rsidR="00710742" w:rsidRPr="00710742">
        <w:rPr>
          <w:noProof/>
        </w:rPr>
        <w:t>16</w:t>
      </w:r>
      <w:r w:rsidRPr="00710742">
        <w:fldChar w:fldCharType="end"/>
      </w:r>
      <w:r w:rsidRPr="00710742">
        <w:t>.  Accordingly, the Court finds that there has been a violation of Article 1 of Protocol No. 1 to the Convention on account of the inadequate compensation.</w:t>
      </w:r>
    </w:p>
    <w:p w14:paraId="2B5BD1E5" w14:textId="77777777" w:rsidR="007940F5" w:rsidRPr="00710742" w:rsidRDefault="00C762FC" w:rsidP="00710742">
      <w:pPr>
        <w:pStyle w:val="JuHHead"/>
      </w:pPr>
      <w:r w:rsidRPr="00710742">
        <w:t>APPLICATION OF ARTICLE 41 OF THE CONVENTION</w:t>
      </w:r>
    </w:p>
    <w:p w14:paraId="7C900871"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17</w:t>
      </w:r>
      <w:r w:rsidRPr="00710742">
        <w:rPr>
          <w:noProof/>
        </w:rPr>
        <w:fldChar w:fldCharType="end"/>
      </w:r>
      <w:r w:rsidRPr="00710742">
        <w:t>.  The applicant institutes claimed the amounts indicated in the appended table in respect of pecuniary and non-pecuniary damage and in respect of costs and expenses.</w:t>
      </w:r>
    </w:p>
    <w:p w14:paraId="3CA0D77A"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18</w:t>
      </w:r>
      <w:r w:rsidRPr="00710742">
        <w:rPr>
          <w:noProof/>
        </w:rPr>
        <w:fldChar w:fldCharType="end"/>
      </w:r>
      <w:r w:rsidRPr="00710742">
        <w:t>.  The Government did not submit any observations regarding the applicant institutes’ just satisfaction claims.</w:t>
      </w:r>
    </w:p>
    <w:p w14:paraId="01774A0D"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19</w:t>
      </w:r>
      <w:r w:rsidRPr="00710742">
        <w:rPr>
          <w:noProof/>
        </w:rPr>
        <w:fldChar w:fldCharType="end"/>
      </w:r>
      <w:r w:rsidRPr="00710742">
        <w:t xml:space="preserve">.  The Court has found a violation of Article 1 of Protocol No. 1 on account of the inadequate compensation awarded for the expropriation of the applicant institutes’ land (see paragraph </w:t>
      </w:r>
      <w:r w:rsidRPr="00710742">
        <w:fldChar w:fldCharType="begin"/>
      </w:r>
      <w:r w:rsidRPr="00710742">
        <w:instrText xml:space="preserve"> REF paragraph00017 \h  \* CharFormat </w:instrText>
      </w:r>
      <w:r w:rsidRPr="00710742">
        <w:fldChar w:fldCharType="separate"/>
      </w:r>
      <w:r w:rsidRPr="00710742">
        <w:t>15</w:t>
      </w:r>
      <w:r w:rsidRPr="00710742">
        <w:fldChar w:fldCharType="end"/>
      </w:r>
      <w:r w:rsidRPr="00710742">
        <w:t xml:space="preserve"> above). The relevant criteria for the calculation of pecuniary damage in such cases have been set forth in </w:t>
      </w:r>
      <w:r w:rsidRPr="00710742">
        <w:rPr>
          <w:i/>
          <w:iCs/>
        </w:rPr>
        <w:t>Scordino</w:t>
      </w:r>
      <w:r w:rsidRPr="00710742">
        <w:t xml:space="preserve"> (cited above, § 258). In particular, the Court relied on the market value of the property at the time of the expropriation as stated in the court-ordered expert reports drawn up during the domestic proceedings.</w:t>
      </w:r>
    </w:p>
    <w:p w14:paraId="58608952"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20</w:t>
      </w:r>
      <w:r w:rsidRPr="00710742">
        <w:rPr>
          <w:noProof/>
        </w:rPr>
        <w:fldChar w:fldCharType="end"/>
      </w:r>
      <w:r w:rsidRPr="00710742">
        <w:t xml:space="preserve">.  Having regard to the applicant institutes’ claims, and taking into account the principle </w:t>
      </w:r>
      <w:r w:rsidRPr="00710742">
        <w:rPr>
          <w:i/>
          <w:iCs/>
        </w:rPr>
        <w:t>non ultra petita</w:t>
      </w:r>
      <w:r w:rsidRPr="00710742">
        <w:t>, the Court awards the sums indicated in the appended table for pecuniary and non-pecuniary damage and dismisses the remainder of the claims.</w:t>
      </w:r>
    </w:p>
    <w:p w14:paraId="0A80FC44" w14:textId="77777777" w:rsidR="007940F5" w:rsidRPr="00710742" w:rsidRDefault="00C762FC" w:rsidP="00710742">
      <w:pPr>
        <w:pStyle w:val="JuPara"/>
      </w:pPr>
      <w:r w:rsidRPr="00710742">
        <w:fldChar w:fldCharType="begin"/>
      </w:r>
      <w:r w:rsidRPr="00710742">
        <w:instrText xml:space="preserve"> SEQ level0 \*arabic \* MERGEFORMAT </w:instrText>
      </w:r>
      <w:r w:rsidRPr="00710742">
        <w:fldChar w:fldCharType="separate"/>
      </w:r>
      <w:r w:rsidRPr="00710742">
        <w:rPr>
          <w:noProof/>
        </w:rPr>
        <w:t>21</w:t>
      </w:r>
      <w:r w:rsidRPr="00710742">
        <w:rPr>
          <w:noProof/>
        </w:rPr>
        <w:fldChar w:fldCharType="end"/>
      </w:r>
      <w:r w:rsidRPr="00710742">
        <w:t xml:space="preserve">.  With regard to costs and expenses, the Court observes that the applicant institutes have not substantiated their claims with any relevant supporting documents establishing that they were under an obligation to pay </w:t>
      </w:r>
      <w:r w:rsidRPr="00710742">
        <w:lastRenderedPageBreak/>
        <w:t>legal fees or that they have actually paid them and, as a consequence, no sum will be awarded on that account.</w:t>
      </w:r>
    </w:p>
    <w:p w14:paraId="115A63BE" w14:textId="77777777" w:rsidR="007940F5" w:rsidRPr="00710742" w:rsidRDefault="00C762FC" w:rsidP="00710742">
      <w:pPr>
        <w:pStyle w:val="JuHHead"/>
      </w:pPr>
      <w:r w:rsidRPr="00710742">
        <w:t>FOR THESE REASONS, THE COURT, UNANIMOUSLY,</w:t>
      </w:r>
    </w:p>
    <w:p w14:paraId="53B13BDA" w14:textId="77777777" w:rsidR="007940F5" w:rsidRPr="00710742" w:rsidRDefault="00C762FC" w:rsidP="00710742">
      <w:pPr>
        <w:pStyle w:val="JuList"/>
      </w:pPr>
      <w:r w:rsidRPr="00710742">
        <w:rPr>
          <w:i/>
          <w:iCs/>
        </w:rPr>
        <w:t>Decides</w:t>
      </w:r>
      <w:r w:rsidRPr="00710742">
        <w:rPr>
          <w:i/>
        </w:rPr>
        <w:t xml:space="preserve"> </w:t>
      </w:r>
      <w:r w:rsidRPr="00710742">
        <w:t>to join the applications;</w:t>
      </w:r>
    </w:p>
    <w:p w14:paraId="5151ED24" w14:textId="77777777" w:rsidR="007940F5" w:rsidRPr="00710742" w:rsidRDefault="00C762FC" w:rsidP="00710742">
      <w:pPr>
        <w:pStyle w:val="JuList"/>
      </w:pPr>
      <w:r w:rsidRPr="00710742">
        <w:rPr>
          <w:i/>
        </w:rPr>
        <w:t>Declares</w:t>
      </w:r>
      <w:r w:rsidRPr="00710742">
        <w:t xml:space="preserve"> the applications admissible;</w:t>
      </w:r>
    </w:p>
    <w:p w14:paraId="4F035AD7" w14:textId="77777777" w:rsidR="007940F5" w:rsidRPr="00710742" w:rsidRDefault="00C762FC" w:rsidP="00710742">
      <w:pPr>
        <w:pStyle w:val="JuList"/>
      </w:pPr>
      <w:r w:rsidRPr="00710742">
        <w:rPr>
          <w:i/>
        </w:rPr>
        <w:t>Holds</w:t>
      </w:r>
      <w:r w:rsidRPr="00710742">
        <w:t xml:space="preserve"> that there has been a violation of Article 1 of Protocol No. 1 to the Convention;</w:t>
      </w:r>
    </w:p>
    <w:p w14:paraId="4EC0BF00" w14:textId="77777777" w:rsidR="007940F5" w:rsidRPr="00710742" w:rsidRDefault="00C762FC" w:rsidP="00710742">
      <w:pPr>
        <w:pStyle w:val="JuList"/>
      </w:pPr>
      <w:r w:rsidRPr="00710742">
        <w:rPr>
          <w:i/>
          <w:iCs/>
        </w:rPr>
        <w:t>Holds</w:t>
      </w:r>
    </w:p>
    <w:p w14:paraId="536C351F" w14:textId="77777777" w:rsidR="007940F5" w:rsidRPr="00710742" w:rsidRDefault="00C762FC" w:rsidP="00710742">
      <w:pPr>
        <w:pStyle w:val="JuLista"/>
      </w:pPr>
      <w:r w:rsidRPr="00710742">
        <w:t>that the respondent State is to pay the applicant institutes the amounts indicated in the appended table, within three months, in respect of pecuniary and non-pecuniary damage;</w:t>
      </w:r>
    </w:p>
    <w:p w14:paraId="793EC318" w14:textId="77777777" w:rsidR="007940F5" w:rsidRPr="00710742" w:rsidRDefault="00C762FC" w:rsidP="00710742">
      <w:pPr>
        <w:pStyle w:val="JuLista"/>
      </w:pPr>
      <w:r w:rsidRPr="00710742">
        <w:t>that from the expiry of the above-mentioned three months until settlement simple interest shall be payable on the amounts indicated in the appended table at a rate equal to the marginal lending rate of the European Central Bank during the default period plus three percentage points;</w:t>
      </w:r>
    </w:p>
    <w:p w14:paraId="77CF71F1" w14:textId="77777777" w:rsidR="004D0EC7" w:rsidRPr="00710742" w:rsidRDefault="00C762FC" w:rsidP="00710742">
      <w:pPr>
        <w:pStyle w:val="JuList"/>
      </w:pPr>
      <w:r w:rsidRPr="00710742">
        <w:rPr>
          <w:i/>
        </w:rPr>
        <w:t xml:space="preserve">Dismisses </w:t>
      </w:r>
      <w:r w:rsidRPr="00710742">
        <w:t>the remainder of the applicant institutes</w:t>
      </w:r>
      <w:r w:rsidR="00710742" w:rsidRPr="00710742">
        <w:t>’</w:t>
      </w:r>
      <w:r w:rsidRPr="00710742">
        <w:t xml:space="preserve"> claim for just satisfaction.</w:t>
      </w:r>
    </w:p>
    <w:p w14:paraId="6C531F10" w14:textId="77777777" w:rsidR="008E3A08" w:rsidRPr="00710742" w:rsidRDefault="00C762FC" w:rsidP="00710742">
      <w:pPr>
        <w:pStyle w:val="JuParaLast"/>
      </w:pPr>
      <w:r w:rsidRPr="00710742">
        <w:t xml:space="preserve">Done in English, and notified in writing on </w:t>
      </w:r>
      <w:r w:rsidR="007940F5" w:rsidRPr="00710742">
        <w:rPr>
          <w:rFonts w:ascii="Times New Roman" w:hAnsi="Times New Roman" w:cs="Times New Roman"/>
        </w:rPr>
        <w:t>13 July 2023</w:t>
      </w:r>
      <w:r w:rsidRPr="00710742">
        <w:t>, pursuant to Rule 77 §§ 2 and 3 of the Rules of Court.</w:t>
      </w:r>
    </w:p>
    <w:p w14:paraId="4BDB9409" w14:textId="77777777" w:rsidR="007E79A4" w:rsidRPr="00710742" w:rsidRDefault="00C762FC" w:rsidP="00710742">
      <w:pPr>
        <w:pStyle w:val="ECHRPlaceholder"/>
        <w:rPr>
          <w:szCs w:val="22"/>
        </w:rPr>
      </w:pPr>
      <w:r w:rsidRPr="00710742">
        <w:tab/>
      </w:r>
    </w:p>
    <w:p w14:paraId="41CAF469" w14:textId="77777777" w:rsidR="007E79A4" w:rsidRPr="00710742" w:rsidRDefault="00C762FC" w:rsidP="00710742">
      <w:pPr>
        <w:pStyle w:val="JuSigned"/>
      </w:pPr>
      <w:r w:rsidRPr="00710742">
        <w:tab/>
      </w:r>
      <w:r w:rsidR="007940F5" w:rsidRPr="00710742">
        <w:rPr>
          <w:noProof/>
        </w:rPr>
        <w:t>Liv Tigerstedt</w:t>
      </w:r>
      <w:r w:rsidRPr="00710742">
        <w:tab/>
      </w:r>
      <w:r w:rsidR="007940F5" w:rsidRPr="00710742">
        <w:rPr>
          <w:noProof/>
        </w:rPr>
        <w:t>Péter Paczolay</w:t>
      </w:r>
      <w:r w:rsidRPr="00710742">
        <w:br/>
      </w:r>
      <w:r w:rsidRPr="00710742">
        <w:tab/>
      </w:r>
      <w:r w:rsidR="007940F5" w:rsidRPr="00710742">
        <w:rPr>
          <w:noProof/>
        </w:rPr>
        <w:t>Deputy Registrar</w:t>
      </w:r>
      <w:r w:rsidRPr="00710742">
        <w:tab/>
        <w:t>President</w:t>
      </w:r>
    </w:p>
    <w:p w14:paraId="220F4380" w14:textId="77777777" w:rsidR="00675AF2" w:rsidRPr="00710742" w:rsidRDefault="00675AF2" w:rsidP="00710742">
      <w:pPr>
        <w:pStyle w:val="JuPara"/>
      </w:pPr>
    </w:p>
    <w:p w14:paraId="3E9D59CB" w14:textId="77777777" w:rsidR="007940F5" w:rsidRPr="00710742" w:rsidRDefault="007940F5" w:rsidP="00710742">
      <w:pPr>
        <w:rPr>
          <w:noProof/>
          <w:color w:val="000000"/>
        </w:rPr>
      </w:pPr>
    </w:p>
    <w:p w14:paraId="358AA7D9" w14:textId="77777777" w:rsidR="007940F5" w:rsidRPr="00710742" w:rsidRDefault="007940F5" w:rsidP="00710742">
      <w:pPr>
        <w:rPr>
          <w:noProof/>
          <w:color w:val="000000"/>
        </w:rPr>
        <w:sectPr w:rsidR="007940F5" w:rsidRPr="00710742"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14:paraId="23560747" w14:textId="77777777" w:rsidR="007940F5" w:rsidRPr="00710742" w:rsidRDefault="00C762FC" w:rsidP="00710742">
      <w:pPr>
        <w:pStyle w:val="DecHTitle"/>
        <w:rPr>
          <w:noProof/>
        </w:rPr>
      </w:pPr>
      <w:r w:rsidRPr="00710742">
        <w:rPr>
          <w:noProof/>
        </w:rPr>
        <w:lastRenderedPageBreak/>
        <w:t>APPENDIX</w:t>
      </w:r>
    </w:p>
    <w:tbl>
      <w:tblPr>
        <w:tblStyle w:val="ECHRListTable"/>
        <w:tblpPr w:leftFromText="141" w:rightFromText="141" w:vertAnchor="text" w:tblpX="-1003" w:tblpY="1"/>
        <w:tblOverlap w:val="never"/>
        <w:tblW w:w="14034" w:type="dxa"/>
        <w:tblLayout w:type="fixed"/>
        <w:tblLook w:val="0420" w:firstRow="1" w:lastRow="0" w:firstColumn="0" w:lastColumn="0" w:noHBand="0" w:noVBand="1"/>
      </w:tblPr>
      <w:tblGrid>
        <w:gridCol w:w="562"/>
        <w:gridCol w:w="1418"/>
        <w:gridCol w:w="1559"/>
        <w:gridCol w:w="1276"/>
        <w:gridCol w:w="2410"/>
        <w:gridCol w:w="1559"/>
        <w:gridCol w:w="1276"/>
        <w:gridCol w:w="2126"/>
        <w:gridCol w:w="1848"/>
      </w:tblGrid>
      <w:tr w:rsidR="0011044C" w14:paraId="625E6520" w14:textId="77777777" w:rsidTr="0011044C">
        <w:trPr>
          <w:cnfStyle w:val="100000000000" w:firstRow="1" w:lastRow="0" w:firstColumn="0" w:lastColumn="0" w:oddVBand="0" w:evenVBand="0" w:oddHBand="0" w:evenHBand="0" w:firstRowFirstColumn="0" w:firstRowLastColumn="0" w:lastRowFirstColumn="0" w:lastRowLastColumn="0"/>
        </w:trPr>
        <w:tc>
          <w:tcPr>
            <w:tcW w:w="562" w:type="dxa"/>
            <w:hideMark/>
          </w:tcPr>
          <w:p w14:paraId="3661E14C" w14:textId="77777777" w:rsidR="007940F5" w:rsidRPr="00710742" w:rsidRDefault="00C762FC" w:rsidP="00710742">
            <w:pPr>
              <w:rPr>
                <w:rFonts w:eastAsia="Times New Roman"/>
                <w:sz w:val="18"/>
                <w:szCs w:val="18"/>
              </w:rPr>
            </w:pPr>
            <w:bookmarkStart w:id="2" w:name="AppTableStart"/>
            <w:bookmarkEnd w:id="2"/>
            <w:r w:rsidRPr="00710742">
              <w:rPr>
                <w:rFonts w:eastAsia="Times New Roman"/>
                <w:sz w:val="18"/>
                <w:szCs w:val="18"/>
              </w:rPr>
              <w:t>No.</w:t>
            </w:r>
          </w:p>
        </w:tc>
        <w:tc>
          <w:tcPr>
            <w:tcW w:w="1418" w:type="dxa"/>
            <w:hideMark/>
          </w:tcPr>
          <w:p w14:paraId="640CE46B" w14:textId="77777777" w:rsidR="007940F5" w:rsidRPr="00710742" w:rsidRDefault="00C762FC" w:rsidP="00710742">
            <w:pPr>
              <w:rPr>
                <w:rFonts w:eastAsia="Times New Roman"/>
                <w:sz w:val="18"/>
                <w:szCs w:val="18"/>
              </w:rPr>
            </w:pPr>
            <w:r w:rsidRPr="00710742">
              <w:rPr>
                <w:rFonts w:eastAsia="Times New Roman"/>
                <w:sz w:val="18"/>
                <w:szCs w:val="18"/>
              </w:rPr>
              <w:t>Application no.</w:t>
            </w:r>
            <w:r w:rsidRPr="00710742">
              <w:rPr>
                <w:rFonts w:eastAsia="Times New Roman"/>
                <w:sz w:val="18"/>
                <w:szCs w:val="18"/>
              </w:rPr>
              <w:br/>
              <w:t>Case name</w:t>
            </w:r>
            <w:r w:rsidRPr="00710742">
              <w:rPr>
                <w:rFonts w:eastAsia="Times New Roman"/>
                <w:sz w:val="18"/>
                <w:szCs w:val="18"/>
              </w:rPr>
              <w:br/>
              <w:t>Date of introduction</w:t>
            </w:r>
          </w:p>
        </w:tc>
        <w:tc>
          <w:tcPr>
            <w:tcW w:w="1559" w:type="dxa"/>
            <w:hideMark/>
          </w:tcPr>
          <w:p w14:paraId="5DA3C578" w14:textId="77777777" w:rsidR="007940F5" w:rsidRPr="00710742" w:rsidRDefault="00C762FC" w:rsidP="00710742">
            <w:pPr>
              <w:rPr>
                <w:rFonts w:eastAsia="Times New Roman"/>
                <w:sz w:val="18"/>
                <w:szCs w:val="18"/>
              </w:rPr>
            </w:pPr>
            <w:r w:rsidRPr="00710742">
              <w:rPr>
                <w:rFonts w:eastAsia="Times New Roman"/>
                <w:sz w:val="18"/>
                <w:szCs w:val="18"/>
              </w:rPr>
              <w:t>Applicant institute</w:t>
            </w:r>
            <w:r w:rsidR="00710742" w:rsidRPr="00710742">
              <w:rPr>
                <w:rFonts w:eastAsia="Times New Roman"/>
                <w:sz w:val="18"/>
                <w:szCs w:val="18"/>
              </w:rPr>
              <w:t>’</w:t>
            </w:r>
            <w:r w:rsidRPr="00710742">
              <w:rPr>
                <w:rFonts w:eastAsia="Times New Roman"/>
                <w:sz w:val="18"/>
                <w:szCs w:val="18"/>
              </w:rPr>
              <w:t>s name</w:t>
            </w:r>
          </w:p>
        </w:tc>
        <w:tc>
          <w:tcPr>
            <w:tcW w:w="1276" w:type="dxa"/>
            <w:hideMark/>
          </w:tcPr>
          <w:p w14:paraId="6EDB7C4F" w14:textId="77777777" w:rsidR="007940F5" w:rsidRPr="00710742" w:rsidRDefault="00C762FC" w:rsidP="00710742">
            <w:pPr>
              <w:rPr>
                <w:rFonts w:eastAsia="Times New Roman"/>
                <w:sz w:val="18"/>
                <w:szCs w:val="18"/>
              </w:rPr>
            </w:pPr>
            <w:r w:rsidRPr="00710742">
              <w:rPr>
                <w:rFonts w:eastAsia="Times New Roman"/>
                <w:sz w:val="18"/>
                <w:szCs w:val="18"/>
              </w:rPr>
              <w:t>Represen-tative</w:t>
            </w:r>
            <w:r w:rsidR="00710742" w:rsidRPr="00710742">
              <w:rPr>
                <w:rFonts w:eastAsia="Times New Roman"/>
                <w:sz w:val="18"/>
                <w:szCs w:val="18"/>
              </w:rPr>
              <w:t>’</w:t>
            </w:r>
            <w:r w:rsidRPr="00710742">
              <w:rPr>
                <w:rFonts w:eastAsia="Times New Roman"/>
                <w:sz w:val="18"/>
                <w:szCs w:val="18"/>
              </w:rPr>
              <w:t>s name</w:t>
            </w:r>
            <w:r w:rsidRPr="00710742">
              <w:rPr>
                <w:rFonts w:eastAsia="Times New Roman"/>
                <w:sz w:val="18"/>
                <w:szCs w:val="18"/>
              </w:rPr>
              <w:br/>
              <w:t>Location</w:t>
            </w:r>
          </w:p>
        </w:tc>
        <w:tc>
          <w:tcPr>
            <w:tcW w:w="2410" w:type="dxa"/>
            <w:hideMark/>
          </w:tcPr>
          <w:p w14:paraId="753CDC3B" w14:textId="77777777" w:rsidR="007940F5" w:rsidRPr="00710742" w:rsidRDefault="00C762FC" w:rsidP="00710742">
            <w:pPr>
              <w:rPr>
                <w:rFonts w:eastAsia="Times New Roman"/>
                <w:sz w:val="18"/>
                <w:szCs w:val="18"/>
              </w:rPr>
            </w:pPr>
            <w:r w:rsidRPr="00710742">
              <w:rPr>
                <w:rFonts w:eastAsia="Times New Roman"/>
                <w:sz w:val="18"/>
                <w:szCs w:val="18"/>
              </w:rPr>
              <w:t>Factual information</w:t>
            </w:r>
          </w:p>
        </w:tc>
        <w:tc>
          <w:tcPr>
            <w:tcW w:w="1559" w:type="dxa"/>
            <w:hideMark/>
          </w:tcPr>
          <w:p w14:paraId="3AD9B540" w14:textId="77777777" w:rsidR="007940F5" w:rsidRPr="00710742" w:rsidRDefault="00C762FC" w:rsidP="00710742">
            <w:pPr>
              <w:rPr>
                <w:rFonts w:eastAsia="Times New Roman"/>
                <w:sz w:val="18"/>
                <w:szCs w:val="18"/>
              </w:rPr>
            </w:pPr>
            <w:r w:rsidRPr="00710742">
              <w:rPr>
                <w:rFonts w:eastAsia="Times New Roman"/>
                <w:sz w:val="18"/>
                <w:szCs w:val="18"/>
              </w:rPr>
              <w:t>Amounts awarded by national courts in euros (EUR)</w:t>
            </w:r>
          </w:p>
        </w:tc>
        <w:tc>
          <w:tcPr>
            <w:tcW w:w="1276" w:type="dxa"/>
            <w:hideMark/>
          </w:tcPr>
          <w:p w14:paraId="4D0B2ECB" w14:textId="77777777" w:rsidR="007940F5" w:rsidRPr="00710742" w:rsidRDefault="00C762FC" w:rsidP="00710742">
            <w:pPr>
              <w:rPr>
                <w:rFonts w:eastAsia="Times New Roman"/>
                <w:sz w:val="18"/>
                <w:szCs w:val="18"/>
              </w:rPr>
            </w:pPr>
            <w:r w:rsidRPr="00710742">
              <w:rPr>
                <w:rFonts w:eastAsia="Times New Roman"/>
                <w:sz w:val="18"/>
                <w:szCs w:val="18"/>
              </w:rPr>
              <w:t>Market value of the land in EUR</w:t>
            </w:r>
          </w:p>
        </w:tc>
        <w:tc>
          <w:tcPr>
            <w:tcW w:w="2126" w:type="dxa"/>
            <w:hideMark/>
          </w:tcPr>
          <w:p w14:paraId="410EF3B8" w14:textId="77777777" w:rsidR="007940F5" w:rsidRPr="00710742" w:rsidRDefault="00C762FC" w:rsidP="00710742">
            <w:pPr>
              <w:rPr>
                <w:rFonts w:eastAsia="Times New Roman"/>
                <w:sz w:val="18"/>
                <w:szCs w:val="18"/>
              </w:rPr>
            </w:pPr>
            <w:r w:rsidRPr="00710742">
              <w:rPr>
                <w:rFonts w:eastAsia="Times New Roman"/>
                <w:sz w:val="18"/>
                <w:szCs w:val="18"/>
              </w:rPr>
              <w:t>The parties</w:t>
            </w:r>
            <w:r w:rsidR="00710742" w:rsidRPr="00710742">
              <w:rPr>
                <w:rFonts w:eastAsia="Times New Roman"/>
                <w:sz w:val="18"/>
                <w:szCs w:val="18"/>
              </w:rPr>
              <w:t>’</w:t>
            </w:r>
            <w:r w:rsidRPr="00710742">
              <w:rPr>
                <w:rFonts w:eastAsia="Times New Roman"/>
                <w:sz w:val="18"/>
                <w:szCs w:val="18"/>
              </w:rPr>
              <w:t xml:space="preserve"> observations</w:t>
            </w:r>
          </w:p>
        </w:tc>
        <w:tc>
          <w:tcPr>
            <w:tcW w:w="1848" w:type="dxa"/>
            <w:hideMark/>
          </w:tcPr>
          <w:p w14:paraId="75A8A8BE" w14:textId="77777777" w:rsidR="007940F5" w:rsidRPr="00710742" w:rsidRDefault="00C762FC" w:rsidP="00710742">
            <w:pPr>
              <w:rPr>
                <w:rFonts w:eastAsia="Times New Roman"/>
                <w:sz w:val="18"/>
                <w:szCs w:val="18"/>
              </w:rPr>
            </w:pPr>
            <w:r w:rsidRPr="00710742">
              <w:rPr>
                <w:rFonts w:eastAsia="Times New Roman"/>
                <w:sz w:val="18"/>
                <w:szCs w:val="18"/>
              </w:rPr>
              <w:t>Award under Article 41 of the Convention per application</w:t>
            </w:r>
          </w:p>
        </w:tc>
      </w:tr>
      <w:tr w:rsidR="0011044C" w14:paraId="34E9CFB1" w14:textId="77777777" w:rsidTr="0011044C">
        <w:tc>
          <w:tcPr>
            <w:tcW w:w="562" w:type="dxa"/>
            <w:hideMark/>
          </w:tcPr>
          <w:p w14:paraId="5A5A703D" w14:textId="77777777" w:rsidR="007940F5" w:rsidRPr="00710742" w:rsidRDefault="00C762FC" w:rsidP="00710742">
            <w:pPr>
              <w:rPr>
                <w:rFonts w:eastAsia="Times New Roman"/>
                <w:sz w:val="18"/>
                <w:szCs w:val="18"/>
              </w:rPr>
            </w:pPr>
            <w:r w:rsidRPr="00710742">
              <w:rPr>
                <w:rFonts w:eastAsia="Times New Roman"/>
                <w:sz w:val="18"/>
                <w:szCs w:val="18"/>
              </w:rPr>
              <w:t>1.</w:t>
            </w:r>
          </w:p>
        </w:tc>
        <w:tc>
          <w:tcPr>
            <w:tcW w:w="1418" w:type="dxa"/>
            <w:hideMark/>
          </w:tcPr>
          <w:p w14:paraId="5A90B86A" w14:textId="77777777" w:rsidR="007940F5" w:rsidRPr="00710742" w:rsidRDefault="00C762FC" w:rsidP="00710742">
            <w:pPr>
              <w:rPr>
                <w:rFonts w:eastAsia="Times New Roman"/>
                <w:sz w:val="18"/>
                <w:szCs w:val="18"/>
                <w:lang w:val="it-IT"/>
              </w:rPr>
            </w:pPr>
            <w:r w:rsidRPr="00710742">
              <w:rPr>
                <w:rFonts w:eastAsia="Times New Roman"/>
                <w:sz w:val="18"/>
                <w:szCs w:val="18"/>
                <w:lang w:val="it-IT"/>
              </w:rPr>
              <w:t>41591/07</w:t>
            </w:r>
            <w:r w:rsidRPr="00710742">
              <w:rPr>
                <w:rFonts w:eastAsia="Times New Roman"/>
                <w:sz w:val="18"/>
                <w:szCs w:val="18"/>
                <w:lang w:val="it-IT"/>
              </w:rPr>
              <w:br/>
              <w:t>Istituto diocesano per il Sostentamento del Clero di Capua v. Italy</w:t>
            </w:r>
            <w:r w:rsidRPr="00710742">
              <w:rPr>
                <w:rFonts w:eastAsia="Times New Roman"/>
                <w:sz w:val="18"/>
                <w:szCs w:val="18"/>
                <w:lang w:val="it-IT"/>
              </w:rPr>
              <w:br/>
              <w:t>07/09/2007</w:t>
            </w:r>
          </w:p>
        </w:tc>
        <w:tc>
          <w:tcPr>
            <w:tcW w:w="1559" w:type="dxa"/>
            <w:hideMark/>
          </w:tcPr>
          <w:p w14:paraId="7CFF95B1" w14:textId="77777777" w:rsidR="007940F5" w:rsidRPr="00710742" w:rsidRDefault="00C762FC" w:rsidP="00710742">
            <w:pPr>
              <w:rPr>
                <w:rFonts w:eastAsia="Times New Roman"/>
                <w:sz w:val="18"/>
                <w:szCs w:val="18"/>
                <w:lang w:val="it-IT"/>
              </w:rPr>
            </w:pPr>
            <w:r w:rsidRPr="00710742">
              <w:rPr>
                <w:rFonts w:eastAsia="Times New Roman"/>
                <w:b/>
                <w:bCs/>
                <w:sz w:val="18"/>
                <w:szCs w:val="18"/>
                <w:lang w:val="it-IT"/>
              </w:rPr>
              <w:t>ISTITUTO DIOCESANO PER IL SOSTENTA-MENTO DEL CLERO DI CAPUA</w:t>
            </w:r>
            <w:r w:rsidRPr="00710742">
              <w:rPr>
                <w:rFonts w:eastAsia="Times New Roman"/>
                <w:sz w:val="18"/>
                <w:szCs w:val="18"/>
                <w:lang w:val="it-IT"/>
              </w:rPr>
              <w:br/>
            </w:r>
          </w:p>
        </w:tc>
        <w:tc>
          <w:tcPr>
            <w:tcW w:w="1276" w:type="dxa"/>
            <w:hideMark/>
          </w:tcPr>
          <w:p w14:paraId="741EA9AC" w14:textId="77777777" w:rsidR="007940F5" w:rsidRPr="00710742" w:rsidRDefault="00C762FC" w:rsidP="00710742">
            <w:pPr>
              <w:rPr>
                <w:rFonts w:eastAsia="Times New Roman"/>
                <w:sz w:val="18"/>
                <w:szCs w:val="18"/>
              </w:rPr>
            </w:pPr>
            <w:r w:rsidRPr="00710742">
              <w:rPr>
                <w:rFonts w:eastAsia="Times New Roman"/>
                <w:sz w:val="18"/>
                <w:szCs w:val="18"/>
              </w:rPr>
              <w:t>Alfredo IMPARATO</w:t>
            </w:r>
            <w:r w:rsidRPr="00710742">
              <w:rPr>
                <w:rFonts w:eastAsia="Times New Roman"/>
                <w:sz w:val="18"/>
                <w:szCs w:val="18"/>
              </w:rPr>
              <w:br/>
            </w:r>
            <w:r w:rsidRPr="00710742">
              <w:rPr>
                <w:rFonts w:eastAsia="Times New Roman"/>
                <w:sz w:val="18"/>
                <w:szCs w:val="18"/>
              </w:rPr>
              <w:t>San Prisco</w:t>
            </w:r>
          </w:p>
        </w:tc>
        <w:tc>
          <w:tcPr>
            <w:tcW w:w="2410" w:type="dxa"/>
            <w:hideMark/>
          </w:tcPr>
          <w:p w14:paraId="57602DC9" w14:textId="77777777" w:rsidR="007940F5" w:rsidRPr="00710742" w:rsidRDefault="00C762FC" w:rsidP="00710742">
            <w:pPr>
              <w:rPr>
                <w:rFonts w:eastAsia="Times New Roman"/>
                <w:sz w:val="18"/>
                <w:szCs w:val="18"/>
              </w:rPr>
            </w:pPr>
            <w:r w:rsidRPr="00710742">
              <w:rPr>
                <w:rFonts w:eastAsia="Times New Roman"/>
                <w:sz w:val="18"/>
                <w:szCs w:val="18"/>
                <w:u w:val="single"/>
              </w:rPr>
              <w:t>Land</w:t>
            </w:r>
            <w:r w:rsidRPr="00710742">
              <w:rPr>
                <w:rFonts w:eastAsia="Times New Roman"/>
                <w:sz w:val="18"/>
                <w:szCs w:val="18"/>
              </w:rPr>
              <w:t>: Municipality of San Prisco, recorded in the land register as folio no. 5, parcels nos. 5463, 5464, 5465, 5466 and 5467</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Public interest pursued</w:t>
            </w:r>
            <w:r w:rsidRPr="00710742">
              <w:rPr>
                <w:rFonts w:eastAsia="Times New Roman"/>
                <w:sz w:val="18"/>
                <w:szCs w:val="18"/>
              </w:rPr>
              <w:t>: social housing</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Urgent occupation order</w:t>
            </w:r>
            <w:r w:rsidRPr="00710742">
              <w:rPr>
                <w:rFonts w:eastAsia="Times New Roman"/>
                <w:sz w:val="18"/>
                <w:szCs w:val="18"/>
              </w:rPr>
              <w:t>: 22/07/1999</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Physical occupation</w:t>
            </w:r>
            <w:r w:rsidRPr="00710742">
              <w:rPr>
                <w:rFonts w:eastAsia="Times New Roman"/>
                <w:sz w:val="18"/>
                <w:szCs w:val="18"/>
              </w:rPr>
              <w:t>: 07/09/1999</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Expropriation order</w:t>
            </w:r>
            <w:r w:rsidRPr="00710742">
              <w:rPr>
                <w:rFonts w:eastAsia="Times New Roman"/>
                <w:sz w:val="18"/>
                <w:szCs w:val="18"/>
              </w:rPr>
              <w:t>: 03/12/2001</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National decisions</w:t>
            </w:r>
            <w:r w:rsidRPr="00710742">
              <w:rPr>
                <w:rFonts w:eastAsia="Times New Roman"/>
                <w:sz w:val="18"/>
                <w:szCs w:val="18"/>
              </w:rPr>
              <w:t xml:space="preserve">: Naples Court of Appeal, 12/04/2005, awarding compensation for expropriation and occupation based on section 5 </w:t>
            </w:r>
            <w:r w:rsidRPr="00710742">
              <w:rPr>
                <w:rFonts w:eastAsia="Times New Roman"/>
                <w:i/>
                <w:iCs/>
                <w:sz w:val="18"/>
                <w:szCs w:val="18"/>
              </w:rPr>
              <w:t>bis</w:t>
            </w:r>
            <w:r w:rsidRPr="00710742">
              <w:rPr>
                <w:rFonts w:eastAsia="Times New Roman"/>
                <w:sz w:val="18"/>
                <w:szCs w:val="18"/>
              </w:rPr>
              <w:t xml:space="preserve"> of Law no. 359/1992;</w:t>
            </w:r>
            <w:r w:rsidRPr="00710742">
              <w:rPr>
                <w:rFonts w:eastAsia="Times New Roman"/>
                <w:sz w:val="18"/>
                <w:szCs w:val="18"/>
              </w:rPr>
              <w:br/>
              <w:t>Court of Cassation, 07/07/2011, confirming first-instance judgment</w:t>
            </w:r>
          </w:p>
        </w:tc>
        <w:tc>
          <w:tcPr>
            <w:tcW w:w="1559" w:type="dxa"/>
            <w:hideMark/>
          </w:tcPr>
          <w:p w14:paraId="1FC94D11" w14:textId="77777777" w:rsidR="007940F5" w:rsidRPr="00710742" w:rsidRDefault="00C762FC" w:rsidP="00710742">
            <w:pPr>
              <w:rPr>
                <w:rFonts w:eastAsia="Times New Roman"/>
                <w:sz w:val="18"/>
                <w:szCs w:val="18"/>
              </w:rPr>
            </w:pPr>
            <w:r w:rsidRPr="00710742">
              <w:rPr>
                <w:rFonts w:eastAsia="Times New Roman"/>
                <w:sz w:val="18"/>
                <w:szCs w:val="18"/>
              </w:rPr>
              <w:t xml:space="preserve">EUR 605,336.69 in expropriation compensation, plus statutory interest; occupation compensation based on interest on expropriation compensation </w:t>
            </w:r>
          </w:p>
        </w:tc>
        <w:tc>
          <w:tcPr>
            <w:tcW w:w="1276" w:type="dxa"/>
            <w:hideMark/>
          </w:tcPr>
          <w:p w14:paraId="089E3EE0" w14:textId="77777777" w:rsidR="007940F5" w:rsidRPr="00710742" w:rsidRDefault="00C762FC" w:rsidP="00710742">
            <w:pPr>
              <w:rPr>
                <w:rFonts w:eastAsia="Times New Roman"/>
                <w:sz w:val="18"/>
                <w:szCs w:val="18"/>
              </w:rPr>
            </w:pPr>
            <w:r w:rsidRPr="00710742">
              <w:rPr>
                <w:rFonts w:eastAsia="Times New Roman"/>
                <w:sz w:val="18"/>
                <w:szCs w:val="18"/>
              </w:rPr>
              <w:t>EUR 1,777,500 (in December 2001, according to independent expert valuation)</w:t>
            </w:r>
          </w:p>
        </w:tc>
        <w:tc>
          <w:tcPr>
            <w:tcW w:w="2126" w:type="dxa"/>
            <w:hideMark/>
          </w:tcPr>
          <w:p w14:paraId="39DEC59B" w14:textId="77777777" w:rsidR="007940F5" w:rsidRPr="00710742" w:rsidRDefault="00C762FC" w:rsidP="00710742">
            <w:pPr>
              <w:rPr>
                <w:rFonts w:eastAsia="Times New Roman"/>
                <w:sz w:val="18"/>
                <w:szCs w:val="18"/>
              </w:rPr>
            </w:pPr>
            <w:r w:rsidRPr="00710742">
              <w:rPr>
                <w:rFonts w:eastAsia="Times New Roman"/>
                <w:sz w:val="18"/>
                <w:szCs w:val="18"/>
                <w:u w:val="single"/>
              </w:rPr>
              <w:t>Government</w:t>
            </w:r>
            <w:r w:rsidRPr="00710742">
              <w:rPr>
                <w:rFonts w:eastAsia="Times New Roman"/>
                <w:sz w:val="18"/>
                <w:szCs w:val="18"/>
              </w:rPr>
              <w:t xml:space="preserve">: </w:t>
            </w:r>
            <w:r w:rsidRPr="00710742">
              <w:rPr>
                <w:rFonts w:eastAsia="Times New Roman"/>
                <w:sz w:val="18"/>
                <w:szCs w:val="18"/>
              </w:rPr>
              <w:br/>
              <w:t xml:space="preserve">(1) admissibility: loss of victim status following settlement agreement of 13/04/2012; </w:t>
            </w:r>
            <w:r w:rsidRPr="00710742">
              <w:rPr>
                <w:rFonts w:eastAsia="Times New Roman"/>
                <w:sz w:val="18"/>
                <w:szCs w:val="18"/>
              </w:rPr>
              <w:br/>
              <w:t>(2) merits: interference proportionate to the public interest pursued</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Applicant institute</w:t>
            </w:r>
            <w:r w:rsidRPr="00710742">
              <w:rPr>
                <w:rFonts w:eastAsia="Times New Roman"/>
                <w:sz w:val="18"/>
                <w:szCs w:val="18"/>
              </w:rPr>
              <w:t xml:space="preserve">: </w:t>
            </w:r>
            <w:r w:rsidRPr="00710742">
              <w:rPr>
                <w:rFonts w:eastAsia="Times New Roman"/>
                <w:sz w:val="18"/>
                <w:szCs w:val="18"/>
              </w:rPr>
              <w:br/>
              <w:t xml:space="preserve">(1) admissibility: the agreement did not contain any waiver in respect of the claims lodged with the Court; </w:t>
            </w:r>
            <w:r w:rsidRPr="00710742">
              <w:rPr>
                <w:rFonts w:eastAsia="Times New Roman"/>
                <w:sz w:val="18"/>
                <w:szCs w:val="18"/>
              </w:rPr>
              <w:br/>
              <w:t xml:space="preserve">(2) compensation did not reflect market value and was also subject to 20% tax; </w:t>
            </w:r>
            <w:r w:rsidRPr="00710742">
              <w:rPr>
                <w:rFonts w:eastAsia="Times New Roman"/>
                <w:sz w:val="18"/>
                <w:szCs w:val="18"/>
              </w:rPr>
              <w:br/>
              <w:t xml:space="preserve">(3) just satisfaction claims: </w:t>
            </w:r>
            <w:r w:rsidRPr="00710742">
              <w:rPr>
                <w:rFonts w:eastAsia="Times New Roman"/>
                <w:sz w:val="18"/>
                <w:szCs w:val="18"/>
              </w:rPr>
              <w:br/>
              <w:t>(a) loss of property: EUR 1,132,235.51</w:t>
            </w:r>
            <w:r w:rsidRPr="00710742">
              <w:rPr>
                <w:rFonts w:eastAsia="Times New Roman"/>
                <w:sz w:val="18"/>
                <w:szCs w:val="18"/>
              </w:rPr>
              <w:br/>
              <w:t>(b) non-pecuniary damage: EUR 150,000</w:t>
            </w:r>
            <w:r w:rsidRPr="00710742">
              <w:rPr>
                <w:rFonts w:eastAsia="Times New Roman"/>
                <w:sz w:val="18"/>
                <w:szCs w:val="18"/>
              </w:rPr>
              <w:br/>
              <w:t>(c) costs and expenses before t</w:t>
            </w:r>
            <w:r w:rsidRPr="00710742">
              <w:rPr>
                <w:rFonts w:eastAsia="Times New Roman"/>
                <w:sz w:val="18"/>
                <w:szCs w:val="18"/>
              </w:rPr>
              <w:t>he Court: EUR 39,075.85</w:t>
            </w:r>
          </w:p>
        </w:tc>
        <w:tc>
          <w:tcPr>
            <w:tcW w:w="1848" w:type="dxa"/>
            <w:hideMark/>
          </w:tcPr>
          <w:p w14:paraId="324FA7EC" w14:textId="77777777" w:rsidR="007940F5" w:rsidRPr="00710742" w:rsidRDefault="00C762FC" w:rsidP="00710742">
            <w:pPr>
              <w:rPr>
                <w:rFonts w:eastAsia="Times New Roman"/>
                <w:sz w:val="18"/>
                <w:szCs w:val="18"/>
              </w:rPr>
            </w:pPr>
            <w:r w:rsidRPr="00710742">
              <w:rPr>
                <w:rFonts w:eastAsia="Times New Roman"/>
                <w:sz w:val="18"/>
                <w:szCs w:val="18"/>
              </w:rPr>
              <w:t xml:space="preserve">Pecuniary damage (loss of property): </w:t>
            </w:r>
            <w:r w:rsidRPr="00710742">
              <w:rPr>
                <w:rFonts w:eastAsia="Times New Roman"/>
                <w:b/>
                <w:bCs/>
                <w:sz w:val="18"/>
                <w:szCs w:val="18"/>
              </w:rPr>
              <w:t>EUR 1,132,235.51</w:t>
            </w:r>
            <w:r w:rsidRPr="00710742">
              <w:rPr>
                <w:rFonts w:eastAsia="Times New Roman"/>
                <w:sz w:val="18"/>
                <w:szCs w:val="18"/>
              </w:rPr>
              <w:t xml:space="preserve"> </w:t>
            </w:r>
            <w:r w:rsidRPr="00710742">
              <w:rPr>
                <w:rFonts w:eastAsia="Times New Roman"/>
                <w:sz w:val="18"/>
                <w:szCs w:val="18"/>
              </w:rPr>
              <w:br/>
            </w:r>
            <w:r w:rsidRPr="00710742">
              <w:rPr>
                <w:rFonts w:eastAsia="Times New Roman"/>
                <w:sz w:val="18"/>
                <w:szCs w:val="18"/>
              </w:rPr>
              <w:br/>
              <w:t xml:space="preserve">Non-pecuniary damage: </w:t>
            </w:r>
            <w:r w:rsidRPr="00710742">
              <w:rPr>
                <w:rFonts w:eastAsia="Times New Roman"/>
                <w:b/>
                <w:bCs/>
                <w:sz w:val="18"/>
                <w:szCs w:val="18"/>
              </w:rPr>
              <w:t>EUR 5,000</w:t>
            </w:r>
            <w:r w:rsidRPr="00710742">
              <w:rPr>
                <w:rFonts w:eastAsia="Times New Roman"/>
                <w:sz w:val="18"/>
                <w:szCs w:val="18"/>
              </w:rPr>
              <w:t>, plus any tax that may be chargeable</w:t>
            </w:r>
          </w:p>
        </w:tc>
      </w:tr>
      <w:tr w:rsidR="0011044C" w14:paraId="02935C24" w14:textId="77777777" w:rsidTr="0011044C">
        <w:tc>
          <w:tcPr>
            <w:tcW w:w="562" w:type="dxa"/>
            <w:hideMark/>
          </w:tcPr>
          <w:p w14:paraId="08D193AB" w14:textId="77777777" w:rsidR="007940F5" w:rsidRPr="00710742" w:rsidRDefault="00C762FC" w:rsidP="00710742">
            <w:pPr>
              <w:rPr>
                <w:rFonts w:eastAsia="Times New Roman"/>
                <w:sz w:val="18"/>
                <w:szCs w:val="18"/>
              </w:rPr>
            </w:pPr>
            <w:r w:rsidRPr="00710742">
              <w:rPr>
                <w:rFonts w:eastAsia="Times New Roman"/>
                <w:sz w:val="18"/>
                <w:szCs w:val="18"/>
              </w:rPr>
              <w:lastRenderedPageBreak/>
              <w:t>2.</w:t>
            </w:r>
          </w:p>
        </w:tc>
        <w:tc>
          <w:tcPr>
            <w:tcW w:w="1418" w:type="dxa"/>
            <w:hideMark/>
          </w:tcPr>
          <w:p w14:paraId="6B1ABCD8" w14:textId="77777777" w:rsidR="007940F5" w:rsidRPr="00710742" w:rsidRDefault="00C762FC" w:rsidP="00710742">
            <w:pPr>
              <w:rPr>
                <w:rFonts w:eastAsia="Times New Roman"/>
                <w:sz w:val="18"/>
                <w:szCs w:val="18"/>
                <w:lang w:val="it-IT"/>
              </w:rPr>
            </w:pPr>
            <w:r w:rsidRPr="00710742">
              <w:rPr>
                <w:rFonts w:eastAsia="Times New Roman"/>
                <w:sz w:val="18"/>
                <w:szCs w:val="18"/>
                <w:lang w:val="it-IT"/>
              </w:rPr>
              <w:t>21970/09</w:t>
            </w:r>
            <w:r w:rsidRPr="00710742">
              <w:rPr>
                <w:rFonts w:eastAsia="Times New Roman"/>
                <w:sz w:val="18"/>
                <w:szCs w:val="18"/>
                <w:lang w:val="it-IT"/>
              </w:rPr>
              <w:br/>
              <w:t>Istituto diocesano per il Sostentamento del Clero di Caserta v. Italy</w:t>
            </w:r>
            <w:r w:rsidRPr="00710742">
              <w:rPr>
                <w:rFonts w:eastAsia="Times New Roman"/>
                <w:sz w:val="18"/>
                <w:szCs w:val="18"/>
                <w:lang w:val="it-IT"/>
              </w:rPr>
              <w:br/>
              <w:t>25/03/2009</w:t>
            </w:r>
          </w:p>
        </w:tc>
        <w:tc>
          <w:tcPr>
            <w:tcW w:w="1559" w:type="dxa"/>
            <w:hideMark/>
          </w:tcPr>
          <w:p w14:paraId="7BCB8D5F" w14:textId="77777777" w:rsidR="007940F5" w:rsidRPr="00710742" w:rsidRDefault="00C762FC" w:rsidP="00710742">
            <w:pPr>
              <w:rPr>
                <w:rFonts w:eastAsia="Times New Roman"/>
                <w:sz w:val="18"/>
                <w:szCs w:val="18"/>
                <w:lang w:val="it-IT"/>
              </w:rPr>
            </w:pPr>
            <w:r w:rsidRPr="00710742">
              <w:rPr>
                <w:rFonts w:eastAsia="Times New Roman"/>
                <w:b/>
                <w:bCs/>
                <w:sz w:val="18"/>
                <w:szCs w:val="18"/>
                <w:lang w:val="it-IT"/>
              </w:rPr>
              <w:t>ISTITUTO DIOCESANO PER IL SOSTENTA-MENTO DEL CLERO DI CASERTA</w:t>
            </w:r>
          </w:p>
        </w:tc>
        <w:tc>
          <w:tcPr>
            <w:tcW w:w="1276" w:type="dxa"/>
            <w:hideMark/>
          </w:tcPr>
          <w:p w14:paraId="4AFB6CB9" w14:textId="77777777" w:rsidR="007940F5" w:rsidRPr="00710742" w:rsidRDefault="00C762FC" w:rsidP="00710742">
            <w:pPr>
              <w:rPr>
                <w:rFonts w:eastAsia="Times New Roman"/>
                <w:sz w:val="18"/>
                <w:szCs w:val="18"/>
              </w:rPr>
            </w:pPr>
            <w:r w:rsidRPr="00710742">
              <w:rPr>
                <w:rFonts w:eastAsia="Times New Roman"/>
                <w:sz w:val="18"/>
                <w:szCs w:val="18"/>
              </w:rPr>
              <w:t>Carmela DE FRANCISCIS</w:t>
            </w:r>
            <w:r w:rsidRPr="00710742">
              <w:rPr>
                <w:rFonts w:eastAsia="Times New Roman"/>
                <w:sz w:val="18"/>
                <w:szCs w:val="18"/>
              </w:rPr>
              <w:br/>
              <w:t>Caserta</w:t>
            </w:r>
          </w:p>
        </w:tc>
        <w:tc>
          <w:tcPr>
            <w:tcW w:w="2410" w:type="dxa"/>
            <w:hideMark/>
          </w:tcPr>
          <w:p w14:paraId="2A86CEBF" w14:textId="77777777" w:rsidR="007940F5" w:rsidRPr="00710742" w:rsidRDefault="00C762FC" w:rsidP="00710742">
            <w:pPr>
              <w:rPr>
                <w:rFonts w:eastAsia="Times New Roman"/>
                <w:sz w:val="18"/>
                <w:szCs w:val="18"/>
              </w:rPr>
            </w:pPr>
            <w:r w:rsidRPr="00710742">
              <w:rPr>
                <w:rFonts w:eastAsia="Times New Roman"/>
                <w:sz w:val="18"/>
                <w:szCs w:val="18"/>
                <w:u w:val="single"/>
              </w:rPr>
              <w:t>Land:</w:t>
            </w:r>
            <w:r w:rsidRPr="00710742">
              <w:rPr>
                <w:rFonts w:eastAsia="Times New Roman"/>
                <w:sz w:val="18"/>
                <w:szCs w:val="18"/>
              </w:rPr>
              <w:t xml:space="preserve"> Municipality of Marcianise (see below for records in land register)</w:t>
            </w:r>
          </w:p>
          <w:p w14:paraId="10B6518D" w14:textId="77777777" w:rsidR="007940F5" w:rsidRPr="00710742" w:rsidRDefault="007940F5" w:rsidP="00710742">
            <w:pPr>
              <w:rPr>
                <w:rFonts w:eastAsia="Times New Roman"/>
                <w:sz w:val="18"/>
                <w:szCs w:val="18"/>
                <w:u w:val="single"/>
              </w:rPr>
            </w:pPr>
          </w:p>
          <w:p w14:paraId="3D6351BC" w14:textId="77777777" w:rsidR="007940F5" w:rsidRPr="00710742" w:rsidRDefault="00C762FC" w:rsidP="00710742">
            <w:pPr>
              <w:rPr>
                <w:rFonts w:eastAsia="Times New Roman"/>
                <w:sz w:val="18"/>
                <w:szCs w:val="18"/>
              </w:rPr>
            </w:pPr>
            <w:r w:rsidRPr="00710742">
              <w:rPr>
                <w:rFonts w:eastAsia="Times New Roman"/>
                <w:sz w:val="18"/>
                <w:szCs w:val="18"/>
                <w:u w:val="single"/>
              </w:rPr>
              <w:t>Public interest pursued</w:t>
            </w:r>
            <w:r w:rsidRPr="00710742">
              <w:rPr>
                <w:rFonts w:eastAsia="Times New Roman"/>
                <w:sz w:val="18"/>
                <w:szCs w:val="18"/>
              </w:rPr>
              <w:t>: construction of industrial complex</w:t>
            </w:r>
          </w:p>
          <w:p w14:paraId="26436606" w14:textId="77777777" w:rsidR="007940F5" w:rsidRPr="00710742" w:rsidRDefault="007940F5" w:rsidP="00710742">
            <w:pPr>
              <w:rPr>
                <w:rFonts w:eastAsia="Times New Roman"/>
                <w:sz w:val="18"/>
                <w:szCs w:val="18"/>
                <w:u w:val="single"/>
              </w:rPr>
            </w:pPr>
          </w:p>
          <w:p w14:paraId="02ADCE06" w14:textId="77777777" w:rsidR="007940F5" w:rsidRPr="00710742" w:rsidRDefault="00C762FC" w:rsidP="00710742">
            <w:pPr>
              <w:rPr>
                <w:rFonts w:eastAsia="Times New Roman"/>
                <w:sz w:val="18"/>
                <w:szCs w:val="18"/>
                <w:u w:val="single"/>
              </w:rPr>
            </w:pPr>
            <w:r w:rsidRPr="00710742">
              <w:rPr>
                <w:rFonts w:eastAsia="Times New Roman"/>
                <w:sz w:val="18"/>
                <w:szCs w:val="18"/>
                <w:u w:val="single"/>
              </w:rPr>
              <w:t>National decisions</w:t>
            </w:r>
            <w:r w:rsidRPr="00710742">
              <w:rPr>
                <w:rFonts w:eastAsia="Times New Roman"/>
                <w:sz w:val="18"/>
                <w:szCs w:val="18"/>
              </w:rPr>
              <w:t xml:space="preserve">: Naples Court of Appeal awarding compensation for expropriation and occupation based on section 5 </w:t>
            </w:r>
            <w:r w:rsidRPr="00710742">
              <w:rPr>
                <w:rFonts w:eastAsia="Times New Roman"/>
                <w:i/>
                <w:iCs/>
                <w:sz w:val="18"/>
                <w:szCs w:val="18"/>
              </w:rPr>
              <w:t>bis</w:t>
            </w:r>
            <w:r w:rsidRPr="00710742">
              <w:rPr>
                <w:rFonts w:eastAsia="Times New Roman"/>
                <w:sz w:val="18"/>
                <w:szCs w:val="18"/>
              </w:rPr>
              <w:t xml:space="preserve"> of Law no. 359/1992; Court of Cassation, confirming first-instance judgment (see below for relevant dates)</w:t>
            </w:r>
          </w:p>
          <w:p w14:paraId="60C5677D" w14:textId="77777777" w:rsidR="007940F5" w:rsidRPr="00710742" w:rsidRDefault="007940F5" w:rsidP="00710742">
            <w:pPr>
              <w:rPr>
                <w:rFonts w:eastAsia="Times New Roman"/>
                <w:b/>
                <w:bCs/>
                <w:sz w:val="18"/>
                <w:szCs w:val="18"/>
              </w:rPr>
            </w:pPr>
          </w:p>
          <w:p w14:paraId="101FFFCE" w14:textId="77777777" w:rsidR="003C0801" w:rsidRPr="00710742" w:rsidRDefault="00C762FC" w:rsidP="00710742">
            <w:pPr>
              <w:rPr>
                <w:rFonts w:eastAsia="Times New Roman"/>
                <w:sz w:val="18"/>
                <w:szCs w:val="18"/>
              </w:rPr>
            </w:pPr>
            <w:r w:rsidRPr="00710742">
              <w:rPr>
                <w:rFonts w:eastAsia="Times New Roman"/>
                <w:b/>
                <w:bCs/>
                <w:sz w:val="18"/>
                <w:szCs w:val="18"/>
              </w:rPr>
              <w:t xml:space="preserve">1st expropriation </w:t>
            </w:r>
            <w:r w:rsidRPr="00710742">
              <w:rPr>
                <w:rFonts w:eastAsia="Times New Roman"/>
                <w:sz w:val="18"/>
                <w:szCs w:val="18"/>
              </w:rPr>
              <w:br/>
            </w:r>
            <w:r w:rsidRPr="00710742">
              <w:rPr>
                <w:rFonts w:eastAsia="Times New Roman"/>
                <w:sz w:val="18"/>
                <w:szCs w:val="18"/>
                <w:u w:val="single"/>
              </w:rPr>
              <w:t>Land</w:t>
            </w:r>
            <w:r w:rsidRPr="00710742">
              <w:rPr>
                <w:rFonts w:eastAsia="Times New Roman"/>
                <w:sz w:val="18"/>
                <w:szCs w:val="18"/>
              </w:rPr>
              <w:t xml:space="preserve">: folio no. 16, </w:t>
            </w:r>
            <w:r w:rsidRPr="00710742">
              <w:rPr>
                <w:rFonts w:eastAsia="Times New Roman"/>
                <w:sz w:val="18"/>
                <w:szCs w:val="18"/>
              </w:rPr>
              <w:t>parcel</w:t>
            </w:r>
          </w:p>
          <w:p w14:paraId="36A540B4" w14:textId="77777777" w:rsidR="007940F5" w:rsidRPr="00710742" w:rsidRDefault="00C762FC" w:rsidP="00710742">
            <w:pPr>
              <w:rPr>
                <w:rFonts w:eastAsia="Times New Roman"/>
                <w:sz w:val="18"/>
                <w:szCs w:val="18"/>
              </w:rPr>
            </w:pPr>
            <w:r w:rsidRPr="00710742">
              <w:rPr>
                <w:rFonts w:eastAsia="Times New Roman"/>
                <w:sz w:val="18"/>
                <w:szCs w:val="18"/>
              </w:rPr>
              <w:t>no. 691</w:t>
            </w:r>
          </w:p>
          <w:p w14:paraId="7CAFFC13" w14:textId="77777777" w:rsidR="003C0801" w:rsidRPr="00710742" w:rsidRDefault="00C762FC" w:rsidP="00710742">
            <w:pPr>
              <w:rPr>
                <w:rFonts w:eastAsia="Times New Roman"/>
                <w:sz w:val="18"/>
                <w:szCs w:val="18"/>
              </w:rPr>
            </w:pPr>
            <w:r w:rsidRPr="00710742">
              <w:rPr>
                <w:rFonts w:eastAsia="Times New Roman"/>
                <w:sz w:val="18"/>
                <w:szCs w:val="18"/>
                <w:u w:val="single"/>
              </w:rPr>
              <w:t>Urgent occupation order</w:t>
            </w:r>
            <w:r w:rsidRPr="00710742">
              <w:rPr>
                <w:rFonts w:eastAsia="Times New Roman"/>
                <w:sz w:val="18"/>
                <w:szCs w:val="18"/>
              </w:rPr>
              <w:t>: 15/11/1999</w:t>
            </w:r>
            <w:r w:rsidRPr="00710742">
              <w:rPr>
                <w:rFonts w:eastAsia="Times New Roman"/>
                <w:sz w:val="18"/>
                <w:szCs w:val="18"/>
              </w:rPr>
              <w:br/>
            </w:r>
            <w:r w:rsidRPr="00710742">
              <w:rPr>
                <w:rFonts w:eastAsia="Times New Roman"/>
                <w:sz w:val="18"/>
                <w:szCs w:val="18"/>
                <w:u w:val="single"/>
              </w:rPr>
              <w:t>Physical occupation</w:t>
            </w:r>
            <w:r w:rsidRPr="00710742">
              <w:rPr>
                <w:rFonts w:eastAsia="Times New Roman"/>
                <w:sz w:val="18"/>
                <w:szCs w:val="18"/>
              </w:rPr>
              <w:t>: 09/02/2000</w:t>
            </w:r>
            <w:r w:rsidRPr="00710742">
              <w:rPr>
                <w:rFonts w:eastAsia="Times New Roman"/>
                <w:sz w:val="18"/>
                <w:szCs w:val="18"/>
              </w:rPr>
              <w:br/>
            </w:r>
            <w:r w:rsidRPr="00710742">
              <w:rPr>
                <w:rFonts w:eastAsia="Times New Roman"/>
                <w:sz w:val="18"/>
                <w:szCs w:val="18"/>
                <w:u w:val="single"/>
              </w:rPr>
              <w:t>Expropriation order</w:t>
            </w:r>
            <w:r w:rsidRPr="00710742">
              <w:rPr>
                <w:rFonts w:eastAsia="Times New Roman"/>
                <w:sz w:val="18"/>
                <w:szCs w:val="18"/>
              </w:rPr>
              <w:t>: 24/05/2001</w:t>
            </w:r>
            <w:r w:rsidRPr="00710742">
              <w:rPr>
                <w:rFonts w:eastAsia="Times New Roman"/>
                <w:sz w:val="18"/>
                <w:szCs w:val="18"/>
              </w:rPr>
              <w:br/>
            </w:r>
            <w:r w:rsidRPr="00710742">
              <w:rPr>
                <w:rFonts w:eastAsia="Times New Roman"/>
                <w:sz w:val="18"/>
                <w:szCs w:val="18"/>
                <w:u w:val="single"/>
              </w:rPr>
              <w:t>National decisions</w:t>
            </w:r>
            <w:r w:rsidRPr="00710742">
              <w:rPr>
                <w:rFonts w:eastAsia="Times New Roman"/>
                <w:sz w:val="18"/>
                <w:szCs w:val="18"/>
              </w:rPr>
              <w:t xml:space="preserve">: Naples Court of Appeal, 23/02/2004; Court of Cassation, no. 26112 </w:t>
            </w:r>
            <w:r w:rsidRPr="00710742">
              <w:rPr>
                <w:rFonts w:eastAsia="Times New Roman"/>
                <w:sz w:val="18"/>
                <w:szCs w:val="18"/>
              </w:rPr>
              <w:lastRenderedPageBreak/>
              <w:t>of 30/10/2008</w:t>
            </w:r>
            <w:r w:rsidRPr="00710742">
              <w:rPr>
                <w:rFonts w:eastAsia="Times New Roman"/>
                <w:sz w:val="18"/>
                <w:szCs w:val="18"/>
              </w:rPr>
              <w:br/>
            </w:r>
            <w:r w:rsidRPr="00710742">
              <w:rPr>
                <w:rFonts w:eastAsia="Times New Roman"/>
                <w:sz w:val="18"/>
                <w:szCs w:val="18"/>
              </w:rPr>
              <w:br/>
            </w:r>
            <w:r w:rsidRPr="00710742">
              <w:rPr>
                <w:rFonts w:eastAsia="Times New Roman"/>
                <w:b/>
                <w:bCs/>
                <w:sz w:val="18"/>
                <w:szCs w:val="18"/>
              </w:rPr>
              <w:t>2nd expropriation</w:t>
            </w:r>
            <w:r w:rsidRPr="00710742">
              <w:rPr>
                <w:rFonts w:eastAsia="Times New Roman"/>
                <w:sz w:val="18"/>
                <w:szCs w:val="18"/>
              </w:rPr>
              <w:t xml:space="preserve"> </w:t>
            </w:r>
            <w:r w:rsidRPr="00710742">
              <w:rPr>
                <w:rFonts w:eastAsia="Times New Roman"/>
                <w:sz w:val="18"/>
                <w:szCs w:val="18"/>
              </w:rPr>
              <w:br/>
            </w:r>
            <w:r w:rsidRPr="00710742">
              <w:rPr>
                <w:rFonts w:eastAsia="Times New Roman"/>
                <w:sz w:val="18"/>
                <w:szCs w:val="18"/>
                <w:u w:val="single"/>
              </w:rPr>
              <w:t>Land</w:t>
            </w:r>
            <w:r w:rsidRPr="00710742">
              <w:rPr>
                <w:rFonts w:eastAsia="Times New Roman"/>
                <w:sz w:val="18"/>
                <w:szCs w:val="18"/>
              </w:rPr>
              <w:t>: folio no. 16, parcel</w:t>
            </w:r>
          </w:p>
          <w:p w14:paraId="06665812" w14:textId="77777777" w:rsidR="003C0801" w:rsidRPr="00710742" w:rsidRDefault="00C762FC" w:rsidP="00710742">
            <w:pPr>
              <w:rPr>
                <w:rFonts w:eastAsia="Times New Roman"/>
                <w:sz w:val="18"/>
                <w:szCs w:val="18"/>
              </w:rPr>
            </w:pPr>
            <w:r w:rsidRPr="00710742">
              <w:rPr>
                <w:rFonts w:eastAsia="Times New Roman"/>
                <w:sz w:val="18"/>
                <w:szCs w:val="18"/>
              </w:rPr>
              <w:t>no. 92</w:t>
            </w:r>
            <w:r w:rsidRPr="00710742">
              <w:rPr>
                <w:rFonts w:eastAsia="Times New Roman"/>
                <w:sz w:val="18"/>
                <w:szCs w:val="18"/>
              </w:rPr>
              <w:br/>
            </w:r>
            <w:r w:rsidRPr="00710742">
              <w:rPr>
                <w:rFonts w:eastAsia="Times New Roman"/>
                <w:sz w:val="18"/>
                <w:szCs w:val="18"/>
                <w:u w:val="single"/>
              </w:rPr>
              <w:t>Urgent occupation order</w:t>
            </w:r>
            <w:r w:rsidRPr="00710742">
              <w:rPr>
                <w:rFonts w:eastAsia="Times New Roman"/>
                <w:sz w:val="18"/>
                <w:szCs w:val="18"/>
              </w:rPr>
              <w:t>: 19/11/1999</w:t>
            </w:r>
            <w:r w:rsidRPr="00710742">
              <w:rPr>
                <w:rFonts w:eastAsia="Times New Roman"/>
                <w:sz w:val="18"/>
                <w:szCs w:val="18"/>
              </w:rPr>
              <w:br/>
            </w:r>
            <w:r w:rsidRPr="00710742">
              <w:rPr>
                <w:rFonts w:eastAsia="Times New Roman"/>
                <w:sz w:val="18"/>
                <w:szCs w:val="18"/>
                <w:u w:val="single"/>
              </w:rPr>
              <w:t>Physical occupation</w:t>
            </w:r>
            <w:r w:rsidRPr="00710742">
              <w:rPr>
                <w:rFonts w:eastAsia="Times New Roman"/>
                <w:sz w:val="18"/>
                <w:szCs w:val="18"/>
              </w:rPr>
              <w:t>: 10/01/2000</w:t>
            </w:r>
            <w:r w:rsidRPr="00710742">
              <w:rPr>
                <w:rFonts w:eastAsia="Times New Roman"/>
                <w:sz w:val="18"/>
                <w:szCs w:val="18"/>
              </w:rPr>
              <w:br/>
            </w:r>
            <w:r w:rsidRPr="00710742">
              <w:rPr>
                <w:rFonts w:eastAsia="Times New Roman"/>
                <w:sz w:val="18"/>
                <w:szCs w:val="18"/>
                <w:u w:val="single"/>
              </w:rPr>
              <w:t>Expropriation order</w:t>
            </w:r>
            <w:r w:rsidRPr="00710742">
              <w:rPr>
                <w:rFonts w:eastAsia="Times New Roman"/>
                <w:sz w:val="18"/>
                <w:szCs w:val="18"/>
              </w:rPr>
              <w:t>: 24/05/2001</w:t>
            </w:r>
            <w:r w:rsidRPr="00710742">
              <w:rPr>
                <w:rFonts w:eastAsia="Times New Roman"/>
                <w:sz w:val="18"/>
                <w:szCs w:val="18"/>
              </w:rPr>
              <w:br/>
            </w:r>
            <w:r w:rsidRPr="00710742">
              <w:rPr>
                <w:rFonts w:eastAsia="Times New Roman"/>
                <w:sz w:val="18"/>
                <w:szCs w:val="18"/>
                <w:u w:val="single"/>
              </w:rPr>
              <w:t>National decisions</w:t>
            </w:r>
            <w:r w:rsidRPr="00710742">
              <w:rPr>
                <w:rFonts w:eastAsia="Times New Roman"/>
                <w:sz w:val="18"/>
                <w:szCs w:val="18"/>
              </w:rPr>
              <w:t xml:space="preserve">: Naples Court of Appeal, 23/02/2004; </w:t>
            </w:r>
            <w:r w:rsidRPr="00710742">
              <w:rPr>
                <w:rFonts w:eastAsia="Times New Roman"/>
                <w:sz w:val="18"/>
                <w:szCs w:val="18"/>
              </w:rPr>
              <w:br/>
              <w:t>Court of Cassation, no. 26113 of 30/10/2008</w:t>
            </w:r>
            <w:r w:rsidRPr="00710742">
              <w:rPr>
                <w:rFonts w:eastAsia="Times New Roman"/>
                <w:sz w:val="18"/>
                <w:szCs w:val="18"/>
              </w:rPr>
              <w:br/>
            </w:r>
            <w:r w:rsidRPr="00710742">
              <w:rPr>
                <w:rFonts w:eastAsia="Times New Roman"/>
                <w:sz w:val="18"/>
                <w:szCs w:val="18"/>
              </w:rPr>
              <w:br/>
            </w:r>
            <w:r w:rsidRPr="00710742">
              <w:rPr>
                <w:rFonts w:eastAsia="Times New Roman"/>
                <w:b/>
                <w:bCs/>
                <w:sz w:val="18"/>
                <w:szCs w:val="18"/>
              </w:rPr>
              <w:t>3rd expropriation</w:t>
            </w:r>
            <w:r w:rsidRPr="00710742">
              <w:rPr>
                <w:rFonts w:eastAsia="Times New Roman"/>
                <w:sz w:val="18"/>
                <w:szCs w:val="18"/>
              </w:rPr>
              <w:t xml:space="preserve"> </w:t>
            </w:r>
            <w:r w:rsidRPr="00710742">
              <w:rPr>
                <w:rFonts w:eastAsia="Times New Roman"/>
                <w:sz w:val="18"/>
                <w:szCs w:val="18"/>
              </w:rPr>
              <w:br/>
            </w:r>
            <w:r w:rsidRPr="00710742">
              <w:rPr>
                <w:rFonts w:eastAsia="Times New Roman"/>
                <w:sz w:val="18"/>
                <w:szCs w:val="18"/>
                <w:u w:val="single"/>
              </w:rPr>
              <w:t>Land</w:t>
            </w:r>
            <w:r w:rsidRPr="00710742">
              <w:rPr>
                <w:rFonts w:eastAsia="Times New Roman"/>
                <w:sz w:val="18"/>
                <w:szCs w:val="18"/>
              </w:rPr>
              <w:t>: folio no. 16, parcel</w:t>
            </w:r>
          </w:p>
          <w:p w14:paraId="1F4D650F" w14:textId="77777777" w:rsidR="007940F5" w:rsidRPr="00710742" w:rsidRDefault="00C762FC" w:rsidP="00710742">
            <w:pPr>
              <w:rPr>
                <w:rFonts w:eastAsia="Times New Roman"/>
                <w:sz w:val="18"/>
                <w:szCs w:val="18"/>
              </w:rPr>
            </w:pPr>
            <w:r w:rsidRPr="00710742">
              <w:rPr>
                <w:rFonts w:eastAsia="Times New Roman"/>
                <w:sz w:val="18"/>
                <w:szCs w:val="18"/>
              </w:rPr>
              <w:t>no. 713</w:t>
            </w:r>
            <w:r w:rsidRPr="00710742">
              <w:rPr>
                <w:rFonts w:eastAsia="Times New Roman"/>
                <w:sz w:val="18"/>
                <w:szCs w:val="18"/>
              </w:rPr>
              <w:br/>
            </w:r>
            <w:r w:rsidRPr="00710742">
              <w:rPr>
                <w:rFonts w:eastAsia="Times New Roman"/>
                <w:sz w:val="18"/>
                <w:szCs w:val="18"/>
                <w:u w:val="single"/>
              </w:rPr>
              <w:t>Urgent occupation order</w:t>
            </w:r>
            <w:r w:rsidRPr="00710742">
              <w:rPr>
                <w:rFonts w:eastAsia="Times New Roman"/>
                <w:sz w:val="18"/>
                <w:szCs w:val="18"/>
              </w:rPr>
              <w:t>: 19/11/1999</w:t>
            </w:r>
            <w:r w:rsidRPr="00710742">
              <w:rPr>
                <w:rFonts w:eastAsia="Times New Roman"/>
                <w:sz w:val="18"/>
                <w:szCs w:val="18"/>
              </w:rPr>
              <w:br/>
            </w:r>
            <w:r w:rsidRPr="00710742">
              <w:rPr>
                <w:rFonts w:eastAsia="Times New Roman"/>
                <w:sz w:val="18"/>
                <w:szCs w:val="18"/>
                <w:u w:val="single"/>
              </w:rPr>
              <w:t>Physical occupation</w:t>
            </w:r>
            <w:r w:rsidRPr="00710742">
              <w:rPr>
                <w:rFonts w:eastAsia="Times New Roman"/>
                <w:sz w:val="18"/>
                <w:szCs w:val="18"/>
              </w:rPr>
              <w:t>: 10/01/2000</w:t>
            </w:r>
            <w:r w:rsidRPr="00710742">
              <w:rPr>
                <w:rFonts w:eastAsia="Times New Roman"/>
                <w:sz w:val="18"/>
                <w:szCs w:val="18"/>
              </w:rPr>
              <w:br/>
            </w:r>
            <w:r w:rsidRPr="00710742">
              <w:rPr>
                <w:rFonts w:eastAsia="Times New Roman"/>
                <w:sz w:val="18"/>
                <w:szCs w:val="18"/>
                <w:u w:val="single"/>
              </w:rPr>
              <w:t>Expropriation order</w:t>
            </w:r>
            <w:r w:rsidRPr="00710742">
              <w:rPr>
                <w:rFonts w:eastAsia="Times New Roman"/>
                <w:sz w:val="18"/>
                <w:szCs w:val="18"/>
              </w:rPr>
              <w:t>: 24/05/2001</w:t>
            </w:r>
            <w:r w:rsidRPr="00710742">
              <w:rPr>
                <w:rFonts w:eastAsia="Times New Roman"/>
                <w:sz w:val="18"/>
                <w:szCs w:val="18"/>
              </w:rPr>
              <w:br/>
            </w:r>
            <w:r w:rsidRPr="00710742">
              <w:rPr>
                <w:rFonts w:eastAsia="Times New Roman"/>
                <w:sz w:val="18"/>
                <w:szCs w:val="18"/>
                <w:u w:val="single"/>
              </w:rPr>
              <w:t>National decisions</w:t>
            </w:r>
            <w:r w:rsidRPr="00710742">
              <w:rPr>
                <w:rFonts w:eastAsia="Times New Roman"/>
                <w:sz w:val="18"/>
                <w:szCs w:val="18"/>
              </w:rPr>
              <w:t xml:space="preserve">: Naples Court of Appeal, 20/04/2004; </w:t>
            </w:r>
            <w:r w:rsidRPr="00710742">
              <w:rPr>
                <w:rFonts w:eastAsia="Times New Roman"/>
                <w:sz w:val="18"/>
                <w:szCs w:val="18"/>
              </w:rPr>
              <w:br/>
              <w:t>Court of Cassation, no. 26619 of 06/11/2008</w:t>
            </w:r>
          </w:p>
          <w:p w14:paraId="772AC4F7" w14:textId="77777777" w:rsidR="003C0801" w:rsidRPr="00710742" w:rsidRDefault="00C762FC" w:rsidP="00710742">
            <w:pPr>
              <w:rPr>
                <w:rFonts w:eastAsia="Times New Roman"/>
                <w:sz w:val="18"/>
                <w:szCs w:val="18"/>
              </w:rPr>
            </w:pPr>
            <w:r w:rsidRPr="00710742">
              <w:rPr>
                <w:rFonts w:eastAsia="Times New Roman"/>
                <w:sz w:val="18"/>
                <w:szCs w:val="18"/>
              </w:rPr>
              <w:lastRenderedPageBreak/>
              <w:br/>
            </w:r>
            <w:r w:rsidRPr="00710742">
              <w:rPr>
                <w:rFonts w:eastAsia="Times New Roman"/>
                <w:b/>
                <w:bCs/>
                <w:sz w:val="18"/>
                <w:szCs w:val="18"/>
              </w:rPr>
              <w:t>4th expropriation</w:t>
            </w:r>
            <w:r w:rsidRPr="00710742">
              <w:rPr>
                <w:rFonts w:eastAsia="Times New Roman"/>
                <w:sz w:val="18"/>
                <w:szCs w:val="18"/>
              </w:rPr>
              <w:t xml:space="preserve"> </w:t>
            </w:r>
            <w:r w:rsidRPr="00710742">
              <w:rPr>
                <w:rFonts w:eastAsia="Times New Roman"/>
                <w:sz w:val="18"/>
                <w:szCs w:val="18"/>
              </w:rPr>
              <w:br/>
            </w:r>
            <w:r w:rsidRPr="00710742">
              <w:rPr>
                <w:rFonts w:eastAsia="Times New Roman"/>
                <w:sz w:val="18"/>
                <w:szCs w:val="18"/>
                <w:u w:val="single"/>
              </w:rPr>
              <w:t>Land</w:t>
            </w:r>
            <w:r w:rsidRPr="00710742">
              <w:rPr>
                <w:rFonts w:eastAsia="Times New Roman"/>
                <w:sz w:val="18"/>
                <w:szCs w:val="18"/>
              </w:rPr>
              <w:t>: folio no. 20, parcel</w:t>
            </w:r>
          </w:p>
          <w:p w14:paraId="3ED333BD" w14:textId="77777777" w:rsidR="007940F5" w:rsidRPr="00710742" w:rsidRDefault="00C762FC" w:rsidP="00710742">
            <w:pPr>
              <w:rPr>
                <w:rFonts w:eastAsia="Times New Roman"/>
                <w:sz w:val="18"/>
                <w:szCs w:val="18"/>
              </w:rPr>
            </w:pPr>
            <w:r w:rsidRPr="00710742">
              <w:rPr>
                <w:rFonts w:eastAsia="Times New Roman"/>
                <w:sz w:val="18"/>
                <w:szCs w:val="18"/>
              </w:rPr>
              <w:t>no. 5012</w:t>
            </w:r>
            <w:r w:rsidRPr="00710742">
              <w:rPr>
                <w:rFonts w:eastAsia="Times New Roman"/>
                <w:sz w:val="18"/>
                <w:szCs w:val="18"/>
              </w:rPr>
              <w:br/>
            </w:r>
            <w:r w:rsidRPr="00710742">
              <w:rPr>
                <w:rFonts w:eastAsia="Times New Roman"/>
                <w:sz w:val="18"/>
                <w:szCs w:val="18"/>
                <w:u w:val="single"/>
              </w:rPr>
              <w:t>Urgent occupation order</w:t>
            </w:r>
            <w:r w:rsidRPr="00710742">
              <w:rPr>
                <w:rFonts w:eastAsia="Times New Roman"/>
                <w:sz w:val="18"/>
                <w:szCs w:val="18"/>
              </w:rPr>
              <w:t>: 15/09/2000</w:t>
            </w:r>
            <w:r w:rsidRPr="00710742">
              <w:rPr>
                <w:rFonts w:eastAsia="Times New Roman"/>
                <w:sz w:val="18"/>
                <w:szCs w:val="18"/>
              </w:rPr>
              <w:br/>
            </w:r>
            <w:r w:rsidRPr="00710742">
              <w:rPr>
                <w:rFonts w:eastAsia="Times New Roman"/>
                <w:sz w:val="18"/>
                <w:szCs w:val="18"/>
                <w:u w:val="single"/>
              </w:rPr>
              <w:t>Physical occupation</w:t>
            </w:r>
            <w:r w:rsidRPr="00710742">
              <w:rPr>
                <w:rFonts w:eastAsia="Times New Roman"/>
                <w:sz w:val="18"/>
                <w:szCs w:val="18"/>
              </w:rPr>
              <w:t>: 30/10/2000</w:t>
            </w:r>
            <w:r w:rsidRPr="00710742">
              <w:rPr>
                <w:rFonts w:eastAsia="Times New Roman"/>
                <w:sz w:val="18"/>
                <w:szCs w:val="18"/>
              </w:rPr>
              <w:br/>
            </w:r>
            <w:r w:rsidRPr="00710742">
              <w:rPr>
                <w:rFonts w:eastAsia="Times New Roman"/>
                <w:sz w:val="18"/>
                <w:szCs w:val="18"/>
                <w:u w:val="single"/>
              </w:rPr>
              <w:t>Expropriation order</w:t>
            </w:r>
            <w:r w:rsidRPr="00710742">
              <w:rPr>
                <w:rFonts w:eastAsia="Times New Roman"/>
                <w:sz w:val="18"/>
                <w:szCs w:val="18"/>
              </w:rPr>
              <w:t>: 29/06/2001</w:t>
            </w:r>
            <w:r w:rsidRPr="00710742">
              <w:rPr>
                <w:rFonts w:eastAsia="Times New Roman"/>
                <w:sz w:val="18"/>
                <w:szCs w:val="18"/>
              </w:rPr>
              <w:br/>
            </w:r>
            <w:r w:rsidRPr="00710742">
              <w:rPr>
                <w:rFonts w:eastAsia="Times New Roman"/>
                <w:sz w:val="18"/>
                <w:szCs w:val="18"/>
                <w:u w:val="single"/>
              </w:rPr>
              <w:t>National decisions</w:t>
            </w:r>
            <w:r w:rsidRPr="00710742">
              <w:rPr>
                <w:rFonts w:eastAsia="Times New Roman"/>
                <w:sz w:val="18"/>
                <w:szCs w:val="18"/>
              </w:rPr>
              <w:t>: Naples Court of Appeal, 20/02/2004; Court of Cassation no. 26114 of 30/10/2008</w:t>
            </w:r>
          </w:p>
          <w:p w14:paraId="4774A4D0" w14:textId="77777777" w:rsidR="003C0801" w:rsidRPr="00710742" w:rsidRDefault="00C762FC" w:rsidP="00710742">
            <w:pPr>
              <w:rPr>
                <w:rFonts w:eastAsia="Times New Roman"/>
                <w:sz w:val="18"/>
                <w:szCs w:val="18"/>
              </w:rPr>
            </w:pPr>
            <w:r w:rsidRPr="00710742">
              <w:rPr>
                <w:rFonts w:eastAsia="Times New Roman"/>
                <w:sz w:val="18"/>
                <w:szCs w:val="18"/>
              </w:rPr>
              <w:br/>
            </w:r>
            <w:r w:rsidRPr="00710742">
              <w:rPr>
                <w:rFonts w:eastAsia="Times New Roman"/>
                <w:b/>
                <w:bCs/>
                <w:sz w:val="18"/>
                <w:szCs w:val="18"/>
              </w:rPr>
              <w:t>5th expropriation</w:t>
            </w:r>
            <w:r w:rsidRPr="00710742">
              <w:rPr>
                <w:rFonts w:eastAsia="Times New Roman"/>
                <w:sz w:val="18"/>
                <w:szCs w:val="18"/>
              </w:rPr>
              <w:t xml:space="preserve"> </w:t>
            </w:r>
            <w:r w:rsidRPr="00710742">
              <w:rPr>
                <w:rFonts w:eastAsia="Times New Roman"/>
                <w:sz w:val="18"/>
                <w:szCs w:val="18"/>
              </w:rPr>
              <w:br/>
            </w:r>
            <w:r w:rsidRPr="00710742">
              <w:rPr>
                <w:rFonts w:eastAsia="Times New Roman"/>
                <w:sz w:val="18"/>
                <w:szCs w:val="18"/>
                <w:u w:val="single"/>
              </w:rPr>
              <w:t>Land</w:t>
            </w:r>
            <w:r w:rsidRPr="00710742">
              <w:rPr>
                <w:rFonts w:eastAsia="Times New Roman"/>
                <w:sz w:val="18"/>
                <w:szCs w:val="18"/>
              </w:rPr>
              <w:t>: folio no. 16, parcel</w:t>
            </w:r>
          </w:p>
          <w:p w14:paraId="60E3A085" w14:textId="77777777" w:rsidR="007940F5" w:rsidRPr="00710742" w:rsidRDefault="00C762FC" w:rsidP="00710742">
            <w:pPr>
              <w:rPr>
                <w:rFonts w:eastAsia="Times New Roman"/>
                <w:sz w:val="18"/>
                <w:szCs w:val="18"/>
              </w:rPr>
            </w:pPr>
            <w:r w:rsidRPr="00710742">
              <w:rPr>
                <w:rFonts w:eastAsia="Times New Roman"/>
                <w:sz w:val="18"/>
                <w:szCs w:val="18"/>
              </w:rPr>
              <w:t>no. 715</w:t>
            </w:r>
            <w:r w:rsidRPr="00710742">
              <w:rPr>
                <w:rFonts w:eastAsia="Times New Roman"/>
                <w:sz w:val="18"/>
                <w:szCs w:val="18"/>
              </w:rPr>
              <w:br/>
            </w:r>
            <w:r w:rsidRPr="00710742">
              <w:rPr>
                <w:rFonts w:eastAsia="Times New Roman"/>
                <w:sz w:val="18"/>
                <w:szCs w:val="18"/>
                <w:u w:val="single"/>
              </w:rPr>
              <w:t>Urgent occupation order</w:t>
            </w:r>
            <w:r w:rsidRPr="00710742">
              <w:rPr>
                <w:rFonts w:eastAsia="Times New Roman"/>
                <w:sz w:val="18"/>
                <w:szCs w:val="18"/>
              </w:rPr>
              <w:t>: 19/11/1999</w:t>
            </w:r>
            <w:r w:rsidRPr="00710742">
              <w:rPr>
                <w:rFonts w:eastAsia="Times New Roman"/>
                <w:sz w:val="18"/>
                <w:szCs w:val="18"/>
              </w:rPr>
              <w:br/>
            </w:r>
            <w:r w:rsidRPr="00710742">
              <w:rPr>
                <w:rFonts w:eastAsia="Times New Roman"/>
                <w:sz w:val="18"/>
                <w:szCs w:val="18"/>
                <w:u w:val="single"/>
              </w:rPr>
              <w:t>Physical occupation</w:t>
            </w:r>
            <w:r w:rsidRPr="00710742">
              <w:rPr>
                <w:rFonts w:eastAsia="Times New Roman"/>
                <w:sz w:val="18"/>
                <w:szCs w:val="18"/>
              </w:rPr>
              <w:t>: 10/01/2000</w:t>
            </w:r>
            <w:r w:rsidRPr="00710742">
              <w:rPr>
                <w:rFonts w:eastAsia="Times New Roman"/>
                <w:sz w:val="18"/>
                <w:szCs w:val="18"/>
              </w:rPr>
              <w:br/>
            </w:r>
            <w:r w:rsidRPr="00710742">
              <w:rPr>
                <w:rFonts w:eastAsia="Times New Roman"/>
                <w:sz w:val="18"/>
                <w:szCs w:val="18"/>
                <w:u w:val="single"/>
              </w:rPr>
              <w:t>Expropriation order</w:t>
            </w:r>
            <w:r w:rsidRPr="00710742">
              <w:rPr>
                <w:rFonts w:eastAsia="Times New Roman"/>
                <w:sz w:val="18"/>
                <w:szCs w:val="18"/>
              </w:rPr>
              <w:t>: 24/05/2001</w:t>
            </w:r>
            <w:r w:rsidRPr="00710742">
              <w:rPr>
                <w:rFonts w:eastAsia="Times New Roman"/>
                <w:sz w:val="18"/>
                <w:szCs w:val="18"/>
              </w:rPr>
              <w:br/>
            </w:r>
            <w:r w:rsidRPr="00710742">
              <w:rPr>
                <w:rFonts w:eastAsia="Times New Roman"/>
                <w:sz w:val="18"/>
                <w:szCs w:val="18"/>
                <w:u w:val="single"/>
              </w:rPr>
              <w:t>National decisions</w:t>
            </w:r>
            <w:r w:rsidRPr="00710742">
              <w:rPr>
                <w:rFonts w:eastAsia="Times New Roman"/>
                <w:sz w:val="18"/>
                <w:szCs w:val="18"/>
              </w:rPr>
              <w:t>: Naples Court of Appeal, 20/04/2004; Court of Cassation no. 25714 of 24/10/2008</w:t>
            </w:r>
          </w:p>
        </w:tc>
        <w:tc>
          <w:tcPr>
            <w:tcW w:w="1559" w:type="dxa"/>
            <w:hideMark/>
          </w:tcPr>
          <w:p w14:paraId="1791E9CF" w14:textId="77777777" w:rsidR="007940F5" w:rsidRPr="00710742" w:rsidRDefault="00C762FC" w:rsidP="00710742">
            <w:pPr>
              <w:rPr>
                <w:rFonts w:eastAsia="Times New Roman"/>
                <w:b/>
                <w:bCs/>
                <w:sz w:val="18"/>
                <w:szCs w:val="18"/>
              </w:rPr>
            </w:pPr>
            <w:r w:rsidRPr="00710742">
              <w:rPr>
                <w:rFonts w:eastAsia="Times New Roman"/>
                <w:b/>
                <w:bCs/>
                <w:sz w:val="18"/>
                <w:szCs w:val="18"/>
              </w:rPr>
              <w:lastRenderedPageBreak/>
              <w:t xml:space="preserve">1st expropriation </w:t>
            </w:r>
            <w:r w:rsidRPr="00710742">
              <w:rPr>
                <w:rFonts w:eastAsia="Times New Roman"/>
                <w:sz w:val="18"/>
                <w:szCs w:val="18"/>
              </w:rPr>
              <w:br/>
              <w:t xml:space="preserve">EUR 32,817.10 in </w:t>
            </w:r>
            <w:r w:rsidRPr="00710742">
              <w:rPr>
                <w:rFonts w:eastAsia="Times New Roman"/>
                <w:sz w:val="18"/>
                <w:szCs w:val="18"/>
              </w:rPr>
              <w:t>expropriation compensation and EUR 580.86 in occupation compensation, plus statutory interest</w:t>
            </w:r>
            <w:r w:rsidRPr="00710742">
              <w:rPr>
                <w:rFonts w:eastAsia="Times New Roman"/>
                <w:sz w:val="18"/>
                <w:szCs w:val="18"/>
              </w:rPr>
              <w:br/>
            </w:r>
            <w:r w:rsidRPr="00710742">
              <w:rPr>
                <w:rFonts w:eastAsia="Times New Roman"/>
                <w:sz w:val="18"/>
                <w:szCs w:val="18"/>
              </w:rPr>
              <w:br/>
            </w:r>
            <w:r w:rsidRPr="00710742">
              <w:rPr>
                <w:rFonts w:eastAsia="Times New Roman"/>
                <w:b/>
                <w:bCs/>
                <w:sz w:val="18"/>
                <w:szCs w:val="18"/>
              </w:rPr>
              <w:t xml:space="preserve">2nd expropriation </w:t>
            </w:r>
            <w:r w:rsidRPr="00710742">
              <w:rPr>
                <w:rFonts w:eastAsia="Times New Roman"/>
                <w:b/>
                <w:bCs/>
                <w:sz w:val="18"/>
                <w:szCs w:val="18"/>
              </w:rPr>
              <w:br/>
            </w:r>
            <w:r w:rsidRPr="00710742">
              <w:rPr>
                <w:rFonts w:eastAsia="Times New Roman"/>
                <w:sz w:val="18"/>
                <w:szCs w:val="18"/>
              </w:rPr>
              <w:t>EUR 163,428.88 in expropriation compensation and EUR 2,892.69 in compensation for occupation, plus statutory interest</w:t>
            </w:r>
            <w:r w:rsidRPr="00710742">
              <w:rPr>
                <w:rFonts w:eastAsia="Times New Roman"/>
                <w:sz w:val="18"/>
                <w:szCs w:val="18"/>
              </w:rPr>
              <w:br/>
            </w:r>
            <w:r w:rsidRPr="00710742">
              <w:rPr>
                <w:rFonts w:eastAsia="Times New Roman"/>
                <w:sz w:val="18"/>
                <w:szCs w:val="18"/>
              </w:rPr>
              <w:br/>
            </w:r>
            <w:r w:rsidRPr="00710742">
              <w:rPr>
                <w:rFonts w:eastAsia="Times New Roman"/>
                <w:b/>
                <w:bCs/>
                <w:sz w:val="18"/>
                <w:szCs w:val="18"/>
              </w:rPr>
              <w:t xml:space="preserve">3rd expropriation </w:t>
            </w:r>
            <w:r w:rsidRPr="00710742">
              <w:rPr>
                <w:rFonts w:eastAsia="Times New Roman"/>
                <w:sz w:val="18"/>
                <w:szCs w:val="18"/>
              </w:rPr>
              <w:br/>
              <w:t>EUR 80,667.10 in expropriation compensation and EUR 12,174.27 in occupation compensation, plus statutory interest</w:t>
            </w:r>
            <w:r w:rsidRPr="00710742">
              <w:rPr>
                <w:rFonts w:eastAsia="Times New Roman"/>
                <w:sz w:val="18"/>
                <w:szCs w:val="18"/>
              </w:rPr>
              <w:br/>
            </w:r>
            <w:r w:rsidRPr="00710742">
              <w:rPr>
                <w:rFonts w:eastAsia="Times New Roman"/>
                <w:b/>
                <w:bCs/>
                <w:sz w:val="18"/>
                <w:szCs w:val="18"/>
              </w:rPr>
              <w:lastRenderedPageBreak/>
              <w:br/>
              <w:t xml:space="preserve">4th expropriation </w:t>
            </w:r>
            <w:r w:rsidRPr="00710742">
              <w:rPr>
                <w:rFonts w:eastAsia="Times New Roman"/>
                <w:sz w:val="18"/>
                <w:szCs w:val="18"/>
              </w:rPr>
              <w:br/>
              <w:t>EUR 734,771.25 in expropriation compensation and EUR 15,871.06 in occupation compensation, plus statutory interest</w:t>
            </w:r>
            <w:r w:rsidRPr="00710742">
              <w:rPr>
                <w:rFonts w:eastAsia="Times New Roman"/>
                <w:sz w:val="18"/>
                <w:szCs w:val="18"/>
              </w:rPr>
              <w:br/>
            </w:r>
            <w:r w:rsidRPr="00710742">
              <w:rPr>
                <w:rFonts w:eastAsia="Times New Roman"/>
                <w:sz w:val="18"/>
                <w:szCs w:val="18"/>
              </w:rPr>
              <w:br/>
            </w:r>
            <w:r w:rsidRPr="00710742">
              <w:rPr>
                <w:rFonts w:eastAsia="Times New Roman"/>
                <w:b/>
                <w:bCs/>
                <w:sz w:val="18"/>
                <w:szCs w:val="18"/>
              </w:rPr>
              <w:t>5th exprop</w:t>
            </w:r>
            <w:r w:rsidRPr="00710742">
              <w:rPr>
                <w:rFonts w:eastAsia="Times New Roman"/>
                <w:b/>
                <w:bCs/>
                <w:sz w:val="18"/>
                <w:szCs w:val="18"/>
              </w:rPr>
              <w:t>riation</w:t>
            </w:r>
          </w:p>
          <w:p w14:paraId="53C3555B" w14:textId="77777777" w:rsidR="007940F5" w:rsidRPr="00710742" w:rsidRDefault="00C762FC" w:rsidP="00710742">
            <w:pPr>
              <w:rPr>
                <w:rFonts w:eastAsia="Times New Roman"/>
                <w:sz w:val="18"/>
                <w:szCs w:val="18"/>
              </w:rPr>
            </w:pPr>
            <w:r w:rsidRPr="00710742">
              <w:rPr>
                <w:rFonts w:eastAsia="Times New Roman"/>
                <w:sz w:val="18"/>
                <w:szCs w:val="18"/>
              </w:rPr>
              <w:t>EUR 78,827.83 in expropriation compensation and EUR 11,896.68 in occupation compensation, plus statutory interest</w:t>
            </w:r>
          </w:p>
        </w:tc>
        <w:tc>
          <w:tcPr>
            <w:tcW w:w="1276" w:type="dxa"/>
            <w:hideMark/>
          </w:tcPr>
          <w:p w14:paraId="07AE75E1" w14:textId="77777777" w:rsidR="009A31C2" w:rsidRPr="00710742" w:rsidRDefault="00C762FC" w:rsidP="00710742">
            <w:pPr>
              <w:rPr>
                <w:rFonts w:eastAsia="Times New Roman"/>
                <w:sz w:val="18"/>
                <w:szCs w:val="18"/>
              </w:rPr>
            </w:pPr>
            <w:r w:rsidRPr="00710742">
              <w:rPr>
                <w:rFonts w:eastAsia="Times New Roman"/>
                <w:b/>
                <w:bCs/>
                <w:sz w:val="18"/>
                <w:szCs w:val="18"/>
              </w:rPr>
              <w:lastRenderedPageBreak/>
              <w:t xml:space="preserve">1st expropriation </w:t>
            </w:r>
            <w:r w:rsidRPr="00710742">
              <w:rPr>
                <w:rFonts w:eastAsia="Times New Roman"/>
                <w:sz w:val="18"/>
                <w:szCs w:val="18"/>
              </w:rPr>
              <w:br/>
              <w:t>EUR 65,403 (in May 2001, according to independent expert valuation)</w:t>
            </w:r>
            <w:r w:rsidRPr="00710742">
              <w:rPr>
                <w:rFonts w:eastAsia="Times New Roman"/>
                <w:sz w:val="18"/>
                <w:szCs w:val="18"/>
              </w:rPr>
              <w:br/>
            </w:r>
            <w:r w:rsidRPr="00710742">
              <w:rPr>
                <w:rFonts w:eastAsia="Times New Roman"/>
                <w:sz w:val="18"/>
                <w:szCs w:val="18"/>
              </w:rPr>
              <w:br/>
            </w:r>
            <w:r w:rsidRPr="00710742">
              <w:rPr>
                <w:rFonts w:eastAsia="Times New Roman"/>
                <w:b/>
                <w:bCs/>
                <w:sz w:val="18"/>
                <w:szCs w:val="18"/>
              </w:rPr>
              <w:t xml:space="preserve">2nd expropriation </w:t>
            </w:r>
            <w:r w:rsidRPr="00710742">
              <w:rPr>
                <w:rFonts w:eastAsia="Times New Roman"/>
                <w:sz w:val="18"/>
                <w:szCs w:val="18"/>
              </w:rPr>
              <w:t>EUR 325,354.77 (in May 2001, according to independent expert valuation)</w:t>
            </w:r>
            <w:r w:rsidRPr="00710742">
              <w:rPr>
                <w:rFonts w:eastAsia="Times New Roman"/>
                <w:sz w:val="18"/>
                <w:szCs w:val="18"/>
              </w:rPr>
              <w:br/>
            </w:r>
            <w:r w:rsidRPr="00710742">
              <w:rPr>
                <w:rFonts w:eastAsia="Times New Roman"/>
                <w:sz w:val="18"/>
                <w:szCs w:val="18"/>
              </w:rPr>
              <w:br/>
            </w:r>
            <w:r w:rsidRPr="00710742">
              <w:rPr>
                <w:rFonts w:eastAsia="Times New Roman"/>
                <w:b/>
                <w:bCs/>
                <w:sz w:val="18"/>
                <w:szCs w:val="18"/>
              </w:rPr>
              <w:t xml:space="preserve">3rd expropriation </w:t>
            </w:r>
            <w:r w:rsidRPr="00710742">
              <w:rPr>
                <w:rFonts w:eastAsia="Times New Roman"/>
                <w:sz w:val="18"/>
                <w:szCs w:val="18"/>
              </w:rPr>
              <w:t>EUR 161,248.68 (in May 2001, according to independent expert valuation)</w:t>
            </w:r>
            <w:r w:rsidRPr="00710742">
              <w:rPr>
                <w:rFonts w:eastAsia="Times New Roman"/>
                <w:sz w:val="18"/>
                <w:szCs w:val="18"/>
              </w:rPr>
              <w:br/>
            </w:r>
          </w:p>
          <w:p w14:paraId="4AECE8D8" w14:textId="77777777" w:rsidR="007940F5" w:rsidRPr="00710742" w:rsidRDefault="00C762FC" w:rsidP="00710742">
            <w:pPr>
              <w:rPr>
                <w:rFonts w:eastAsia="Times New Roman"/>
                <w:sz w:val="18"/>
                <w:szCs w:val="18"/>
              </w:rPr>
            </w:pPr>
            <w:r w:rsidRPr="00710742">
              <w:rPr>
                <w:rFonts w:eastAsia="Times New Roman"/>
                <w:sz w:val="18"/>
                <w:szCs w:val="18"/>
              </w:rPr>
              <w:lastRenderedPageBreak/>
              <w:br/>
            </w:r>
            <w:r w:rsidRPr="00710742">
              <w:rPr>
                <w:rFonts w:eastAsia="Times New Roman"/>
                <w:b/>
                <w:bCs/>
                <w:sz w:val="18"/>
                <w:szCs w:val="18"/>
              </w:rPr>
              <w:t xml:space="preserve">4th expropriation </w:t>
            </w:r>
            <w:r w:rsidRPr="00710742">
              <w:rPr>
                <w:rFonts w:eastAsia="Times New Roman"/>
                <w:sz w:val="18"/>
                <w:szCs w:val="18"/>
              </w:rPr>
              <w:br/>
              <w:t>EUR 1,462,964.49 (in June 2001, according to independent expert valuation)</w:t>
            </w:r>
            <w:r w:rsidRPr="00710742">
              <w:rPr>
                <w:rFonts w:eastAsia="Times New Roman"/>
                <w:sz w:val="18"/>
                <w:szCs w:val="18"/>
              </w:rPr>
              <w:br/>
            </w:r>
            <w:r w:rsidRPr="00710742">
              <w:rPr>
                <w:rFonts w:eastAsia="Times New Roman"/>
                <w:sz w:val="18"/>
                <w:szCs w:val="18"/>
              </w:rPr>
              <w:br/>
            </w:r>
            <w:r w:rsidRPr="00710742">
              <w:rPr>
                <w:rFonts w:eastAsia="Times New Roman"/>
                <w:b/>
                <w:bCs/>
                <w:sz w:val="18"/>
                <w:szCs w:val="18"/>
              </w:rPr>
              <w:t xml:space="preserve">5th expropriation </w:t>
            </w:r>
            <w:r w:rsidRPr="00710742">
              <w:rPr>
                <w:rFonts w:eastAsia="Times New Roman"/>
                <w:sz w:val="18"/>
                <w:szCs w:val="18"/>
              </w:rPr>
              <w:t>EUR 157,572 (in May 2001, according to independent expert valuation)</w:t>
            </w:r>
          </w:p>
        </w:tc>
        <w:tc>
          <w:tcPr>
            <w:tcW w:w="2126" w:type="dxa"/>
            <w:hideMark/>
          </w:tcPr>
          <w:p w14:paraId="7DAD7178" w14:textId="77777777" w:rsidR="007940F5" w:rsidRPr="00710742" w:rsidRDefault="00C762FC" w:rsidP="00710742">
            <w:pPr>
              <w:rPr>
                <w:rFonts w:eastAsia="Times New Roman"/>
                <w:sz w:val="18"/>
                <w:szCs w:val="18"/>
                <w:u w:val="single"/>
              </w:rPr>
            </w:pPr>
            <w:r w:rsidRPr="00710742">
              <w:rPr>
                <w:rFonts w:eastAsia="Times New Roman"/>
                <w:sz w:val="18"/>
                <w:szCs w:val="18"/>
                <w:u w:val="single"/>
              </w:rPr>
              <w:lastRenderedPageBreak/>
              <w:t>Government</w:t>
            </w:r>
            <w:r w:rsidRPr="00710742">
              <w:rPr>
                <w:rFonts w:eastAsia="Times New Roman"/>
                <w:sz w:val="18"/>
                <w:szCs w:val="18"/>
              </w:rPr>
              <w:t xml:space="preserve">: </w:t>
            </w:r>
            <w:r w:rsidRPr="00710742">
              <w:rPr>
                <w:rFonts w:eastAsia="Times New Roman"/>
                <w:sz w:val="18"/>
                <w:szCs w:val="18"/>
              </w:rPr>
              <w:br/>
              <w:t>(1) admissibility: loss of victim status following settlement agreement of 16/11/2010;</w:t>
            </w:r>
            <w:r w:rsidRPr="00710742">
              <w:rPr>
                <w:rFonts w:eastAsia="Times New Roman"/>
                <w:sz w:val="18"/>
                <w:szCs w:val="18"/>
              </w:rPr>
              <w:br/>
              <w:t>(2) merits: interference proportionate to the public interest pursued</w:t>
            </w:r>
            <w:r w:rsidRPr="00710742">
              <w:rPr>
                <w:rFonts w:eastAsia="Times New Roman"/>
                <w:sz w:val="18"/>
                <w:szCs w:val="18"/>
              </w:rPr>
              <w:br/>
            </w:r>
          </w:p>
          <w:p w14:paraId="01E701FB" w14:textId="77777777" w:rsidR="007940F5" w:rsidRPr="00710742" w:rsidRDefault="00C762FC" w:rsidP="00710742">
            <w:pPr>
              <w:rPr>
                <w:rFonts w:eastAsia="Times New Roman"/>
                <w:sz w:val="18"/>
                <w:szCs w:val="18"/>
              </w:rPr>
            </w:pPr>
            <w:r w:rsidRPr="00710742">
              <w:rPr>
                <w:rFonts w:eastAsia="Times New Roman"/>
                <w:sz w:val="18"/>
                <w:szCs w:val="18"/>
                <w:u w:val="single"/>
              </w:rPr>
              <w:t>Applicant institute</w:t>
            </w:r>
            <w:r w:rsidRPr="00710742">
              <w:rPr>
                <w:rFonts w:eastAsia="Times New Roman"/>
                <w:sz w:val="18"/>
                <w:szCs w:val="18"/>
              </w:rPr>
              <w:t xml:space="preserve">: </w:t>
            </w:r>
            <w:r w:rsidRPr="00710742">
              <w:rPr>
                <w:rFonts w:eastAsia="Times New Roman"/>
                <w:sz w:val="18"/>
                <w:szCs w:val="18"/>
              </w:rPr>
              <w:br/>
              <w:t xml:space="preserve">(1) admissibility: the agreement did not contain any waiver in respect of the claims lodged with the Court; </w:t>
            </w:r>
            <w:r w:rsidRPr="00710742">
              <w:rPr>
                <w:rFonts w:eastAsia="Times New Roman"/>
                <w:sz w:val="18"/>
                <w:szCs w:val="18"/>
              </w:rPr>
              <w:br/>
              <w:t xml:space="preserve">(2) compensation did not reflect market value and was also subject to 20% tax; </w:t>
            </w:r>
            <w:r w:rsidRPr="00710742">
              <w:rPr>
                <w:rFonts w:eastAsia="Times New Roman"/>
                <w:sz w:val="18"/>
                <w:szCs w:val="18"/>
              </w:rPr>
              <w:br/>
              <w:t xml:space="preserve">(3) just satisfaction claims: </w:t>
            </w:r>
            <w:r w:rsidRPr="00710742">
              <w:rPr>
                <w:rFonts w:eastAsia="Times New Roman"/>
                <w:sz w:val="18"/>
                <w:szCs w:val="18"/>
              </w:rPr>
              <w:br/>
              <w:t xml:space="preserve">(a) loss of property: EUR 727,007.60 plus revaluation and statutory interest </w:t>
            </w:r>
            <w:r w:rsidRPr="00710742">
              <w:rPr>
                <w:rFonts w:eastAsia="Times New Roman"/>
                <w:sz w:val="18"/>
                <w:szCs w:val="18"/>
              </w:rPr>
              <w:br/>
              <w:t>(b) non-pecuniary damage on an equitable basis</w:t>
            </w:r>
            <w:r w:rsidRPr="00710742">
              <w:rPr>
                <w:rFonts w:eastAsia="Times New Roman"/>
                <w:sz w:val="18"/>
                <w:szCs w:val="18"/>
              </w:rPr>
              <w:br/>
              <w:t>(c) costs and expenses before the Court: EUR 58,763.50</w:t>
            </w:r>
          </w:p>
        </w:tc>
        <w:tc>
          <w:tcPr>
            <w:tcW w:w="1848" w:type="dxa"/>
            <w:hideMark/>
          </w:tcPr>
          <w:p w14:paraId="1643B78E" w14:textId="77777777" w:rsidR="007940F5" w:rsidRPr="00710742" w:rsidRDefault="00C762FC" w:rsidP="00710742">
            <w:pPr>
              <w:rPr>
                <w:rFonts w:eastAsia="Times New Roman"/>
                <w:sz w:val="18"/>
                <w:szCs w:val="18"/>
              </w:rPr>
            </w:pPr>
            <w:r w:rsidRPr="00710742">
              <w:rPr>
                <w:rFonts w:eastAsia="Times New Roman"/>
                <w:sz w:val="18"/>
                <w:szCs w:val="18"/>
              </w:rPr>
              <w:t xml:space="preserve">Pecuniary damage (loss of property): </w:t>
            </w:r>
            <w:r w:rsidRPr="00710742">
              <w:rPr>
                <w:rFonts w:eastAsia="Times New Roman"/>
                <w:b/>
                <w:bCs/>
                <w:sz w:val="18"/>
                <w:szCs w:val="18"/>
              </w:rPr>
              <w:t>EUR 1,386,750</w:t>
            </w:r>
          </w:p>
          <w:p w14:paraId="3EE56D00" w14:textId="77777777" w:rsidR="007940F5" w:rsidRPr="00710742" w:rsidRDefault="00C762FC" w:rsidP="00710742">
            <w:pPr>
              <w:rPr>
                <w:rFonts w:eastAsia="Times New Roman"/>
                <w:sz w:val="18"/>
                <w:szCs w:val="18"/>
              </w:rPr>
            </w:pPr>
            <w:r w:rsidRPr="00710742">
              <w:rPr>
                <w:rFonts w:eastAsia="Times New Roman"/>
                <w:sz w:val="18"/>
                <w:szCs w:val="18"/>
              </w:rPr>
              <w:br/>
              <w:t xml:space="preserve">Non-pecuniary damage: </w:t>
            </w:r>
            <w:r w:rsidRPr="00710742">
              <w:rPr>
                <w:rFonts w:eastAsia="Times New Roman"/>
                <w:b/>
                <w:bCs/>
                <w:sz w:val="18"/>
                <w:szCs w:val="18"/>
              </w:rPr>
              <w:t>EUR 5,000</w:t>
            </w:r>
            <w:r w:rsidRPr="00710742">
              <w:rPr>
                <w:rFonts w:eastAsia="Times New Roman"/>
                <w:sz w:val="18"/>
                <w:szCs w:val="18"/>
              </w:rPr>
              <w:t>, plus any tax that may be chargeable</w:t>
            </w:r>
          </w:p>
        </w:tc>
      </w:tr>
      <w:tr w:rsidR="0011044C" w14:paraId="5FCD808D" w14:textId="77777777" w:rsidTr="0011044C">
        <w:tc>
          <w:tcPr>
            <w:tcW w:w="562" w:type="dxa"/>
            <w:hideMark/>
          </w:tcPr>
          <w:p w14:paraId="6A427AF6" w14:textId="77777777" w:rsidR="007940F5" w:rsidRPr="00710742" w:rsidRDefault="00C762FC" w:rsidP="00710742">
            <w:pPr>
              <w:rPr>
                <w:rFonts w:eastAsia="Times New Roman"/>
                <w:sz w:val="18"/>
                <w:szCs w:val="18"/>
              </w:rPr>
            </w:pPr>
            <w:r w:rsidRPr="00710742">
              <w:rPr>
                <w:rFonts w:eastAsia="Times New Roman"/>
                <w:sz w:val="18"/>
                <w:szCs w:val="18"/>
              </w:rPr>
              <w:lastRenderedPageBreak/>
              <w:t>3.</w:t>
            </w:r>
          </w:p>
        </w:tc>
        <w:tc>
          <w:tcPr>
            <w:tcW w:w="1418" w:type="dxa"/>
            <w:hideMark/>
          </w:tcPr>
          <w:p w14:paraId="13741DD1" w14:textId="77777777" w:rsidR="007940F5" w:rsidRPr="00710742" w:rsidRDefault="00C762FC" w:rsidP="00710742">
            <w:pPr>
              <w:rPr>
                <w:rFonts w:eastAsia="Times New Roman"/>
                <w:sz w:val="18"/>
                <w:szCs w:val="18"/>
                <w:lang w:val="it-IT"/>
              </w:rPr>
            </w:pPr>
            <w:r w:rsidRPr="00710742">
              <w:rPr>
                <w:rFonts w:eastAsia="Times New Roman"/>
                <w:sz w:val="18"/>
                <w:szCs w:val="18"/>
                <w:lang w:val="it-IT"/>
              </w:rPr>
              <w:t>74234/11</w:t>
            </w:r>
            <w:r w:rsidRPr="00710742">
              <w:rPr>
                <w:rFonts w:eastAsia="Times New Roman"/>
                <w:sz w:val="18"/>
                <w:szCs w:val="18"/>
                <w:lang w:val="it-IT"/>
              </w:rPr>
              <w:br/>
              <w:t>Istituto diocesano per il Sostentamento del Clero di Capua v. Italy</w:t>
            </w:r>
            <w:r w:rsidRPr="00710742">
              <w:rPr>
                <w:rFonts w:eastAsia="Times New Roman"/>
                <w:sz w:val="18"/>
                <w:szCs w:val="18"/>
                <w:lang w:val="it-IT"/>
              </w:rPr>
              <w:br/>
              <w:t>21/11/2011</w:t>
            </w:r>
          </w:p>
        </w:tc>
        <w:tc>
          <w:tcPr>
            <w:tcW w:w="1559" w:type="dxa"/>
            <w:hideMark/>
          </w:tcPr>
          <w:p w14:paraId="68A89B5D" w14:textId="77777777" w:rsidR="007940F5" w:rsidRPr="00710742" w:rsidRDefault="00C762FC" w:rsidP="00710742">
            <w:pPr>
              <w:rPr>
                <w:rFonts w:eastAsia="Times New Roman"/>
                <w:sz w:val="18"/>
                <w:szCs w:val="18"/>
                <w:lang w:val="it-IT"/>
              </w:rPr>
            </w:pPr>
            <w:r w:rsidRPr="00710742">
              <w:rPr>
                <w:rFonts w:eastAsia="Times New Roman"/>
                <w:b/>
                <w:bCs/>
                <w:sz w:val="18"/>
                <w:szCs w:val="18"/>
                <w:lang w:val="it-IT"/>
              </w:rPr>
              <w:t>ISTITUTO DIOCESANO PER IL SOSTENTA-MENTO DEL CLERO DI CAPUA</w:t>
            </w:r>
          </w:p>
        </w:tc>
        <w:tc>
          <w:tcPr>
            <w:tcW w:w="1276" w:type="dxa"/>
            <w:hideMark/>
          </w:tcPr>
          <w:p w14:paraId="275D20B8" w14:textId="77777777" w:rsidR="007940F5" w:rsidRPr="00710742" w:rsidRDefault="00C762FC" w:rsidP="00710742">
            <w:pPr>
              <w:rPr>
                <w:rFonts w:eastAsia="Times New Roman"/>
                <w:sz w:val="18"/>
                <w:szCs w:val="18"/>
              </w:rPr>
            </w:pPr>
            <w:r w:rsidRPr="00710742">
              <w:rPr>
                <w:rFonts w:eastAsia="Times New Roman"/>
                <w:sz w:val="18"/>
                <w:szCs w:val="18"/>
              </w:rPr>
              <w:t>Alfredo IMPARATO</w:t>
            </w:r>
            <w:r w:rsidRPr="00710742">
              <w:rPr>
                <w:rFonts w:eastAsia="Times New Roman"/>
                <w:sz w:val="18"/>
                <w:szCs w:val="18"/>
              </w:rPr>
              <w:br/>
              <w:t>San Prisco</w:t>
            </w:r>
          </w:p>
        </w:tc>
        <w:tc>
          <w:tcPr>
            <w:tcW w:w="2410" w:type="dxa"/>
            <w:hideMark/>
          </w:tcPr>
          <w:p w14:paraId="3ABCF5D5" w14:textId="77777777" w:rsidR="007940F5" w:rsidRPr="00710742" w:rsidRDefault="00C762FC" w:rsidP="00710742">
            <w:pPr>
              <w:rPr>
                <w:rFonts w:eastAsia="Times New Roman"/>
                <w:sz w:val="18"/>
                <w:szCs w:val="18"/>
              </w:rPr>
            </w:pPr>
            <w:r w:rsidRPr="00710742">
              <w:rPr>
                <w:rFonts w:eastAsia="Times New Roman"/>
                <w:sz w:val="18"/>
                <w:szCs w:val="18"/>
                <w:u w:val="single"/>
              </w:rPr>
              <w:t>Land</w:t>
            </w:r>
            <w:r w:rsidRPr="00710742">
              <w:rPr>
                <w:rFonts w:eastAsia="Times New Roman"/>
                <w:sz w:val="18"/>
                <w:szCs w:val="18"/>
              </w:rPr>
              <w:t xml:space="preserve">: Municipality of San Prisco, recorded in the land </w:t>
            </w:r>
            <w:r w:rsidRPr="00710742">
              <w:rPr>
                <w:rFonts w:eastAsia="Times New Roman"/>
                <w:sz w:val="18"/>
                <w:szCs w:val="18"/>
              </w:rPr>
              <w:t>register as folio no. 6, parcels nos. 5392, 5393 and 5394</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Public interest pursued</w:t>
            </w:r>
            <w:r w:rsidRPr="00710742">
              <w:rPr>
                <w:rFonts w:eastAsia="Times New Roman"/>
                <w:sz w:val="18"/>
                <w:szCs w:val="18"/>
              </w:rPr>
              <w:t>: social housing</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Urgent occupation order</w:t>
            </w:r>
            <w:r w:rsidRPr="00710742">
              <w:rPr>
                <w:rFonts w:eastAsia="Times New Roman"/>
                <w:sz w:val="18"/>
                <w:szCs w:val="18"/>
              </w:rPr>
              <w:t>: 22/07/1999</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Physical occupation</w:t>
            </w:r>
            <w:r w:rsidRPr="00710742">
              <w:rPr>
                <w:rFonts w:eastAsia="Times New Roman"/>
                <w:sz w:val="18"/>
                <w:szCs w:val="18"/>
              </w:rPr>
              <w:t>: 10/09/1999</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Expropriation order</w:t>
            </w:r>
            <w:r w:rsidRPr="00710742">
              <w:rPr>
                <w:rFonts w:eastAsia="Times New Roman"/>
                <w:sz w:val="18"/>
                <w:szCs w:val="18"/>
              </w:rPr>
              <w:t>: 03/12/2001</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National decisions</w:t>
            </w:r>
            <w:r w:rsidRPr="00710742">
              <w:rPr>
                <w:rFonts w:eastAsia="Times New Roman"/>
                <w:sz w:val="18"/>
                <w:szCs w:val="18"/>
              </w:rPr>
              <w:t xml:space="preserve">: Naples Court of Appeal, 12/04/2005, awarding compensation for expropriation and occupation based on section 5 </w:t>
            </w:r>
            <w:r w:rsidRPr="00710742">
              <w:rPr>
                <w:rFonts w:eastAsia="Times New Roman"/>
                <w:i/>
                <w:iCs/>
                <w:sz w:val="18"/>
                <w:szCs w:val="18"/>
              </w:rPr>
              <w:t>bis</w:t>
            </w:r>
            <w:r w:rsidRPr="00710742">
              <w:rPr>
                <w:rFonts w:eastAsia="Times New Roman"/>
                <w:sz w:val="18"/>
                <w:szCs w:val="18"/>
              </w:rPr>
              <w:t xml:space="preserve"> of Law no. 359/1992;</w:t>
            </w:r>
            <w:r w:rsidRPr="00710742">
              <w:rPr>
                <w:rFonts w:eastAsia="Times New Roman"/>
                <w:sz w:val="18"/>
                <w:szCs w:val="18"/>
              </w:rPr>
              <w:br/>
              <w:t>Court of Cassation, 27/06/2011, confirming first-instance judgment</w:t>
            </w:r>
          </w:p>
        </w:tc>
        <w:tc>
          <w:tcPr>
            <w:tcW w:w="1559" w:type="dxa"/>
            <w:hideMark/>
          </w:tcPr>
          <w:p w14:paraId="7E2FAEB0" w14:textId="77777777" w:rsidR="007940F5" w:rsidRPr="00710742" w:rsidRDefault="00C762FC" w:rsidP="00710742">
            <w:pPr>
              <w:rPr>
                <w:rFonts w:eastAsia="Times New Roman"/>
                <w:sz w:val="18"/>
                <w:szCs w:val="18"/>
              </w:rPr>
            </w:pPr>
            <w:r w:rsidRPr="00710742">
              <w:rPr>
                <w:rFonts w:eastAsia="Times New Roman"/>
                <w:sz w:val="18"/>
                <w:szCs w:val="18"/>
              </w:rPr>
              <w:t>EUR 1,228,632.64 in expropriation compensation, plus statutory interest; occupation compensation based on interest on expropriation compensation</w:t>
            </w:r>
          </w:p>
        </w:tc>
        <w:tc>
          <w:tcPr>
            <w:tcW w:w="1276" w:type="dxa"/>
            <w:hideMark/>
          </w:tcPr>
          <w:p w14:paraId="064D8CA1" w14:textId="77777777" w:rsidR="007940F5" w:rsidRPr="00710742" w:rsidRDefault="00C762FC" w:rsidP="00710742">
            <w:pPr>
              <w:rPr>
                <w:rFonts w:eastAsia="Times New Roman"/>
                <w:sz w:val="18"/>
                <w:szCs w:val="18"/>
              </w:rPr>
            </w:pPr>
            <w:r w:rsidRPr="00710742">
              <w:rPr>
                <w:rFonts w:eastAsia="Times New Roman"/>
                <w:sz w:val="18"/>
                <w:szCs w:val="18"/>
              </w:rPr>
              <w:t>EUR 2,386,250 (in December 2001, according to independent expert valuation)</w:t>
            </w:r>
          </w:p>
        </w:tc>
        <w:tc>
          <w:tcPr>
            <w:tcW w:w="2126" w:type="dxa"/>
            <w:hideMark/>
          </w:tcPr>
          <w:p w14:paraId="6818A52C" w14:textId="77777777" w:rsidR="007940F5" w:rsidRPr="00710742" w:rsidRDefault="00C762FC" w:rsidP="00710742">
            <w:pPr>
              <w:rPr>
                <w:rFonts w:eastAsia="Times New Roman"/>
                <w:sz w:val="18"/>
                <w:szCs w:val="18"/>
              </w:rPr>
            </w:pPr>
            <w:r w:rsidRPr="00710742">
              <w:rPr>
                <w:rFonts w:eastAsia="Times New Roman"/>
                <w:sz w:val="18"/>
                <w:szCs w:val="18"/>
                <w:u w:val="single"/>
              </w:rPr>
              <w:t>Government</w:t>
            </w:r>
            <w:r w:rsidRPr="00710742">
              <w:rPr>
                <w:rFonts w:eastAsia="Times New Roman"/>
                <w:sz w:val="18"/>
                <w:szCs w:val="18"/>
              </w:rPr>
              <w:t xml:space="preserve">: </w:t>
            </w:r>
            <w:r w:rsidRPr="00710742">
              <w:rPr>
                <w:rFonts w:eastAsia="Times New Roman"/>
                <w:sz w:val="18"/>
                <w:szCs w:val="18"/>
              </w:rPr>
              <w:br/>
              <w:t xml:space="preserve">(1) admissibility: loss of victim status following settlement agreement of 13/04/2012; </w:t>
            </w:r>
            <w:r w:rsidRPr="00710742">
              <w:rPr>
                <w:rFonts w:eastAsia="Times New Roman"/>
                <w:sz w:val="18"/>
                <w:szCs w:val="18"/>
              </w:rPr>
              <w:br/>
              <w:t>(2) merits: interference proportionate to the public interest pursued</w:t>
            </w:r>
            <w:r w:rsidRPr="00710742">
              <w:rPr>
                <w:rFonts w:eastAsia="Times New Roman"/>
                <w:sz w:val="18"/>
                <w:szCs w:val="18"/>
              </w:rPr>
              <w:br/>
            </w:r>
            <w:r w:rsidRPr="00710742">
              <w:rPr>
                <w:rFonts w:eastAsia="Times New Roman"/>
                <w:sz w:val="18"/>
                <w:szCs w:val="18"/>
              </w:rPr>
              <w:br/>
            </w:r>
            <w:r w:rsidRPr="00710742">
              <w:rPr>
                <w:rFonts w:eastAsia="Times New Roman"/>
                <w:sz w:val="18"/>
                <w:szCs w:val="18"/>
                <w:u w:val="single"/>
              </w:rPr>
              <w:t>Applicant institute</w:t>
            </w:r>
            <w:r w:rsidRPr="00710742">
              <w:rPr>
                <w:rFonts w:eastAsia="Times New Roman"/>
                <w:sz w:val="18"/>
                <w:szCs w:val="18"/>
              </w:rPr>
              <w:t xml:space="preserve">: </w:t>
            </w:r>
            <w:r w:rsidRPr="00710742">
              <w:rPr>
                <w:rFonts w:eastAsia="Times New Roman"/>
                <w:sz w:val="18"/>
                <w:szCs w:val="18"/>
              </w:rPr>
              <w:br/>
              <w:t xml:space="preserve">(1) admissibility: the agreement did not contain any waiver in respect of the claims lodged with the Court; </w:t>
            </w:r>
            <w:r w:rsidRPr="00710742">
              <w:rPr>
                <w:rFonts w:eastAsia="Times New Roman"/>
                <w:sz w:val="18"/>
                <w:szCs w:val="18"/>
              </w:rPr>
              <w:br/>
              <w:t xml:space="preserve">(2) compensation did not reflect market value and was also subject to 20% tax; </w:t>
            </w:r>
            <w:r w:rsidRPr="00710742">
              <w:rPr>
                <w:rFonts w:eastAsia="Times New Roman"/>
                <w:sz w:val="18"/>
                <w:szCs w:val="18"/>
              </w:rPr>
              <w:br/>
              <w:t xml:space="preserve">(3) just satisfaction claims: </w:t>
            </w:r>
            <w:r w:rsidRPr="00710742">
              <w:rPr>
                <w:rFonts w:eastAsia="Times New Roman"/>
                <w:sz w:val="18"/>
                <w:szCs w:val="18"/>
              </w:rPr>
              <w:br/>
              <w:t>(a) loss of property: EUR 2,270,837.75</w:t>
            </w:r>
            <w:r w:rsidRPr="00710742">
              <w:rPr>
                <w:rFonts w:eastAsia="Times New Roman"/>
                <w:sz w:val="18"/>
                <w:szCs w:val="18"/>
              </w:rPr>
              <w:br/>
              <w:t>(b) non-pecuniary damage: EUR 150,000</w:t>
            </w:r>
            <w:r w:rsidRPr="00710742">
              <w:rPr>
                <w:rFonts w:eastAsia="Times New Roman"/>
                <w:sz w:val="18"/>
                <w:szCs w:val="18"/>
              </w:rPr>
              <w:br/>
              <w:t>(c) costs and expenses before t</w:t>
            </w:r>
            <w:r w:rsidRPr="00710742">
              <w:rPr>
                <w:rFonts w:eastAsia="Times New Roman"/>
                <w:sz w:val="18"/>
                <w:szCs w:val="18"/>
              </w:rPr>
              <w:t>he Court: EUR 50,800.10</w:t>
            </w:r>
          </w:p>
        </w:tc>
        <w:tc>
          <w:tcPr>
            <w:tcW w:w="1848" w:type="dxa"/>
            <w:hideMark/>
          </w:tcPr>
          <w:p w14:paraId="14857B07" w14:textId="77777777" w:rsidR="007940F5" w:rsidRPr="00710742" w:rsidRDefault="00C762FC" w:rsidP="00710742">
            <w:pPr>
              <w:rPr>
                <w:rFonts w:eastAsia="Times New Roman"/>
                <w:sz w:val="18"/>
                <w:szCs w:val="18"/>
              </w:rPr>
            </w:pPr>
            <w:r w:rsidRPr="00710742">
              <w:rPr>
                <w:rFonts w:eastAsia="Times New Roman"/>
                <w:sz w:val="18"/>
                <w:szCs w:val="18"/>
              </w:rPr>
              <w:t xml:space="preserve">Pecuniary damage (loss of property): </w:t>
            </w:r>
            <w:r w:rsidRPr="00710742">
              <w:rPr>
                <w:rFonts w:eastAsia="Times New Roman"/>
                <w:b/>
                <w:bCs/>
                <w:sz w:val="18"/>
                <w:szCs w:val="18"/>
              </w:rPr>
              <w:t>EUR 2,174,700</w:t>
            </w:r>
            <w:r w:rsidRPr="00710742">
              <w:rPr>
                <w:rFonts w:eastAsia="Times New Roman"/>
                <w:sz w:val="18"/>
                <w:szCs w:val="18"/>
              </w:rPr>
              <w:br/>
            </w:r>
            <w:r w:rsidRPr="00710742">
              <w:rPr>
                <w:rFonts w:eastAsia="Times New Roman"/>
                <w:sz w:val="18"/>
                <w:szCs w:val="18"/>
              </w:rPr>
              <w:br/>
              <w:t xml:space="preserve">Non-pecuniary damage: </w:t>
            </w:r>
            <w:r w:rsidRPr="00710742">
              <w:rPr>
                <w:rFonts w:eastAsia="Times New Roman"/>
                <w:b/>
                <w:bCs/>
                <w:sz w:val="18"/>
                <w:szCs w:val="18"/>
              </w:rPr>
              <w:t>EUR 5,000</w:t>
            </w:r>
            <w:r w:rsidRPr="00710742">
              <w:rPr>
                <w:rFonts w:eastAsia="Times New Roman"/>
                <w:sz w:val="18"/>
                <w:szCs w:val="18"/>
              </w:rPr>
              <w:t>, plus any tax that may be chargeable</w:t>
            </w:r>
          </w:p>
        </w:tc>
      </w:tr>
    </w:tbl>
    <w:p w14:paraId="69C98639" w14:textId="77777777" w:rsidR="00182EBA" w:rsidRPr="00710742" w:rsidRDefault="00182EBA" w:rsidP="00710742"/>
    <w:sectPr w:rsidR="00182EBA" w:rsidRPr="00710742" w:rsidSect="00D843F0">
      <w:headerReference w:type="even" r:id="rId16"/>
      <w:headerReference w:type="default" r:id="rId17"/>
      <w:footerReference w:type="even" r:id="rId18"/>
      <w:footerReference w:type="default" r:id="rId19"/>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4787" w14:textId="77777777" w:rsidR="00C762FC" w:rsidRDefault="00C762FC">
      <w:r>
        <w:separator/>
      </w:r>
    </w:p>
  </w:endnote>
  <w:endnote w:type="continuationSeparator" w:id="0">
    <w:p w14:paraId="0D1EDA48" w14:textId="77777777" w:rsidR="00C762FC" w:rsidRDefault="00C7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3CF0" w14:textId="77777777" w:rsidR="007940F5" w:rsidRPr="00150BFA" w:rsidRDefault="00C762FC" w:rsidP="0020718E">
    <w:pPr>
      <w:jc w:val="center"/>
    </w:pPr>
    <w:r>
      <w:rPr>
        <w:noProof/>
        <w:lang w:val="en-US"/>
      </w:rPr>
      <w:drawing>
        <wp:inline distT="0" distB="0" distL="0" distR="0" wp14:anchorId="718AE77C" wp14:editId="78DF7801">
          <wp:extent cx="771525" cy="619125"/>
          <wp:effectExtent l="0" t="0" r="9525" b="9525"/>
          <wp:docPr id="50" name="Picture 5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52E1A365" w14:textId="77777777" w:rsidR="0098410D" w:rsidRPr="007940F5"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AF88" w14:textId="77777777" w:rsidR="007940F5" w:rsidRPr="00150BFA" w:rsidRDefault="00C762FC" w:rsidP="0020718E">
    <w:pPr>
      <w:jc w:val="center"/>
    </w:pPr>
    <w:r>
      <w:rPr>
        <w:noProof/>
        <w:lang w:val="en-US"/>
      </w:rPr>
      <w:drawing>
        <wp:inline distT="0" distB="0" distL="0" distR="0" wp14:anchorId="06FB9050" wp14:editId="7BDBF273">
          <wp:extent cx="771525" cy="619125"/>
          <wp:effectExtent l="0" t="0" r="9525" b="9525"/>
          <wp:docPr id="48" name="Picture 4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19F7DB10" w14:textId="77777777" w:rsidR="009E7A6F" w:rsidRPr="007940F5"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20B4" w14:textId="77777777" w:rsidR="007940F5" w:rsidRDefault="00C762FC"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D8B6" w14:textId="77777777" w:rsidR="007940F5" w:rsidRPr="000B7195" w:rsidRDefault="00C762FC" w:rsidP="007D3701">
    <w:pPr>
      <w:pStyle w:val="JuHeader"/>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AAC3" w14:textId="77777777" w:rsidR="00182EBA" w:rsidRDefault="00C762FC"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8FCC" w14:textId="77777777" w:rsidR="00182EBA" w:rsidRPr="000B7195" w:rsidRDefault="00C762FC"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3336" w14:textId="77777777" w:rsidR="00C762FC" w:rsidRDefault="00C762FC">
      <w:r>
        <w:separator/>
      </w:r>
    </w:p>
  </w:footnote>
  <w:footnote w:type="continuationSeparator" w:id="0">
    <w:p w14:paraId="68DBD146" w14:textId="77777777" w:rsidR="00C762FC" w:rsidRDefault="00C76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FB4E" w14:textId="77777777" w:rsidR="007940F5" w:rsidRPr="00A45145" w:rsidRDefault="00C762FC" w:rsidP="00A45145">
    <w:pPr>
      <w:jc w:val="center"/>
    </w:pPr>
    <w:r>
      <w:rPr>
        <w:noProof/>
        <w:lang w:val="en-US"/>
      </w:rPr>
      <w:drawing>
        <wp:inline distT="0" distB="0" distL="0" distR="0" wp14:anchorId="6A5B2856" wp14:editId="46276CE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55409668" w14:textId="77777777" w:rsidR="0098410D" w:rsidRPr="007940F5"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2B13" w14:textId="77777777" w:rsidR="007940F5" w:rsidRPr="00A45145" w:rsidRDefault="00C762FC" w:rsidP="00A45145">
    <w:pPr>
      <w:jc w:val="center"/>
    </w:pPr>
    <w:r>
      <w:rPr>
        <w:noProof/>
        <w:lang w:val="en-US"/>
      </w:rPr>
      <w:drawing>
        <wp:inline distT="0" distB="0" distL="0" distR="0" wp14:anchorId="300BB739" wp14:editId="4C80DF19">
          <wp:extent cx="2962275" cy="1219200"/>
          <wp:effectExtent l="0" t="0" r="9525" b="0"/>
          <wp:docPr id="43" name="Picture 4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105E65FA" w14:textId="77777777" w:rsidR="0098410D" w:rsidRPr="007940F5"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BAA4" w14:textId="77777777" w:rsidR="007940F5" w:rsidRPr="00C54724" w:rsidRDefault="00C762FC" w:rsidP="004D0EC7">
    <w:pPr>
      <w:pStyle w:val="JuHeader"/>
      <w:rPr>
        <w:lang w:val="it-IT"/>
      </w:rPr>
    </w:pPr>
    <w:r w:rsidRPr="00C54724">
      <w:rPr>
        <w:lang w:val="it-IT"/>
      </w:rPr>
      <w:t xml:space="preserve">ISTITUTO DIOCESANO PER IL SOSTENTAMENTO DEL CLERO DI CAPUA </w:t>
    </w:r>
    <w:r w:rsidR="00882C65">
      <w:rPr>
        <w:lang w:val="it-IT"/>
      </w:rPr>
      <w:t xml:space="preserve">AND OTHERS </w:t>
    </w:r>
    <w:r w:rsidRPr="00C54724">
      <w:rPr>
        <w:lang w:val="it-IT"/>
      </w:rPr>
      <w:t>v. ITALY 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E54E" w14:textId="77777777" w:rsidR="007940F5" w:rsidRPr="00C54724" w:rsidRDefault="00C762FC" w:rsidP="007D3701">
    <w:pPr>
      <w:pStyle w:val="JuHeader"/>
      <w:rPr>
        <w:lang w:val="it-IT"/>
      </w:rPr>
    </w:pPr>
    <w:r w:rsidRPr="00C54724">
      <w:rPr>
        <w:lang w:val="it-IT"/>
      </w:rPr>
      <w:t xml:space="preserve">ISTITUTO DIOCESANO PER IL SOSTENTAMENTO DEL CLERO DI CAPUA </w:t>
    </w:r>
    <w:r w:rsidR="00882C65">
      <w:rPr>
        <w:lang w:val="it-IT"/>
      </w:rPr>
      <w:t xml:space="preserve">AND OTHERS </w:t>
    </w:r>
    <w:r w:rsidRPr="00C54724">
      <w:rPr>
        <w:lang w:val="it-IT"/>
      </w:rPr>
      <w:t>v. ITALY 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3428" w14:textId="77777777" w:rsidR="00182EBA" w:rsidRPr="00C54724" w:rsidRDefault="00C762FC" w:rsidP="004D0EC7">
    <w:pPr>
      <w:pStyle w:val="JuHeader"/>
      <w:rPr>
        <w:lang w:val="it-IT"/>
      </w:rPr>
    </w:pPr>
    <w:r w:rsidRPr="00C54724">
      <w:rPr>
        <w:lang w:val="it-IT"/>
      </w:rPr>
      <w:t xml:space="preserve">ISTITUTO DIOCESANO PER IL SOSTENTAMENTO DEL CLERO DI CAPUA </w:t>
    </w:r>
    <w:r w:rsidR="00882C65">
      <w:rPr>
        <w:lang w:val="it-IT"/>
      </w:rPr>
      <w:t xml:space="preserve">AND OTHERS </w:t>
    </w:r>
    <w:r w:rsidRPr="00C54724">
      <w:rPr>
        <w:lang w:val="it-IT"/>
      </w:rPr>
      <w:t>v. ITALY JUDGMENT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4FE6" w14:textId="77777777" w:rsidR="00182EBA" w:rsidRPr="00C54724" w:rsidRDefault="00C762FC" w:rsidP="007D3701">
    <w:pPr>
      <w:pStyle w:val="JuHeader"/>
      <w:rPr>
        <w:lang w:val="it-IT"/>
      </w:rPr>
    </w:pPr>
    <w:r w:rsidRPr="00C54724">
      <w:rPr>
        <w:lang w:val="it-IT"/>
      </w:rPr>
      <w:t xml:space="preserve">ISTITUTO DIOCESANO PER IL SOSTENTAMENTO DEL CLERO DI CAPUA </w:t>
    </w:r>
    <w:r w:rsidR="00882C65">
      <w:rPr>
        <w:lang w:val="it-IT"/>
      </w:rPr>
      <w:t xml:space="preserve">AND OTHERS </w:t>
    </w:r>
    <w:r w:rsidRPr="00C54724">
      <w:rPr>
        <w:lang w:val="it-IT"/>
      </w:rPr>
      <w:t>v. ITALY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BDB8ECF0">
      <w:start w:val="1"/>
      <w:numFmt w:val="bullet"/>
      <w:pStyle w:val="Puntoelenco"/>
      <w:lvlText w:val=""/>
      <w:lvlJc w:val="left"/>
      <w:pPr>
        <w:tabs>
          <w:tab w:val="num" w:pos="851"/>
        </w:tabs>
        <w:ind w:left="568" w:firstLine="0"/>
      </w:pPr>
      <w:rPr>
        <w:rFonts w:ascii="Wingdings" w:hAnsi="Wingdings" w:hint="default"/>
        <w:color w:val="808080"/>
        <w:sz w:val="16"/>
      </w:rPr>
    </w:lvl>
    <w:lvl w:ilvl="1" w:tplc="4FBE8F4C" w:tentative="1">
      <w:start w:val="1"/>
      <w:numFmt w:val="bullet"/>
      <w:lvlText w:val="o"/>
      <w:lvlJc w:val="left"/>
      <w:pPr>
        <w:tabs>
          <w:tab w:val="num" w:pos="1724"/>
        </w:tabs>
        <w:ind w:left="1724" w:hanging="360"/>
      </w:pPr>
      <w:rPr>
        <w:rFonts w:ascii="Courier New" w:hAnsi="Courier New" w:cs="Courier New" w:hint="default"/>
      </w:rPr>
    </w:lvl>
    <w:lvl w:ilvl="2" w:tplc="BE24F16A" w:tentative="1">
      <w:start w:val="1"/>
      <w:numFmt w:val="bullet"/>
      <w:lvlText w:val=""/>
      <w:lvlJc w:val="left"/>
      <w:pPr>
        <w:tabs>
          <w:tab w:val="num" w:pos="2444"/>
        </w:tabs>
        <w:ind w:left="2444" w:hanging="360"/>
      </w:pPr>
      <w:rPr>
        <w:rFonts w:ascii="Wingdings" w:hAnsi="Wingdings" w:hint="default"/>
      </w:rPr>
    </w:lvl>
    <w:lvl w:ilvl="3" w:tplc="0A26A700" w:tentative="1">
      <w:start w:val="1"/>
      <w:numFmt w:val="bullet"/>
      <w:lvlText w:val=""/>
      <w:lvlJc w:val="left"/>
      <w:pPr>
        <w:tabs>
          <w:tab w:val="num" w:pos="3164"/>
        </w:tabs>
        <w:ind w:left="3164" w:hanging="360"/>
      </w:pPr>
      <w:rPr>
        <w:rFonts w:ascii="Symbol" w:hAnsi="Symbol" w:hint="default"/>
      </w:rPr>
    </w:lvl>
    <w:lvl w:ilvl="4" w:tplc="1AA8E55C" w:tentative="1">
      <w:start w:val="1"/>
      <w:numFmt w:val="bullet"/>
      <w:lvlText w:val="o"/>
      <w:lvlJc w:val="left"/>
      <w:pPr>
        <w:tabs>
          <w:tab w:val="num" w:pos="3884"/>
        </w:tabs>
        <w:ind w:left="3884" w:hanging="360"/>
      </w:pPr>
      <w:rPr>
        <w:rFonts w:ascii="Courier New" w:hAnsi="Courier New" w:cs="Courier New" w:hint="default"/>
      </w:rPr>
    </w:lvl>
    <w:lvl w:ilvl="5" w:tplc="7A92CD3C" w:tentative="1">
      <w:start w:val="1"/>
      <w:numFmt w:val="bullet"/>
      <w:lvlText w:val=""/>
      <w:lvlJc w:val="left"/>
      <w:pPr>
        <w:tabs>
          <w:tab w:val="num" w:pos="4604"/>
        </w:tabs>
        <w:ind w:left="4604" w:hanging="360"/>
      </w:pPr>
      <w:rPr>
        <w:rFonts w:ascii="Wingdings" w:hAnsi="Wingdings" w:hint="default"/>
      </w:rPr>
    </w:lvl>
    <w:lvl w:ilvl="6" w:tplc="0CFCA24E" w:tentative="1">
      <w:start w:val="1"/>
      <w:numFmt w:val="bullet"/>
      <w:lvlText w:val=""/>
      <w:lvlJc w:val="left"/>
      <w:pPr>
        <w:tabs>
          <w:tab w:val="num" w:pos="5324"/>
        </w:tabs>
        <w:ind w:left="5324" w:hanging="360"/>
      </w:pPr>
      <w:rPr>
        <w:rFonts w:ascii="Symbol" w:hAnsi="Symbol" w:hint="default"/>
      </w:rPr>
    </w:lvl>
    <w:lvl w:ilvl="7" w:tplc="33489F4A" w:tentative="1">
      <w:start w:val="1"/>
      <w:numFmt w:val="bullet"/>
      <w:lvlText w:val="o"/>
      <w:lvlJc w:val="left"/>
      <w:pPr>
        <w:tabs>
          <w:tab w:val="num" w:pos="6044"/>
        </w:tabs>
        <w:ind w:left="6044" w:hanging="360"/>
      </w:pPr>
      <w:rPr>
        <w:rFonts w:ascii="Courier New" w:hAnsi="Courier New" w:cs="Courier New" w:hint="default"/>
      </w:rPr>
    </w:lvl>
    <w:lvl w:ilvl="8" w:tplc="74F2D22E" w:tentative="1">
      <w:start w:val="1"/>
      <w:numFmt w:val="bullet"/>
      <w:lvlText w:val=""/>
      <w:lvlJc w:val="left"/>
      <w:pPr>
        <w:tabs>
          <w:tab w:val="num" w:pos="6764"/>
        </w:tabs>
        <w:ind w:left="6764" w:hanging="360"/>
      </w:pPr>
      <w:rPr>
        <w:rFonts w:ascii="Wingdings" w:hAnsi="Wingdings" w:hint="default"/>
      </w:rPr>
    </w:lvl>
  </w:abstractNum>
  <w:num w:numId="1" w16cid:durableId="2098164718">
    <w:abstractNumId w:val="14"/>
  </w:num>
  <w:num w:numId="2" w16cid:durableId="891038069">
    <w:abstractNumId w:val="12"/>
  </w:num>
  <w:num w:numId="3" w16cid:durableId="1088771529">
    <w:abstractNumId w:val="11"/>
  </w:num>
  <w:num w:numId="4" w16cid:durableId="208959735">
    <w:abstractNumId w:val="15"/>
  </w:num>
  <w:num w:numId="5" w16cid:durableId="654335069">
    <w:abstractNumId w:val="13"/>
  </w:num>
  <w:num w:numId="6" w16cid:durableId="778069412">
    <w:abstractNumId w:val="16"/>
  </w:num>
  <w:num w:numId="7" w16cid:durableId="1180897251">
    <w:abstractNumId w:val="15"/>
  </w:num>
  <w:num w:numId="8" w16cid:durableId="110050403">
    <w:abstractNumId w:val="16"/>
  </w:num>
  <w:num w:numId="9" w16cid:durableId="227769291">
    <w:abstractNumId w:val="10"/>
  </w:num>
  <w:num w:numId="10" w16cid:durableId="1318532293">
    <w:abstractNumId w:val="9"/>
  </w:num>
  <w:num w:numId="11" w16cid:durableId="1336690820">
    <w:abstractNumId w:val="17"/>
  </w:num>
  <w:num w:numId="12" w16cid:durableId="732390408">
    <w:abstractNumId w:val="7"/>
  </w:num>
  <w:num w:numId="13" w16cid:durableId="627050250">
    <w:abstractNumId w:val="6"/>
  </w:num>
  <w:num w:numId="14" w16cid:durableId="2124568159">
    <w:abstractNumId w:val="5"/>
  </w:num>
  <w:num w:numId="15" w16cid:durableId="918245633">
    <w:abstractNumId w:val="4"/>
  </w:num>
  <w:num w:numId="16" w16cid:durableId="863203841">
    <w:abstractNumId w:val="8"/>
  </w:num>
  <w:num w:numId="17" w16cid:durableId="1248877996">
    <w:abstractNumId w:val="3"/>
  </w:num>
  <w:num w:numId="18" w16cid:durableId="1723867607">
    <w:abstractNumId w:val="2"/>
  </w:num>
  <w:num w:numId="19" w16cid:durableId="1668560128">
    <w:abstractNumId w:val="1"/>
  </w:num>
  <w:num w:numId="20" w16cid:durableId="176575794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3"/>
    <w:docVar w:name="AppNatAutre" w:val="0"/>
    <w:docVar w:name="DocVarPREMATURE" w:val="0"/>
    <w:docVar w:name="EMM" w:val="0"/>
    <w:docVar w:name="ETRANSMISSION" w:val="BY E-TRANSMISSION ONLY"/>
    <w:docVar w:name="L4_1Annex" w:val="0"/>
    <w:docVar w:name="L4_1Anonymity" w:val="0"/>
    <w:docVar w:name="NBApplication" w:val="2"/>
    <w:docVar w:name="NBEMMDOC" w:val="0"/>
    <w:docVar w:name="Plural" w:val="3"/>
    <w:docVar w:name="SignForeName" w:val="0"/>
    <w:docVar w:name="SndCaseNumber" w:val="Error!Nodocumentvariablesupplied."/>
  </w:docVars>
  <w:rsids>
    <w:rsidRoot w:val="007940F5"/>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560"/>
    <w:rsid w:val="000602DF"/>
    <w:rsid w:val="00061B05"/>
    <w:rsid w:val="000632D5"/>
    <w:rsid w:val="000644EE"/>
    <w:rsid w:val="000712E3"/>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44C"/>
    <w:rsid w:val="00110DA8"/>
    <w:rsid w:val="00111B0C"/>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689B"/>
    <w:rsid w:val="0020718E"/>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080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0727"/>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9734F"/>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3C06"/>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0742"/>
    <w:rsid w:val="00715127"/>
    <w:rsid w:val="00715E8E"/>
    <w:rsid w:val="00723580"/>
    <w:rsid w:val="00723755"/>
    <w:rsid w:val="007271EB"/>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40F5"/>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538E"/>
    <w:rsid w:val="00867066"/>
    <w:rsid w:val="008713A1"/>
    <w:rsid w:val="00872584"/>
    <w:rsid w:val="008754AB"/>
    <w:rsid w:val="0088060C"/>
    <w:rsid w:val="00882C65"/>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1AA3"/>
    <w:rsid w:val="00951D7D"/>
    <w:rsid w:val="00956D0C"/>
    <w:rsid w:val="009630C7"/>
    <w:rsid w:val="009724CD"/>
    <w:rsid w:val="00972B55"/>
    <w:rsid w:val="009743B7"/>
    <w:rsid w:val="0098228B"/>
    <w:rsid w:val="009828DA"/>
    <w:rsid w:val="0098410D"/>
    <w:rsid w:val="00985BAB"/>
    <w:rsid w:val="00986B3C"/>
    <w:rsid w:val="009A115C"/>
    <w:rsid w:val="009A31C2"/>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7147"/>
    <w:rsid w:val="00A6035E"/>
    <w:rsid w:val="00A6144C"/>
    <w:rsid w:val="00A66617"/>
    <w:rsid w:val="00A671F8"/>
    <w:rsid w:val="00A673A4"/>
    <w:rsid w:val="00A724AE"/>
    <w:rsid w:val="00A73329"/>
    <w:rsid w:val="00A82359"/>
    <w:rsid w:val="00A865D2"/>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12C5"/>
    <w:rsid w:val="00AF4B07"/>
    <w:rsid w:val="00AF6186"/>
    <w:rsid w:val="00AF7A3A"/>
    <w:rsid w:val="00B02587"/>
    <w:rsid w:val="00B049D1"/>
    <w:rsid w:val="00B14793"/>
    <w:rsid w:val="00B153A0"/>
    <w:rsid w:val="00B160DB"/>
    <w:rsid w:val="00B20836"/>
    <w:rsid w:val="00B235BB"/>
    <w:rsid w:val="00B27A44"/>
    <w:rsid w:val="00B30BBF"/>
    <w:rsid w:val="00B33C03"/>
    <w:rsid w:val="00B4421F"/>
    <w:rsid w:val="00B449EA"/>
    <w:rsid w:val="00B44E56"/>
    <w:rsid w:val="00B45917"/>
    <w:rsid w:val="00B46543"/>
    <w:rsid w:val="00B47D33"/>
    <w:rsid w:val="00B52BE0"/>
    <w:rsid w:val="00B54133"/>
    <w:rsid w:val="00B55A8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4724"/>
    <w:rsid w:val="00C55B54"/>
    <w:rsid w:val="00C6098E"/>
    <w:rsid w:val="00C6152C"/>
    <w:rsid w:val="00C71424"/>
    <w:rsid w:val="00C74810"/>
    <w:rsid w:val="00C762FC"/>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843F0"/>
    <w:rsid w:val="00D908A8"/>
    <w:rsid w:val="00D977B6"/>
    <w:rsid w:val="00DA1223"/>
    <w:rsid w:val="00DA4A31"/>
    <w:rsid w:val="00DA7B04"/>
    <w:rsid w:val="00DB36C2"/>
    <w:rsid w:val="00DC00A8"/>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7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2B5B43"/>
    <w:rPr>
      <w:sz w:val="24"/>
      <w:szCs w:val="24"/>
      <w:lang w:val="en-GB"/>
    </w:rPr>
  </w:style>
  <w:style w:type="paragraph" w:styleId="Titolo1">
    <w:name w:val="heading 1"/>
    <w:basedOn w:val="Normale"/>
    <w:next w:val="Normale"/>
    <w:link w:val="Titolo1Carattere"/>
    <w:uiPriority w:val="98"/>
    <w:semiHidden/>
    <w:rsid w:val="002B5B4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B5B4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B5B4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B5B4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B5B4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B5B4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B5B4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B5B4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B5B4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B5B4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B5B43"/>
    <w:rPr>
      <w:rFonts w:ascii="Tahoma" w:hAnsi="Tahoma" w:cs="Tahoma"/>
      <w:sz w:val="16"/>
      <w:szCs w:val="16"/>
      <w:lang w:val="en-GB"/>
    </w:rPr>
  </w:style>
  <w:style w:type="character" w:styleId="Titolodellibro">
    <w:name w:val="Book Title"/>
    <w:uiPriority w:val="98"/>
    <w:semiHidden/>
    <w:qFormat/>
    <w:rsid w:val="002B5B43"/>
    <w:rPr>
      <w:i/>
      <w:iCs/>
      <w:smallCaps/>
      <w:spacing w:val="5"/>
    </w:rPr>
  </w:style>
  <w:style w:type="paragraph" w:customStyle="1" w:styleId="JuHeader">
    <w:name w:val="Ju_Header"/>
    <w:aliases w:val="_Header"/>
    <w:basedOn w:val="Intestazione"/>
    <w:uiPriority w:val="29"/>
    <w:qFormat/>
    <w:rsid w:val="002B5B43"/>
    <w:pPr>
      <w:tabs>
        <w:tab w:val="clear" w:pos="4536"/>
        <w:tab w:val="clear" w:pos="9072"/>
      </w:tabs>
      <w:jc w:val="center"/>
    </w:pPr>
    <w:rPr>
      <w:sz w:val="18"/>
    </w:rPr>
  </w:style>
  <w:style w:type="paragraph" w:customStyle="1" w:styleId="NormalJustified">
    <w:name w:val="Normal_Justified"/>
    <w:basedOn w:val="Normale"/>
    <w:semiHidden/>
    <w:rsid w:val="002B5B43"/>
    <w:pPr>
      <w:jc w:val="both"/>
    </w:pPr>
  </w:style>
  <w:style w:type="character" w:styleId="Enfasigrassetto">
    <w:name w:val="Strong"/>
    <w:uiPriority w:val="98"/>
    <w:semiHidden/>
    <w:qFormat/>
    <w:rsid w:val="002B5B43"/>
    <w:rPr>
      <w:b/>
      <w:bCs/>
    </w:rPr>
  </w:style>
  <w:style w:type="paragraph" w:styleId="Nessunaspaziatura">
    <w:name w:val="No Spacing"/>
    <w:basedOn w:val="Normale"/>
    <w:link w:val="NessunaspaziaturaCarattere"/>
    <w:uiPriority w:val="98"/>
    <w:semiHidden/>
    <w:qFormat/>
    <w:rsid w:val="002B5B43"/>
  </w:style>
  <w:style w:type="character" w:customStyle="1" w:styleId="NessunaspaziaturaCarattere">
    <w:name w:val="Nessuna spaziatura Carattere"/>
    <w:basedOn w:val="Carpredefinitoparagrafo"/>
    <w:link w:val="Nessunaspaziatura"/>
    <w:uiPriority w:val="98"/>
    <w:semiHidden/>
    <w:rsid w:val="002B5B43"/>
    <w:rPr>
      <w:sz w:val="24"/>
      <w:szCs w:val="24"/>
      <w:lang w:val="en-GB"/>
    </w:rPr>
  </w:style>
  <w:style w:type="paragraph" w:customStyle="1" w:styleId="JuQuot">
    <w:name w:val="Ju_Quot"/>
    <w:aliases w:val="_Quote"/>
    <w:basedOn w:val="NormalJustified"/>
    <w:uiPriority w:val="20"/>
    <w:qFormat/>
    <w:rsid w:val="002B5B43"/>
    <w:pPr>
      <w:spacing w:before="120" w:after="120"/>
      <w:ind w:left="425" w:firstLine="142"/>
    </w:pPr>
    <w:rPr>
      <w:sz w:val="20"/>
    </w:rPr>
  </w:style>
  <w:style w:type="paragraph" w:customStyle="1" w:styleId="DummyStyle">
    <w:name w:val="Dummy_Style"/>
    <w:aliases w:val="_Dummy"/>
    <w:basedOn w:val="Normale"/>
    <w:semiHidden/>
    <w:qFormat/>
    <w:rsid w:val="002B5B43"/>
    <w:rPr>
      <w:color w:val="00B050"/>
      <w:sz w:val="22"/>
    </w:rPr>
  </w:style>
  <w:style w:type="paragraph" w:customStyle="1" w:styleId="JuList">
    <w:name w:val="Ju_List"/>
    <w:aliases w:val="_List_1"/>
    <w:basedOn w:val="NormalJustified"/>
    <w:uiPriority w:val="23"/>
    <w:qFormat/>
    <w:rsid w:val="002B5B43"/>
    <w:pPr>
      <w:numPr>
        <w:numId w:val="10"/>
      </w:numPr>
      <w:spacing w:before="280" w:after="60"/>
    </w:pPr>
  </w:style>
  <w:style w:type="paragraph" w:customStyle="1" w:styleId="JuLista">
    <w:name w:val="Ju_List_a"/>
    <w:aliases w:val="_List_2"/>
    <w:basedOn w:val="NormalJustified"/>
    <w:uiPriority w:val="23"/>
    <w:rsid w:val="002B5B43"/>
    <w:pPr>
      <w:numPr>
        <w:ilvl w:val="1"/>
        <w:numId w:val="10"/>
      </w:numPr>
    </w:pPr>
  </w:style>
  <w:style w:type="paragraph" w:customStyle="1" w:styleId="JuListi">
    <w:name w:val="Ju_List_i"/>
    <w:aliases w:val="_List_3"/>
    <w:basedOn w:val="NormalJustified"/>
    <w:uiPriority w:val="23"/>
    <w:rsid w:val="002B5B43"/>
    <w:pPr>
      <w:numPr>
        <w:ilvl w:val="2"/>
        <w:numId w:val="10"/>
      </w:numPr>
    </w:pPr>
  </w:style>
  <w:style w:type="paragraph" w:customStyle="1" w:styleId="JuHArticle">
    <w:name w:val="Ju_H_Article"/>
    <w:aliases w:val="_Title_Quote"/>
    <w:basedOn w:val="Normale"/>
    <w:next w:val="JuQuot"/>
    <w:uiPriority w:val="19"/>
    <w:qFormat/>
    <w:rsid w:val="002B5B43"/>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B5B43"/>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B5B43"/>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2B5B43"/>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2B5B43"/>
    <w:pPr>
      <w:numPr>
        <w:numId w:val="4"/>
      </w:numPr>
    </w:pPr>
  </w:style>
  <w:style w:type="paragraph" w:customStyle="1" w:styleId="JuSigned">
    <w:name w:val="Ju_Signed"/>
    <w:aliases w:val="_Signature"/>
    <w:basedOn w:val="Normale"/>
    <w:next w:val="JuPara"/>
    <w:uiPriority w:val="31"/>
    <w:qFormat/>
    <w:rsid w:val="002B5B43"/>
    <w:pPr>
      <w:tabs>
        <w:tab w:val="center" w:pos="1418"/>
        <w:tab w:val="center" w:pos="5954"/>
      </w:tabs>
      <w:spacing w:before="720"/>
    </w:pPr>
  </w:style>
  <w:style w:type="paragraph" w:styleId="Titolo">
    <w:name w:val="Title"/>
    <w:basedOn w:val="Normale"/>
    <w:next w:val="Normale"/>
    <w:link w:val="TitoloCarattere"/>
    <w:uiPriority w:val="98"/>
    <w:semiHidden/>
    <w:qFormat/>
    <w:rsid w:val="002B5B4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B5B43"/>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2B5B43"/>
    <w:pPr>
      <w:numPr>
        <w:numId w:val="5"/>
      </w:numPr>
    </w:pPr>
  </w:style>
  <w:style w:type="numbering" w:customStyle="1" w:styleId="ECHRA1StyleNumberedList">
    <w:name w:val="ECHR_A1_Style_Numbered_List"/>
    <w:basedOn w:val="Nessunelenco"/>
    <w:rsid w:val="002B5B43"/>
    <w:pPr>
      <w:numPr>
        <w:numId w:val="6"/>
      </w:numPr>
    </w:pPr>
  </w:style>
  <w:style w:type="table" w:customStyle="1" w:styleId="ECHRTable2019">
    <w:name w:val="ECHR_Table_2019"/>
    <w:basedOn w:val="Tabellanormale"/>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2B5B4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B5B43"/>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B5B43"/>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B5B43"/>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B5B4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B5B43"/>
    <w:rPr>
      <w:sz w:val="24"/>
      <w:szCs w:val="24"/>
      <w:lang w:val="en-GB"/>
    </w:rPr>
  </w:style>
  <w:style w:type="character" w:customStyle="1" w:styleId="Titolo1Carattere">
    <w:name w:val="Titolo 1 Carattere"/>
    <w:basedOn w:val="Carpredefinitoparagrafo"/>
    <w:link w:val="Titolo1"/>
    <w:uiPriority w:val="98"/>
    <w:semiHidden/>
    <w:rsid w:val="002B5B43"/>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2B5B43"/>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2B5B43"/>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B5B43"/>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2B5B43"/>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B5B43"/>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B5B43"/>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B5B43"/>
    <w:pPr>
      <w:keepNext/>
      <w:keepLines/>
      <w:spacing w:before="240" w:after="240"/>
      <w:ind w:firstLine="284"/>
    </w:pPr>
  </w:style>
  <w:style w:type="paragraph" w:customStyle="1" w:styleId="JuJudges">
    <w:name w:val="Ju_Judges"/>
    <w:aliases w:val="_Judges"/>
    <w:basedOn w:val="Normale"/>
    <w:uiPriority w:val="32"/>
    <w:qFormat/>
    <w:rsid w:val="002B5B43"/>
    <w:pPr>
      <w:tabs>
        <w:tab w:val="left" w:pos="567"/>
        <w:tab w:val="left" w:pos="1134"/>
      </w:tabs>
    </w:pPr>
  </w:style>
  <w:style w:type="character" w:customStyle="1" w:styleId="Titolo4Carattere">
    <w:name w:val="Titolo 4 Carattere"/>
    <w:basedOn w:val="Carpredefinitoparagrafo"/>
    <w:link w:val="Titolo4"/>
    <w:uiPriority w:val="98"/>
    <w:semiHidden/>
    <w:rsid w:val="002B5B43"/>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2B5B43"/>
    <w:pPr>
      <w:tabs>
        <w:tab w:val="center" w:pos="6407"/>
      </w:tabs>
      <w:spacing w:before="720"/>
      <w:jc w:val="right"/>
    </w:pPr>
  </w:style>
  <w:style w:type="character" w:customStyle="1" w:styleId="Titolo5Carattere">
    <w:name w:val="Titolo 5 Carattere"/>
    <w:basedOn w:val="Carpredefinitoparagrafo"/>
    <w:link w:val="Titolo5"/>
    <w:uiPriority w:val="98"/>
    <w:semiHidden/>
    <w:rsid w:val="002B5B43"/>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2B5B43"/>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B5B43"/>
    <w:rPr>
      <w:caps w:val="0"/>
      <w:smallCaps/>
    </w:rPr>
  </w:style>
  <w:style w:type="character" w:styleId="Enfasidelicata">
    <w:name w:val="Subtle Emphasis"/>
    <w:uiPriority w:val="98"/>
    <w:semiHidden/>
    <w:qFormat/>
    <w:rsid w:val="002B5B43"/>
    <w:rPr>
      <w:i/>
      <w:iCs/>
    </w:rPr>
  </w:style>
  <w:style w:type="table" w:customStyle="1" w:styleId="ECHRTable">
    <w:name w:val="ECHR_Table"/>
    <w:basedOn w:val="Tabellanormale"/>
    <w:rsid w:val="002B5B4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B5B4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B5B43"/>
    <w:rPr>
      <w:b/>
      <w:bCs/>
      <w:i/>
      <w:iCs/>
      <w:spacing w:val="10"/>
      <w:bdr w:val="none" w:sz="0" w:space="0" w:color="auto"/>
      <w:shd w:val="clear" w:color="auto" w:fill="auto"/>
    </w:rPr>
  </w:style>
  <w:style w:type="paragraph" w:styleId="Pidipagina">
    <w:name w:val="footer"/>
    <w:basedOn w:val="Normale"/>
    <w:link w:val="PidipaginaCarattere"/>
    <w:uiPriority w:val="98"/>
    <w:semiHidden/>
    <w:rsid w:val="002B5B4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B5B43"/>
    <w:rPr>
      <w:sz w:val="24"/>
      <w:szCs w:val="24"/>
      <w:lang w:val="en-GB"/>
    </w:rPr>
  </w:style>
  <w:style w:type="character" w:styleId="Rimandonotaapidipagina">
    <w:name w:val="footnote reference"/>
    <w:basedOn w:val="Carpredefinitoparagrafo"/>
    <w:uiPriority w:val="98"/>
    <w:semiHidden/>
    <w:rsid w:val="002B5B43"/>
    <w:rPr>
      <w:vertAlign w:val="superscript"/>
    </w:rPr>
  </w:style>
  <w:style w:type="paragraph" w:styleId="Testonotaapidipagina">
    <w:name w:val="footnote text"/>
    <w:basedOn w:val="NormalJustified"/>
    <w:link w:val="TestonotaapidipaginaCarattere"/>
    <w:uiPriority w:val="98"/>
    <w:semiHidden/>
    <w:rsid w:val="002B5B43"/>
    <w:rPr>
      <w:sz w:val="20"/>
      <w:szCs w:val="20"/>
    </w:rPr>
  </w:style>
  <w:style w:type="character" w:customStyle="1" w:styleId="TestonotaapidipaginaCarattere">
    <w:name w:val="Testo nota a piè di pagina Carattere"/>
    <w:basedOn w:val="Carpredefinitoparagrafo"/>
    <w:link w:val="Testonotaapidipagina"/>
    <w:uiPriority w:val="98"/>
    <w:semiHidden/>
    <w:rsid w:val="002B5B43"/>
    <w:rPr>
      <w:sz w:val="20"/>
      <w:szCs w:val="20"/>
      <w:lang w:val="en-GB"/>
    </w:rPr>
  </w:style>
  <w:style w:type="character" w:customStyle="1" w:styleId="Titolo6Carattere">
    <w:name w:val="Titolo 6 Carattere"/>
    <w:basedOn w:val="Carpredefinitoparagrafo"/>
    <w:link w:val="Titolo6"/>
    <w:uiPriority w:val="98"/>
    <w:semiHidden/>
    <w:rsid w:val="002B5B43"/>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2B5B43"/>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2B5B4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B5B43"/>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2B5B43"/>
    <w:rPr>
      <w:color w:val="0072BC" w:themeColor="hyperlink"/>
      <w:u w:val="single"/>
    </w:rPr>
  </w:style>
  <w:style w:type="character" w:styleId="Enfasiintensa">
    <w:name w:val="Intense Emphasis"/>
    <w:uiPriority w:val="98"/>
    <w:semiHidden/>
    <w:qFormat/>
    <w:rsid w:val="002B5B43"/>
    <w:rPr>
      <w:b/>
      <w:bCs/>
    </w:rPr>
  </w:style>
  <w:style w:type="paragraph" w:styleId="Citazioneintensa">
    <w:name w:val="Intense Quote"/>
    <w:basedOn w:val="Normale"/>
    <w:next w:val="Normale"/>
    <w:link w:val="CitazioneintensaCarattere"/>
    <w:uiPriority w:val="98"/>
    <w:semiHidden/>
    <w:qFormat/>
    <w:rsid w:val="002B5B4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B5B43"/>
    <w:rPr>
      <w:b/>
      <w:bCs/>
      <w:i/>
      <w:iCs/>
      <w:sz w:val="24"/>
      <w:szCs w:val="24"/>
      <w:lang w:val="en-GB" w:bidi="en-US"/>
    </w:rPr>
  </w:style>
  <w:style w:type="character" w:styleId="Riferimentointenso">
    <w:name w:val="Intense Reference"/>
    <w:uiPriority w:val="98"/>
    <w:semiHidden/>
    <w:qFormat/>
    <w:rsid w:val="002B5B43"/>
    <w:rPr>
      <w:smallCaps/>
      <w:spacing w:val="5"/>
      <w:u w:val="single"/>
    </w:rPr>
  </w:style>
  <w:style w:type="paragraph" w:styleId="Paragrafoelenco">
    <w:name w:val="List Paragraph"/>
    <w:basedOn w:val="Normale"/>
    <w:uiPriority w:val="98"/>
    <w:semiHidden/>
    <w:qFormat/>
    <w:rsid w:val="002B5B43"/>
    <w:pPr>
      <w:ind w:left="720"/>
      <w:contextualSpacing/>
    </w:pPr>
  </w:style>
  <w:style w:type="table" w:customStyle="1" w:styleId="LtrTableAddress">
    <w:name w:val="Ltr_Table_Address"/>
    <w:aliases w:val="ECHR_Ltr_Table_Address"/>
    <w:basedOn w:val="Tabellanormale"/>
    <w:uiPriority w:val="99"/>
    <w:rsid w:val="002B5B43"/>
    <w:rPr>
      <w:sz w:val="24"/>
      <w:szCs w:val="24"/>
    </w:rPr>
    <w:tblPr>
      <w:tblInd w:w="5103" w:type="dxa"/>
    </w:tblPr>
  </w:style>
  <w:style w:type="paragraph" w:styleId="Citazione">
    <w:name w:val="Quote"/>
    <w:basedOn w:val="Normale"/>
    <w:next w:val="Normale"/>
    <w:link w:val="CitazioneCarattere"/>
    <w:uiPriority w:val="98"/>
    <w:semiHidden/>
    <w:qFormat/>
    <w:rsid w:val="002B5B4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B5B43"/>
    <w:rPr>
      <w:i/>
      <w:iCs/>
      <w:sz w:val="24"/>
      <w:szCs w:val="24"/>
      <w:lang w:val="en-GB" w:bidi="en-US"/>
    </w:rPr>
  </w:style>
  <w:style w:type="character" w:styleId="Riferimentodelicato">
    <w:name w:val="Subtle Reference"/>
    <w:uiPriority w:val="98"/>
    <w:semiHidden/>
    <w:qFormat/>
    <w:rsid w:val="002B5B43"/>
    <w:rPr>
      <w:smallCaps/>
    </w:rPr>
  </w:style>
  <w:style w:type="table" w:styleId="Grigliatabella">
    <w:name w:val="Table Grid"/>
    <w:basedOn w:val="Tabellanormale"/>
    <w:uiPriority w:val="59"/>
    <w:semiHidden/>
    <w:rsid w:val="002B5B4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B5B4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B5B4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B5B4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B5B4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B5B4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B5B4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B5B4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B5B4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B5B4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B5B4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B5B4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B5B4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B5B4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B5B43"/>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B5B43"/>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2B5B43"/>
    <w:pPr>
      <w:numPr>
        <w:numId w:val="1"/>
      </w:numPr>
    </w:pPr>
  </w:style>
  <w:style w:type="paragraph" w:customStyle="1" w:styleId="JuPara">
    <w:name w:val="Ju_Para"/>
    <w:aliases w:val="_Para"/>
    <w:basedOn w:val="NormalJustified"/>
    <w:link w:val="JuParaChar"/>
    <w:uiPriority w:val="4"/>
    <w:qFormat/>
    <w:rsid w:val="002B5B43"/>
    <w:pPr>
      <w:ind w:firstLine="284"/>
    </w:pPr>
  </w:style>
  <w:style w:type="numbering" w:styleId="1ai">
    <w:name w:val="Outline List 1"/>
    <w:basedOn w:val="Nessunelenco"/>
    <w:uiPriority w:val="99"/>
    <w:semiHidden/>
    <w:unhideWhenUsed/>
    <w:rsid w:val="002B5B43"/>
    <w:pPr>
      <w:numPr>
        <w:numId w:val="2"/>
      </w:numPr>
    </w:pPr>
  </w:style>
  <w:style w:type="table" w:customStyle="1" w:styleId="ECHRTableSimpleBox">
    <w:name w:val="ECHR_Table_Simple_Box"/>
    <w:basedOn w:val="Tabellanormale"/>
    <w:uiPriority w:val="99"/>
    <w:rsid w:val="002B5B4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B5B4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B5B43"/>
    <w:pPr>
      <w:numPr>
        <w:numId w:val="3"/>
      </w:numPr>
    </w:pPr>
  </w:style>
  <w:style w:type="table" w:customStyle="1" w:styleId="ECHRTableForInternalUse">
    <w:name w:val="ECHR_Table_For_Internal_Use"/>
    <w:basedOn w:val="Tabellanormale"/>
    <w:uiPriority w:val="99"/>
    <w:rsid w:val="002B5B4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B5B4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B5B43"/>
  </w:style>
  <w:style w:type="paragraph" w:styleId="Testodelblocco">
    <w:name w:val="Block Text"/>
    <w:basedOn w:val="Normale"/>
    <w:uiPriority w:val="98"/>
    <w:semiHidden/>
    <w:rsid w:val="002B5B4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B5B4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B5B43"/>
    <w:pPr>
      <w:spacing w:after="120"/>
    </w:pPr>
  </w:style>
  <w:style w:type="character" w:customStyle="1" w:styleId="CorpotestoCarattere">
    <w:name w:val="Corpo testo Carattere"/>
    <w:basedOn w:val="Carpredefinitoparagrafo"/>
    <w:link w:val="Corpotesto"/>
    <w:uiPriority w:val="98"/>
    <w:semiHidden/>
    <w:rsid w:val="002B5B43"/>
    <w:rPr>
      <w:sz w:val="24"/>
      <w:szCs w:val="24"/>
      <w:lang w:val="en-GB"/>
    </w:rPr>
  </w:style>
  <w:style w:type="table" w:customStyle="1" w:styleId="ECHRTableOddBanded">
    <w:name w:val="ECHR_Table_Odd_Banded"/>
    <w:basedOn w:val="Tabellanormale"/>
    <w:uiPriority w:val="99"/>
    <w:rsid w:val="002B5B4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B5B43"/>
    <w:pPr>
      <w:spacing w:after="120" w:line="480" w:lineRule="auto"/>
    </w:pPr>
  </w:style>
  <w:style w:type="table" w:customStyle="1" w:styleId="ECHRHeaderTableReduced">
    <w:name w:val="ECHR_Header_Table_Reduced"/>
    <w:basedOn w:val="Tabellanormale"/>
    <w:uiPriority w:val="99"/>
    <w:rsid w:val="002B5B4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2B5B43"/>
    <w:pPr>
      <w:ind w:firstLine="284"/>
    </w:pPr>
    <w:rPr>
      <w:b/>
    </w:rPr>
  </w:style>
  <w:style w:type="character" w:styleId="Numeropagina">
    <w:name w:val="page number"/>
    <w:uiPriority w:val="98"/>
    <w:semiHidden/>
    <w:rsid w:val="002B5B43"/>
    <w:rPr>
      <w:sz w:val="18"/>
    </w:rPr>
  </w:style>
  <w:style w:type="paragraph" w:styleId="Puntoelenco">
    <w:name w:val="List Bullet"/>
    <w:basedOn w:val="Normale"/>
    <w:uiPriority w:val="98"/>
    <w:semiHidden/>
    <w:rsid w:val="002B5B43"/>
    <w:pPr>
      <w:numPr>
        <w:numId w:val="11"/>
      </w:numPr>
    </w:pPr>
  </w:style>
  <w:style w:type="paragraph" w:styleId="Puntoelenco3">
    <w:name w:val="List Bullet 3"/>
    <w:basedOn w:val="Normale"/>
    <w:uiPriority w:val="98"/>
    <w:semiHidden/>
    <w:rsid w:val="002B5B43"/>
    <w:pPr>
      <w:numPr>
        <w:numId w:val="13"/>
      </w:numPr>
      <w:contextualSpacing/>
    </w:pPr>
  </w:style>
  <w:style w:type="character" w:customStyle="1" w:styleId="Corpodeltesto2Carattere">
    <w:name w:val="Corpo del testo 2 Carattere"/>
    <w:basedOn w:val="Carpredefinitoparagrafo"/>
    <w:link w:val="Corpodeltesto2"/>
    <w:uiPriority w:val="98"/>
    <w:semiHidden/>
    <w:rsid w:val="002B5B43"/>
    <w:rPr>
      <w:sz w:val="24"/>
      <w:szCs w:val="24"/>
      <w:lang w:val="en-GB"/>
    </w:rPr>
  </w:style>
  <w:style w:type="paragraph" w:styleId="Corpodeltesto3">
    <w:name w:val="Body Text 3"/>
    <w:basedOn w:val="Normale"/>
    <w:link w:val="Corpodeltesto3Carattere"/>
    <w:uiPriority w:val="98"/>
    <w:semiHidden/>
    <w:rsid w:val="002B5B4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B5B43"/>
    <w:rPr>
      <w:sz w:val="16"/>
      <w:szCs w:val="16"/>
      <w:lang w:val="en-GB"/>
    </w:rPr>
  </w:style>
  <w:style w:type="paragraph" w:styleId="Primorientrocorpodeltesto">
    <w:name w:val="Body Text First Indent"/>
    <w:basedOn w:val="Corpotesto"/>
    <w:link w:val="PrimorientrocorpodeltestoCarattere"/>
    <w:uiPriority w:val="98"/>
    <w:semiHidden/>
    <w:rsid w:val="002B5B4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B5B43"/>
    <w:rPr>
      <w:sz w:val="24"/>
      <w:szCs w:val="24"/>
      <w:lang w:val="en-GB"/>
    </w:rPr>
  </w:style>
  <w:style w:type="paragraph" w:styleId="Rientrocorpodeltesto">
    <w:name w:val="Body Text Indent"/>
    <w:basedOn w:val="Normale"/>
    <w:link w:val="RientrocorpodeltestoCarattere"/>
    <w:uiPriority w:val="98"/>
    <w:semiHidden/>
    <w:rsid w:val="002B5B4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B5B43"/>
    <w:rPr>
      <w:sz w:val="24"/>
      <w:szCs w:val="24"/>
      <w:lang w:val="en-GB"/>
    </w:rPr>
  </w:style>
  <w:style w:type="paragraph" w:styleId="Primorientrocorpodeltesto2">
    <w:name w:val="Body Text First Indent 2"/>
    <w:basedOn w:val="Rientrocorpodeltesto"/>
    <w:link w:val="Primorientrocorpodeltesto2Carattere"/>
    <w:uiPriority w:val="98"/>
    <w:semiHidden/>
    <w:rsid w:val="002B5B4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B5B43"/>
    <w:rPr>
      <w:sz w:val="24"/>
      <w:szCs w:val="24"/>
      <w:lang w:val="en-GB"/>
    </w:rPr>
  </w:style>
  <w:style w:type="paragraph" w:styleId="Rientrocorpodeltesto2">
    <w:name w:val="Body Text Indent 2"/>
    <w:basedOn w:val="Normale"/>
    <w:link w:val="Rientrocorpodeltesto2Carattere"/>
    <w:uiPriority w:val="98"/>
    <w:semiHidden/>
    <w:rsid w:val="002B5B4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B5B43"/>
    <w:rPr>
      <w:sz w:val="24"/>
      <w:szCs w:val="24"/>
      <w:lang w:val="en-GB"/>
    </w:rPr>
  </w:style>
  <w:style w:type="paragraph" w:styleId="Rientrocorpodeltesto3">
    <w:name w:val="Body Text Indent 3"/>
    <w:basedOn w:val="Normale"/>
    <w:link w:val="Rientrocorpodeltesto3Carattere"/>
    <w:uiPriority w:val="98"/>
    <w:semiHidden/>
    <w:rsid w:val="002B5B4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B5B43"/>
    <w:rPr>
      <w:sz w:val="16"/>
      <w:szCs w:val="16"/>
      <w:lang w:val="en-GB"/>
    </w:rPr>
  </w:style>
  <w:style w:type="paragraph" w:styleId="Didascalia">
    <w:name w:val="caption"/>
    <w:basedOn w:val="Normale"/>
    <w:next w:val="Normale"/>
    <w:uiPriority w:val="98"/>
    <w:semiHidden/>
    <w:qFormat/>
    <w:rsid w:val="002B5B4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B5B43"/>
    <w:pPr>
      <w:ind w:left="4252"/>
    </w:pPr>
  </w:style>
  <w:style w:type="character" w:customStyle="1" w:styleId="FormuladichiusuraCarattere">
    <w:name w:val="Formula di chiusura Carattere"/>
    <w:basedOn w:val="Carpredefinitoparagrafo"/>
    <w:link w:val="Formuladichiusura"/>
    <w:uiPriority w:val="98"/>
    <w:semiHidden/>
    <w:rsid w:val="002B5B43"/>
    <w:rPr>
      <w:sz w:val="24"/>
      <w:szCs w:val="24"/>
      <w:lang w:val="en-GB"/>
    </w:rPr>
  </w:style>
  <w:style w:type="table" w:styleId="Grigliaacolori">
    <w:name w:val="Colorful Grid"/>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B5B4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B5B4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B5B4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B5B4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B5B4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B5B4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B5B4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B5B4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B5B4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B5B4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B5B4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B5B43"/>
    <w:rPr>
      <w:sz w:val="16"/>
      <w:szCs w:val="16"/>
    </w:rPr>
  </w:style>
  <w:style w:type="paragraph" w:styleId="Testocommento">
    <w:name w:val="annotation text"/>
    <w:basedOn w:val="Normale"/>
    <w:link w:val="TestocommentoCarattere"/>
    <w:uiPriority w:val="98"/>
    <w:semiHidden/>
    <w:rsid w:val="002B5B43"/>
    <w:rPr>
      <w:sz w:val="20"/>
      <w:szCs w:val="20"/>
    </w:rPr>
  </w:style>
  <w:style w:type="character" w:customStyle="1" w:styleId="TestocommentoCarattere">
    <w:name w:val="Testo commento Carattere"/>
    <w:basedOn w:val="Carpredefinitoparagrafo"/>
    <w:link w:val="Testocommento"/>
    <w:uiPriority w:val="98"/>
    <w:semiHidden/>
    <w:rsid w:val="002B5B43"/>
    <w:rPr>
      <w:sz w:val="20"/>
      <w:szCs w:val="20"/>
      <w:lang w:val="en-GB"/>
    </w:rPr>
  </w:style>
  <w:style w:type="paragraph" w:styleId="Soggettocommento">
    <w:name w:val="annotation subject"/>
    <w:basedOn w:val="Testocommento"/>
    <w:next w:val="Testocommento"/>
    <w:link w:val="SoggettocommentoCarattere"/>
    <w:uiPriority w:val="98"/>
    <w:semiHidden/>
    <w:rsid w:val="002B5B43"/>
    <w:rPr>
      <w:b/>
      <w:bCs/>
    </w:rPr>
  </w:style>
  <w:style w:type="character" w:customStyle="1" w:styleId="SoggettocommentoCarattere">
    <w:name w:val="Soggetto commento Carattere"/>
    <w:basedOn w:val="TestocommentoCarattere"/>
    <w:link w:val="Soggettocommento"/>
    <w:uiPriority w:val="98"/>
    <w:semiHidden/>
    <w:rsid w:val="002B5B43"/>
    <w:rPr>
      <w:b/>
      <w:bCs/>
      <w:sz w:val="20"/>
      <w:szCs w:val="20"/>
      <w:lang w:val="en-GB"/>
    </w:rPr>
  </w:style>
  <w:style w:type="table" w:styleId="Elencoscuro">
    <w:name w:val="Dark List"/>
    <w:basedOn w:val="Tabellanormale"/>
    <w:uiPriority w:val="70"/>
    <w:semiHidden/>
    <w:rsid w:val="002B5B4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B5B4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B5B4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B5B4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B5B4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B5B4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B5B4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B5B43"/>
  </w:style>
  <w:style w:type="character" w:customStyle="1" w:styleId="DataCarattere">
    <w:name w:val="Data Carattere"/>
    <w:basedOn w:val="Carpredefinitoparagrafo"/>
    <w:link w:val="Data"/>
    <w:uiPriority w:val="98"/>
    <w:semiHidden/>
    <w:rsid w:val="002B5B43"/>
    <w:rPr>
      <w:sz w:val="24"/>
      <w:szCs w:val="24"/>
      <w:lang w:val="en-GB"/>
    </w:rPr>
  </w:style>
  <w:style w:type="paragraph" w:styleId="Mappadocumento">
    <w:name w:val="Document Map"/>
    <w:basedOn w:val="Normale"/>
    <w:link w:val="MappadocumentoCarattere"/>
    <w:uiPriority w:val="98"/>
    <w:semiHidden/>
    <w:rsid w:val="002B5B4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B5B43"/>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B5B43"/>
  </w:style>
  <w:style w:type="character" w:customStyle="1" w:styleId="FirmadipostaelettronicaCarattere">
    <w:name w:val="Firma di posta elettronica Carattere"/>
    <w:basedOn w:val="Carpredefinitoparagrafo"/>
    <w:link w:val="Firmadipostaelettronica"/>
    <w:uiPriority w:val="98"/>
    <w:semiHidden/>
    <w:rsid w:val="002B5B43"/>
    <w:rPr>
      <w:sz w:val="24"/>
      <w:szCs w:val="24"/>
      <w:lang w:val="en-GB"/>
    </w:rPr>
  </w:style>
  <w:style w:type="character" w:styleId="Rimandonotadichiusura">
    <w:name w:val="endnote reference"/>
    <w:basedOn w:val="Carpredefinitoparagrafo"/>
    <w:uiPriority w:val="98"/>
    <w:semiHidden/>
    <w:rsid w:val="002B5B43"/>
    <w:rPr>
      <w:vertAlign w:val="superscript"/>
    </w:rPr>
  </w:style>
  <w:style w:type="paragraph" w:styleId="Testonotadichiusura">
    <w:name w:val="endnote text"/>
    <w:basedOn w:val="Normale"/>
    <w:link w:val="TestonotadichiusuraCarattere"/>
    <w:uiPriority w:val="98"/>
    <w:semiHidden/>
    <w:rsid w:val="002B5B43"/>
    <w:rPr>
      <w:sz w:val="20"/>
      <w:szCs w:val="20"/>
    </w:rPr>
  </w:style>
  <w:style w:type="character" w:customStyle="1" w:styleId="TestonotadichiusuraCarattere">
    <w:name w:val="Testo nota di chiusura Carattere"/>
    <w:basedOn w:val="Carpredefinitoparagrafo"/>
    <w:link w:val="Testonotadichiusura"/>
    <w:uiPriority w:val="98"/>
    <w:semiHidden/>
    <w:rsid w:val="002B5B43"/>
    <w:rPr>
      <w:sz w:val="20"/>
      <w:szCs w:val="20"/>
      <w:lang w:val="en-GB"/>
    </w:rPr>
  </w:style>
  <w:style w:type="paragraph" w:styleId="Indirizzodestinatario">
    <w:name w:val="envelope address"/>
    <w:basedOn w:val="Normale"/>
    <w:uiPriority w:val="98"/>
    <w:semiHidden/>
    <w:rsid w:val="002B5B4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B5B4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B5B43"/>
    <w:rPr>
      <w:color w:val="7030A0" w:themeColor="followedHyperlink"/>
      <w:u w:val="single"/>
    </w:rPr>
  </w:style>
  <w:style w:type="character" w:styleId="AcronimoHTML">
    <w:name w:val="HTML Acronym"/>
    <w:basedOn w:val="Carpredefinitoparagrafo"/>
    <w:uiPriority w:val="98"/>
    <w:semiHidden/>
    <w:rsid w:val="002B5B43"/>
  </w:style>
  <w:style w:type="paragraph" w:styleId="IndirizzoHTML">
    <w:name w:val="HTML Address"/>
    <w:basedOn w:val="Normale"/>
    <w:link w:val="IndirizzoHTMLCarattere"/>
    <w:uiPriority w:val="98"/>
    <w:semiHidden/>
    <w:rsid w:val="002B5B43"/>
    <w:rPr>
      <w:i/>
      <w:iCs/>
    </w:rPr>
  </w:style>
  <w:style w:type="character" w:customStyle="1" w:styleId="IndirizzoHTMLCarattere">
    <w:name w:val="Indirizzo HTML Carattere"/>
    <w:basedOn w:val="Carpredefinitoparagrafo"/>
    <w:link w:val="IndirizzoHTML"/>
    <w:uiPriority w:val="98"/>
    <w:semiHidden/>
    <w:rsid w:val="002B5B43"/>
    <w:rPr>
      <w:i/>
      <w:iCs/>
      <w:sz w:val="24"/>
      <w:szCs w:val="24"/>
      <w:lang w:val="en-GB"/>
    </w:rPr>
  </w:style>
  <w:style w:type="character" w:styleId="CitazioneHTML">
    <w:name w:val="HTML Cite"/>
    <w:basedOn w:val="Carpredefinitoparagrafo"/>
    <w:uiPriority w:val="98"/>
    <w:semiHidden/>
    <w:rsid w:val="002B5B43"/>
    <w:rPr>
      <w:i/>
      <w:iCs/>
    </w:rPr>
  </w:style>
  <w:style w:type="character" w:styleId="CodiceHTML">
    <w:name w:val="HTML Code"/>
    <w:basedOn w:val="Carpredefinitoparagrafo"/>
    <w:uiPriority w:val="98"/>
    <w:semiHidden/>
    <w:rsid w:val="002B5B43"/>
    <w:rPr>
      <w:rFonts w:ascii="Consolas" w:hAnsi="Consolas" w:cs="Consolas"/>
      <w:sz w:val="20"/>
      <w:szCs w:val="20"/>
    </w:rPr>
  </w:style>
  <w:style w:type="character" w:styleId="DefinizioneHTML">
    <w:name w:val="HTML Definition"/>
    <w:basedOn w:val="Carpredefinitoparagrafo"/>
    <w:uiPriority w:val="98"/>
    <w:semiHidden/>
    <w:rsid w:val="002B5B43"/>
    <w:rPr>
      <w:i/>
      <w:iCs/>
    </w:rPr>
  </w:style>
  <w:style w:type="character" w:styleId="TastieraHTML">
    <w:name w:val="HTML Keyboard"/>
    <w:basedOn w:val="Carpredefinitoparagrafo"/>
    <w:uiPriority w:val="98"/>
    <w:semiHidden/>
    <w:rsid w:val="002B5B43"/>
    <w:rPr>
      <w:rFonts w:ascii="Consolas" w:hAnsi="Consolas" w:cs="Consolas"/>
      <w:sz w:val="20"/>
      <w:szCs w:val="20"/>
    </w:rPr>
  </w:style>
  <w:style w:type="paragraph" w:styleId="PreformattatoHTML">
    <w:name w:val="HTML Preformatted"/>
    <w:basedOn w:val="Normale"/>
    <w:link w:val="PreformattatoHTMLCarattere"/>
    <w:uiPriority w:val="98"/>
    <w:semiHidden/>
    <w:rsid w:val="002B5B4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B5B43"/>
    <w:rPr>
      <w:rFonts w:ascii="Consolas" w:hAnsi="Consolas" w:cs="Consolas"/>
      <w:sz w:val="20"/>
      <w:szCs w:val="20"/>
      <w:lang w:val="en-GB"/>
    </w:rPr>
  </w:style>
  <w:style w:type="character" w:styleId="EsempioHTML">
    <w:name w:val="HTML Sample"/>
    <w:basedOn w:val="Carpredefinitoparagrafo"/>
    <w:uiPriority w:val="98"/>
    <w:semiHidden/>
    <w:rsid w:val="002B5B43"/>
    <w:rPr>
      <w:rFonts w:ascii="Consolas" w:hAnsi="Consolas" w:cs="Consolas"/>
      <w:sz w:val="24"/>
      <w:szCs w:val="24"/>
    </w:rPr>
  </w:style>
  <w:style w:type="character" w:styleId="MacchinadascrivereHTML">
    <w:name w:val="HTML Typewriter"/>
    <w:basedOn w:val="Carpredefinitoparagrafo"/>
    <w:uiPriority w:val="98"/>
    <w:semiHidden/>
    <w:rsid w:val="002B5B43"/>
    <w:rPr>
      <w:rFonts w:ascii="Consolas" w:hAnsi="Consolas" w:cs="Consolas"/>
      <w:sz w:val="20"/>
      <w:szCs w:val="20"/>
    </w:rPr>
  </w:style>
  <w:style w:type="character" w:styleId="VariabileHTML">
    <w:name w:val="HTML Variable"/>
    <w:basedOn w:val="Carpredefinitoparagrafo"/>
    <w:uiPriority w:val="98"/>
    <w:semiHidden/>
    <w:rsid w:val="002B5B43"/>
    <w:rPr>
      <w:i/>
      <w:iCs/>
    </w:rPr>
  </w:style>
  <w:style w:type="paragraph" w:styleId="Indice1">
    <w:name w:val="index 1"/>
    <w:basedOn w:val="Normale"/>
    <w:next w:val="Normale"/>
    <w:autoRedefine/>
    <w:uiPriority w:val="98"/>
    <w:semiHidden/>
    <w:rsid w:val="002B5B43"/>
    <w:pPr>
      <w:ind w:left="240" w:hanging="240"/>
    </w:pPr>
  </w:style>
  <w:style w:type="paragraph" w:styleId="Indice2">
    <w:name w:val="index 2"/>
    <w:basedOn w:val="Normale"/>
    <w:next w:val="Normale"/>
    <w:autoRedefine/>
    <w:uiPriority w:val="98"/>
    <w:semiHidden/>
    <w:rsid w:val="002B5B43"/>
    <w:pPr>
      <w:ind w:left="480" w:hanging="240"/>
    </w:pPr>
  </w:style>
  <w:style w:type="paragraph" w:styleId="Indice3">
    <w:name w:val="index 3"/>
    <w:basedOn w:val="Normale"/>
    <w:next w:val="Normale"/>
    <w:autoRedefine/>
    <w:uiPriority w:val="98"/>
    <w:semiHidden/>
    <w:rsid w:val="002B5B43"/>
    <w:pPr>
      <w:ind w:left="720" w:hanging="240"/>
    </w:pPr>
  </w:style>
  <w:style w:type="paragraph" w:styleId="Indice4">
    <w:name w:val="index 4"/>
    <w:basedOn w:val="Normale"/>
    <w:next w:val="Normale"/>
    <w:autoRedefine/>
    <w:uiPriority w:val="98"/>
    <w:semiHidden/>
    <w:rsid w:val="002B5B43"/>
    <w:pPr>
      <w:ind w:left="960" w:hanging="240"/>
    </w:pPr>
  </w:style>
  <w:style w:type="paragraph" w:styleId="Indice5">
    <w:name w:val="index 5"/>
    <w:basedOn w:val="Normale"/>
    <w:next w:val="Normale"/>
    <w:autoRedefine/>
    <w:uiPriority w:val="98"/>
    <w:semiHidden/>
    <w:rsid w:val="002B5B43"/>
    <w:pPr>
      <w:ind w:left="1200" w:hanging="240"/>
    </w:pPr>
  </w:style>
  <w:style w:type="paragraph" w:styleId="Indice6">
    <w:name w:val="index 6"/>
    <w:basedOn w:val="Normale"/>
    <w:next w:val="Normale"/>
    <w:autoRedefine/>
    <w:uiPriority w:val="98"/>
    <w:semiHidden/>
    <w:rsid w:val="002B5B43"/>
    <w:pPr>
      <w:ind w:left="1440" w:hanging="240"/>
    </w:pPr>
  </w:style>
  <w:style w:type="paragraph" w:styleId="Indice7">
    <w:name w:val="index 7"/>
    <w:basedOn w:val="Normale"/>
    <w:next w:val="Normale"/>
    <w:autoRedefine/>
    <w:uiPriority w:val="98"/>
    <w:semiHidden/>
    <w:rsid w:val="002B5B43"/>
    <w:pPr>
      <w:ind w:left="1680" w:hanging="240"/>
    </w:pPr>
  </w:style>
  <w:style w:type="paragraph" w:styleId="Indice8">
    <w:name w:val="index 8"/>
    <w:basedOn w:val="Normale"/>
    <w:next w:val="Normale"/>
    <w:autoRedefine/>
    <w:uiPriority w:val="98"/>
    <w:semiHidden/>
    <w:rsid w:val="002B5B43"/>
    <w:pPr>
      <w:ind w:left="1920" w:hanging="240"/>
    </w:pPr>
  </w:style>
  <w:style w:type="paragraph" w:styleId="Indice9">
    <w:name w:val="index 9"/>
    <w:basedOn w:val="Normale"/>
    <w:next w:val="Normale"/>
    <w:autoRedefine/>
    <w:uiPriority w:val="98"/>
    <w:semiHidden/>
    <w:rsid w:val="002B5B43"/>
    <w:pPr>
      <w:ind w:left="2160" w:hanging="240"/>
    </w:pPr>
  </w:style>
  <w:style w:type="paragraph" w:styleId="Titoloindice">
    <w:name w:val="index heading"/>
    <w:basedOn w:val="Normale"/>
    <w:next w:val="Indice1"/>
    <w:uiPriority w:val="98"/>
    <w:semiHidden/>
    <w:rsid w:val="002B5B43"/>
    <w:rPr>
      <w:rFonts w:asciiTheme="majorHAnsi" w:eastAsiaTheme="majorEastAsia" w:hAnsiTheme="majorHAnsi" w:cstheme="majorBidi"/>
      <w:b/>
      <w:bCs/>
    </w:rPr>
  </w:style>
  <w:style w:type="table" w:styleId="Grigliachiara">
    <w:name w:val="Light Grid"/>
    <w:basedOn w:val="Tabellanormale"/>
    <w:uiPriority w:val="62"/>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B5B4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B5B4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B5B4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B5B4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B5B4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B5B4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B5B4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B5B43"/>
  </w:style>
  <w:style w:type="paragraph" w:styleId="Elenco">
    <w:name w:val="List"/>
    <w:basedOn w:val="Normale"/>
    <w:uiPriority w:val="98"/>
    <w:semiHidden/>
    <w:rsid w:val="002B5B43"/>
    <w:pPr>
      <w:ind w:left="283" w:hanging="283"/>
      <w:contextualSpacing/>
    </w:pPr>
  </w:style>
  <w:style w:type="paragraph" w:styleId="Elenco2">
    <w:name w:val="List 2"/>
    <w:basedOn w:val="Normale"/>
    <w:uiPriority w:val="98"/>
    <w:semiHidden/>
    <w:rsid w:val="002B5B43"/>
    <w:pPr>
      <w:ind w:left="566" w:hanging="283"/>
      <w:contextualSpacing/>
    </w:pPr>
  </w:style>
  <w:style w:type="paragraph" w:styleId="Elenco3">
    <w:name w:val="List 3"/>
    <w:basedOn w:val="Normale"/>
    <w:uiPriority w:val="98"/>
    <w:semiHidden/>
    <w:rsid w:val="002B5B43"/>
    <w:pPr>
      <w:ind w:left="849" w:hanging="283"/>
      <w:contextualSpacing/>
    </w:pPr>
  </w:style>
  <w:style w:type="paragraph" w:styleId="Elenco4">
    <w:name w:val="List 4"/>
    <w:basedOn w:val="Normale"/>
    <w:uiPriority w:val="98"/>
    <w:semiHidden/>
    <w:rsid w:val="002B5B43"/>
    <w:pPr>
      <w:ind w:left="1132" w:hanging="283"/>
      <w:contextualSpacing/>
    </w:pPr>
  </w:style>
  <w:style w:type="paragraph" w:styleId="Elenco5">
    <w:name w:val="List 5"/>
    <w:basedOn w:val="Normale"/>
    <w:uiPriority w:val="98"/>
    <w:semiHidden/>
    <w:rsid w:val="002B5B43"/>
    <w:pPr>
      <w:ind w:left="1415" w:hanging="283"/>
      <w:contextualSpacing/>
    </w:pPr>
  </w:style>
  <w:style w:type="paragraph" w:styleId="Puntoelenco2">
    <w:name w:val="List Bullet 2"/>
    <w:basedOn w:val="Normale"/>
    <w:uiPriority w:val="98"/>
    <w:semiHidden/>
    <w:rsid w:val="002B5B43"/>
    <w:pPr>
      <w:numPr>
        <w:numId w:val="12"/>
      </w:numPr>
      <w:contextualSpacing/>
    </w:pPr>
  </w:style>
  <w:style w:type="paragraph" w:styleId="Puntoelenco4">
    <w:name w:val="List Bullet 4"/>
    <w:basedOn w:val="Normale"/>
    <w:uiPriority w:val="98"/>
    <w:semiHidden/>
    <w:rsid w:val="002B5B43"/>
    <w:pPr>
      <w:numPr>
        <w:numId w:val="14"/>
      </w:numPr>
      <w:contextualSpacing/>
    </w:pPr>
  </w:style>
  <w:style w:type="paragraph" w:styleId="Puntoelenco5">
    <w:name w:val="List Bullet 5"/>
    <w:basedOn w:val="Normale"/>
    <w:uiPriority w:val="98"/>
    <w:semiHidden/>
    <w:rsid w:val="002B5B43"/>
    <w:pPr>
      <w:numPr>
        <w:numId w:val="15"/>
      </w:numPr>
      <w:contextualSpacing/>
    </w:pPr>
  </w:style>
  <w:style w:type="paragraph" w:styleId="Elencocontinua">
    <w:name w:val="List Continue"/>
    <w:basedOn w:val="Normale"/>
    <w:uiPriority w:val="98"/>
    <w:semiHidden/>
    <w:rsid w:val="002B5B43"/>
    <w:pPr>
      <w:spacing w:after="120"/>
      <w:ind w:left="283"/>
      <w:contextualSpacing/>
    </w:pPr>
  </w:style>
  <w:style w:type="paragraph" w:styleId="Elencocontinua2">
    <w:name w:val="List Continue 2"/>
    <w:basedOn w:val="Normale"/>
    <w:uiPriority w:val="98"/>
    <w:semiHidden/>
    <w:rsid w:val="002B5B43"/>
    <w:pPr>
      <w:spacing w:after="120"/>
      <w:ind w:left="566"/>
      <w:contextualSpacing/>
    </w:pPr>
  </w:style>
  <w:style w:type="paragraph" w:styleId="Elencocontinua3">
    <w:name w:val="List Continue 3"/>
    <w:basedOn w:val="Normale"/>
    <w:uiPriority w:val="98"/>
    <w:semiHidden/>
    <w:rsid w:val="002B5B43"/>
    <w:pPr>
      <w:spacing w:after="120"/>
      <w:ind w:left="849"/>
      <w:contextualSpacing/>
    </w:pPr>
  </w:style>
  <w:style w:type="paragraph" w:styleId="Elencocontinua4">
    <w:name w:val="List Continue 4"/>
    <w:basedOn w:val="Normale"/>
    <w:uiPriority w:val="98"/>
    <w:semiHidden/>
    <w:rsid w:val="002B5B43"/>
    <w:pPr>
      <w:spacing w:after="120"/>
      <w:ind w:left="1132"/>
      <w:contextualSpacing/>
    </w:pPr>
  </w:style>
  <w:style w:type="paragraph" w:styleId="Elencocontinua5">
    <w:name w:val="List Continue 5"/>
    <w:basedOn w:val="Normale"/>
    <w:uiPriority w:val="98"/>
    <w:semiHidden/>
    <w:rsid w:val="002B5B43"/>
    <w:pPr>
      <w:spacing w:after="120"/>
      <w:ind w:left="1415"/>
      <w:contextualSpacing/>
    </w:pPr>
  </w:style>
  <w:style w:type="paragraph" w:styleId="Numeroelenco">
    <w:name w:val="List Number"/>
    <w:basedOn w:val="Normale"/>
    <w:uiPriority w:val="98"/>
    <w:semiHidden/>
    <w:rsid w:val="002B5B43"/>
    <w:pPr>
      <w:numPr>
        <w:numId w:val="16"/>
      </w:numPr>
      <w:contextualSpacing/>
    </w:pPr>
  </w:style>
  <w:style w:type="paragraph" w:styleId="Numeroelenco2">
    <w:name w:val="List Number 2"/>
    <w:basedOn w:val="Normale"/>
    <w:uiPriority w:val="98"/>
    <w:semiHidden/>
    <w:rsid w:val="002B5B43"/>
    <w:pPr>
      <w:numPr>
        <w:numId w:val="17"/>
      </w:numPr>
      <w:contextualSpacing/>
    </w:pPr>
  </w:style>
  <w:style w:type="paragraph" w:styleId="Numeroelenco3">
    <w:name w:val="List Number 3"/>
    <w:basedOn w:val="Normale"/>
    <w:uiPriority w:val="98"/>
    <w:semiHidden/>
    <w:rsid w:val="002B5B43"/>
    <w:pPr>
      <w:numPr>
        <w:numId w:val="18"/>
      </w:numPr>
      <w:contextualSpacing/>
    </w:pPr>
  </w:style>
  <w:style w:type="paragraph" w:styleId="Numeroelenco4">
    <w:name w:val="List Number 4"/>
    <w:basedOn w:val="Normale"/>
    <w:uiPriority w:val="98"/>
    <w:semiHidden/>
    <w:rsid w:val="002B5B43"/>
    <w:pPr>
      <w:numPr>
        <w:numId w:val="19"/>
      </w:numPr>
      <w:contextualSpacing/>
    </w:pPr>
  </w:style>
  <w:style w:type="paragraph" w:styleId="Numeroelenco5">
    <w:name w:val="List Number 5"/>
    <w:basedOn w:val="Normale"/>
    <w:uiPriority w:val="98"/>
    <w:semiHidden/>
    <w:rsid w:val="002B5B43"/>
    <w:pPr>
      <w:numPr>
        <w:numId w:val="20"/>
      </w:numPr>
      <w:contextualSpacing/>
    </w:pPr>
  </w:style>
  <w:style w:type="paragraph" w:styleId="Testomacro">
    <w:name w:val="macro"/>
    <w:link w:val="TestomacroCarattere"/>
    <w:uiPriority w:val="98"/>
    <w:semiHidden/>
    <w:rsid w:val="002B5B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B5B43"/>
    <w:rPr>
      <w:rFonts w:ascii="Consolas" w:eastAsiaTheme="minorEastAsia" w:hAnsi="Consolas" w:cs="Consolas"/>
      <w:sz w:val="20"/>
      <w:szCs w:val="20"/>
    </w:rPr>
  </w:style>
  <w:style w:type="table" w:styleId="Grigliamedia1">
    <w:name w:val="Medium Grid 1"/>
    <w:basedOn w:val="Tabellanormale"/>
    <w:uiPriority w:val="67"/>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B5B4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B5B4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B5B4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B5B4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B5B4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B5B4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B5B4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B5B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B5B43"/>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B5B43"/>
    <w:rPr>
      <w:rFonts w:ascii="Times New Roman" w:hAnsi="Times New Roman" w:cs="Times New Roman"/>
    </w:rPr>
  </w:style>
  <w:style w:type="paragraph" w:styleId="Rientronormale">
    <w:name w:val="Normal Indent"/>
    <w:basedOn w:val="Normale"/>
    <w:uiPriority w:val="98"/>
    <w:semiHidden/>
    <w:rsid w:val="002B5B43"/>
    <w:pPr>
      <w:ind w:left="720"/>
    </w:pPr>
  </w:style>
  <w:style w:type="paragraph" w:styleId="Intestazionenota">
    <w:name w:val="Note Heading"/>
    <w:basedOn w:val="Normale"/>
    <w:next w:val="Normale"/>
    <w:link w:val="IntestazionenotaCarattere"/>
    <w:uiPriority w:val="98"/>
    <w:semiHidden/>
    <w:rsid w:val="002B5B43"/>
  </w:style>
  <w:style w:type="character" w:customStyle="1" w:styleId="IntestazionenotaCarattere">
    <w:name w:val="Intestazione nota Carattere"/>
    <w:basedOn w:val="Carpredefinitoparagrafo"/>
    <w:link w:val="Intestazionenota"/>
    <w:uiPriority w:val="98"/>
    <w:semiHidden/>
    <w:rsid w:val="002B5B43"/>
    <w:rPr>
      <w:sz w:val="24"/>
      <w:szCs w:val="24"/>
      <w:lang w:val="en-GB"/>
    </w:rPr>
  </w:style>
  <w:style w:type="character" w:styleId="Testosegnaposto">
    <w:name w:val="Placeholder Text"/>
    <w:basedOn w:val="Carpredefinitoparagrafo"/>
    <w:uiPriority w:val="98"/>
    <w:semiHidden/>
    <w:rsid w:val="002B5B4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B5B4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B5B43"/>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B5B43"/>
  </w:style>
  <w:style w:type="character" w:customStyle="1" w:styleId="FormuladiaperturaCarattere">
    <w:name w:val="Formula di apertura Carattere"/>
    <w:basedOn w:val="Carpredefinitoparagrafo"/>
    <w:link w:val="Formuladiapertura"/>
    <w:uiPriority w:val="98"/>
    <w:semiHidden/>
    <w:rsid w:val="002B5B43"/>
    <w:rPr>
      <w:sz w:val="24"/>
      <w:szCs w:val="24"/>
      <w:lang w:val="en-GB"/>
    </w:rPr>
  </w:style>
  <w:style w:type="paragraph" w:styleId="Firma">
    <w:name w:val="Signature"/>
    <w:basedOn w:val="Normale"/>
    <w:link w:val="FirmaCarattere"/>
    <w:uiPriority w:val="98"/>
    <w:semiHidden/>
    <w:rsid w:val="002B5B43"/>
    <w:pPr>
      <w:ind w:left="4252"/>
    </w:pPr>
  </w:style>
  <w:style w:type="character" w:customStyle="1" w:styleId="FirmaCarattere">
    <w:name w:val="Firma Carattere"/>
    <w:basedOn w:val="Carpredefinitoparagrafo"/>
    <w:link w:val="Firma"/>
    <w:uiPriority w:val="98"/>
    <w:semiHidden/>
    <w:rsid w:val="002B5B43"/>
    <w:rPr>
      <w:sz w:val="24"/>
      <w:szCs w:val="24"/>
      <w:lang w:val="en-GB"/>
    </w:rPr>
  </w:style>
  <w:style w:type="table" w:styleId="Tabellaeffetti3D1">
    <w:name w:val="Table 3D effects 1"/>
    <w:basedOn w:val="Tabellanormale"/>
    <w:uiPriority w:val="99"/>
    <w:semiHidden/>
    <w:unhideWhenUsed/>
    <w:rsid w:val="002B5B4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B5B4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B5B4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B5B4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B5B4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B5B4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B5B4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B5B4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B5B4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B5B4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B5B4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B5B4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B5B4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B5B4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B5B4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B5B4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B5B4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B5B4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B5B4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B5B4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B5B4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B5B4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B5B4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B5B4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B5B43"/>
    <w:pPr>
      <w:ind w:left="240" w:hanging="240"/>
    </w:pPr>
  </w:style>
  <w:style w:type="paragraph" w:styleId="Indicedellefigure">
    <w:name w:val="table of figures"/>
    <w:basedOn w:val="Normale"/>
    <w:next w:val="Normale"/>
    <w:uiPriority w:val="98"/>
    <w:semiHidden/>
    <w:rsid w:val="002B5B43"/>
  </w:style>
  <w:style w:type="table" w:styleId="Tabellaprofessionale">
    <w:name w:val="Table Professional"/>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B5B4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B5B4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B5B4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B5B4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B5B4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B5B4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B5B4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B5B4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B5B4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B5B4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B5B43"/>
    <w:pPr>
      <w:spacing w:after="100"/>
      <w:ind w:left="1680"/>
    </w:pPr>
  </w:style>
  <w:style w:type="paragraph" w:styleId="Sommario9">
    <w:name w:val="toc 9"/>
    <w:basedOn w:val="Normale"/>
    <w:next w:val="Normale"/>
    <w:autoRedefine/>
    <w:uiPriority w:val="98"/>
    <w:semiHidden/>
    <w:rsid w:val="002B5B43"/>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2B5B4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B5B43"/>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B5B43"/>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B5B43"/>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B5B43"/>
    <w:pPr>
      <w:numPr>
        <w:numId w:val="7"/>
      </w:numPr>
      <w:spacing w:before="60" w:after="60"/>
    </w:pPr>
  </w:style>
  <w:style w:type="paragraph" w:customStyle="1" w:styleId="ECHRBullet2">
    <w:name w:val="ECHR_Bullet_2"/>
    <w:aliases w:val="_Bul_2"/>
    <w:basedOn w:val="ECHRBullet1"/>
    <w:uiPriority w:val="23"/>
    <w:semiHidden/>
    <w:rsid w:val="002B5B43"/>
    <w:pPr>
      <w:numPr>
        <w:ilvl w:val="1"/>
      </w:numPr>
    </w:pPr>
  </w:style>
  <w:style w:type="paragraph" w:customStyle="1" w:styleId="ECHRBullet3">
    <w:name w:val="ECHR_Bullet_3"/>
    <w:aliases w:val="_Bul_3"/>
    <w:basedOn w:val="ECHRBullet2"/>
    <w:uiPriority w:val="23"/>
    <w:semiHidden/>
    <w:rsid w:val="002B5B43"/>
    <w:pPr>
      <w:numPr>
        <w:ilvl w:val="2"/>
      </w:numPr>
    </w:pPr>
  </w:style>
  <w:style w:type="paragraph" w:customStyle="1" w:styleId="ECHRBullet4">
    <w:name w:val="ECHR_Bullet_4"/>
    <w:aliases w:val="_Bul_4"/>
    <w:basedOn w:val="ECHRBullet3"/>
    <w:uiPriority w:val="23"/>
    <w:semiHidden/>
    <w:rsid w:val="002B5B43"/>
    <w:pPr>
      <w:numPr>
        <w:ilvl w:val="3"/>
      </w:numPr>
    </w:pPr>
  </w:style>
  <w:style w:type="paragraph" w:customStyle="1" w:styleId="ECHRConfidential">
    <w:name w:val="ECHR_Confidential"/>
    <w:aliases w:val="_Confidential"/>
    <w:basedOn w:val="Normale"/>
    <w:next w:val="Normale"/>
    <w:uiPriority w:val="42"/>
    <w:semiHidden/>
    <w:qFormat/>
    <w:rsid w:val="002B5B43"/>
    <w:pPr>
      <w:jc w:val="right"/>
    </w:pPr>
    <w:rPr>
      <w:color w:val="C00000"/>
      <w:sz w:val="20"/>
    </w:rPr>
  </w:style>
  <w:style w:type="paragraph" w:customStyle="1" w:styleId="ECHRDecisionBody">
    <w:name w:val="ECHR_Decision_Body"/>
    <w:aliases w:val="_Decision_Body"/>
    <w:basedOn w:val="NormalJustified"/>
    <w:uiPriority w:val="54"/>
    <w:semiHidden/>
    <w:rsid w:val="002B5B4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B5B4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B5B43"/>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2B5B4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B5B43"/>
    <w:pPr>
      <w:jc w:val="right"/>
    </w:pPr>
    <w:rPr>
      <w:sz w:val="20"/>
    </w:rPr>
  </w:style>
  <w:style w:type="paragraph" w:customStyle="1" w:styleId="ECHRHeaderRefIt">
    <w:name w:val="ECHR_Header_Ref_It"/>
    <w:aliases w:val="_Ref_Ital"/>
    <w:basedOn w:val="Normale"/>
    <w:next w:val="ECHRHeaderDate"/>
    <w:uiPriority w:val="43"/>
    <w:semiHidden/>
    <w:qFormat/>
    <w:rsid w:val="002B5B43"/>
    <w:pPr>
      <w:jc w:val="right"/>
    </w:pPr>
    <w:rPr>
      <w:i/>
      <w:sz w:val="20"/>
    </w:rPr>
  </w:style>
  <w:style w:type="paragraph" w:customStyle="1" w:styleId="ECHRHeading9">
    <w:name w:val="ECHR_Heading_9"/>
    <w:aliases w:val="_Head_9"/>
    <w:basedOn w:val="Titolo9"/>
    <w:uiPriority w:val="17"/>
    <w:semiHidden/>
    <w:rsid w:val="002B5B43"/>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B5B4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B5B43"/>
    <w:pPr>
      <w:numPr>
        <w:numId w:val="8"/>
      </w:numPr>
      <w:spacing w:before="60" w:after="60"/>
    </w:pPr>
  </w:style>
  <w:style w:type="paragraph" w:customStyle="1" w:styleId="ECHRNumberedList2">
    <w:name w:val="ECHR_Numbered_List_2"/>
    <w:aliases w:val="_Num_2"/>
    <w:basedOn w:val="ECHRNumberedList1"/>
    <w:uiPriority w:val="23"/>
    <w:semiHidden/>
    <w:rsid w:val="002B5B43"/>
    <w:pPr>
      <w:numPr>
        <w:ilvl w:val="1"/>
      </w:numPr>
    </w:pPr>
  </w:style>
  <w:style w:type="paragraph" w:customStyle="1" w:styleId="ECHRNumberedList3">
    <w:name w:val="ECHR_Numbered_List_3"/>
    <w:aliases w:val="_Num_3"/>
    <w:basedOn w:val="ECHRNumberedList2"/>
    <w:uiPriority w:val="23"/>
    <w:semiHidden/>
    <w:rsid w:val="002B5B43"/>
    <w:pPr>
      <w:numPr>
        <w:ilvl w:val="2"/>
      </w:numPr>
    </w:pPr>
  </w:style>
  <w:style w:type="paragraph" w:customStyle="1" w:styleId="ECHRParaHanging">
    <w:name w:val="ECHR_Para_Hanging"/>
    <w:aliases w:val="_Hanging"/>
    <w:basedOn w:val="NormalJustified"/>
    <w:uiPriority w:val="8"/>
    <w:semiHidden/>
    <w:qFormat/>
    <w:rsid w:val="002B5B43"/>
    <w:pPr>
      <w:ind w:left="567" w:hanging="567"/>
    </w:pPr>
  </w:style>
  <w:style w:type="paragraph" w:customStyle="1" w:styleId="ECHRParaIndent">
    <w:name w:val="ECHR_Para_Indent"/>
    <w:aliases w:val="_Indent"/>
    <w:basedOn w:val="NormalJustified"/>
    <w:uiPriority w:val="7"/>
    <w:semiHidden/>
    <w:qFormat/>
    <w:rsid w:val="002B5B43"/>
    <w:pPr>
      <w:spacing w:before="120" w:after="120"/>
      <w:ind w:left="284"/>
    </w:pPr>
  </w:style>
  <w:style w:type="character" w:customStyle="1" w:styleId="ECHRRed">
    <w:name w:val="ECHR_Red"/>
    <w:aliases w:val="_Red"/>
    <w:basedOn w:val="Carpredefinitoparagrafo"/>
    <w:uiPriority w:val="15"/>
    <w:semiHidden/>
    <w:qFormat/>
    <w:rsid w:val="002B5B43"/>
    <w:rPr>
      <w:color w:val="C00000" w:themeColor="accent2"/>
    </w:rPr>
  </w:style>
  <w:style w:type="paragraph" w:customStyle="1" w:styleId="DecList">
    <w:name w:val="Dec_List"/>
    <w:aliases w:val="_List"/>
    <w:basedOn w:val="JuList"/>
    <w:uiPriority w:val="22"/>
    <w:rsid w:val="002B5B43"/>
    <w:pPr>
      <w:numPr>
        <w:numId w:val="0"/>
      </w:numPr>
      <w:ind w:left="284"/>
    </w:pPr>
  </w:style>
  <w:style w:type="table" w:customStyle="1" w:styleId="ECHRTable2">
    <w:name w:val="ECHR_Table_2"/>
    <w:basedOn w:val="Tabellanormale"/>
    <w:uiPriority w:val="99"/>
    <w:rsid w:val="002B5B4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B5B4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B5B4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B5B4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B5B4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B5B4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B5B4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B5B43"/>
    <w:pPr>
      <w:outlineLvl w:val="0"/>
    </w:pPr>
  </w:style>
  <w:style w:type="paragraph" w:customStyle="1" w:styleId="ECHRTitleTOC1">
    <w:name w:val="ECHR_Title_TOC_1"/>
    <w:aliases w:val="_Title_L_TOC"/>
    <w:basedOn w:val="ECHRTitle1"/>
    <w:next w:val="Normale"/>
    <w:uiPriority w:val="27"/>
    <w:semiHidden/>
    <w:qFormat/>
    <w:rsid w:val="002B5B43"/>
    <w:pPr>
      <w:outlineLvl w:val="0"/>
    </w:pPr>
  </w:style>
  <w:style w:type="paragraph" w:customStyle="1" w:styleId="ECHRPlaceholder">
    <w:name w:val="ECHR_Placeholder"/>
    <w:aliases w:val="_Placeholder"/>
    <w:basedOn w:val="JuSigned"/>
    <w:uiPriority w:val="31"/>
    <w:rsid w:val="002B5B43"/>
    <w:rPr>
      <w:color w:val="FFFFFF"/>
    </w:rPr>
  </w:style>
  <w:style w:type="paragraph" w:customStyle="1" w:styleId="ECHRSpacer">
    <w:name w:val="ECHR_Spacer"/>
    <w:aliases w:val="_Spacer"/>
    <w:basedOn w:val="Normale"/>
    <w:uiPriority w:val="45"/>
    <w:semiHidden/>
    <w:rsid w:val="002B5B43"/>
    <w:rPr>
      <w:sz w:val="4"/>
    </w:rPr>
  </w:style>
  <w:style w:type="table" w:customStyle="1" w:styleId="ECHRTableGrey">
    <w:name w:val="ECHR_Table_Grey"/>
    <w:basedOn w:val="Tabellanormale"/>
    <w:uiPriority w:val="99"/>
    <w:rsid w:val="002B5B4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2B5B43"/>
    <w:rPr>
      <w:color w:val="605E5C"/>
      <w:shd w:val="clear" w:color="auto" w:fill="E1DFDD"/>
    </w:rPr>
  </w:style>
  <w:style w:type="character" w:customStyle="1" w:styleId="JuParaChar">
    <w:name w:val="Ju_Para Char"/>
    <w:aliases w:val="_Para Char"/>
    <w:link w:val="JuPara"/>
    <w:uiPriority w:val="4"/>
    <w:rsid w:val="007940F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01a7907a8481773d3b26ca931a2684d9">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f246e405c9db9c4affbf9ccc43f3b0c5"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Props1.xml><?xml version="1.0" encoding="utf-8"?>
<ds:datastoreItem xmlns:ds="http://schemas.openxmlformats.org/officeDocument/2006/customXml" ds:itemID="{82258DC8-8283-459E-B518-31F9750E73BA}">
  <ds:schemaRefs>
    <ds:schemaRef ds:uri="http://schemas.openxmlformats.org/officeDocument/2006/bibliography"/>
  </ds:schemaRefs>
</ds:datastoreItem>
</file>

<file path=customXml/itemProps2.xml><?xml version="1.0" encoding="utf-8"?>
<ds:datastoreItem xmlns:ds="http://schemas.openxmlformats.org/officeDocument/2006/customXml" ds:itemID="{E7EAF7DE-9CE5-4428-B998-5F6E348ED9D1}"/>
</file>

<file path=customXml/itemProps3.xml><?xml version="1.0" encoding="utf-8"?>
<ds:datastoreItem xmlns:ds="http://schemas.openxmlformats.org/officeDocument/2006/customXml" ds:itemID="{FE3B25A4-DAD2-406E-8DC6-9F4EF3B6FD60}"/>
</file>

<file path=customXml/itemProps4.xml><?xml version="1.0" encoding="utf-8"?>
<ds:datastoreItem xmlns:ds="http://schemas.openxmlformats.org/officeDocument/2006/customXml" ds:itemID="{E955AAE1-F809-4860-B692-13CEDAEADF95}"/>
</file>

<file path=docProps/app.xml><?xml version="1.0" encoding="utf-8"?>
<Properties xmlns="http://schemas.openxmlformats.org/officeDocument/2006/extended-properties" xmlns:vt="http://schemas.openxmlformats.org/officeDocument/2006/docPropsVTypes">
  <Template>Normal</Template>
  <TotalTime>0</TotalTime>
  <Pages>11</Pages>
  <Words>2385</Words>
  <Characters>14500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Judgment</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2023-11-14T13:35:00Z</dcterms:created>
  <dcterms:modified xsi:type="dcterms:W3CDTF">2023-11-14T13:35:00Z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469112</vt:lpwstr>
  </property>
  <property fmtid="{D5CDD505-2E9C-101B-9397-08002B2CF9AE}" pid="3" name="cstLanguage">
    <vt:i4>2057</vt:i4>
  </property>
  <property fmtid="{D5CDD505-2E9C-101B-9397-08002B2CF9AE}" pid="4" name="RegisteredNo">
    <vt:lpwstr>41591/07</vt:lpwstr>
  </property>
  <property fmtid="{D5CDD505-2E9C-101B-9397-08002B2CF9AE}" pid="5" name="MSIP_Label_5097a60d-5525-435b-8989-8eb48ac0c8cd_Enabled">
    <vt:lpwstr>true</vt:lpwstr>
  </property>
  <property fmtid="{D5CDD505-2E9C-101B-9397-08002B2CF9AE}" pid="6" name="MSIP_Label_5097a60d-5525-435b-8989-8eb48ac0c8cd_SetDate">
    <vt:lpwstr>2023-11-14T13:35:25Z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273f5241-cad9-4078-9334-0138c7d7c485</vt:lpwstr>
  </property>
  <property fmtid="{D5CDD505-2E9C-101B-9397-08002B2CF9AE}" pid="11" name="MSIP_Label_5097a60d-5525-435b-8989-8eb48ac0c8cd_ContentBits">
    <vt:lpwstr>0</vt:lpwstr>
  </property>
  <property fmtid="{D5CDD505-2E9C-101B-9397-08002B2CF9AE}" pid="12" name="ContentTypeId">
    <vt:lpwstr>0x010100E29FEADFC340DA40B2139D4BBB1A48D7</vt:lpwstr>
  </property>
</Properties>
</file>