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E3" w:rsidRDefault="00555E87" w:rsidP="00A0033B">
      <w:pPr>
        <w:jc w:val="center"/>
        <w:rPr>
          <w:b/>
          <w:bCs/>
          <w:smallCaps/>
          <w:sz w:val="36"/>
          <w:szCs w:val="28"/>
        </w:rPr>
      </w:pPr>
      <w:bookmarkStart w:id="0" w:name="_GoBack"/>
      <w:bookmarkEnd w:id="0"/>
      <w:r>
        <w:rPr>
          <w:b/>
          <w:bCs/>
          <w:smallCaps/>
          <w:sz w:val="36"/>
          <w:szCs w:val="28"/>
        </w:rPr>
        <w:tab/>
      </w:r>
      <w:r>
        <w:rPr>
          <w:b/>
          <w:bCs/>
          <w:smallCaps/>
          <w:sz w:val="36"/>
          <w:szCs w:val="28"/>
        </w:rPr>
        <w:tab/>
      </w:r>
      <w:r>
        <w:rPr>
          <w:b/>
          <w:bCs/>
          <w:smallCaps/>
          <w:sz w:val="36"/>
          <w:szCs w:val="28"/>
        </w:rPr>
        <w:tab/>
      </w:r>
    </w:p>
    <w:p w:rsidR="001F5158" w:rsidRPr="006F766D" w:rsidRDefault="00A0033B" w:rsidP="00A0033B">
      <w:pPr>
        <w:jc w:val="center"/>
        <w:rPr>
          <w:b/>
          <w:bCs/>
          <w:smallCaps/>
          <w:sz w:val="36"/>
          <w:szCs w:val="28"/>
        </w:rPr>
      </w:pPr>
      <w:r w:rsidRPr="00A0033B">
        <w:rPr>
          <w:b/>
          <w:bCs/>
          <w:smallCaps/>
          <w:noProof/>
          <w:sz w:val="36"/>
          <w:szCs w:val="28"/>
        </w:rPr>
        <w:drawing>
          <wp:inline distT="0" distB="0" distL="0" distR="0">
            <wp:extent cx="645795" cy="640080"/>
            <wp:effectExtent l="1905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5795" cy="640080"/>
                    </a:xfrm>
                    <a:prstGeom prst="rect">
                      <a:avLst/>
                    </a:prstGeom>
                    <a:noFill/>
                    <a:ln w="9525">
                      <a:noFill/>
                      <a:miter lim="800000"/>
                      <a:headEnd/>
                      <a:tailEnd/>
                    </a:ln>
                  </pic:spPr>
                </pic:pic>
              </a:graphicData>
            </a:graphic>
          </wp:inline>
        </w:drawing>
      </w:r>
    </w:p>
    <w:p w:rsidR="00A020AC" w:rsidRDefault="00A020AC" w:rsidP="002D0B94">
      <w:pPr>
        <w:jc w:val="center"/>
        <w:rPr>
          <w:b/>
          <w:bCs/>
          <w:smallCaps/>
          <w:sz w:val="36"/>
          <w:szCs w:val="28"/>
        </w:rPr>
      </w:pPr>
    </w:p>
    <w:p w:rsidR="00A0033B" w:rsidRDefault="00A0033B" w:rsidP="00A0033B">
      <w:pPr>
        <w:pStyle w:val="Didascalia"/>
        <w:jc w:val="center"/>
        <w:rPr>
          <w:rFonts w:ascii="Book Antiqua" w:hAnsi="Book Antiqua"/>
          <w:b w:val="0"/>
          <w:bCs w:val="0"/>
          <w:i/>
          <w:iCs/>
          <w:color w:val="000000"/>
          <w:sz w:val="56"/>
          <w:szCs w:val="68"/>
        </w:rPr>
      </w:pPr>
      <w:r>
        <w:rPr>
          <w:rFonts w:ascii="Book Antiqua" w:hAnsi="Book Antiqua"/>
          <w:b w:val="0"/>
          <w:bCs w:val="0"/>
          <w:i/>
          <w:iCs/>
          <w:color w:val="000000"/>
          <w:sz w:val="56"/>
          <w:szCs w:val="68"/>
        </w:rPr>
        <w:t>Presidenza del Consiglio dei Ministri</w:t>
      </w:r>
    </w:p>
    <w:p w:rsidR="00A020AC" w:rsidRDefault="00A020AC" w:rsidP="002D0B94">
      <w:pPr>
        <w:jc w:val="center"/>
        <w:rPr>
          <w:b/>
          <w:bCs/>
          <w:smallCaps/>
          <w:sz w:val="36"/>
          <w:szCs w:val="28"/>
        </w:rPr>
      </w:pPr>
    </w:p>
    <w:p w:rsidR="00A020AC" w:rsidRDefault="00A020AC" w:rsidP="002D0B94">
      <w:pPr>
        <w:jc w:val="center"/>
        <w:rPr>
          <w:b/>
          <w:bCs/>
          <w:smallCaps/>
          <w:sz w:val="36"/>
          <w:szCs w:val="28"/>
        </w:rPr>
      </w:pPr>
    </w:p>
    <w:p w:rsidR="00A0033B" w:rsidRDefault="00A0033B" w:rsidP="002D0B94">
      <w:pPr>
        <w:jc w:val="center"/>
        <w:rPr>
          <w:b/>
          <w:bCs/>
          <w:smallCaps/>
          <w:sz w:val="36"/>
          <w:szCs w:val="28"/>
        </w:rPr>
      </w:pPr>
    </w:p>
    <w:p w:rsidR="00A020AC" w:rsidRDefault="00A020AC" w:rsidP="002D0B94">
      <w:pPr>
        <w:jc w:val="center"/>
        <w:rPr>
          <w:b/>
          <w:bCs/>
          <w:smallCaps/>
          <w:sz w:val="36"/>
          <w:szCs w:val="28"/>
        </w:rPr>
      </w:pPr>
    </w:p>
    <w:p w:rsidR="00F607D5" w:rsidRPr="00ED6F46" w:rsidRDefault="00C624EA" w:rsidP="00F607D5">
      <w:pPr>
        <w:ind w:firstLine="0"/>
        <w:jc w:val="center"/>
        <w:rPr>
          <w:b/>
          <w:bCs/>
          <w:smallCaps/>
          <w:sz w:val="32"/>
          <w:szCs w:val="32"/>
        </w:rPr>
      </w:pPr>
      <w:r w:rsidRPr="00C624EA">
        <w:rPr>
          <w:b/>
          <w:bCs/>
          <w:smallCaps/>
          <w:sz w:val="32"/>
          <w:szCs w:val="32"/>
        </w:rPr>
        <w:t xml:space="preserve">PIANO TRIENNALE DI PREVENZIONE DELLA CORRUZIONE </w:t>
      </w:r>
      <w:r w:rsidR="0091721F">
        <w:rPr>
          <w:b/>
          <w:bCs/>
          <w:smallCaps/>
          <w:sz w:val="32"/>
          <w:szCs w:val="32"/>
        </w:rPr>
        <w:t xml:space="preserve">E </w:t>
      </w:r>
      <w:r w:rsidR="00F607D5" w:rsidRPr="0091721F">
        <w:rPr>
          <w:b/>
          <w:bCs/>
          <w:smallCaps/>
          <w:sz w:val="32"/>
          <w:szCs w:val="32"/>
        </w:rPr>
        <w:t>DELLA TRASPARENZA</w:t>
      </w:r>
      <w:r w:rsidR="00F607D5" w:rsidRPr="00ED6F46">
        <w:rPr>
          <w:b/>
          <w:bCs/>
          <w:smallCaps/>
          <w:sz w:val="32"/>
          <w:szCs w:val="32"/>
        </w:rPr>
        <w:t xml:space="preserve"> </w:t>
      </w:r>
    </w:p>
    <w:p w:rsidR="001F5158" w:rsidRPr="00C624EA" w:rsidRDefault="001F5158" w:rsidP="0072331A">
      <w:pPr>
        <w:jc w:val="center"/>
        <w:rPr>
          <w:b/>
          <w:bCs/>
          <w:smallCaps/>
          <w:sz w:val="40"/>
          <w:szCs w:val="40"/>
        </w:rPr>
      </w:pPr>
    </w:p>
    <w:p w:rsidR="001F5158" w:rsidRPr="006F766D" w:rsidRDefault="001F5158" w:rsidP="002D0B94">
      <w:pPr>
        <w:jc w:val="center"/>
        <w:rPr>
          <w:b/>
          <w:bCs/>
          <w:smallCaps/>
          <w:sz w:val="36"/>
          <w:szCs w:val="28"/>
        </w:rPr>
      </w:pPr>
    </w:p>
    <w:p w:rsidR="007C44AC" w:rsidRPr="006F766D" w:rsidRDefault="007C44AC" w:rsidP="002D0B94">
      <w:pPr>
        <w:ind w:left="1701" w:hanging="1701"/>
        <w:rPr>
          <w:b/>
          <w:bCs/>
          <w:szCs w:val="28"/>
        </w:rPr>
      </w:pPr>
    </w:p>
    <w:p w:rsidR="00911E26" w:rsidRDefault="00261415" w:rsidP="00F148AF">
      <w:pPr>
        <w:ind w:left="1701" w:hanging="1701"/>
        <w:jc w:val="center"/>
        <w:rPr>
          <w:b/>
          <w:bCs/>
          <w:szCs w:val="28"/>
        </w:rPr>
      </w:pPr>
      <w:r>
        <w:rPr>
          <w:b/>
          <w:bCs/>
          <w:szCs w:val="28"/>
        </w:rPr>
        <w:t>2021-2023</w:t>
      </w:r>
    </w:p>
    <w:p w:rsidR="00EE2614" w:rsidRDefault="00EE2614" w:rsidP="00F148AF">
      <w:pPr>
        <w:ind w:left="1701" w:hanging="1701"/>
        <w:jc w:val="center"/>
        <w:rPr>
          <w:b/>
          <w:bCs/>
          <w:szCs w:val="28"/>
        </w:rPr>
      </w:pPr>
    </w:p>
    <w:p w:rsidR="00EE2614" w:rsidRDefault="00EE2614" w:rsidP="00F148AF">
      <w:pPr>
        <w:ind w:left="1701" w:hanging="1701"/>
        <w:jc w:val="center"/>
        <w:rPr>
          <w:b/>
          <w:bCs/>
          <w:szCs w:val="28"/>
        </w:rPr>
      </w:pPr>
    </w:p>
    <w:p w:rsidR="00EE2614" w:rsidRDefault="00EE2614" w:rsidP="00F148AF">
      <w:pPr>
        <w:ind w:left="1701" w:hanging="1701"/>
        <w:jc w:val="center"/>
        <w:rPr>
          <w:b/>
          <w:bCs/>
          <w:szCs w:val="28"/>
        </w:rPr>
      </w:pPr>
    </w:p>
    <w:p w:rsidR="00EE2614" w:rsidRPr="006F766D" w:rsidRDefault="00EE2614" w:rsidP="00F148AF">
      <w:pPr>
        <w:ind w:left="1701" w:hanging="1701"/>
        <w:jc w:val="center"/>
        <w:rPr>
          <w:b/>
          <w:bCs/>
          <w:szCs w:val="28"/>
        </w:rPr>
      </w:pPr>
    </w:p>
    <w:p w:rsidR="00DA3E53" w:rsidRPr="006F766D" w:rsidRDefault="00DA3E53" w:rsidP="00DA3E53">
      <w:pPr>
        <w:rPr>
          <w:b/>
          <w:bCs/>
          <w:szCs w:val="28"/>
        </w:rPr>
      </w:pPr>
    </w:p>
    <w:p w:rsidR="00AC5E5B" w:rsidRPr="006F766D" w:rsidRDefault="00AC5E5B" w:rsidP="00DA3E53">
      <w:pPr>
        <w:rPr>
          <w:b/>
          <w:bCs/>
          <w:szCs w:val="28"/>
        </w:rPr>
      </w:pPr>
    </w:p>
    <w:p w:rsidR="00652A5B" w:rsidRPr="005501F5" w:rsidRDefault="00652A5B" w:rsidP="005501F5">
      <w:pPr>
        <w:widowControl w:val="0"/>
        <w:spacing w:after="120"/>
        <w:ind w:left="284" w:firstLine="0"/>
        <w:jc w:val="left"/>
        <w:rPr>
          <w:rFonts w:ascii="Times New Roman" w:hAnsi="Times New Roman"/>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652A5B" w:rsidRDefault="00652A5B" w:rsidP="00652A5B">
      <w:pPr>
        <w:widowControl w:val="0"/>
        <w:spacing w:after="120"/>
        <w:ind w:left="1140" w:firstLine="0"/>
        <w:jc w:val="right"/>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8815E3" w:rsidRDefault="008815E3" w:rsidP="008815E3">
      <w:pPr>
        <w:widowControl w:val="0"/>
        <w:spacing w:after="120"/>
        <w:ind w:left="1140" w:firstLine="0"/>
        <w:jc w:val="center"/>
        <w:rPr>
          <w:rFonts w:ascii="Times New Roman" w:hAnsi="Times New Roman"/>
          <w:i/>
          <w:spacing w:val="-1"/>
          <w:sz w:val="32"/>
          <w:szCs w:val="32"/>
          <w:lang w:eastAsia="en-US"/>
        </w:rPr>
      </w:pPr>
    </w:p>
    <w:p w:rsidR="00DD365F" w:rsidRDefault="00DD365F" w:rsidP="008815E3">
      <w:pPr>
        <w:widowControl w:val="0"/>
        <w:spacing w:after="120"/>
        <w:ind w:left="1140" w:firstLine="0"/>
        <w:jc w:val="center"/>
        <w:rPr>
          <w:rFonts w:ascii="Times New Roman" w:hAnsi="Times New Roman"/>
          <w:i/>
          <w:spacing w:val="-1"/>
          <w:sz w:val="32"/>
          <w:szCs w:val="32"/>
          <w:lang w:eastAsia="en-US"/>
        </w:rPr>
      </w:pPr>
    </w:p>
    <w:p w:rsidR="00DD365F" w:rsidRDefault="00DD365F" w:rsidP="008815E3">
      <w:pPr>
        <w:widowControl w:val="0"/>
        <w:spacing w:after="120"/>
        <w:ind w:left="1140" w:firstLine="0"/>
        <w:jc w:val="center"/>
        <w:rPr>
          <w:rFonts w:ascii="Times New Roman" w:hAnsi="Times New Roman"/>
          <w:i/>
          <w:spacing w:val="-1"/>
          <w:sz w:val="32"/>
          <w:szCs w:val="32"/>
          <w:lang w:eastAsia="en-US"/>
        </w:rPr>
      </w:pPr>
    </w:p>
    <w:p w:rsidR="00831BA1" w:rsidRPr="00D51E05" w:rsidRDefault="00831BA1" w:rsidP="009659E6">
      <w:pPr>
        <w:ind w:firstLine="0"/>
        <w:rPr>
          <w:rFonts w:ascii="Times New Roman" w:hAnsi="Times New Roman"/>
          <w:b/>
          <w:bCs/>
          <w:smallCaps/>
          <w:sz w:val="32"/>
          <w:szCs w:val="32"/>
        </w:rPr>
      </w:pPr>
      <w:r w:rsidRPr="00E7375F">
        <w:rPr>
          <w:rFonts w:ascii="Times New Roman" w:hAnsi="Times New Roman"/>
          <w:b/>
          <w:bCs/>
          <w:smallCaps/>
          <w:sz w:val="32"/>
          <w:szCs w:val="32"/>
        </w:rPr>
        <w:lastRenderedPageBreak/>
        <w:t>Sommario</w:t>
      </w:r>
      <w:r w:rsidR="00D51E05" w:rsidRPr="00E7375F">
        <w:rPr>
          <w:rFonts w:ascii="Times New Roman" w:hAnsi="Times New Roman"/>
          <w:b/>
          <w:bCs/>
          <w:smallCaps/>
          <w:sz w:val="32"/>
          <w:szCs w:val="32"/>
        </w:rPr>
        <w:t xml:space="preserve"> parte generale anticorruzione</w:t>
      </w:r>
    </w:p>
    <w:p w:rsidR="009B4E93" w:rsidRPr="009B4E93" w:rsidRDefault="009B4E93" w:rsidP="009B4E93">
      <w:pPr>
        <w:ind w:firstLine="0"/>
        <w:rPr>
          <w:b/>
          <w:bCs/>
          <w:smallCaps/>
          <w:sz w:val="24"/>
        </w:rPr>
      </w:pPr>
    </w:p>
    <w:p w:rsidR="003329C0" w:rsidRPr="00C3372F" w:rsidRDefault="00D560E7">
      <w:pPr>
        <w:pStyle w:val="Sommario1"/>
        <w:tabs>
          <w:tab w:val="left" w:pos="1701"/>
        </w:tabs>
        <w:rPr>
          <w:rFonts w:asciiTheme="minorHAnsi" w:eastAsiaTheme="minorEastAsia" w:hAnsiTheme="minorHAnsi" w:cstheme="minorBidi"/>
          <w:b w:val="0"/>
        </w:rPr>
      </w:pPr>
      <w:r w:rsidRPr="00C3372F">
        <w:rPr>
          <w:b w:val="0"/>
          <w:sz w:val="24"/>
          <w:szCs w:val="24"/>
        </w:rPr>
        <w:fldChar w:fldCharType="begin"/>
      </w:r>
      <w:r w:rsidR="00C44A7E" w:rsidRPr="00C3372F">
        <w:rPr>
          <w:b w:val="0"/>
          <w:sz w:val="24"/>
          <w:szCs w:val="24"/>
        </w:rPr>
        <w:instrText xml:space="preserve"> TOC \o "1-3" </w:instrText>
      </w:r>
      <w:r w:rsidRPr="00C3372F">
        <w:rPr>
          <w:b w:val="0"/>
          <w:sz w:val="24"/>
          <w:szCs w:val="24"/>
        </w:rPr>
        <w:fldChar w:fldCharType="separate"/>
      </w:r>
      <w:r w:rsidR="003329C0" w:rsidRPr="00C3372F">
        <w:rPr>
          <w:rFonts w:ascii="Times New Roman" w:hAnsi="Times New Roman"/>
          <w:b w:val="0"/>
        </w:rPr>
        <w:t>1</w:t>
      </w:r>
      <w:r w:rsidR="003329C0" w:rsidRPr="00C3372F">
        <w:rPr>
          <w:rFonts w:asciiTheme="minorHAnsi" w:eastAsiaTheme="minorEastAsia" w:hAnsiTheme="minorHAnsi" w:cstheme="minorBidi"/>
          <w:b w:val="0"/>
        </w:rPr>
        <w:tab/>
      </w:r>
      <w:r w:rsidR="003329C0" w:rsidRPr="00C3372F">
        <w:rPr>
          <w:rFonts w:ascii="Times New Roman" w:hAnsi="Times New Roman"/>
          <w:b w:val="0"/>
        </w:rPr>
        <w:t>Il Piano triennale di prevenzione della corruzione e della trasparenza 2021-2023</w:t>
      </w:r>
      <w:r w:rsidR="003329C0" w:rsidRPr="00C3372F">
        <w:rPr>
          <w:b w:val="0"/>
        </w:rPr>
        <w:tab/>
      </w:r>
      <w:r w:rsidR="003329C0" w:rsidRPr="00C3372F">
        <w:rPr>
          <w:b w:val="0"/>
        </w:rPr>
        <w:fldChar w:fldCharType="begin"/>
      </w:r>
      <w:r w:rsidR="003329C0" w:rsidRPr="00C3372F">
        <w:rPr>
          <w:b w:val="0"/>
        </w:rPr>
        <w:instrText xml:space="preserve"> PAGEREF _Toc66721198 \h </w:instrText>
      </w:r>
      <w:r w:rsidR="003329C0" w:rsidRPr="00C3372F">
        <w:rPr>
          <w:b w:val="0"/>
        </w:rPr>
      </w:r>
      <w:r w:rsidR="003329C0" w:rsidRPr="00C3372F">
        <w:rPr>
          <w:b w:val="0"/>
        </w:rPr>
        <w:fldChar w:fldCharType="separate"/>
      </w:r>
      <w:r w:rsidR="003329C0" w:rsidRPr="00C3372F">
        <w:rPr>
          <w:b w:val="0"/>
        </w:rPr>
        <w:t>6</w:t>
      </w:r>
      <w:r w:rsidR="003329C0"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1.1</w:t>
      </w:r>
      <w:r w:rsidRPr="00C3372F">
        <w:rPr>
          <w:rFonts w:asciiTheme="minorHAnsi" w:eastAsiaTheme="minorEastAsia" w:hAnsiTheme="minorHAnsi" w:cstheme="minorBidi"/>
          <w:b w:val="0"/>
        </w:rPr>
        <w:tab/>
      </w:r>
      <w:r w:rsidRPr="00C3372F">
        <w:rPr>
          <w:rFonts w:ascii="Times New Roman" w:hAnsi="Times New Roman"/>
          <w:b w:val="0"/>
        </w:rPr>
        <w:t>Strategia, contenuti, ambito di applicazione e periodo di riferimento</w:t>
      </w:r>
      <w:r w:rsidRPr="00C3372F">
        <w:rPr>
          <w:b w:val="0"/>
        </w:rPr>
        <w:tab/>
      </w:r>
      <w:r w:rsidRPr="00C3372F">
        <w:rPr>
          <w:b w:val="0"/>
        </w:rPr>
        <w:fldChar w:fldCharType="begin"/>
      </w:r>
      <w:r w:rsidRPr="00C3372F">
        <w:rPr>
          <w:b w:val="0"/>
        </w:rPr>
        <w:instrText xml:space="preserve"> PAGEREF _Toc66721199 \h </w:instrText>
      </w:r>
      <w:r w:rsidRPr="00C3372F">
        <w:rPr>
          <w:b w:val="0"/>
        </w:rPr>
      </w:r>
      <w:r w:rsidRPr="00C3372F">
        <w:rPr>
          <w:b w:val="0"/>
        </w:rPr>
        <w:fldChar w:fldCharType="separate"/>
      </w:r>
      <w:r w:rsidRPr="00C3372F">
        <w:rPr>
          <w:b w:val="0"/>
        </w:rPr>
        <w:t>6</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1.2</w:t>
      </w:r>
      <w:r w:rsidRPr="00C3372F">
        <w:rPr>
          <w:rFonts w:asciiTheme="minorHAnsi" w:eastAsiaTheme="minorEastAsia" w:hAnsiTheme="minorHAnsi" w:cstheme="minorBidi"/>
          <w:b w:val="0"/>
        </w:rPr>
        <w:tab/>
      </w:r>
      <w:r w:rsidRPr="00C3372F">
        <w:rPr>
          <w:rFonts w:ascii="Times New Roman" w:hAnsi="Times New Roman"/>
          <w:b w:val="0"/>
        </w:rPr>
        <w:t>Elaborazione, struttura e pubblicazione</w:t>
      </w:r>
      <w:r w:rsidRPr="00C3372F">
        <w:rPr>
          <w:b w:val="0"/>
        </w:rPr>
        <w:tab/>
      </w:r>
      <w:r w:rsidRPr="00C3372F">
        <w:rPr>
          <w:b w:val="0"/>
        </w:rPr>
        <w:fldChar w:fldCharType="begin"/>
      </w:r>
      <w:r w:rsidRPr="00C3372F">
        <w:rPr>
          <w:b w:val="0"/>
        </w:rPr>
        <w:instrText xml:space="preserve"> PAGEREF _Toc66721200 \h </w:instrText>
      </w:r>
      <w:r w:rsidRPr="00C3372F">
        <w:rPr>
          <w:b w:val="0"/>
        </w:rPr>
      </w:r>
      <w:r w:rsidRPr="00C3372F">
        <w:rPr>
          <w:b w:val="0"/>
        </w:rPr>
        <w:fldChar w:fldCharType="separate"/>
      </w:r>
      <w:r w:rsidRPr="00C3372F">
        <w:rPr>
          <w:b w:val="0"/>
        </w:rPr>
        <w:t>8</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1.3</w:t>
      </w:r>
      <w:r w:rsidRPr="00C3372F">
        <w:rPr>
          <w:rFonts w:asciiTheme="minorHAnsi" w:eastAsiaTheme="minorEastAsia" w:hAnsiTheme="minorHAnsi" w:cstheme="minorBidi"/>
          <w:b w:val="0"/>
        </w:rPr>
        <w:tab/>
      </w:r>
      <w:r w:rsidRPr="00C3372F">
        <w:rPr>
          <w:rFonts w:ascii="Times New Roman" w:hAnsi="Times New Roman"/>
          <w:b w:val="0"/>
        </w:rPr>
        <w:t>Analisi del contesto</w:t>
      </w:r>
      <w:r w:rsidRPr="00C3372F">
        <w:rPr>
          <w:b w:val="0"/>
        </w:rPr>
        <w:tab/>
      </w:r>
      <w:r w:rsidRPr="00C3372F">
        <w:rPr>
          <w:b w:val="0"/>
        </w:rPr>
        <w:fldChar w:fldCharType="begin"/>
      </w:r>
      <w:r w:rsidRPr="00C3372F">
        <w:rPr>
          <w:b w:val="0"/>
        </w:rPr>
        <w:instrText xml:space="preserve"> PAGEREF _Toc66721201 \h </w:instrText>
      </w:r>
      <w:r w:rsidRPr="00C3372F">
        <w:rPr>
          <w:b w:val="0"/>
        </w:rPr>
      </w:r>
      <w:r w:rsidRPr="00C3372F">
        <w:rPr>
          <w:b w:val="0"/>
        </w:rPr>
        <w:fldChar w:fldCharType="separate"/>
      </w:r>
      <w:r w:rsidRPr="00C3372F">
        <w:rPr>
          <w:b w:val="0"/>
        </w:rPr>
        <w:t>9</w:t>
      </w:r>
      <w:r w:rsidRPr="00C3372F">
        <w:rPr>
          <w:b w:val="0"/>
        </w:rPr>
        <w:fldChar w:fldCharType="end"/>
      </w:r>
    </w:p>
    <w:p w:rsidR="003329C0" w:rsidRPr="00C3372F" w:rsidRDefault="003329C0">
      <w:pPr>
        <w:pStyle w:val="Sommario1"/>
        <w:tabs>
          <w:tab w:val="left" w:pos="1701"/>
        </w:tabs>
        <w:rPr>
          <w:rFonts w:asciiTheme="minorHAnsi" w:eastAsiaTheme="minorEastAsia" w:hAnsiTheme="minorHAnsi" w:cstheme="minorBidi"/>
          <w:b w:val="0"/>
        </w:rPr>
      </w:pPr>
      <w:r w:rsidRPr="00C3372F">
        <w:rPr>
          <w:rFonts w:ascii="Times New Roman" w:hAnsi="Times New Roman"/>
          <w:b w:val="0"/>
        </w:rPr>
        <w:t>2</w:t>
      </w:r>
      <w:r w:rsidRPr="00C3372F">
        <w:rPr>
          <w:rFonts w:asciiTheme="minorHAnsi" w:eastAsiaTheme="minorEastAsia" w:hAnsiTheme="minorHAnsi" w:cstheme="minorBidi"/>
          <w:b w:val="0"/>
        </w:rPr>
        <w:tab/>
      </w:r>
      <w:r w:rsidRPr="00C3372F">
        <w:rPr>
          <w:rFonts w:ascii="Times New Roman" w:hAnsi="Times New Roman"/>
          <w:b w:val="0"/>
        </w:rPr>
        <w:t>L’integrazione della strategia di prevenzione con le altre azioni strategiche della P.C.M.</w:t>
      </w:r>
      <w:r w:rsidRPr="00C3372F">
        <w:rPr>
          <w:b w:val="0"/>
        </w:rPr>
        <w:tab/>
      </w:r>
      <w:r w:rsidRPr="00C3372F">
        <w:rPr>
          <w:b w:val="0"/>
        </w:rPr>
        <w:fldChar w:fldCharType="begin"/>
      </w:r>
      <w:r w:rsidRPr="00C3372F">
        <w:rPr>
          <w:b w:val="0"/>
        </w:rPr>
        <w:instrText xml:space="preserve"> PAGEREF _Toc66721202 \h </w:instrText>
      </w:r>
      <w:r w:rsidRPr="00C3372F">
        <w:rPr>
          <w:b w:val="0"/>
        </w:rPr>
      </w:r>
      <w:r w:rsidRPr="00C3372F">
        <w:rPr>
          <w:b w:val="0"/>
        </w:rPr>
        <w:fldChar w:fldCharType="separate"/>
      </w:r>
      <w:r w:rsidRPr="00C3372F">
        <w:rPr>
          <w:b w:val="0"/>
        </w:rPr>
        <w:t>13</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2.1.</w:t>
      </w:r>
      <w:r w:rsidRPr="00C3372F">
        <w:rPr>
          <w:rFonts w:asciiTheme="minorHAnsi" w:eastAsiaTheme="minorEastAsia" w:hAnsiTheme="minorHAnsi" w:cstheme="minorBidi"/>
          <w:b w:val="0"/>
        </w:rPr>
        <w:tab/>
      </w:r>
      <w:r w:rsidRPr="00C3372F">
        <w:rPr>
          <w:rFonts w:ascii="Times New Roman" w:hAnsi="Times New Roman"/>
          <w:b w:val="0"/>
        </w:rPr>
        <w:t>Il collegamento con il ciclo della performance e gli obiettivi strategici</w:t>
      </w:r>
      <w:r w:rsidRPr="00C3372F">
        <w:rPr>
          <w:b w:val="0"/>
        </w:rPr>
        <w:tab/>
      </w:r>
      <w:r w:rsidRPr="00C3372F">
        <w:rPr>
          <w:b w:val="0"/>
        </w:rPr>
        <w:fldChar w:fldCharType="begin"/>
      </w:r>
      <w:r w:rsidRPr="00C3372F">
        <w:rPr>
          <w:b w:val="0"/>
        </w:rPr>
        <w:instrText xml:space="preserve"> PAGEREF _Toc66721203 \h </w:instrText>
      </w:r>
      <w:r w:rsidRPr="00C3372F">
        <w:rPr>
          <w:b w:val="0"/>
        </w:rPr>
      </w:r>
      <w:r w:rsidRPr="00C3372F">
        <w:rPr>
          <w:b w:val="0"/>
        </w:rPr>
        <w:fldChar w:fldCharType="separate"/>
      </w:r>
      <w:r w:rsidRPr="00C3372F">
        <w:rPr>
          <w:b w:val="0"/>
        </w:rPr>
        <w:t>13</w:t>
      </w:r>
      <w:r w:rsidRPr="00C3372F">
        <w:rPr>
          <w:b w:val="0"/>
        </w:rPr>
        <w:fldChar w:fldCharType="end"/>
      </w:r>
    </w:p>
    <w:p w:rsidR="003329C0" w:rsidRPr="00C3372F" w:rsidRDefault="003329C0">
      <w:pPr>
        <w:pStyle w:val="Sommario1"/>
        <w:tabs>
          <w:tab w:val="left" w:pos="1701"/>
        </w:tabs>
        <w:rPr>
          <w:rFonts w:asciiTheme="minorHAnsi" w:eastAsiaTheme="minorEastAsia" w:hAnsiTheme="minorHAnsi" w:cstheme="minorBidi"/>
          <w:b w:val="0"/>
        </w:rPr>
      </w:pPr>
      <w:r w:rsidRPr="00C3372F">
        <w:rPr>
          <w:rFonts w:ascii="Times New Roman" w:hAnsi="Times New Roman"/>
          <w:b w:val="0"/>
        </w:rPr>
        <w:t>3</w:t>
      </w:r>
      <w:r w:rsidRPr="00C3372F">
        <w:rPr>
          <w:rFonts w:asciiTheme="minorHAnsi" w:eastAsiaTheme="minorEastAsia" w:hAnsiTheme="minorHAnsi" w:cstheme="minorBidi"/>
          <w:b w:val="0"/>
        </w:rPr>
        <w:tab/>
      </w:r>
      <w:r w:rsidRPr="00C3372F">
        <w:rPr>
          <w:rFonts w:ascii="Times New Roman" w:hAnsi="Times New Roman"/>
          <w:b w:val="0"/>
        </w:rPr>
        <w:t>La collaborazione con il Responsabile</w:t>
      </w:r>
      <w:r w:rsidRPr="00C3372F">
        <w:rPr>
          <w:b w:val="0"/>
        </w:rPr>
        <w:tab/>
      </w:r>
      <w:r w:rsidRPr="00C3372F">
        <w:rPr>
          <w:b w:val="0"/>
        </w:rPr>
        <w:fldChar w:fldCharType="begin"/>
      </w:r>
      <w:r w:rsidRPr="00C3372F">
        <w:rPr>
          <w:b w:val="0"/>
        </w:rPr>
        <w:instrText xml:space="preserve"> PAGEREF _Toc66721204 \h </w:instrText>
      </w:r>
      <w:r w:rsidRPr="00C3372F">
        <w:rPr>
          <w:b w:val="0"/>
        </w:rPr>
      </w:r>
      <w:r w:rsidRPr="00C3372F">
        <w:rPr>
          <w:b w:val="0"/>
        </w:rPr>
        <w:fldChar w:fldCharType="separate"/>
      </w:r>
      <w:r w:rsidRPr="00C3372F">
        <w:rPr>
          <w:b w:val="0"/>
        </w:rPr>
        <w:t>15</w:t>
      </w:r>
      <w:r w:rsidRPr="00C3372F">
        <w:rPr>
          <w:b w:val="0"/>
        </w:rPr>
        <w:fldChar w:fldCharType="end"/>
      </w:r>
    </w:p>
    <w:p w:rsidR="003329C0" w:rsidRPr="00C3372F" w:rsidRDefault="003329C0">
      <w:pPr>
        <w:pStyle w:val="Sommario1"/>
        <w:tabs>
          <w:tab w:val="left" w:pos="1701"/>
        </w:tabs>
        <w:rPr>
          <w:rFonts w:asciiTheme="minorHAnsi" w:eastAsiaTheme="minorEastAsia" w:hAnsiTheme="minorHAnsi" w:cstheme="minorBidi"/>
          <w:b w:val="0"/>
        </w:rPr>
      </w:pPr>
      <w:r w:rsidRPr="00C3372F">
        <w:rPr>
          <w:rFonts w:ascii="Times New Roman" w:hAnsi="Times New Roman"/>
          <w:b w:val="0"/>
        </w:rPr>
        <w:t>4</w:t>
      </w:r>
      <w:r w:rsidRPr="00C3372F">
        <w:rPr>
          <w:rFonts w:asciiTheme="minorHAnsi" w:eastAsiaTheme="minorEastAsia" w:hAnsiTheme="minorHAnsi" w:cstheme="minorBidi"/>
          <w:b w:val="0"/>
        </w:rPr>
        <w:tab/>
      </w:r>
      <w:r w:rsidRPr="00C3372F">
        <w:rPr>
          <w:rFonts w:ascii="Times New Roman" w:hAnsi="Times New Roman"/>
          <w:b w:val="0"/>
        </w:rPr>
        <w:t>La valutazione del rischio di corruzione</w:t>
      </w:r>
      <w:r w:rsidRPr="00C3372F">
        <w:rPr>
          <w:b w:val="0"/>
        </w:rPr>
        <w:tab/>
      </w:r>
      <w:r w:rsidRPr="00C3372F">
        <w:rPr>
          <w:b w:val="0"/>
        </w:rPr>
        <w:fldChar w:fldCharType="begin"/>
      </w:r>
      <w:r w:rsidRPr="00C3372F">
        <w:rPr>
          <w:b w:val="0"/>
        </w:rPr>
        <w:instrText xml:space="preserve"> PAGEREF _Toc66721205 \h </w:instrText>
      </w:r>
      <w:r w:rsidRPr="00C3372F">
        <w:rPr>
          <w:b w:val="0"/>
        </w:rPr>
      </w:r>
      <w:r w:rsidRPr="00C3372F">
        <w:rPr>
          <w:b w:val="0"/>
        </w:rPr>
        <w:fldChar w:fldCharType="separate"/>
      </w:r>
      <w:r w:rsidRPr="00C3372F">
        <w:rPr>
          <w:b w:val="0"/>
        </w:rPr>
        <w:t>16</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4.1</w:t>
      </w:r>
      <w:r w:rsidRPr="00C3372F">
        <w:rPr>
          <w:rFonts w:asciiTheme="minorHAnsi" w:eastAsiaTheme="minorEastAsia" w:hAnsiTheme="minorHAnsi" w:cstheme="minorBidi"/>
          <w:b w:val="0"/>
        </w:rPr>
        <w:tab/>
      </w:r>
      <w:r w:rsidRPr="00C3372F">
        <w:rPr>
          <w:rFonts w:ascii="Times New Roman" w:hAnsi="Times New Roman"/>
          <w:b w:val="0"/>
        </w:rPr>
        <w:t>La programmazione per il 2021</w:t>
      </w:r>
      <w:r w:rsidRPr="00C3372F">
        <w:rPr>
          <w:b w:val="0"/>
        </w:rPr>
        <w:tab/>
      </w:r>
      <w:r w:rsidRPr="00C3372F">
        <w:rPr>
          <w:b w:val="0"/>
        </w:rPr>
        <w:fldChar w:fldCharType="begin"/>
      </w:r>
      <w:r w:rsidRPr="00C3372F">
        <w:rPr>
          <w:b w:val="0"/>
        </w:rPr>
        <w:instrText xml:space="preserve"> PAGEREF _Toc66721206 \h </w:instrText>
      </w:r>
      <w:r w:rsidRPr="00C3372F">
        <w:rPr>
          <w:b w:val="0"/>
        </w:rPr>
      </w:r>
      <w:r w:rsidRPr="00C3372F">
        <w:rPr>
          <w:b w:val="0"/>
        </w:rPr>
        <w:fldChar w:fldCharType="separate"/>
      </w:r>
      <w:r w:rsidRPr="00C3372F">
        <w:rPr>
          <w:b w:val="0"/>
        </w:rPr>
        <w:t>19</w:t>
      </w:r>
      <w:r w:rsidRPr="00C3372F">
        <w:rPr>
          <w:b w:val="0"/>
        </w:rPr>
        <w:fldChar w:fldCharType="end"/>
      </w:r>
    </w:p>
    <w:p w:rsidR="003329C0" w:rsidRPr="00C3372F" w:rsidRDefault="003329C0">
      <w:pPr>
        <w:pStyle w:val="Sommario1"/>
        <w:tabs>
          <w:tab w:val="left" w:pos="1701"/>
        </w:tabs>
        <w:rPr>
          <w:rFonts w:asciiTheme="minorHAnsi" w:eastAsiaTheme="minorEastAsia" w:hAnsiTheme="minorHAnsi" w:cstheme="minorBidi"/>
          <w:b w:val="0"/>
        </w:rPr>
      </w:pPr>
      <w:r w:rsidRPr="00C3372F">
        <w:rPr>
          <w:rFonts w:ascii="Times New Roman" w:hAnsi="Times New Roman"/>
          <w:b w:val="0"/>
        </w:rPr>
        <w:t>5</w:t>
      </w:r>
      <w:r w:rsidRPr="00C3372F">
        <w:rPr>
          <w:rFonts w:asciiTheme="minorHAnsi" w:eastAsiaTheme="minorEastAsia" w:hAnsiTheme="minorHAnsi" w:cstheme="minorBidi"/>
          <w:b w:val="0"/>
        </w:rPr>
        <w:tab/>
      </w:r>
      <w:r w:rsidRPr="00C3372F">
        <w:rPr>
          <w:rFonts w:ascii="Times New Roman" w:hAnsi="Times New Roman"/>
          <w:b w:val="0"/>
        </w:rPr>
        <w:t>Le misure di prevenzione della corruzione</w:t>
      </w:r>
      <w:r w:rsidRPr="00C3372F">
        <w:rPr>
          <w:b w:val="0"/>
        </w:rPr>
        <w:tab/>
      </w:r>
      <w:r w:rsidRPr="00C3372F">
        <w:rPr>
          <w:b w:val="0"/>
        </w:rPr>
        <w:fldChar w:fldCharType="begin"/>
      </w:r>
      <w:r w:rsidRPr="00C3372F">
        <w:rPr>
          <w:b w:val="0"/>
        </w:rPr>
        <w:instrText xml:space="preserve"> PAGEREF _Toc66721207 \h </w:instrText>
      </w:r>
      <w:r w:rsidRPr="00C3372F">
        <w:rPr>
          <w:b w:val="0"/>
        </w:rPr>
      </w:r>
      <w:r w:rsidRPr="00C3372F">
        <w:rPr>
          <w:b w:val="0"/>
        </w:rPr>
        <w:fldChar w:fldCharType="separate"/>
      </w:r>
      <w:r w:rsidRPr="00C3372F">
        <w:rPr>
          <w:b w:val="0"/>
        </w:rPr>
        <w:t>20</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5.1</w:t>
      </w:r>
      <w:r w:rsidRPr="00C3372F">
        <w:rPr>
          <w:rFonts w:asciiTheme="minorHAnsi" w:eastAsiaTheme="minorEastAsia" w:hAnsiTheme="minorHAnsi" w:cstheme="minorBidi"/>
          <w:b w:val="0"/>
        </w:rPr>
        <w:tab/>
      </w:r>
      <w:r w:rsidRPr="00C3372F">
        <w:rPr>
          <w:rFonts w:ascii="Times New Roman" w:hAnsi="Times New Roman"/>
          <w:b w:val="0"/>
        </w:rPr>
        <w:t>Le misure generali</w:t>
      </w:r>
      <w:r w:rsidRPr="00C3372F">
        <w:rPr>
          <w:b w:val="0"/>
        </w:rPr>
        <w:tab/>
      </w:r>
      <w:r w:rsidRPr="00C3372F">
        <w:rPr>
          <w:b w:val="0"/>
        </w:rPr>
        <w:fldChar w:fldCharType="begin"/>
      </w:r>
      <w:r w:rsidRPr="00C3372F">
        <w:rPr>
          <w:b w:val="0"/>
        </w:rPr>
        <w:instrText xml:space="preserve"> PAGEREF _Toc66721208 \h </w:instrText>
      </w:r>
      <w:r w:rsidRPr="00C3372F">
        <w:rPr>
          <w:b w:val="0"/>
        </w:rPr>
      </w:r>
      <w:r w:rsidRPr="00C3372F">
        <w:rPr>
          <w:b w:val="0"/>
        </w:rPr>
        <w:fldChar w:fldCharType="separate"/>
      </w:r>
      <w:r w:rsidRPr="00C3372F">
        <w:rPr>
          <w:b w:val="0"/>
        </w:rPr>
        <w:t>20</w:t>
      </w:r>
      <w:r w:rsidRPr="00C3372F">
        <w:rPr>
          <w:b w:val="0"/>
        </w:rPr>
        <w:fldChar w:fldCharType="end"/>
      </w:r>
    </w:p>
    <w:p w:rsidR="003329C0" w:rsidRPr="00C3372F" w:rsidRDefault="003329C0">
      <w:pPr>
        <w:pStyle w:val="Sommario3"/>
        <w:rPr>
          <w:rFonts w:asciiTheme="minorHAnsi" w:eastAsiaTheme="minorEastAsia" w:hAnsiTheme="minorHAnsi" w:cstheme="minorBidi"/>
          <w:bCs w:val="0"/>
        </w:rPr>
      </w:pPr>
      <w:r w:rsidRPr="00C3372F">
        <w:t>5.1.1</w:t>
      </w:r>
      <w:r w:rsidRPr="00C3372F">
        <w:rPr>
          <w:rFonts w:asciiTheme="minorHAnsi" w:eastAsiaTheme="minorEastAsia" w:hAnsiTheme="minorHAnsi" w:cstheme="minorBidi"/>
          <w:bCs w:val="0"/>
        </w:rPr>
        <w:tab/>
      </w:r>
      <w:r w:rsidRPr="00C3372F">
        <w:t>La trasparenza</w:t>
      </w:r>
      <w:r w:rsidRPr="00C3372F">
        <w:tab/>
      </w:r>
      <w:r w:rsidRPr="00C3372F">
        <w:fldChar w:fldCharType="begin"/>
      </w:r>
      <w:r w:rsidRPr="00C3372F">
        <w:instrText xml:space="preserve"> PAGEREF _Toc66721209 \h </w:instrText>
      </w:r>
      <w:r w:rsidRPr="00C3372F">
        <w:fldChar w:fldCharType="separate"/>
      </w:r>
      <w:r w:rsidRPr="00C3372F">
        <w:t>20</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5.1.2</w:t>
      </w:r>
      <w:r w:rsidRPr="00C3372F">
        <w:rPr>
          <w:rFonts w:asciiTheme="minorHAnsi" w:eastAsiaTheme="minorEastAsia" w:hAnsiTheme="minorHAnsi" w:cstheme="minorBidi"/>
          <w:bCs w:val="0"/>
        </w:rPr>
        <w:tab/>
      </w:r>
      <w:r w:rsidRPr="00C3372F">
        <w:t>Rotazione</w:t>
      </w:r>
      <w:r w:rsidRPr="00C3372F">
        <w:tab/>
      </w:r>
      <w:r w:rsidRPr="00C3372F">
        <w:fldChar w:fldCharType="begin"/>
      </w:r>
      <w:r w:rsidRPr="00C3372F">
        <w:instrText xml:space="preserve"> PAGEREF _Toc66721210 \h </w:instrText>
      </w:r>
      <w:r w:rsidRPr="00C3372F">
        <w:fldChar w:fldCharType="separate"/>
      </w:r>
      <w:r w:rsidRPr="00C3372F">
        <w:t>20</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5.1.3</w:t>
      </w:r>
      <w:r w:rsidRPr="00C3372F">
        <w:rPr>
          <w:rFonts w:asciiTheme="minorHAnsi" w:eastAsiaTheme="minorEastAsia" w:hAnsiTheme="minorHAnsi" w:cstheme="minorBidi"/>
          <w:bCs w:val="0"/>
        </w:rPr>
        <w:tab/>
      </w:r>
      <w:r w:rsidRPr="00C3372F">
        <w:t>Codice di comportamento</w:t>
      </w:r>
      <w:r w:rsidRPr="00C3372F">
        <w:tab/>
      </w:r>
      <w:r w:rsidRPr="00C3372F">
        <w:fldChar w:fldCharType="begin"/>
      </w:r>
      <w:r w:rsidRPr="00C3372F">
        <w:instrText xml:space="preserve"> PAGEREF _Toc66721211 \h </w:instrText>
      </w:r>
      <w:r w:rsidRPr="00C3372F">
        <w:fldChar w:fldCharType="separate"/>
      </w:r>
      <w:r w:rsidRPr="00C3372F">
        <w:t>24</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5.1.4</w:t>
      </w:r>
      <w:r w:rsidRPr="00C3372F">
        <w:rPr>
          <w:rFonts w:asciiTheme="minorHAnsi" w:eastAsiaTheme="minorEastAsia" w:hAnsiTheme="minorHAnsi" w:cstheme="minorBidi"/>
          <w:bCs w:val="0"/>
        </w:rPr>
        <w:tab/>
      </w:r>
      <w:r w:rsidRPr="00C3372F">
        <w:t>Comunicazioni sugli interessi e obbligo di astensione</w:t>
      </w:r>
      <w:r w:rsidRPr="00C3372F">
        <w:tab/>
      </w:r>
      <w:r w:rsidRPr="00C3372F">
        <w:fldChar w:fldCharType="begin"/>
      </w:r>
      <w:r w:rsidRPr="00C3372F">
        <w:instrText xml:space="preserve"> PAGEREF _Toc66721212 \h </w:instrText>
      </w:r>
      <w:r w:rsidRPr="00C3372F">
        <w:fldChar w:fldCharType="separate"/>
      </w:r>
      <w:r w:rsidRPr="00C3372F">
        <w:t>25</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5.1.5</w:t>
      </w:r>
      <w:r w:rsidRPr="00C3372F">
        <w:rPr>
          <w:rFonts w:asciiTheme="minorHAnsi" w:eastAsiaTheme="minorEastAsia" w:hAnsiTheme="minorHAnsi" w:cstheme="minorBidi"/>
          <w:bCs w:val="0"/>
        </w:rPr>
        <w:tab/>
      </w:r>
      <w:r w:rsidRPr="00C3372F">
        <w:t>Svolgimento di incarichi d’ufficio ed extra-istituzionali</w:t>
      </w:r>
      <w:r w:rsidRPr="00C3372F">
        <w:tab/>
      </w:r>
      <w:r w:rsidRPr="00C3372F">
        <w:fldChar w:fldCharType="begin"/>
      </w:r>
      <w:r w:rsidRPr="00C3372F">
        <w:instrText xml:space="preserve"> PAGEREF _Toc66721213 \h </w:instrText>
      </w:r>
      <w:r w:rsidRPr="00C3372F">
        <w:fldChar w:fldCharType="separate"/>
      </w:r>
      <w:r w:rsidRPr="00C3372F">
        <w:t>26</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5.1.6</w:t>
      </w:r>
      <w:r w:rsidRPr="00C3372F">
        <w:rPr>
          <w:rFonts w:asciiTheme="minorHAnsi" w:eastAsiaTheme="minorEastAsia" w:hAnsiTheme="minorHAnsi" w:cstheme="minorBidi"/>
          <w:bCs w:val="0"/>
        </w:rPr>
        <w:tab/>
      </w:r>
      <w:r w:rsidRPr="00C3372F">
        <w:t>Regime di inconferibilità e incompatibilità per gli incarichi dirigenziali</w:t>
      </w:r>
      <w:r w:rsidRPr="00C3372F">
        <w:tab/>
      </w:r>
      <w:r w:rsidRPr="00C3372F">
        <w:fldChar w:fldCharType="begin"/>
      </w:r>
      <w:r w:rsidRPr="00C3372F">
        <w:instrText xml:space="preserve"> PAGEREF _Toc66721214 \h </w:instrText>
      </w:r>
      <w:r w:rsidRPr="00C3372F">
        <w:fldChar w:fldCharType="separate"/>
      </w:r>
      <w:r w:rsidRPr="00C3372F">
        <w:t>27</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5.1.7</w:t>
      </w:r>
      <w:r w:rsidRPr="00C3372F">
        <w:rPr>
          <w:rFonts w:asciiTheme="minorHAnsi" w:eastAsiaTheme="minorEastAsia" w:hAnsiTheme="minorHAnsi" w:cstheme="minorBidi"/>
          <w:bCs w:val="0"/>
        </w:rPr>
        <w:tab/>
      </w:r>
      <w:r w:rsidRPr="00C3372F">
        <w:t>Incarichi affidati nell’ambito degli Uffici di diretta collaborazione</w:t>
      </w:r>
      <w:r w:rsidRPr="00C3372F">
        <w:tab/>
      </w:r>
      <w:r w:rsidRPr="00C3372F">
        <w:fldChar w:fldCharType="begin"/>
      </w:r>
      <w:r w:rsidRPr="00C3372F">
        <w:instrText xml:space="preserve"> PAGEREF _Toc66721215 \h </w:instrText>
      </w:r>
      <w:r w:rsidRPr="00C3372F">
        <w:fldChar w:fldCharType="separate"/>
      </w:r>
      <w:r w:rsidRPr="00C3372F">
        <w:t>28</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5.1.8</w:t>
      </w:r>
      <w:r w:rsidRPr="00C3372F">
        <w:rPr>
          <w:rFonts w:asciiTheme="minorHAnsi" w:eastAsiaTheme="minorEastAsia" w:hAnsiTheme="minorHAnsi" w:cstheme="minorBidi"/>
          <w:bCs w:val="0"/>
        </w:rPr>
        <w:tab/>
      </w:r>
      <w:r w:rsidRPr="00C3372F">
        <w:t>Formazione di commissioni e assegnazioni agli Uffici</w:t>
      </w:r>
      <w:r w:rsidRPr="00C3372F">
        <w:tab/>
      </w:r>
      <w:r w:rsidRPr="00C3372F">
        <w:fldChar w:fldCharType="begin"/>
      </w:r>
      <w:r w:rsidRPr="00C3372F">
        <w:instrText xml:space="preserve"> PAGEREF _Toc66721216 \h </w:instrText>
      </w:r>
      <w:r w:rsidRPr="00C3372F">
        <w:fldChar w:fldCharType="separate"/>
      </w:r>
      <w:r w:rsidRPr="00C3372F">
        <w:t>28</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5.1.9</w:t>
      </w:r>
      <w:r w:rsidRPr="00C3372F">
        <w:rPr>
          <w:rFonts w:asciiTheme="minorHAnsi" w:eastAsiaTheme="minorEastAsia" w:hAnsiTheme="minorHAnsi" w:cstheme="minorBidi"/>
          <w:bCs w:val="0"/>
        </w:rPr>
        <w:tab/>
      </w:r>
      <w:r w:rsidRPr="00C3372F">
        <w:t>Attività successive alla cessazione dal rapporto di lavoro (</w:t>
      </w:r>
      <w:r w:rsidRPr="00C3372F">
        <w:rPr>
          <w:i/>
        </w:rPr>
        <w:t>pantouflage – revolving doors</w:t>
      </w:r>
      <w:r w:rsidRPr="00C3372F">
        <w:t>)</w:t>
      </w:r>
      <w:r w:rsidRPr="00C3372F">
        <w:tab/>
      </w:r>
      <w:r w:rsidRPr="00C3372F">
        <w:fldChar w:fldCharType="begin"/>
      </w:r>
      <w:r w:rsidRPr="00C3372F">
        <w:instrText xml:space="preserve"> PAGEREF _Toc66721217 \h </w:instrText>
      </w:r>
      <w:r w:rsidRPr="00C3372F">
        <w:fldChar w:fldCharType="separate"/>
      </w:r>
      <w:r w:rsidRPr="00C3372F">
        <w:t>29</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5.1.10</w:t>
      </w:r>
      <w:r w:rsidRPr="00C3372F">
        <w:rPr>
          <w:rFonts w:asciiTheme="minorHAnsi" w:eastAsiaTheme="minorEastAsia" w:hAnsiTheme="minorHAnsi" w:cstheme="minorBidi"/>
          <w:bCs w:val="0"/>
        </w:rPr>
        <w:tab/>
      </w:r>
      <w:r w:rsidRPr="00C3372F">
        <w:t>Ricorso all’arbitrato con modalità che ne assicurino la pubblicità e la rotazione degli incarichi</w:t>
      </w:r>
      <w:r w:rsidRPr="00C3372F">
        <w:tab/>
      </w:r>
      <w:r w:rsidRPr="00C3372F">
        <w:fldChar w:fldCharType="begin"/>
      </w:r>
      <w:r w:rsidRPr="00C3372F">
        <w:instrText xml:space="preserve"> PAGEREF _Toc66721218 \h </w:instrText>
      </w:r>
      <w:r w:rsidRPr="00C3372F">
        <w:fldChar w:fldCharType="separate"/>
      </w:r>
      <w:r w:rsidRPr="00C3372F">
        <w:t>30</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5.1.11</w:t>
      </w:r>
      <w:r w:rsidRPr="00C3372F">
        <w:rPr>
          <w:rFonts w:asciiTheme="minorHAnsi" w:eastAsiaTheme="minorEastAsia" w:hAnsiTheme="minorHAnsi" w:cstheme="minorBidi"/>
          <w:bCs w:val="0"/>
        </w:rPr>
        <w:tab/>
      </w:r>
      <w:r w:rsidRPr="00C3372F">
        <w:t>Il rispetto dei termini procedimentali</w:t>
      </w:r>
      <w:r w:rsidRPr="00C3372F">
        <w:tab/>
      </w:r>
      <w:r w:rsidRPr="00C3372F">
        <w:fldChar w:fldCharType="begin"/>
      </w:r>
      <w:r w:rsidRPr="00C3372F">
        <w:instrText xml:space="preserve"> PAGEREF _Toc66721219 \h </w:instrText>
      </w:r>
      <w:r w:rsidRPr="00C3372F">
        <w:fldChar w:fldCharType="separate"/>
      </w:r>
      <w:r w:rsidRPr="00C3372F">
        <w:t>30</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5.1.12</w:t>
      </w:r>
      <w:r w:rsidRPr="00C3372F">
        <w:rPr>
          <w:rFonts w:asciiTheme="minorHAnsi" w:eastAsiaTheme="minorEastAsia" w:hAnsiTheme="minorHAnsi" w:cstheme="minorBidi"/>
          <w:bCs w:val="0"/>
        </w:rPr>
        <w:tab/>
      </w:r>
      <w:r w:rsidRPr="00C3372F">
        <w:t>Tempi di pagamento</w:t>
      </w:r>
      <w:r w:rsidRPr="00C3372F">
        <w:tab/>
      </w:r>
      <w:r w:rsidRPr="00C3372F">
        <w:fldChar w:fldCharType="begin"/>
      </w:r>
      <w:r w:rsidRPr="00C3372F">
        <w:instrText xml:space="preserve"> PAGEREF _Toc66721220 \h </w:instrText>
      </w:r>
      <w:r w:rsidRPr="00C3372F">
        <w:fldChar w:fldCharType="separate"/>
      </w:r>
      <w:r w:rsidRPr="00C3372F">
        <w:t>32</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5.1.13</w:t>
      </w:r>
      <w:r w:rsidRPr="00C3372F">
        <w:rPr>
          <w:rFonts w:asciiTheme="minorHAnsi" w:eastAsiaTheme="minorEastAsia" w:hAnsiTheme="minorHAnsi" w:cstheme="minorBidi"/>
          <w:bCs w:val="0"/>
        </w:rPr>
        <w:tab/>
      </w:r>
      <w:r w:rsidRPr="00C3372F">
        <w:t>Patti d’integrità</w:t>
      </w:r>
      <w:r w:rsidRPr="00C3372F">
        <w:tab/>
      </w:r>
      <w:r w:rsidRPr="00C3372F">
        <w:fldChar w:fldCharType="begin"/>
      </w:r>
      <w:r w:rsidRPr="00C3372F">
        <w:instrText xml:space="preserve"> PAGEREF _Toc66721221 \h </w:instrText>
      </w:r>
      <w:r w:rsidRPr="00C3372F">
        <w:fldChar w:fldCharType="separate"/>
      </w:r>
      <w:r w:rsidRPr="00C3372F">
        <w:t>33</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5.1.14</w:t>
      </w:r>
      <w:r w:rsidRPr="00C3372F">
        <w:rPr>
          <w:rFonts w:asciiTheme="minorHAnsi" w:eastAsiaTheme="minorEastAsia" w:hAnsiTheme="minorHAnsi" w:cstheme="minorBidi"/>
          <w:bCs w:val="0"/>
        </w:rPr>
        <w:tab/>
      </w:r>
      <w:r w:rsidRPr="00C3372F">
        <w:t>Vigilanza sugli enti pubblici e privati</w:t>
      </w:r>
      <w:r w:rsidRPr="00C3372F">
        <w:tab/>
      </w:r>
      <w:r w:rsidRPr="00C3372F">
        <w:fldChar w:fldCharType="begin"/>
      </w:r>
      <w:r w:rsidRPr="00C3372F">
        <w:instrText xml:space="preserve"> PAGEREF _Toc66721222 \h </w:instrText>
      </w:r>
      <w:r w:rsidRPr="00C3372F">
        <w:fldChar w:fldCharType="separate"/>
      </w:r>
      <w:r w:rsidRPr="00C3372F">
        <w:t>33</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5.1.15</w:t>
      </w:r>
      <w:r w:rsidRPr="00C3372F">
        <w:rPr>
          <w:rFonts w:asciiTheme="minorHAnsi" w:eastAsiaTheme="minorEastAsia" w:hAnsiTheme="minorHAnsi" w:cstheme="minorBidi"/>
          <w:bCs w:val="0"/>
        </w:rPr>
        <w:tab/>
      </w:r>
      <w:r w:rsidRPr="00C3372F">
        <w:t xml:space="preserve">Tutela del dipendente che effettua segnalazioni di illecito (c.d. </w:t>
      </w:r>
      <w:r w:rsidRPr="00C3372F">
        <w:rPr>
          <w:i/>
        </w:rPr>
        <w:t>whistleblower</w:t>
      </w:r>
      <w:r w:rsidRPr="00C3372F">
        <w:t>)</w:t>
      </w:r>
      <w:r w:rsidRPr="00C3372F">
        <w:tab/>
      </w:r>
      <w:r w:rsidRPr="00C3372F">
        <w:fldChar w:fldCharType="begin"/>
      </w:r>
      <w:r w:rsidRPr="00C3372F">
        <w:instrText xml:space="preserve"> PAGEREF _Toc66721223 \h </w:instrText>
      </w:r>
      <w:r w:rsidRPr="00C3372F">
        <w:fldChar w:fldCharType="separate"/>
      </w:r>
      <w:r w:rsidRPr="00C3372F">
        <w:t>34</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5.1.16</w:t>
      </w:r>
      <w:r w:rsidRPr="00C3372F">
        <w:rPr>
          <w:rFonts w:asciiTheme="minorHAnsi" w:eastAsiaTheme="minorEastAsia" w:hAnsiTheme="minorHAnsi" w:cstheme="minorBidi"/>
          <w:bCs w:val="0"/>
        </w:rPr>
        <w:tab/>
      </w:r>
      <w:r w:rsidRPr="00C3372F">
        <w:t>Formazione</w:t>
      </w:r>
      <w:r w:rsidRPr="00C3372F">
        <w:tab/>
      </w:r>
      <w:r w:rsidRPr="00C3372F">
        <w:fldChar w:fldCharType="begin"/>
      </w:r>
      <w:r w:rsidRPr="00C3372F">
        <w:instrText xml:space="preserve"> PAGEREF _Toc66721224 \h </w:instrText>
      </w:r>
      <w:r w:rsidRPr="00C3372F">
        <w:fldChar w:fldCharType="separate"/>
      </w:r>
      <w:r w:rsidRPr="00C3372F">
        <w:t>35</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5.1.17</w:t>
      </w:r>
      <w:r w:rsidRPr="00C3372F">
        <w:rPr>
          <w:rFonts w:asciiTheme="minorHAnsi" w:eastAsiaTheme="minorEastAsia" w:hAnsiTheme="minorHAnsi" w:cstheme="minorBidi"/>
          <w:bCs w:val="0"/>
        </w:rPr>
        <w:tab/>
      </w:r>
      <w:r w:rsidRPr="00C3372F">
        <w:t>L’informatizzazione e l’interdipendenza con altri sistemi operativi di gestione</w:t>
      </w:r>
      <w:r w:rsidRPr="00C3372F">
        <w:tab/>
      </w:r>
      <w:r w:rsidRPr="00C3372F">
        <w:fldChar w:fldCharType="begin"/>
      </w:r>
      <w:r w:rsidRPr="00C3372F">
        <w:instrText xml:space="preserve"> PAGEREF _Toc66721225 \h </w:instrText>
      </w:r>
      <w:r w:rsidRPr="00C3372F">
        <w:fldChar w:fldCharType="separate"/>
      </w:r>
      <w:r w:rsidRPr="00C3372F">
        <w:t>36</w:t>
      </w:r>
      <w:r w:rsidRPr="00C3372F">
        <w:fldChar w:fldCharType="end"/>
      </w:r>
    </w:p>
    <w:p w:rsidR="003329C0" w:rsidRPr="00C3372F" w:rsidRDefault="003329C0">
      <w:pPr>
        <w:pStyle w:val="Sommario3"/>
        <w:rPr>
          <w:rFonts w:asciiTheme="minorHAnsi" w:eastAsiaTheme="minorEastAsia" w:hAnsiTheme="minorHAnsi" w:cstheme="minorBidi"/>
          <w:bCs w:val="0"/>
        </w:rPr>
      </w:pPr>
      <w:r w:rsidRPr="00C3372F">
        <w:t>5.1.18</w:t>
      </w:r>
      <w:r w:rsidRPr="00C3372F">
        <w:rPr>
          <w:rFonts w:asciiTheme="minorHAnsi" w:eastAsiaTheme="minorEastAsia" w:hAnsiTheme="minorHAnsi" w:cstheme="minorBidi"/>
          <w:bCs w:val="0"/>
        </w:rPr>
        <w:tab/>
      </w:r>
      <w:r w:rsidRPr="00C3372F">
        <w:t>Le altre misure generali</w:t>
      </w:r>
      <w:r w:rsidRPr="00C3372F">
        <w:tab/>
      </w:r>
      <w:r w:rsidRPr="00C3372F">
        <w:fldChar w:fldCharType="begin"/>
      </w:r>
      <w:r w:rsidRPr="00C3372F">
        <w:instrText xml:space="preserve"> PAGEREF _Toc66721226 \h </w:instrText>
      </w:r>
      <w:r w:rsidRPr="00C3372F">
        <w:fldChar w:fldCharType="separate"/>
      </w:r>
      <w:r w:rsidRPr="00C3372F">
        <w:t>37</w:t>
      </w:r>
      <w:r w:rsidRPr="00C3372F">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5.2</w:t>
      </w:r>
      <w:r w:rsidRPr="00C3372F">
        <w:rPr>
          <w:rFonts w:asciiTheme="minorHAnsi" w:eastAsiaTheme="minorEastAsia" w:hAnsiTheme="minorHAnsi" w:cstheme="minorBidi"/>
          <w:b w:val="0"/>
        </w:rPr>
        <w:tab/>
      </w:r>
      <w:r w:rsidRPr="00C3372F">
        <w:rPr>
          <w:rFonts w:ascii="Times New Roman" w:hAnsi="Times New Roman"/>
          <w:b w:val="0"/>
        </w:rPr>
        <w:t>Le misure specifiche</w:t>
      </w:r>
      <w:r w:rsidRPr="00C3372F">
        <w:rPr>
          <w:b w:val="0"/>
        </w:rPr>
        <w:tab/>
      </w:r>
      <w:r w:rsidRPr="00C3372F">
        <w:rPr>
          <w:b w:val="0"/>
        </w:rPr>
        <w:fldChar w:fldCharType="begin"/>
      </w:r>
      <w:r w:rsidRPr="00C3372F">
        <w:rPr>
          <w:b w:val="0"/>
        </w:rPr>
        <w:instrText xml:space="preserve"> PAGEREF _Toc66721227 \h </w:instrText>
      </w:r>
      <w:r w:rsidRPr="00C3372F">
        <w:rPr>
          <w:b w:val="0"/>
        </w:rPr>
      </w:r>
      <w:r w:rsidRPr="00C3372F">
        <w:rPr>
          <w:b w:val="0"/>
        </w:rPr>
        <w:fldChar w:fldCharType="separate"/>
      </w:r>
      <w:r w:rsidRPr="00C3372F">
        <w:rPr>
          <w:b w:val="0"/>
        </w:rPr>
        <w:t>38</w:t>
      </w:r>
      <w:r w:rsidRPr="00C3372F">
        <w:rPr>
          <w:b w:val="0"/>
        </w:rPr>
        <w:fldChar w:fldCharType="end"/>
      </w:r>
    </w:p>
    <w:p w:rsidR="003329C0" w:rsidRPr="00C3372F" w:rsidRDefault="003329C0">
      <w:pPr>
        <w:pStyle w:val="Sommario3"/>
        <w:rPr>
          <w:rFonts w:asciiTheme="minorHAnsi" w:eastAsiaTheme="minorEastAsia" w:hAnsiTheme="minorHAnsi" w:cstheme="minorBidi"/>
          <w:bCs w:val="0"/>
        </w:rPr>
      </w:pPr>
      <w:r w:rsidRPr="00C3372F">
        <w:t>5.2.1</w:t>
      </w:r>
      <w:r w:rsidRPr="00C3372F">
        <w:rPr>
          <w:rFonts w:asciiTheme="minorHAnsi" w:eastAsiaTheme="minorEastAsia" w:hAnsiTheme="minorHAnsi" w:cstheme="minorBidi"/>
          <w:bCs w:val="0"/>
        </w:rPr>
        <w:tab/>
      </w:r>
      <w:r w:rsidRPr="00C3372F">
        <w:t>Le misure per l’erogazione di ausili finanziari in caso di emergenza civile</w:t>
      </w:r>
      <w:r w:rsidRPr="00C3372F">
        <w:tab/>
      </w:r>
      <w:r w:rsidRPr="00C3372F">
        <w:fldChar w:fldCharType="begin"/>
      </w:r>
      <w:r w:rsidRPr="00C3372F">
        <w:instrText xml:space="preserve"> PAGEREF _Toc66721228 \h </w:instrText>
      </w:r>
      <w:r w:rsidRPr="00C3372F">
        <w:fldChar w:fldCharType="separate"/>
      </w:r>
      <w:r w:rsidRPr="00C3372F">
        <w:t>39</w:t>
      </w:r>
      <w:r w:rsidRPr="00C3372F">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5.3</w:t>
      </w:r>
      <w:r w:rsidRPr="00C3372F">
        <w:rPr>
          <w:rFonts w:asciiTheme="minorHAnsi" w:eastAsiaTheme="minorEastAsia" w:hAnsiTheme="minorHAnsi" w:cstheme="minorBidi"/>
          <w:b w:val="0"/>
        </w:rPr>
        <w:tab/>
      </w:r>
      <w:r w:rsidRPr="00C3372F">
        <w:rPr>
          <w:rFonts w:ascii="Times New Roman" w:hAnsi="Times New Roman"/>
          <w:b w:val="0"/>
        </w:rPr>
        <w:t>Le misure per l’area di rischio dei contratti pubblici</w:t>
      </w:r>
      <w:r w:rsidRPr="00C3372F">
        <w:rPr>
          <w:b w:val="0"/>
        </w:rPr>
        <w:tab/>
      </w:r>
      <w:r w:rsidRPr="00C3372F">
        <w:rPr>
          <w:b w:val="0"/>
        </w:rPr>
        <w:fldChar w:fldCharType="begin"/>
      </w:r>
      <w:r w:rsidRPr="00C3372F">
        <w:rPr>
          <w:b w:val="0"/>
        </w:rPr>
        <w:instrText xml:space="preserve"> PAGEREF _Toc66721229 \h </w:instrText>
      </w:r>
      <w:r w:rsidRPr="00C3372F">
        <w:rPr>
          <w:b w:val="0"/>
        </w:rPr>
      </w:r>
      <w:r w:rsidRPr="00C3372F">
        <w:rPr>
          <w:b w:val="0"/>
        </w:rPr>
        <w:fldChar w:fldCharType="separate"/>
      </w:r>
      <w:r w:rsidRPr="00C3372F">
        <w:rPr>
          <w:b w:val="0"/>
        </w:rPr>
        <w:t>39</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5.4</w:t>
      </w:r>
      <w:r w:rsidRPr="00C3372F">
        <w:rPr>
          <w:rFonts w:asciiTheme="minorHAnsi" w:eastAsiaTheme="minorEastAsia" w:hAnsiTheme="minorHAnsi" w:cstheme="minorBidi"/>
          <w:b w:val="0"/>
        </w:rPr>
        <w:tab/>
      </w:r>
      <w:r w:rsidRPr="00C3372F">
        <w:rPr>
          <w:rFonts w:ascii="Times New Roman" w:hAnsi="Times New Roman"/>
          <w:b w:val="0"/>
        </w:rPr>
        <w:t>Misure per le procedure di reclutamento del personale</w:t>
      </w:r>
      <w:r w:rsidRPr="00C3372F">
        <w:rPr>
          <w:b w:val="0"/>
        </w:rPr>
        <w:tab/>
      </w:r>
      <w:r w:rsidRPr="00C3372F">
        <w:rPr>
          <w:b w:val="0"/>
        </w:rPr>
        <w:fldChar w:fldCharType="begin"/>
      </w:r>
      <w:r w:rsidRPr="00C3372F">
        <w:rPr>
          <w:b w:val="0"/>
        </w:rPr>
        <w:instrText xml:space="preserve"> PAGEREF _Toc66721230 \h </w:instrText>
      </w:r>
      <w:r w:rsidRPr="00C3372F">
        <w:rPr>
          <w:b w:val="0"/>
        </w:rPr>
      </w:r>
      <w:r w:rsidRPr="00C3372F">
        <w:rPr>
          <w:b w:val="0"/>
        </w:rPr>
        <w:fldChar w:fldCharType="separate"/>
      </w:r>
      <w:r w:rsidRPr="00C3372F">
        <w:rPr>
          <w:b w:val="0"/>
        </w:rPr>
        <w:t>46</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5.5</w:t>
      </w:r>
      <w:r w:rsidRPr="00C3372F">
        <w:rPr>
          <w:rFonts w:asciiTheme="minorHAnsi" w:eastAsiaTheme="minorEastAsia" w:hAnsiTheme="minorHAnsi" w:cstheme="minorBidi"/>
          <w:b w:val="0"/>
        </w:rPr>
        <w:tab/>
      </w:r>
      <w:r w:rsidRPr="00C3372F">
        <w:rPr>
          <w:rFonts w:ascii="Times New Roman" w:hAnsi="Times New Roman"/>
          <w:b w:val="0"/>
        </w:rPr>
        <w:t>Le misure per la semplificazione</w:t>
      </w:r>
      <w:r w:rsidRPr="00C3372F">
        <w:rPr>
          <w:b w:val="0"/>
        </w:rPr>
        <w:tab/>
      </w:r>
      <w:r w:rsidRPr="00C3372F">
        <w:rPr>
          <w:b w:val="0"/>
        </w:rPr>
        <w:fldChar w:fldCharType="begin"/>
      </w:r>
      <w:r w:rsidRPr="00C3372F">
        <w:rPr>
          <w:b w:val="0"/>
        </w:rPr>
        <w:instrText xml:space="preserve"> PAGEREF _Toc66721231 \h </w:instrText>
      </w:r>
      <w:r w:rsidRPr="00C3372F">
        <w:rPr>
          <w:b w:val="0"/>
        </w:rPr>
      </w:r>
      <w:r w:rsidRPr="00C3372F">
        <w:rPr>
          <w:b w:val="0"/>
        </w:rPr>
        <w:fldChar w:fldCharType="separate"/>
      </w:r>
      <w:r w:rsidRPr="00C3372F">
        <w:rPr>
          <w:b w:val="0"/>
        </w:rPr>
        <w:t>46</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5.6</w:t>
      </w:r>
      <w:r w:rsidRPr="00C3372F">
        <w:rPr>
          <w:rFonts w:asciiTheme="minorHAnsi" w:eastAsiaTheme="minorEastAsia" w:hAnsiTheme="minorHAnsi" w:cstheme="minorBidi"/>
          <w:b w:val="0"/>
        </w:rPr>
        <w:tab/>
      </w:r>
      <w:r w:rsidRPr="00C3372F">
        <w:rPr>
          <w:rFonts w:ascii="Times New Roman" w:hAnsi="Times New Roman"/>
          <w:b w:val="0"/>
        </w:rPr>
        <w:t>Il R.A.S.A. e il Gestore delle segnalazioni di operazioni sospette</w:t>
      </w:r>
      <w:r w:rsidRPr="00C3372F">
        <w:rPr>
          <w:b w:val="0"/>
        </w:rPr>
        <w:tab/>
      </w:r>
      <w:r w:rsidRPr="00C3372F">
        <w:rPr>
          <w:b w:val="0"/>
        </w:rPr>
        <w:fldChar w:fldCharType="begin"/>
      </w:r>
      <w:r w:rsidRPr="00C3372F">
        <w:rPr>
          <w:b w:val="0"/>
        </w:rPr>
        <w:instrText xml:space="preserve"> PAGEREF _Toc66721232 \h </w:instrText>
      </w:r>
      <w:r w:rsidRPr="00C3372F">
        <w:rPr>
          <w:b w:val="0"/>
        </w:rPr>
      </w:r>
      <w:r w:rsidRPr="00C3372F">
        <w:rPr>
          <w:b w:val="0"/>
        </w:rPr>
        <w:fldChar w:fldCharType="separate"/>
      </w:r>
      <w:r w:rsidRPr="00C3372F">
        <w:rPr>
          <w:b w:val="0"/>
        </w:rPr>
        <w:t>47</w:t>
      </w:r>
      <w:r w:rsidRPr="00C3372F">
        <w:rPr>
          <w:b w:val="0"/>
        </w:rPr>
        <w:fldChar w:fldCharType="end"/>
      </w:r>
    </w:p>
    <w:p w:rsidR="003329C0" w:rsidRPr="00C3372F" w:rsidRDefault="003329C0">
      <w:pPr>
        <w:pStyle w:val="Sommario2"/>
        <w:rPr>
          <w:rFonts w:asciiTheme="minorHAnsi" w:eastAsiaTheme="minorEastAsia" w:hAnsiTheme="minorHAnsi" w:cstheme="minorBidi"/>
          <w:b w:val="0"/>
        </w:rPr>
      </w:pPr>
      <w:r w:rsidRPr="00C3372F">
        <w:rPr>
          <w:rFonts w:ascii="Times New Roman" w:hAnsi="Times New Roman"/>
          <w:b w:val="0"/>
        </w:rPr>
        <w:t>5.7</w:t>
      </w:r>
      <w:r w:rsidRPr="00C3372F">
        <w:rPr>
          <w:rFonts w:asciiTheme="minorHAnsi" w:eastAsiaTheme="minorEastAsia" w:hAnsiTheme="minorHAnsi" w:cstheme="minorBidi"/>
          <w:b w:val="0"/>
        </w:rPr>
        <w:tab/>
      </w:r>
      <w:r w:rsidRPr="00C3372F">
        <w:rPr>
          <w:rFonts w:ascii="Times New Roman" w:hAnsi="Times New Roman"/>
          <w:b w:val="0"/>
        </w:rPr>
        <w:t>Fondi Strutturali</w:t>
      </w:r>
      <w:r w:rsidRPr="00C3372F">
        <w:rPr>
          <w:b w:val="0"/>
        </w:rPr>
        <w:tab/>
      </w:r>
      <w:r w:rsidRPr="00C3372F">
        <w:rPr>
          <w:b w:val="0"/>
        </w:rPr>
        <w:fldChar w:fldCharType="begin"/>
      </w:r>
      <w:r w:rsidRPr="00C3372F">
        <w:rPr>
          <w:b w:val="0"/>
        </w:rPr>
        <w:instrText xml:space="preserve"> PAGEREF _Toc66721233 \h </w:instrText>
      </w:r>
      <w:r w:rsidRPr="00C3372F">
        <w:rPr>
          <w:b w:val="0"/>
        </w:rPr>
      </w:r>
      <w:r w:rsidRPr="00C3372F">
        <w:rPr>
          <w:b w:val="0"/>
        </w:rPr>
        <w:fldChar w:fldCharType="separate"/>
      </w:r>
      <w:r w:rsidRPr="00C3372F">
        <w:rPr>
          <w:b w:val="0"/>
        </w:rPr>
        <w:t>49</w:t>
      </w:r>
      <w:r w:rsidRPr="00C3372F">
        <w:rPr>
          <w:b w:val="0"/>
        </w:rPr>
        <w:fldChar w:fldCharType="end"/>
      </w:r>
    </w:p>
    <w:p w:rsidR="003329C0" w:rsidRPr="00C3372F" w:rsidRDefault="003329C0">
      <w:pPr>
        <w:pStyle w:val="Sommario1"/>
        <w:tabs>
          <w:tab w:val="left" w:pos="1701"/>
        </w:tabs>
        <w:rPr>
          <w:rFonts w:asciiTheme="minorHAnsi" w:eastAsiaTheme="minorEastAsia" w:hAnsiTheme="minorHAnsi" w:cstheme="minorBidi"/>
          <w:b w:val="0"/>
        </w:rPr>
      </w:pPr>
      <w:r w:rsidRPr="00C3372F">
        <w:rPr>
          <w:rFonts w:ascii="Times New Roman" w:hAnsi="Times New Roman"/>
          <w:b w:val="0"/>
        </w:rPr>
        <w:t>6</w:t>
      </w:r>
      <w:r w:rsidRPr="00C3372F">
        <w:rPr>
          <w:rFonts w:asciiTheme="minorHAnsi" w:eastAsiaTheme="minorEastAsia" w:hAnsiTheme="minorHAnsi" w:cstheme="minorBidi"/>
          <w:b w:val="0"/>
        </w:rPr>
        <w:tab/>
      </w:r>
      <w:r w:rsidRPr="00C3372F">
        <w:rPr>
          <w:rFonts w:ascii="Times New Roman" w:hAnsi="Times New Roman"/>
          <w:b w:val="0"/>
        </w:rPr>
        <w:t>Monitoraggio sull’applicazione delle misure di prevenzione</w:t>
      </w:r>
      <w:r w:rsidRPr="00C3372F">
        <w:rPr>
          <w:b w:val="0"/>
        </w:rPr>
        <w:tab/>
      </w:r>
      <w:r w:rsidRPr="00C3372F">
        <w:rPr>
          <w:b w:val="0"/>
        </w:rPr>
        <w:fldChar w:fldCharType="begin"/>
      </w:r>
      <w:r w:rsidRPr="00C3372F">
        <w:rPr>
          <w:b w:val="0"/>
        </w:rPr>
        <w:instrText xml:space="preserve"> PAGEREF _Toc66721234 \h </w:instrText>
      </w:r>
      <w:r w:rsidRPr="00C3372F">
        <w:rPr>
          <w:b w:val="0"/>
        </w:rPr>
      </w:r>
      <w:r w:rsidRPr="00C3372F">
        <w:rPr>
          <w:b w:val="0"/>
        </w:rPr>
        <w:fldChar w:fldCharType="separate"/>
      </w:r>
      <w:r w:rsidRPr="00C3372F">
        <w:rPr>
          <w:b w:val="0"/>
        </w:rPr>
        <w:t>50</w:t>
      </w:r>
      <w:r w:rsidRPr="00C3372F">
        <w:rPr>
          <w:b w:val="0"/>
        </w:rPr>
        <w:fldChar w:fldCharType="end"/>
      </w:r>
    </w:p>
    <w:p w:rsidR="003329C0" w:rsidRPr="00C3372F" w:rsidRDefault="003329C0">
      <w:pPr>
        <w:pStyle w:val="Sommario1"/>
        <w:tabs>
          <w:tab w:val="left" w:pos="1701"/>
        </w:tabs>
        <w:rPr>
          <w:rFonts w:asciiTheme="minorHAnsi" w:eastAsiaTheme="minorEastAsia" w:hAnsiTheme="minorHAnsi" w:cstheme="minorBidi"/>
          <w:b w:val="0"/>
        </w:rPr>
      </w:pPr>
      <w:r w:rsidRPr="00C3372F">
        <w:rPr>
          <w:rFonts w:ascii="Times New Roman" w:hAnsi="Times New Roman"/>
          <w:b w:val="0"/>
        </w:rPr>
        <w:t>7</w:t>
      </w:r>
      <w:r w:rsidRPr="00C3372F">
        <w:rPr>
          <w:rFonts w:asciiTheme="minorHAnsi" w:eastAsiaTheme="minorEastAsia" w:hAnsiTheme="minorHAnsi" w:cstheme="minorBidi"/>
          <w:b w:val="0"/>
        </w:rPr>
        <w:tab/>
      </w:r>
      <w:r w:rsidRPr="00C3372F">
        <w:rPr>
          <w:rFonts w:ascii="Times New Roman" w:hAnsi="Times New Roman"/>
          <w:b w:val="0"/>
        </w:rPr>
        <w:t>Ciclo della programmazione</w:t>
      </w:r>
      <w:r w:rsidRPr="00C3372F">
        <w:rPr>
          <w:b w:val="0"/>
        </w:rPr>
        <w:tab/>
      </w:r>
      <w:r w:rsidRPr="00C3372F">
        <w:rPr>
          <w:b w:val="0"/>
        </w:rPr>
        <w:fldChar w:fldCharType="begin"/>
      </w:r>
      <w:r w:rsidRPr="00C3372F">
        <w:rPr>
          <w:b w:val="0"/>
        </w:rPr>
        <w:instrText xml:space="preserve"> PAGEREF _Toc66721235 \h </w:instrText>
      </w:r>
      <w:r w:rsidRPr="00C3372F">
        <w:rPr>
          <w:b w:val="0"/>
        </w:rPr>
      </w:r>
      <w:r w:rsidRPr="00C3372F">
        <w:rPr>
          <w:b w:val="0"/>
        </w:rPr>
        <w:fldChar w:fldCharType="separate"/>
      </w:r>
      <w:r w:rsidRPr="00C3372F">
        <w:rPr>
          <w:b w:val="0"/>
        </w:rPr>
        <w:t>50</w:t>
      </w:r>
      <w:r w:rsidRPr="00C3372F">
        <w:rPr>
          <w:b w:val="0"/>
        </w:rPr>
        <w:fldChar w:fldCharType="end"/>
      </w:r>
    </w:p>
    <w:p w:rsidR="004E5FE2" w:rsidRPr="00D12D6D" w:rsidRDefault="00D560E7" w:rsidP="004E5FE2">
      <w:pPr>
        <w:spacing w:line="276" w:lineRule="auto"/>
        <w:ind w:firstLine="0"/>
        <w:jc w:val="left"/>
        <w:rPr>
          <w:rFonts w:ascii="Times New Roman" w:hAnsi="Times New Roman"/>
          <w:sz w:val="24"/>
        </w:rPr>
      </w:pPr>
      <w:r w:rsidRPr="00C3372F">
        <w:rPr>
          <w:rFonts w:ascii="Times New Roman" w:hAnsi="Times New Roman"/>
          <w:sz w:val="24"/>
        </w:rPr>
        <w:fldChar w:fldCharType="end"/>
      </w:r>
    </w:p>
    <w:p w:rsidR="009E1E72" w:rsidRPr="00D51E05" w:rsidRDefault="002F3378" w:rsidP="00D51E05">
      <w:pPr>
        <w:spacing w:line="360" w:lineRule="auto"/>
        <w:ind w:firstLine="0"/>
        <w:jc w:val="left"/>
        <w:rPr>
          <w:rFonts w:ascii="Times New Roman" w:hAnsi="Times New Roman"/>
          <w:b/>
          <w:smallCaps/>
          <w:noProof/>
          <w:sz w:val="24"/>
          <w:szCs w:val="22"/>
        </w:rPr>
      </w:pPr>
      <w:r w:rsidRPr="00D51E05">
        <w:rPr>
          <w:rFonts w:ascii="Times New Roman" w:hAnsi="Times New Roman"/>
          <w:b/>
          <w:smallCaps/>
          <w:noProof/>
          <w:sz w:val="24"/>
          <w:szCs w:val="22"/>
        </w:rPr>
        <w:t>ALLEGATI ALLA PARTE GENERALE E ANTICORRUZIONE</w:t>
      </w:r>
    </w:p>
    <w:p w:rsidR="00FB76A8" w:rsidRPr="00D51E05" w:rsidRDefault="00FB76A8" w:rsidP="006773D2">
      <w:pPr>
        <w:spacing w:line="276" w:lineRule="auto"/>
        <w:ind w:left="284" w:right="-567" w:firstLine="0"/>
        <w:jc w:val="left"/>
        <w:rPr>
          <w:rFonts w:ascii="Times New Roman" w:hAnsi="Times New Roman"/>
          <w:sz w:val="22"/>
          <w:szCs w:val="22"/>
        </w:rPr>
      </w:pPr>
      <w:r w:rsidRPr="00D51E05">
        <w:rPr>
          <w:rFonts w:ascii="Times New Roman" w:hAnsi="Times New Roman"/>
          <w:b/>
          <w:sz w:val="22"/>
          <w:szCs w:val="22"/>
        </w:rPr>
        <w:t>Allegato 1</w:t>
      </w:r>
      <w:r w:rsidRPr="00D51E05">
        <w:rPr>
          <w:rFonts w:ascii="Times New Roman" w:hAnsi="Times New Roman"/>
          <w:sz w:val="22"/>
          <w:szCs w:val="22"/>
        </w:rPr>
        <w:t xml:space="preserve">: </w:t>
      </w:r>
      <w:r w:rsidR="002D1927" w:rsidRPr="00D51E05">
        <w:rPr>
          <w:rFonts w:ascii="Times New Roman" w:hAnsi="Times New Roman"/>
          <w:sz w:val="22"/>
          <w:szCs w:val="22"/>
        </w:rPr>
        <w:t xml:space="preserve">Elenco dei </w:t>
      </w:r>
      <w:r w:rsidR="006773D2" w:rsidRPr="00D51E05">
        <w:rPr>
          <w:rFonts w:ascii="Times New Roman" w:hAnsi="Times New Roman"/>
          <w:sz w:val="22"/>
          <w:szCs w:val="22"/>
        </w:rPr>
        <w:t>R</w:t>
      </w:r>
      <w:r w:rsidR="002D1927" w:rsidRPr="00D51E05">
        <w:rPr>
          <w:rFonts w:ascii="Times New Roman" w:hAnsi="Times New Roman"/>
          <w:sz w:val="22"/>
          <w:szCs w:val="22"/>
        </w:rPr>
        <w:t>eferenti anticorruzione</w:t>
      </w:r>
      <w:r w:rsidR="00EA5F17" w:rsidRPr="00D51E05">
        <w:rPr>
          <w:rFonts w:ascii="Times New Roman" w:hAnsi="Times New Roman"/>
          <w:sz w:val="22"/>
          <w:szCs w:val="22"/>
        </w:rPr>
        <w:t xml:space="preserve"> e trasparenza</w:t>
      </w:r>
    </w:p>
    <w:p w:rsidR="00FB76A8" w:rsidRPr="00D51E05" w:rsidRDefault="00FB76A8" w:rsidP="006773D2">
      <w:pPr>
        <w:spacing w:line="276" w:lineRule="auto"/>
        <w:ind w:left="284" w:right="-567" w:firstLine="0"/>
        <w:jc w:val="left"/>
        <w:rPr>
          <w:rFonts w:ascii="Times New Roman" w:hAnsi="Times New Roman"/>
          <w:sz w:val="22"/>
          <w:szCs w:val="22"/>
        </w:rPr>
      </w:pPr>
      <w:r w:rsidRPr="00D51E05">
        <w:rPr>
          <w:rFonts w:ascii="Times New Roman" w:hAnsi="Times New Roman"/>
          <w:b/>
          <w:sz w:val="22"/>
          <w:szCs w:val="22"/>
        </w:rPr>
        <w:t>Allegato 2</w:t>
      </w:r>
      <w:r w:rsidRPr="00D51E05">
        <w:rPr>
          <w:rFonts w:ascii="Times New Roman" w:hAnsi="Times New Roman"/>
          <w:sz w:val="22"/>
          <w:szCs w:val="22"/>
        </w:rPr>
        <w:t xml:space="preserve">: </w:t>
      </w:r>
      <w:r w:rsidR="002D1927" w:rsidRPr="00D51E05">
        <w:rPr>
          <w:rFonts w:ascii="Times New Roman" w:hAnsi="Times New Roman"/>
          <w:sz w:val="22"/>
          <w:szCs w:val="22"/>
        </w:rPr>
        <w:t xml:space="preserve">Registro dei rischi </w:t>
      </w:r>
    </w:p>
    <w:p w:rsidR="00856471" w:rsidRPr="00D51E05" w:rsidRDefault="00856471" w:rsidP="006773D2">
      <w:pPr>
        <w:spacing w:line="276" w:lineRule="auto"/>
        <w:jc w:val="left"/>
        <w:rPr>
          <w:rFonts w:ascii="Times New Roman" w:hAnsi="Times New Roman"/>
          <w:sz w:val="22"/>
          <w:szCs w:val="22"/>
        </w:rPr>
      </w:pPr>
      <w:r w:rsidRPr="00D51E05">
        <w:rPr>
          <w:rFonts w:ascii="Times New Roman" w:hAnsi="Times New Roman"/>
          <w:b/>
          <w:sz w:val="22"/>
          <w:szCs w:val="22"/>
        </w:rPr>
        <w:t>Allegato</w:t>
      </w:r>
      <w:r w:rsidR="00DB583A" w:rsidRPr="00D51E05">
        <w:rPr>
          <w:rFonts w:ascii="Times New Roman" w:hAnsi="Times New Roman"/>
          <w:b/>
          <w:sz w:val="22"/>
          <w:szCs w:val="22"/>
        </w:rPr>
        <w:t xml:space="preserve"> 3</w:t>
      </w:r>
      <w:r w:rsidRPr="00D51E05">
        <w:rPr>
          <w:rFonts w:ascii="Times New Roman" w:hAnsi="Times New Roman"/>
          <w:b/>
          <w:sz w:val="22"/>
          <w:szCs w:val="22"/>
        </w:rPr>
        <w:t xml:space="preserve">: </w:t>
      </w:r>
      <w:r w:rsidR="007456EA" w:rsidRPr="00D51E05">
        <w:rPr>
          <w:rFonts w:ascii="Times New Roman" w:hAnsi="Times New Roman"/>
          <w:sz w:val="22"/>
          <w:szCs w:val="22"/>
        </w:rPr>
        <w:t>Formazione erogata</w:t>
      </w:r>
    </w:p>
    <w:p w:rsidR="007456EA" w:rsidRPr="00D51E05" w:rsidRDefault="007456EA" w:rsidP="006773D2">
      <w:pPr>
        <w:spacing w:line="276" w:lineRule="auto"/>
        <w:jc w:val="left"/>
        <w:rPr>
          <w:rFonts w:ascii="Times New Roman" w:hAnsi="Times New Roman"/>
          <w:b/>
          <w:sz w:val="22"/>
          <w:szCs w:val="22"/>
        </w:rPr>
      </w:pPr>
      <w:r w:rsidRPr="00D51E05">
        <w:rPr>
          <w:rFonts w:ascii="Times New Roman" w:hAnsi="Times New Roman"/>
          <w:b/>
          <w:sz w:val="22"/>
          <w:szCs w:val="22"/>
        </w:rPr>
        <w:t xml:space="preserve">Allegato 4: </w:t>
      </w:r>
      <w:r w:rsidRPr="00D51E05">
        <w:rPr>
          <w:rFonts w:ascii="Times New Roman" w:hAnsi="Times New Roman"/>
          <w:sz w:val="22"/>
          <w:szCs w:val="22"/>
        </w:rPr>
        <w:t>Cronoprogramma delle attività</w:t>
      </w:r>
    </w:p>
    <w:p w:rsidR="00114D7C" w:rsidRDefault="00114D7C" w:rsidP="001A2183">
      <w:pPr>
        <w:rPr>
          <w:b/>
          <w:bCs/>
          <w:smallCaps/>
          <w:sz w:val="32"/>
          <w:szCs w:val="32"/>
        </w:rPr>
      </w:pPr>
    </w:p>
    <w:p w:rsidR="00D51E05" w:rsidRDefault="00D51E05" w:rsidP="001A2183">
      <w:pPr>
        <w:rPr>
          <w:b/>
          <w:bCs/>
          <w:smallCaps/>
          <w:sz w:val="32"/>
          <w:szCs w:val="32"/>
        </w:rPr>
      </w:pPr>
    </w:p>
    <w:p w:rsidR="00D51E05" w:rsidRDefault="00D51E05" w:rsidP="001A2183">
      <w:pPr>
        <w:rPr>
          <w:b/>
          <w:bCs/>
          <w:smallCaps/>
          <w:sz w:val="32"/>
          <w:szCs w:val="32"/>
        </w:rPr>
      </w:pPr>
    </w:p>
    <w:p w:rsidR="00D51E05" w:rsidRDefault="00D51E05" w:rsidP="001A2183">
      <w:pPr>
        <w:rPr>
          <w:b/>
          <w:bCs/>
          <w:smallCaps/>
          <w:sz w:val="32"/>
          <w:szCs w:val="32"/>
        </w:rPr>
      </w:pPr>
    </w:p>
    <w:p w:rsidR="001A2183" w:rsidRPr="00D51E05" w:rsidRDefault="00D51E05" w:rsidP="00D51E05">
      <w:pPr>
        <w:ind w:firstLine="0"/>
        <w:rPr>
          <w:rFonts w:ascii="Times New Roman" w:hAnsi="Times New Roman"/>
          <w:b/>
          <w:bCs/>
          <w:smallCaps/>
          <w:sz w:val="32"/>
          <w:szCs w:val="32"/>
        </w:rPr>
      </w:pPr>
      <w:r w:rsidRPr="00E7375F">
        <w:rPr>
          <w:rFonts w:ascii="Times New Roman" w:hAnsi="Times New Roman"/>
          <w:b/>
          <w:bCs/>
          <w:smallCaps/>
          <w:sz w:val="32"/>
          <w:szCs w:val="32"/>
        </w:rPr>
        <w:t>Sommario sezione trasparenza</w:t>
      </w:r>
    </w:p>
    <w:p w:rsidR="001A2183" w:rsidRPr="00D51E05" w:rsidRDefault="001A2183" w:rsidP="001A2183">
      <w:pPr>
        <w:rPr>
          <w:rFonts w:ascii="Times New Roman" w:hAnsi="Times New Roman"/>
          <w:b/>
          <w:smallCaps/>
          <w:noProof/>
          <w:sz w:val="22"/>
          <w:szCs w:val="22"/>
        </w:rPr>
      </w:pPr>
    </w:p>
    <w:tbl>
      <w:tblPr>
        <w:tblStyle w:val="Grigliatabel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1"/>
        <w:gridCol w:w="884"/>
      </w:tblGrid>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 xml:space="preserve">     </w:t>
            </w:r>
            <w:r w:rsidRPr="00D12D6D">
              <w:rPr>
                <w:rFonts w:ascii="Times New Roman" w:hAnsi="Times New Roman"/>
                <w:sz w:val="22"/>
                <w:szCs w:val="22"/>
              </w:rPr>
              <w:t>1</w:t>
            </w:r>
            <w:r w:rsidRPr="00D12D6D">
              <w:rPr>
                <w:rFonts w:ascii="Times New Roman" w:eastAsiaTheme="minorEastAsia" w:hAnsi="Times New Roman"/>
                <w:sz w:val="22"/>
                <w:szCs w:val="22"/>
              </w:rPr>
              <w:tab/>
            </w:r>
            <w:r w:rsidRPr="00D12D6D">
              <w:rPr>
                <w:rFonts w:ascii="Times New Roman" w:hAnsi="Times New Roman"/>
                <w:sz w:val="22"/>
                <w:szCs w:val="22"/>
              </w:rPr>
              <w:t>Premessa</w:t>
            </w:r>
            <w:r w:rsidRPr="00D12D6D">
              <w:rPr>
                <w:rFonts w:ascii="Times New Roman" w:hAnsi="Times New Roman"/>
                <w:smallCaps/>
                <w:noProof/>
                <w:sz w:val="22"/>
                <w:szCs w:val="22"/>
              </w:rPr>
              <w:t xml:space="preserve"> ………………………………………………………………………</w:t>
            </w:r>
            <w:r w:rsidR="00FA6A6C" w:rsidRPr="00D12D6D">
              <w:rPr>
                <w:rFonts w:ascii="Times New Roman" w:hAnsi="Times New Roman"/>
                <w:smallCaps/>
                <w:noProof/>
                <w:sz w:val="22"/>
                <w:szCs w:val="22"/>
              </w:rPr>
              <w:t>……………..</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3</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 xml:space="preserve">     2</w:t>
            </w:r>
            <w:r w:rsidRPr="00D12D6D">
              <w:rPr>
                <w:rFonts w:ascii="Times New Roman" w:hAnsi="Times New Roman"/>
                <w:smallCaps/>
                <w:noProof/>
                <w:sz w:val="22"/>
                <w:szCs w:val="22"/>
              </w:rPr>
              <w:tab/>
            </w:r>
            <w:r w:rsidRPr="00D12D6D">
              <w:rPr>
                <w:rFonts w:ascii="Times New Roman" w:hAnsi="Times New Roman"/>
                <w:sz w:val="22"/>
                <w:szCs w:val="22"/>
              </w:rPr>
              <w:t xml:space="preserve">Le azioni per la trasparenza per il triennio 2021 </w:t>
            </w:r>
            <w:r w:rsidR="00D51E05" w:rsidRPr="00D12D6D">
              <w:rPr>
                <w:rFonts w:ascii="Times New Roman" w:hAnsi="Times New Roman"/>
                <w:sz w:val="22"/>
                <w:szCs w:val="22"/>
              </w:rPr>
              <w:t>–</w:t>
            </w:r>
            <w:r w:rsidRPr="00D12D6D">
              <w:rPr>
                <w:rFonts w:ascii="Times New Roman" w:hAnsi="Times New Roman"/>
                <w:sz w:val="22"/>
                <w:szCs w:val="22"/>
              </w:rPr>
              <w:t xml:space="preserve"> 2023</w:t>
            </w:r>
            <w:r w:rsidR="00D51E05" w:rsidRPr="00D12D6D">
              <w:rPr>
                <w:rFonts w:ascii="Times New Roman" w:hAnsi="Times New Roman"/>
                <w:sz w:val="22"/>
                <w:szCs w:val="22"/>
              </w:rPr>
              <w:t xml:space="preserve"> </w:t>
            </w:r>
            <w:r w:rsidRPr="00D12D6D">
              <w:rPr>
                <w:rFonts w:ascii="Times New Roman" w:hAnsi="Times New Roman"/>
                <w:smallCaps/>
                <w:noProof/>
                <w:sz w:val="22"/>
                <w:szCs w:val="22"/>
              </w:rPr>
              <w:t>……………………</w:t>
            </w:r>
            <w:r w:rsidR="00FA6A6C" w:rsidRPr="00D12D6D">
              <w:rPr>
                <w:rFonts w:ascii="Times New Roman" w:hAnsi="Times New Roman"/>
                <w:smallCaps/>
                <w:noProof/>
                <w:sz w:val="22"/>
                <w:szCs w:val="22"/>
              </w:rPr>
              <w:t>…………….</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3</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 xml:space="preserve">2.1 </w:t>
            </w:r>
            <w:r w:rsidRPr="00D12D6D">
              <w:rPr>
                <w:rFonts w:ascii="Times New Roman" w:hAnsi="Times New Roman"/>
                <w:sz w:val="22"/>
                <w:szCs w:val="22"/>
              </w:rPr>
              <w:t>Aggiornamento delle mappature degli obblighi di pubblicità delle Strutture della P.C.M</w:t>
            </w:r>
            <w:r w:rsidRPr="00D12D6D">
              <w:rPr>
                <w:rFonts w:ascii="Times New Roman" w:hAnsi="Times New Roman"/>
                <w:smallCaps/>
                <w:noProof/>
                <w:sz w:val="22"/>
                <w:szCs w:val="22"/>
              </w:rPr>
              <w:t>……………………………………………………</w:t>
            </w:r>
            <w:r w:rsidR="00FA6A6C" w:rsidRPr="00D12D6D">
              <w:rPr>
                <w:rFonts w:ascii="Times New Roman" w:hAnsi="Times New Roman"/>
                <w:smallCaps/>
                <w:noProof/>
                <w:sz w:val="22"/>
                <w:szCs w:val="22"/>
              </w:rPr>
              <w:t>…………………………………………</w:t>
            </w:r>
            <w:r w:rsidR="00B32AFF" w:rsidRPr="00D12D6D">
              <w:rPr>
                <w:rFonts w:ascii="Times New Roman" w:hAnsi="Times New Roman"/>
                <w:smallCaps/>
                <w:noProof/>
                <w:sz w:val="22"/>
                <w:szCs w:val="22"/>
              </w:rPr>
              <w:t>….</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p>
          <w:p w:rsidR="00366B60" w:rsidRPr="00D12D6D" w:rsidRDefault="002E3841"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3</w:t>
            </w:r>
          </w:p>
        </w:tc>
      </w:tr>
      <w:tr w:rsidR="002E3841" w:rsidRPr="00D12D6D" w:rsidTr="00A10D05">
        <w:tc>
          <w:tcPr>
            <w:tcW w:w="9181" w:type="dxa"/>
            <w:vAlign w:val="center"/>
          </w:tcPr>
          <w:p w:rsidR="002E3841"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 xml:space="preserve">2.2 </w:t>
            </w:r>
            <w:r w:rsidRPr="00D12D6D">
              <w:rPr>
                <w:rFonts w:ascii="Times New Roman" w:hAnsi="Times New Roman"/>
                <w:sz w:val="22"/>
                <w:szCs w:val="22"/>
              </w:rPr>
              <w:t>Gli obblighi di trasparenza e la disciplina dei dati personali…………………………...</w:t>
            </w:r>
            <w:r w:rsidR="00B32AFF" w:rsidRPr="00D12D6D">
              <w:rPr>
                <w:rFonts w:ascii="Times New Roman" w:hAnsi="Times New Roman"/>
                <w:sz w:val="22"/>
                <w:szCs w:val="22"/>
              </w:rPr>
              <w:t>..........</w:t>
            </w:r>
          </w:p>
        </w:tc>
        <w:tc>
          <w:tcPr>
            <w:tcW w:w="884" w:type="dxa"/>
            <w:vAlign w:val="bottom"/>
          </w:tcPr>
          <w:p w:rsidR="002E3841" w:rsidRPr="00D12D6D" w:rsidRDefault="002E3841"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4</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 xml:space="preserve">2.3 </w:t>
            </w:r>
            <w:r w:rsidRPr="00D12D6D">
              <w:rPr>
                <w:rFonts w:ascii="Times New Roman" w:hAnsi="Times New Roman"/>
                <w:sz w:val="22"/>
                <w:szCs w:val="22"/>
              </w:rPr>
              <w:t>Implementazione della trasparenza in materia di monitoraggio dei tempi procedimentali</w:t>
            </w:r>
            <w:r w:rsidRPr="00D12D6D">
              <w:rPr>
                <w:rFonts w:ascii="Times New Roman" w:hAnsi="Times New Roman"/>
                <w:smallCaps/>
                <w:noProof/>
                <w:sz w:val="22"/>
                <w:szCs w:val="22"/>
              </w:rPr>
              <w:t xml:space="preserve"> </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p>
          <w:p w:rsidR="00366B60" w:rsidRPr="00D12D6D" w:rsidRDefault="00366B6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4</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2.4 I</w:t>
            </w:r>
            <w:r w:rsidRPr="00D12D6D">
              <w:rPr>
                <w:rFonts w:ascii="Times New Roman" w:hAnsi="Times New Roman"/>
                <w:sz w:val="22"/>
                <w:szCs w:val="22"/>
              </w:rPr>
              <w:t>implementazione della trasparenza in materia di affidamento di beni servizi e forniture</w:t>
            </w:r>
            <w:r w:rsidRPr="00D12D6D">
              <w:rPr>
                <w:rFonts w:ascii="Times New Roman" w:hAnsi="Times New Roman"/>
                <w:smallCaps/>
                <w:noProof/>
                <w:sz w:val="22"/>
                <w:szCs w:val="22"/>
              </w:rPr>
              <w:t>………………………………</w:t>
            </w:r>
            <w:r w:rsidR="00B32AFF" w:rsidRPr="00D12D6D">
              <w:rPr>
                <w:rFonts w:ascii="Times New Roman" w:hAnsi="Times New Roman"/>
                <w:smallCaps/>
                <w:noProof/>
                <w:sz w:val="22"/>
                <w:szCs w:val="22"/>
              </w:rPr>
              <w:t>……………………………………………………………..</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5</w:t>
            </w:r>
          </w:p>
        </w:tc>
      </w:tr>
      <w:tr w:rsidR="00366B60" w:rsidRPr="00D12D6D" w:rsidTr="00A10D05">
        <w:tc>
          <w:tcPr>
            <w:tcW w:w="9181" w:type="dxa"/>
            <w:vAlign w:val="center"/>
          </w:tcPr>
          <w:p w:rsidR="00366B60" w:rsidRPr="00D12D6D" w:rsidRDefault="002E7800" w:rsidP="002E3841">
            <w:pPr>
              <w:ind w:firstLine="0"/>
              <w:jc w:val="left"/>
              <w:rPr>
                <w:rFonts w:ascii="Times New Roman" w:hAnsi="Times New Roman"/>
                <w:smallCaps/>
                <w:noProof/>
                <w:sz w:val="22"/>
                <w:szCs w:val="22"/>
              </w:rPr>
            </w:pPr>
            <w:r w:rsidRPr="00D12D6D">
              <w:rPr>
                <w:rFonts w:ascii="Times New Roman" w:hAnsi="Times New Roman"/>
                <w:sz w:val="22"/>
                <w:szCs w:val="22"/>
              </w:rPr>
              <w:t>2.5 Procedimenti di accesso e Registro degli accessi</w:t>
            </w:r>
            <w:r w:rsidR="00B32AFF" w:rsidRPr="00D12D6D">
              <w:rPr>
                <w:rFonts w:ascii="Times New Roman" w:hAnsi="Times New Roman"/>
                <w:sz w:val="22"/>
                <w:szCs w:val="22"/>
              </w:rPr>
              <w:t>………………………………………………</w:t>
            </w:r>
          </w:p>
        </w:tc>
        <w:tc>
          <w:tcPr>
            <w:tcW w:w="884" w:type="dxa"/>
            <w:vAlign w:val="bottom"/>
          </w:tcPr>
          <w:p w:rsidR="00366B60" w:rsidRPr="00D12D6D" w:rsidRDefault="002E3841"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6</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2.6</w:t>
            </w:r>
            <w:r w:rsidR="002E7800" w:rsidRPr="00D12D6D">
              <w:rPr>
                <w:rFonts w:ascii="Times New Roman" w:hAnsi="Times New Roman"/>
                <w:smallCaps/>
                <w:noProof/>
                <w:sz w:val="22"/>
                <w:szCs w:val="22"/>
              </w:rPr>
              <w:t xml:space="preserve"> </w:t>
            </w:r>
            <w:r w:rsidR="0023795B" w:rsidRPr="00D12D6D">
              <w:rPr>
                <w:rFonts w:ascii="Times New Roman" w:hAnsi="Times New Roman"/>
                <w:sz w:val="22"/>
                <w:szCs w:val="22"/>
              </w:rPr>
              <w:t>Indirizzi p</w:t>
            </w:r>
            <w:r w:rsidR="002E7800" w:rsidRPr="00D12D6D">
              <w:rPr>
                <w:rFonts w:ascii="Times New Roman" w:hAnsi="Times New Roman"/>
                <w:sz w:val="22"/>
                <w:szCs w:val="22"/>
              </w:rPr>
              <w:t>er il miglioramento della gestione documentale F.O.I.A. e del Registro degli accessi</w:t>
            </w:r>
            <w:r w:rsidR="00B32AFF" w:rsidRPr="00D12D6D">
              <w:rPr>
                <w:rFonts w:ascii="Times New Roman" w:hAnsi="Times New Roman"/>
                <w:sz w:val="22"/>
                <w:szCs w:val="22"/>
              </w:rPr>
              <w:t>……………………………………………………………………</w:t>
            </w:r>
            <w:r w:rsidR="00F81AFB" w:rsidRPr="00D12D6D">
              <w:rPr>
                <w:rFonts w:ascii="Times New Roman" w:hAnsi="Times New Roman"/>
                <w:sz w:val="22"/>
                <w:szCs w:val="22"/>
              </w:rPr>
              <w:t>……</w:t>
            </w:r>
            <w:r w:rsidR="00B32AFF" w:rsidRPr="00D12D6D">
              <w:rPr>
                <w:rFonts w:ascii="Times New Roman" w:hAnsi="Times New Roman"/>
                <w:sz w:val="22"/>
                <w:szCs w:val="22"/>
              </w:rPr>
              <w:t>……</w:t>
            </w:r>
            <w:r w:rsidR="00F81AFB" w:rsidRPr="00D12D6D">
              <w:rPr>
                <w:rFonts w:ascii="Times New Roman" w:hAnsi="Times New Roman"/>
                <w:sz w:val="22"/>
                <w:szCs w:val="22"/>
              </w:rPr>
              <w:t>……</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6</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2.7</w:t>
            </w:r>
            <w:r w:rsidR="002E7800" w:rsidRPr="00D12D6D">
              <w:rPr>
                <w:rFonts w:ascii="Times New Roman" w:hAnsi="Times New Roman"/>
                <w:smallCaps/>
                <w:noProof/>
                <w:sz w:val="22"/>
                <w:szCs w:val="22"/>
              </w:rPr>
              <w:t>.</w:t>
            </w:r>
            <w:r w:rsidR="002E7800" w:rsidRPr="00D12D6D">
              <w:rPr>
                <w:rFonts w:ascii="Times New Roman" w:hAnsi="Times New Roman"/>
                <w:sz w:val="22"/>
                <w:szCs w:val="22"/>
              </w:rPr>
              <w:t xml:space="preserve"> Gli obblighi di pubblicazione a carico dei dirigenti</w:t>
            </w:r>
            <w:r w:rsidR="002E7800" w:rsidRPr="00D12D6D">
              <w:rPr>
                <w:rFonts w:ascii="Times New Roman" w:hAnsi="Times New Roman"/>
                <w:smallCaps/>
                <w:noProof/>
                <w:sz w:val="22"/>
                <w:szCs w:val="22"/>
              </w:rPr>
              <w:t xml:space="preserve"> </w:t>
            </w:r>
            <w:r w:rsidRPr="00D12D6D">
              <w:rPr>
                <w:rFonts w:ascii="Times New Roman" w:hAnsi="Times New Roman"/>
                <w:smallCaps/>
                <w:noProof/>
                <w:sz w:val="22"/>
                <w:szCs w:val="22"/>
              </w:rPr>
              <w:t>…………………………</w:t>
            </w:r>
            <w:r w:rsidR="00A10D05" w:rsidRPr="00D12D6D">
              <w:rPr>
                <w:rFonts w:ascii="Times New Roman" w:hAnsi="Times New Roman"/>
                <w:smallCaps/>
                <w:noProof/>
                <w:sz w:val="22"/>
                <w:szCs w:val="22"/>
              </w:rPr>
              <w:t>……………..</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7</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2.8</w:t>
            </w:r>
            <w:r w:rsidR="002E7800" w:rsidRPr="00D12D6D">
              <w:rPr>
                <w:rFonts w:ascii="Times New Roman" w:hAnsi="Times New Roman"/>
                <w:sz w:val="22"/>
                <w:szCs w:val="22"/>
              </w:rPr>
              <w:t xml:space="preserve"> Vigilanza sugli enti pubblici e privati</w:t>
            </w:r>
            <w:r w:rsidR="00B32AFF" w:rsidRPr="00D12D6D">
              <w:rPr>
                <w:rFonts w:ascii="Times New Roman" w:hAnsi="Times New Roman"/>
                <w:sz w:val="22"/>
                <w:szCs w:val="22"/>
              </w:rPr>
              <w:t>………………………………………………</w:t>
            </w:r>
            <w:r w:rsidR="00F81AFB" w:rsidRPr="00D12D6D">
              <w:rPr>
                <w:rFonts w:ascii="Times New Roman" w:hAnsi="Times New Roman"/>
                <w:sz w:val="22"/>
                <w:szCs w:val="22"/>
              </w:rPr>
              <w:t>……</w:t>
            </w:r>
          </w:p>
        </w:tc>
        <w:tc>
          <w:tcPr>
            <w:tcW w:w="884" w:type="dxa"/>
            <w:vAlign w:val="bottom"/>
          </w:tcPr>
          <w:p w:rsidR="00366B60" w:rsidRPr="00D12D6D" w:rsidRDefault="00366B6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7</w:t>
            </w:r>
          </w:p>
        </w:tc>
      </w:tr>
      <w:tr w:rsidR="00366B60" w:rsidRPr="00D12D6D" w:rsidTr="00A10D05">
        <w:tc>
          <w:tcPr>
            <w:tcW w:w="9181" w:type="dxa"/>
            <w:vAlign w:val="center"/>
          </w:tcPr>
          <w:p w:rsidR="00366B60" w:rsidRPr="00D12D6D" w:rsidRDefault="002E3841" w:rsidP="002E3841">
            <w:pPr>
              <w:ind w:firstLine="0"/>
              <w:jc w:val="left"/>
              <w:rPr>
                <w:rFonts w:ascii="Times New Roman" w:hAnsi="Times New Roman"/>
                <w:smallCaps/>
                <w:noProof/>
                <w:sz w:val="22"/>
                <w:szCs w:val="22"/>
              </w:rPr>
            </w:pPr>
            <w:r w:rsidRPr="00D12D6D">
              <w:rPr>
                <w:rFonts w:ascii="Times New Roman" w:hAnsi="Times New Roman"/>
                <w:smallCaps/>
                <w:noProof/>
                <w:sz w:val="22"/>
                <w:szCs w:val="22"/>
              </w:rPr>
              <w:t>2.9</w:t>
            </w:r>
            <w:r w:rsidR="002E7800" w:rsidRPr="00D12D6D">
              <w:rPr>
                <w:rFonts w:ascii="Times New Roman" w:hAnsi="Times New Roman"/>
                <w:sz w:val="22"/>
                <w:szCs w:val="22"/>
              </w:rPr>
              <w:t xml:space="preserve"> Rilevazione del grado di soddisfazione dell’utenza</w:t>
            </w:r>
            <w:r w:rsidRPr="00D12D6D">
              <w:rPr>
                <w:rFonts w:ascii="Times New Roman" w:hAnsi="Times New Roman"/>
                <w:smallCaps/>
                <w:noProof/>
                <w:sz w:val="22"/>
                <w:szCs w:val="22"/>
              </w:rPr>
              <w:t>……………………………………</w:t>
            </w:r>
            <w:r w:rsidR="00A10D05" w:rsidRPr="00D12D6D">
              <w:rPr>
                <w:rFonts w:ascii="Times New Roman" w:hAnsi="Times New Roman"/>
                <w:smallCaps/>
                <w:noProof/>
                <w:sz w:val="22"/>
                <w:szCs w:val="22"/>
              </w:rPr>
              <w:t>…….</w:t>
            </w:r>
          </w:p>
        </w:tc>
        <w:tc>
          <w:tcPr>
            <w:tcW w:w="884" w:type="dxa"/>
            <w:vAlign w:val="bottom"/>
          </w:tcPr>
          <w:p w:rsidR="00366B60" w:rsidRPr="00D12D6D" w:rsidRDefault="002E780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7</w:t>
            </w:r>
          </w:p>
        </w:tc>
      </w:tr>
      <w:tr w:rsidR="002E7800" w:rsidRPr="00D12D6D" w:rsidTr="00A10D05">
        <w:tc>
          <w:tcPr>
            <w:tcW w:w="9181" w:type="dxa"/>
            <w:vAlign w:val="center"/>
          </w:tcPr>
          <w:p w:rsidR="002E7800" w:rsidRPr="00D12D6D" w:rsidRDefault="002E7800" w:rsidP="002E3841">
            <w:pPr>
              <w:ind w:firstLine="0"/>
              <w:jc w:val="left"/>
              <w:rPr>
                <w:rFonts w:ascii="Times New Roman" w:hAnsi="Times New Roman"/>
                <w:smallCaps/>
                <w:noProof/>
                <w:sz w:val="22"/>
                <w:szCs w:val="22"/>
              </w:rPr>
            </w:pPr>
            <w:r w:rsidRPr="00D12D6D">
              <w:rPr>
                <w:rFonts w:ascii="Times New Roman" w:hAnsi="Times New Roman"/>
                <w:sz w:val="22"/>
                <w:szCs w:val="22"/>
              </w:rPr>
              <w:t>2.10 Formazione</w:t>
            </w:r>
            <w:r w:rsidR="00A10D05" w:rsidRPr="00D12D6D">
              <w:rPr>
                <w:rFonts w:ascii="Times New Roman" w:hAnsi="Times New Roman"/>
                <w:sz w:val="22"/>
                <w:szCs w:val="22"/>
              </w:rPr>
              <w:t>……………………………………………………………………………</w:t>
            </w:r>
            <w:r w:rsidR="00F81AFB" w:rsidRPr="00D12D6D">
              <w:rPr>
                <w:rFonts w:ascii="Times New Roman" w:hAnsi="Times New Roman"/>
                <w:sz w:val="22"/>
                <w:szCs w:val="22"/>
              </w:rPr>
              <w:t>……</w:t>
            </w:r>
          </w:p>
        </w:tc>
        <w:tc>
          <w:tcPr>
            <w:tcW w:w="884" w:type="dxa"/>
            <w:vAlign w:val="bottom"/>
          </w:tcPr>
          <w:p w:rsidR="002E7800" w:rsidRPr="00D12D6D" w:rsidRDefault="002E780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8</w:t>
            </w:r>
          </w:p>
        </w:tc>
      </w:tr>
      <w:tr w:rsidR="002E7800" w:rsidRPr="00D12D6D" w:rsidTr="00A10D05">
        <w:tc>
          <w:tcPr>
            <w:tcW w:w="9181" w:type="dxa"/>
            <w:vAlign w:val="center"/>
          </w:tcPr>
          <w:p w:rsidR="002E7800" w:rsidRPr="00D12D6D" w:rsidRDefault="002E7800" w:rsidP="002E3841">
            <w:pPr>
              <w:ind w:firstLine="0"/>
              <w:jc w:val="left"/>
              <w:rPr>
                <w:rFonts w:ascii="Times New Roman" w:hAnsi="Times New Roman"/>
                <w:smallCaps/>
                <w:noProof/>
                <w:sz w:val="22"/>
                <w:szCs w:val="22"/>
              </w:rPr>
            </w:pPr>
            <w:r w:rsidRPr="00D12D6D">
              <w:rPr>
                <w:rFonts w:ascii="Times New Roman" w:hAnsi="Times New Roman"/>
                <w:sz w:val="22"/>
                <w:szCs w:val="22"/>
              </w:rPr>
              <w:t>2.11 Dati ulteriori</w:t>
            </w:r>
            <w:r w:rsidR="00A10D05" w:rsidRPr="00D12D6D">
              <w:rPr>
                <w:rFonts w:ascii="Times New Roman" w:hAnsi="Times New Roman"/>
                <w:sz w:val="22"/>
                <w:szCs w:val="22"/>
              </w:rPr>
              <w:t>…………………………………………………………………………………</w:t>
            </w:r>
          </w:p>
        </w:tc>
        <w:tc>
          <w:tcPr>
            <w:tcW w:w="884" w:type="dxa"/>
            <w:vAlign w:val="bottom"/>
          </w:tcPr>
          <w:p w:rsidR="002E7800" w:rsidRPr="00D12D6D" w:rsidRDefault="002E780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8</w:t>
            </w:r>
          </w:p>
        </w:tc>
      </w:tr>
      <w:tr w:rsidR="002E7800" w:rsidRPr="00D12D6D" w:rsidTr="00A10D05">
        <w:tc>
          <w:tcPr>
            <w:tcW w:w="9181" w:type="dxa"/>
            <w:vAlign w:val="center"/>
          </w:tcPr>
          <w:p w:rsidR="002E7800" w:rsidRPr="00D12D6D" w:rsidRDefault="002E7800" w:rsidP="002E3841">
            <w:pPr>
              <w:ind w:firstLine="0"/>
              <w:jc w:val="left"/>
              <w:rPr>
                <w:rFonts w:ascii="Times New Roman" w:hAnsi="Times New Roman"/>
                <w:sz w:val="22"/>
                <w:szCs w:val="22"/>
              </w:rPr>
            </w:pPr>
            <w:r w:rsidRPr="00D12D6D">
              <w:rPr>
                <w:rFonts w:ascii="Times New Roman" w:hAnsi="Times New Roman"/>
                <w:sz w:val="22"/>
                <w:szCs w:val="22"/>
              </w:rPr>
              <w:t>2.12 Pubblicazioni dei Commissari straordinari di Governo</w:t>
            </w:r>
            <w:r w:rsidR="00A10D05" w:rsidRPr="00D12D6D">
              <w:rPr>
                <w:rFonts w:ascii="Times New Roman" w:hAnsi="Times New Roman"/>
                <w:sz w:val="22"/>
                <w:szCs w:val="22"/>
              </w:rPr>
              <w:t>……………………………</w:t>
            </w:r>
            <w:r w:rsidR="00F81AFB" w:rsidRPr="00D12D6D">
              <w:rPr>
                <w:rFonts w:ascii="Times New Roman" w:hAnsi="Times New Roman"/>
                <w:sz w:val="22"/>
                <w:szCs w:val="22"/>
              </w:rPr>
              <w:t>……</w:t>
            </w:r>
          </w:p>
        </w:tc>
        <w:tc>
          <w:tcPr>
            <w:tcW w:w="884" w:type="dxa"/>
            <w:vAlign w:val="bottom"/>
          </w:tcPr>
          <w:p w:rsidR="002E7800" w:rsidRPr="00D12D6D" w:rsidRDefault="002E780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8</w:t>
            </w:r>
          </w:p>
        </w:tc>
      </w:tr>
      <w:tr w:rsidR="00366B60" w:rsidRPr="00D12D6D" w:rsidTr="00A10D05">
        <w:tc>
          <w:tcPr>
            <w:tcW w:w="9181" w:type="dxa"/>
            <w:vAlign w:val="center"/>
          </w:tcPr>
          <w:p w:rsidR="00366B60" w:rsidRPr="00D12D6D" w:rsidRDefault="000323BF" w:rsidP="002E3841">
            <w:pPr>
              <w:ind w:firstLine="0"/>
              <w:jc w:val="left"/>
              <w:rPr>
                <w:rFonts w:ascii="Times New Roman" w:hAnsi="Times New Roman"/>
                <w:smallCaps/>
                <w:noProof/>
                <w:sz w:val="22"/>
                <w:szCs w:val="22"/>
              </w:rPr>
            </w:pPr>
            <w:r w:rsidRPr="00D12D6D">
              <w:rPr>
                <w:rFonts w:ascii="Times New Roman" w:hAnsi="Times New Roman"/>
                <w:sz w:val="22"/>
                <w:szCs w:val="22"/>
              </w:rPr>
              <w:t xml:space="preserve">   </w:t>
            </w:r>
            <w:r w:rsidR="002E7800" w:rsidRPr="00D12D6D">
              <w:rPr>
                <w:rFonts w:ascii="Times New Roman" w:hAnsi="Times New Roman"/>
                <w:sz w:val="22"/>
                <w:szCs w:val="22"/>
              </w:rPr>
              <w:t>3</w:t>
            </w:r>
            <w:r w:rsidR="002E7800" w:rsidRPr="00D12D6D">
              <w:rPr>
                <w:rFonts w:ascii="Times New Roman" w:eastAsiaTheme="minorEastAsia" w:hAnsi="Times New Roman"/>
                <w:sz w:val="22"/>
                <w:szCs w:val="22"/>
              </w:rPr>
              <w:tab/>
            </w:r>
            <w:r w:rsidR="002E7800" w:rsidRPr="00D12D6D">
              <w:rPr>
                <w:rFonts w:ascii="Times New Roman" w:hAnsi="Times New Roman"/>
                <w:sz w:val="22"/>
                <w:szCs w:val="22"/>
              </w:rPr>
              <w:t>Il sistema di controllo sulle azioni programmate in materia di trasparenza</w:t>
            </w:r>
            <w:r w:rsidR="00A10D05" w:rsidRPr="00D12D6D">
              <w:rPr>
                <w:rFonts w:ascii="Times New Roman" w:hAnsi="Times New Roman"/>
                <w:sz w:val="22"/>
                <w:szCs w:val="22"/>
              </w:rPr>
              <w:t>……</w:t>
            </w:r>
            <w:r w:rsidR="00F81AFB" w:rsidRPr="00D12D6D">
              <w:rPr>
                <w:rFonts w:ascii="Times New Roman" w:hAnsi="Times New Roman"/>
                <w:sz w:val="22"/>
                <w:szCs w:val="22"/>
              </w:rPr>
              <w:t>……</w:t>
            </w:r>
          </w:p>
        </w:tc>
        <w:tc>
          <w:tcPr>
            <w:tcW w:w="884" w:type="dxa"/>
            <w:vAlign w:val="bottom"/>
          </w:tcPr>
          <w:p w:rsidR="00366B60" w:rsidRPr="00D12D6D" w:rsidRDefault="002E7800" w:rsidP="00C11191">
            <w:pPr>
              <w:ind w:firstLine="0"/>
              <w:jc w:val="right"/>
              <w:rPr>
                <w:rFonts w:ascii="Times New Roman" w:hAnsi="Times New Roman"/>
                <w:smallCaps/>
                <w:noProof/>
                <w:sz w:val="22"/>
                <w:szCs w:val="22"/>
              </w:rPr>
            </w:pPr>
            <w:r w:rsidRPr="00D12D6D">
              <w:rPr>
                <w:rFonts w:ascii="Times New Roman" w:hAnsi="Times New Roman"/>
                <w:smallCaps/>
                <w:noProof/>
                <w:sz w:val="22"/>
                <w:szCs w:val="22"/>
              </w:rPr>
              <w:t>9</w:t>
            </w:r>
          </w:p>
        </w:tc>
      </w:tr>
    </w:tbl>
    <w:p w:rsidR="001A2183" w:rsidRPr="00D12D6D" w:rsidRDefault="001A2183" w:rsidP="00C11191">
      <w:pPr>
        <w:ind w:right="-143"/>
        <w:rPr>
          <w:smallCaps/>
          <w:noProof/>
          <w:sz w:val="22"/>
          <w:szCs w:val="22"/>
        </w:rPr>
      </w:pPr>
    </w:p>
    <w:p w:rsidR="001A2183" w:rsidRPr="00D51E05" w:rsidRDefault="001A2183" w:rsidP="001A2183">
      <w:pPr>
        <w:rPr>
          <w:b/>
          <w:smallCaps/>
          <w:noProof/>
          <w:sz w:val="22"/>
          <w:szCs w:val="22"/>
        </w:rPr>
      </w:pPr>
    </w:p>
    <w:p w:rsidR="001A2183" w:rsidRPr="00114D7C" w:rsidRDefault="001A2183" w:rsidP="001A2183">
      <w:pPr>
        <w:rPr>
          <w:b/>
          <w:smallCaps/>
          <w:noProof/>
          <w:sz w:val="22"/>
          <w:szCs w:val="22"/>
        </w:rPr>
      </w:pPr>
    </w:p>
    <w:p w:rsidR="001A2183" w:rsidRDefault="001A2183" w:rsidP="00D51E05">
      <w:pPr>
        <w:ind w:firstLine="0"/>
        <w:rPr>
          <w:b/>
          <w:smallCaps/>
          <w:noProof/>
          <w:sz w:val="22"/>
          <w:szCs w:val="22"/>
        </w:rPr>
      </w:pPr>
      <w:r w:rsidRPr="00344F07">
        <w:rPr>
          <w:b/>
          <w:smallCaps/>
          <w:noProof/>
          <w:sz w:val="22"/>
          <w:szCs w:val="22"/>
        </w:rPr>
        <w:t xml:space="preserve">ALLEGATI </w:t>
      </w:r>
    </w:p>
    <w:p w:rsidR="00EC640E" w:rsidRDefault="00EC640E" w:rsidP="001A2183">
      <w:pPr>
        <w:rPr>
          <w:b/>
          <w:smallCaps/>
          <w:noProof/>
          <w:sz w:val="22"/>
          <w:szCs w:val="22"/>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17"/>
        <w:gridCol w:w="8111"/>
      </w:tblGrid>
      <w:tr w:rsidR="00EC640E" w:rsidRPr="00E7375F" w:rsidTr="00D51E05">
        <w:tc>
          <w:tcPr>
            <w:tcW w:w="1517" w:type="dxa"/>
          </w:tcPr>
          <w:p w:rsidR="00EC640E" w:rsidRPr="00E7375F" w:rsidRDefault="00EC640E" w:rsidP="00EC640E">
            <w:pPr>
              <w:ind w:firstLine="0"/>
              <w:rPr>
                <w:rFonts w:ascii="Times New Roman" w:hAnsi="Times New Roman"/>
                <w:b/>
                <w:sz w:val="22"/>
                <w:szCs w:val="22"/>
              </w:rPr>
            </w:pPr>
            <w:r w:rsidRPr="00E7375F">
              <w:rPr>
                <w:rFonts w:ascii="Times New Roman" w:hAnsi="Times New Roman"/>
                <w:b/>
                <w:sz w:val="22"/>
                <w:szCs w:val="22"/>
              </w:rPr>
              <w:t>Allegato 1:</w:t>
            </w:r>
          </w:p>
        </w:tc>
        <w:tc>
          <w:tcPr>
            <w:tcW w:w="8111" w:type="dxa"/>
          </w:tcPr>
          <w:p w:rsidR="00EC640E" w:rsidRPr="00E7375F" w:rsidRDefault="00D51E05" w:rsidP="00EC640E">
            <w:pPr>
              <w:ind w:firstLine="0"/>
              <w:rPr>
                <w:rFonts w:ascii="Times New Roman" w:hAnsi="Times New Roman"/>
                <w:sz w:val="22"/>
                <w:szCs w:val="22"/>
              </w:rPr>
            </w:pPr>
            <w:r w:rsidRPr="00E7375F">
              <w:rPr>
                <w:rFonts w:ascii="Times New Roman" w:hAnsi="Times New Roman"/>
                <w:sz w:val="22"/>
                <w:szCs w:val="22"/>
              </w:rPr>
              <w:t>Ele</w:t>
            </w:r>
            <w:r w:rsidR="00114D7C" w:rsidRPr="00E7375F">
              <w:rPr>
                <w:rFonts w:ascii="Times New Roman" w:hAnsi="Times New Roman"/>
                <w:sz w:val="22"/>
                <w:szCs w:val="22"/>
              </w:rPr>
              <w:t xml:space="preserve">nco delle mappature degli obblighi di pubblicità delle </w:t>
            </w:r>
            <w:r w:rsidRPr="00E7375F">
              <w:rPr>
                <w:rFonts w:ascii="Times New Roman" w:hAnsi="Times New Roman"/>
                <w:sz w:val="22"/>
                <w:szCs w:val="22"/>
              </w:rPr>
              <w:t>S</w:t>
            </w:r>
            <w:r w:rsidR="00114D7C" w:rsidRPr="00E7375F">
              <w:rPr>
                <w:rFonts w:ascii="Times New Roman" w:hAnsi="Times New Roman"/>
                <w:sz w:val="22"/>
                <w:szCs w:val="22"/>
              </w:rPr>
              <w:t xml:space="preserve">trutture </w:t>
            </w:r>
            <w:r w:rsidRPr="00E7375F">
              <w:rPr>
                <w:rFonts w:ascii="Times New Roman" w:hAnsi="Times New Roman"/>
                <w:sz w:val="22"/>
                <w:szCs w:val="22"/>
              </w:rPr>
              <w:t>P.C.M.</w:t>
            </w:r>
            <w:r w:rsidR="00114D7C" w:rsidRPr="00E7375F">
              <w:rPr>
                <w:rFonts w:ascii="Times New Roman" w:hAnsi="Times New Roman"/>
                <w:sz w:val="22"/>
                <w:szCs w:val="22"/>
              </w:rPr>
              <w:t xml:space="preserve"> (al </w:t>
            </w:r>
            <w:r w:rsidRPr="00E7375F">
              <w:rPr>
                <w:rFonts w:ascii="Times New Roman" w:hAnsi="Times New Roman"/>
                <w:sz w:val="22"/>
                <w:szCs w:val="22"/>
              </w:rPr>
              <w:t>28.02.</w:t>
            </w:r>
            <w:r w:rsidR="00114D7C" w:rsidRPr="00E7375F">
              <w:rPr>
                <w:rFonts w:ascii="Times New Roman" w:hAnsi="Times New Roman"/>
                <w:sz w:val="22"/>
                <w:szCs w:val="22"/>
              </w:rPr>
              <w:t xml:space="preserve">2018) </w:t>
            </w:r>
          </w:p>
        </w:tc>
      </w:tr>
      <w:tr w:rsidR="00EC640E" w:rsidTr="00D51E05">
        <w:tc>
          <w:tcPr>
            <w:tcW w:w="1517" w:type="dxa"/>
          </w:tcPr>
          <w:p w:rsidR="00EC640E" w:rsidRPr="00E7375F" w:rsidRDefault="00EC640E" w:rsidP="003E46A8">
            <w:pPr>
              <w:ind w:firstLine="0"/>
              <w:rPr>
                <w:rFonts w:ascii="Times New Roman" w:hAnsi="Times New Roman"/>
                <w:b/>
                <w:sz w:val="22"/>
                <w:szCs w:val="22"/>
              </w:rPr>
            </w:pPr>
            <w:r w:rsidRPr="00E7375F">
              <w:rPr>
                <w:rFonts w:ascii="Times New Roman" w:hAnsi="Times New Roman"/>
                <w:b/>
                <w:sz w:val="22"/>
                <w:szCs w:val="22"/>
              </w:rPr>
              <w:t xml:space="preserve">Allegato </w:t>
            </w:r>
            <w:r w:rsidR="00D51E05" w:rsidRPr="00E7375F">
              <w:rPr>
                <w:rFonts w:ascii="Times New Roman" w:hAnsi="Times New Roman"/>
                <w:b/>
                <w:sz w:val="22"/>
                <w:szCs w:val="22"/>
              </w:rPr>
              <w:t>2</w:t>
            </w:r>
            <w:r w:rsidRPr="00E7375F">
              <w:rPr>
                <w:rFonts w:ascii="Times New Roman" w:hAnsi="Times New Roman"/>
                <w:b/>
                <w:sz w:val="22"/>
                <w:szCs w:val="22"/>
              </w:rPr>
              <w:t>:</w:t>
            </w:r>
          </w:p>
        </w:tc>
        <w:tc>
          <w:tcPr>
            <w:tcW w:w="8111" w:type="dxa"/>
          </w:tcPr>
          <w:p w:rsidR="00EC640E" w:rsidRPr="00D51E05" w:rsidRDefault="00D51E05" w:rsidP="003E46A8">
            <w:pPr>
              <w:ind w:firstLine="0"/>
              <w:rPr>
                <w:rFonts w:ascii="Times New Roman" w:hAnsi="Times New Roman"/>
                <w:sz w:val="22"/>
                <w:szCs w:val="22"/>
              </w:rPr>
            </w:pPr>
            <w:r w:rsidRPr="00E7375F">
              <w:rPr>
                <w:rFonts w:ascii="Times New Roman" w:hAnsi="Times New Roman"/>
                <w:sz w:val="22"/>
                <w:szCs w:val="22"/>
              </w:rPr>
              <w:t>C</w:t>
            </w:r>
            <w:r w:rsidR="00114D7C" w:rsidRPr="00E7375F">
              <w:rPr>
                <w:rFonts w:ascii="Times New Roman" w:hAnsi="Times New Roman"/>
                <w:sz w:val="22"/>
                <w:szCs w:val="22"/>
              </w:rPr>
              <w:t>ronoprogramma delle attività</w:t>
            </w:r>
            <w:r w:rsidR="00114D7C" w:rsidRPr="00D51E05">
              <w:rPr>
                <w:rFonts w:ascii="Times New Roman" w:hAnsi="Times New Roman"/>
                <w:sz w:val="22"/>
                <w:szCs w:val="22"/>
              </w:rPr>
              <w:t xml:space="preserve"> </w:t>
            </w:r>
          </w:p>
        </w:tc>
      </w:tr>
    </w:tbl>
    <w:p w:rsidR="00EC640E" w:rsidRPr="00344F07" w:rsidRDefault="00EC640E" w:rsidP="001A2183">
      <w:pPr>
        <w:rPr>
          <w:b/>
          <w:smallCaps/>
          <w:noProof/>
          <w:sz w:val="22"/>
          <w:szCs w:val="22"/>
        </w:rPr>
      </w:pPr>
    </w:p>
    <w:p w:rsidR="001A2183" w:rsidRPr="00344F07" w:rsidRDefault="001A2183" w:rsidP="001A2183">
      <w:pPr>
        <w:rPr>
          <w:b/>
          <w:smallCaps/>
          <w:noProof/>
          <w:sz w:val="22"/>
          <w:szCs w:val="22"/>
        </w:rPr>
      </w:pPr>
      <w:r w:rsidRPr="00344F07">
        <w:rPr>
          <w:b/>
          <w:smallCaps/>
          <w:noProof/>
          <w:sz w:val="22"/>
          <w:szCs w:val="22"/>
        </w:rPr>
        <w:t xml:space="preserve">  </w:t>
      </w:r>
    </w:p>
    <w:p w:rsidR="004E5FE2" w:rsidRPr="009137AF" w:rsidRDefault="004E5FE2" w:rsidP="004E5FE2">
      <w:pPr>
        <w:jc w:val="left"/>
        <w:rPr>
          <w:sz w:val="22"/>
          <w:szCs w:val="22"/>
        </w:rPr>
      </w:pPr>
    </w:p>
    <w:p w:rsidR="004E5FE2" w:rsidRDefault="004E5FE2" w:rsidP="004E5FE2">
      <w:pPr>
        <w:jc w:val="left"/>
        <w:rPr>
          <w:b/>
          <w:sz w:val="22"/>
          <w:szCs w:val="22"/>
        </w:rPr>
      </w:pPr>
    </w:p>
    <w:p w:rsidR="004E5FE2" w:rsidRDefault="004E5FE2" w:rsidP="004E5FE2">
      <w:pPr>
        <w:spacing w:line="276" w:lineRule="auto"/>
        <w:jc w:val="left"/>
        <w:rPr>
          <w:b/>
          <w:sz w:val="22"/>
          <w:szCs w:val="22"/>
        </w:rPr>
      </w:pPr>
    </w:p>
    <w:p w:rsidR="004E5FE2" w:rsidRDefault="004E5FE2" w:rsidP="0072331A">
      <w:pPr>
        <w:spacing w:line="276" w:lineRule="auto"/>
        <w:ind w:left="284" w:firstLine="0"/>
        <w:jc w:val="left"/>
        <w:rPr>
          <w:b/>
          <w:bCs/>
          <w:smallCaps/>
          <w:sz w:val="32"/>
          <w:szCs w:val="32"/>
        </w:rPr>
      </w:pPr>
    </w:p>
    <w:p w:rsidR="009137AF" w:rsidRDefault="009137AF" w:rsidP="009137AF">
      <w:pPr>
        <w:jc w:val="left"/>
        <w:rPr>
          <w:b/>
          <w:sz w:val="22"/>
          <w:szCs w:val="22"/>
        </w:rPr>
      </w:pPr>
    </w:p>
    <w:p w:rsidR="00694CEF" w:rsidRDefault="00694CEF" w:rsidP="009E1E72">
      <w:pPr>
        <w:spacing w:line="276" w:lineRule="auto"/>
        <w:jc w:val="left"/>
        <w:rPr>
          <w:b/>
          <w:sz w:val="22"/>
          <w:szCs w:val="22"/>
        </w:rPr>
      </w:pPr>
    </w:p>
    <w:p w:rsidR="00694CEF" w:rsidRDefault="00694CEF" w:rsidP="009E1E72">
      <w:pPr>
        <w:spacing w:line="276" w:lineRule="auto"/>
        <w:jc w:val="left"/>
        <w:rPr>
          <w:b/>
          <w:sz w:val="24"/>
        </w:rPr>
      </w:pPr>
    </w:p>
    <w:p w:rsidR="00694CEF" w:rsidRDefault="00694CEF">
      <w:r>
        <w:br w:type="page"/>
      </w:r>
    </w:p>
    <w:p w:rsidR="001711DE" w:rsidRPr="00424900" w:rsidRDefault="00AF5341" w:rsidP="00424900">
      <w:pPr>
        <w:jc w:val="center"/>
        <w:rPr>
          <w:b/>
          <w:sz w:val="22"/>
          <w:szCs w:val="22"/>
        </w:rPr>
      </w:pPr>
      <w:r w:rsidRPr="00896703">
        <w:rPr>
          <w:b/>
          <w:sz w:val="22"/>
          <w:szCs w:val="22"/>
        </w:rPr>
        <w:t xml:space="preserve">ABBREVIAZIONI  </w:t>
      </w:r>
    </w:p>
    <w:p w:rsidR="00AF5341" w:rsidRDefault="00AF5341"/>
    <w:tbl>
      <w:tblPr>
        <w:tblW w:w="0" w:type="auto"/>
        <w:tblCellMar>
          <w:left w:w="70" w:type="dxa"/>
          <w:right w:w="70" w:type="dxa"/>
        </w:tblCellMar>
        <w:tblLook w:val="04A0" w:firstRow="1" w:lastRow="0" w:firstColumn="1" w:lastColumn="0" w:noHBand="0" w:noVBand="1"/>
      </w:tblPr>
      <w:tblGrid>
        <w:gridCol w:w="2225"/>
        <w:gridCol w:w="7413"/>
      </w:tblGrid>
      <w:tr w:rsidR="003F2673"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A.N.AC.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Cs/>
                <w:color w:val="000000"/>
                <w:sz w:val="22"/>
                <w:szCs w:val="22"/>
              </w:rPr>
            </w:pPr>
            <w:r w:rsidRPr="00AF5341">
              <w:rPr>
                <w:bCs/>
                <w:color w:val="000000"/>
                <w:sz w:val="22"/>
                <w:szCs w:val="22"/>
              </w:rPr>
              <w:t xml:space="preserve">Autorità </w:t>
            </w:r>
            <w:r w:rsidR="007444CE">
              <w:rPr>
                <w:bCs/>
                <w:color w:val="000000"/>
                <w:sz w:val="22"/>
                <w:szCs w:val="22"/>
              </w:rPr>
              <w:t>n</w:t>
            </w:r>
            <w:r w:rsidRPr="00AF5341">
              <w:rPr>
                <w:bCs/>
                <w:color w:val="000000"/>
                <w:sz w:val="22"/>
                <w:szCs w:val="22"/>
              </w:rPr>
              <w:t xml:space="preserve">azionale </w:t>
            </w:r>
            <w:r w:rsidR="007444CE">
              <w:rPr>
                <w:bCs/>
                <w:color w:val="000000"/>
                <w:sz w:val="22"/>
                <w:szCs w:val="22"/>
              </w:rPr>
              <w:t>a</w:t>
            </w:r>
            <w:r w:rsidRPr="00AF5341">
              <w:rPr>
                <w:bCs/>
                <w:color w:val="000000"/>
                <w:sz w:val="22"/>
                <w:szCs w:val="22"/>
              </w:rPr>
              <w:t>nticorruzione</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A.U.S.A.</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 xml:space="preserve">Anagrafe </w:t>
            </w:r>
            <w:r w:rsidR="007444CE">
              <w:rPr>
                <w:color w:val="000000"/>
                <w:sz w:val="22"/>
                <w:szCs w:val="22"/>
              </w:rPr>
              <w:t>u</w:t>
            </w:r>
            <w:r w:rsidRPr="00AF5341">
              <w:rPr>
                <w:color w:val="000000"/>
                <w:sz w:val="22"/>
                <w:szCs w:val="22"/>
              </w:rPr>
              <w:t xml:space="preserve">nica delle </w:t>
            </w:r>
            <w:r w:rsidR="007444CE">
              <w:rPr>
                <w:color w:val="000000"/>
                <w:sz w:val="22"/>
                <w:szCs w:val="22"/>
              </w:rPr>
              <w:t>s</w:t>
            </w:r>
            <w:r w:rsidRPr="00AF5341">
              <w:rPr>
                <w:color w:val="000000"/>
                <w:sz w:val="22"/>
                <w:szCs w:val="22"/>
              </w:rPr>
              <w:t xml:space="preserve">tazioni </w:t>
            </w:r>
            <w:r w:rsidR="007444CE">
              <w:rPr>
                <w:color w:val="000000"/>
                <w:sz w:val="22"/>
                <w:szCs w:val="22"/>
              </w:rPr>
              <w:t>a</w:t>
            </w:r>
            <w:r w:rsidRPr="00AF5341">
              <w:rPr>
                <w:color w:val="000000"/>
                <w:sz w:val="22"/>
                <w:szCs w:val="22"/>
              </w:rPr>
              <w:t>ppaltanti</w:t>
            </w:r>
          </w:p>
        </w:tc>
      </w:tr>
      <w:tr w:rsidR="003F2673" w:rsidRPr="00AF5341" w:rsidTr="005F7B34">
        <w:trPr>
          <w:trHeight w:val="94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Codice generale</w:t>
            </w:r>
          </w:p>
        </w:tc>
        <w:tc>
          <w:tcPr>
            <w:tcW w:w="0" w:type="auto"/>
            <w:tcBorders>
              <w:top w:val="nil"/>
              <w:left w:val="nil"/>
              <w:bottom w:val="nil"/>
              <w:right w:val="nil"/>
            </w:tcBorders>
            <w:shd w:val="clear" w:color="auto" w:fill="auto"/>
            <w:vAlign w:val="center"/>
            <w:hideMark/>
          </w:tcPr>
          <w:p w:rsidR="00AF5341" w:rsidRPr="00AF5341" w:rsidRDefault="00AF5341" w:rsidP="009B4E93">
            <w:pPr>
              <w:ind w:firstLine="0"/>
              <w:rPr>
                <w:color w:val="000000"/>
                <w:sz w:val="22"/>
                <w:szCs w:val="22"/>
              </w:rPr>
            </w:pPr>
            <w:r w:rsidRPr="00AF5341">
              <w:rPr>
                <w:color w:val="000000"/>
                <w:sz w:val="22"/>
                <w:szCs w:val="22"/>
              </w:rPr>
              <w:t>Regolamento recante codice di comportamento dei dipendenti pubblici, a norma dell'art</w:t>
            </w:r>
            <w:r w:rsidR="007444CE">
              <w:rPr>
                <w:color w:val="000000"/>
                <w:sz w:val="22"/>
                <w:szCs w:val="22"/>
              </w:rPr>
              <w:t>.</w:t>
            </w:r>
            <w:r w:rsidRPr="00AF5341">
              <w:rPr>
                <w:color w:val="000000"/>
                <w:sz w:val="22"/>
                <w:szCs w:val="22"/>
              </w:rPr>
              <w:t xml:space="preserve"> 54 del </w:t>
            </w:r>
            <w:bookmarkStart w:id="1" w:name="_Hlk63947143"/>
            <w:r w:rsidR="003346ED">
              <w:rPr>
                <w:color w:val="000000"/>
                <w:sz w:val="22"/>
                <w:szCs w:val="22"/>
              </w:rPr>
              <w:t>D</w:t>
            </w:r>
            <w:r w:rsidR="003F2673">
              <w:rPr>
                <w:color w:val="000000"/>
                <w:sz w:val="22"/>
                <w:szCs w:val="22"/>
              </w:rPr>
              <w:t>ecreto legislativo</w:t>
            </w:r>
            <w:r w:rsidRPr="00AF5341">
              <w:rPr>
                <w:color w:val="000000"/>
                <w:sz w:val="22"/>
                <w:szCs w:val="22"/>
              </w:rPr>
              <w:t xml:space="preserve"> </w:t>
            </w:r>
            <w:bookmarkEnd w:id="1"/>
            <w:r w:rsidRPr="00AF5341">
              <w:rPr>
                <w:color w:val="000000"/>
                <w:sz w:val="22"/>
                <w:szCs w:val="22"/>
              </w:rPr>
              <w:t xml:space="preserve">30 marzo 2001, n. 165, </w:t>
            </w:r>
            <w:r w:rsidRPr="003F2673">
              <w:rPr>
                <w:color w:val="000000"/>
                <w:sz w:val="22"/>
                <w:szCs w:val="22"/>
              </w:rPr>
              <w:t>D</w:t>
            </w:r>
            <w:r w:rsidR="003F2673" w:rsidRPr="003F2673">
              <w:rPr>
                <w:color w:val="000000"/>
                <w:sz w:val="22"/>
                <w:szCs w:val="22"/>
              </w:rPr>
              <w:t xml:space="preserve">ecreto del </w:t>
            </w:r>
            <w:r w:rsidRPr="003F2673">
              <w:rPr>
                <w:color w:val="000000"/>
                <w:sz w:val="22"/>
                <w:szCs w:val="22"/>
              </w:rPr>
              <w:t>P</w:t>
            </w:r>
            <w:r w:rsidR="003F2673" w:rsidRPr="003F2673">
              <w:rPr>
                <w:color w:val="000000"/>
                <w:sz w:val="22"/>
                <w:szCs w:val="22"/>
              </w:rPr>
              <w:t xml:space="preserve">residente della </w:t>
            </w:r>
            <w:r w:rsidRPr="003F2673">
              <w:rPr>
                <w:color w:val="000000"/>
                <w:sz w:val="22"/>
                <w:szCs w:val="22"/>
              </w:rPr>
              <w:t>R</w:t>
            </w:r>
            <w:r w:rsidR="003F2673" w:rsidRPr="003F2673">
              <w:rPr>
                <w:color w:val="000000"/>
                <w:sz w:val="22"/>
                <w:szCs w:val="22"/>
              </w:rPr>
              <w:t>epubblica</w:t>
            </w:r>
            <w:r w:rsidR="008A788F" w:rsidRPr="003F2673">
              <w:rPr>
                <w:color w:val="000000"/>
                <w:sz w:val="22"/>
                <w:szCs w:val="22"/>
              </w:rPr>
              <w:t xml:space="preserve"> 16 aprile 2013,</w:t>
            </w:r>
            <w:r w:rsidRPr="003F2673">
              <w:rPr>
                <w:color w:val="000000"/>
                <w:sz w:val="22"/>
                <w:szCs w:val="22"/>
              </w:rPr>
              <w:t xml:space="preserve"> n. 62</w:t>
            </w:r>
            <w:r w:rsidRPr="00AF5341">
              <w:rPr>
                <w:color w:val="000000"/>
                <w:sz w:val="22"/>
                <w:szCs w:val="22"/>
              </w:rPr>
              <w:t xml:space="preserve"> </w:t>
            </w:r>
          </w:p>
        </w:tc>
      </w:tr>
      <w:tr w:rsidR="003F2673" w:rsidRPr="00AF5341" w:rsidTr="005F7B34">
        <w:trPr>
          <w:trHeight w:val="94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Codice P.C.M.</w:t>
            </w:r>
            <w:r w:rsidRPr="00AF5341">
              <w:rPr>
                <w:b/>
                <w:color w:val="000000"/>
                <w:sz w:val="22"/>
                <w:szCs w:val="22"/>
              </w:rPr>
              <w:t xml:space="preserve">  </w:t>
            </w:r>
          </w:p>
        </w:tc>
        <w:tc>
          <w:tcPr>
            <w:tcW w:w="0" w:type="auto"/>
            <w:tcBorders>
              <w:top w:val="nil"/>
              <w:left w:val="nil"/>
              <w:bottom w:val="nil"/>
              <w:right w:val="nil"/>
            </w:tcBorders>
            <w:shd w:val="clear" w:color="auto" w:fill="auto"/>
            <w:vAlign w:val="center"/>
            <w:hideMark/>
          </w:tcPr>
          <w:p w:rsidR="00AF5341" w:rsidRPr="00AF5341" w:rsidRDefault="00AF5341" w:rsidP="009B4E93">
            <w:pPr>
              <w:ind w:firstLine="0"/>
              <w:rPr>
                <w:color w:val="000000"/>
                <w:sz w:val="22"/>
                <w:szCs w:val="22"/>
              </w:rPr>
            </w:pPr>
            <w:r w:rsidRPr="00AF5341">
              <w:rPr>
                <w:color w:val="000000"/>
                <w:sz w:val="22"/>
                <w:szCs w:val="22"/>
              </w:rPr>
              <w:t xml:space="preserve">Codice di comportamento e di tutela della dignità e dell’etica dei dirigenti e dei    dipendenti della Presidenza del Consiglio dei </w:t>
            </w:r>
            <w:r w:rsidR="007444CE">
              <w:rPr>
                <w:color w:val="000000"/>
                <w:sz w:val="22"/>
                <w:szCs w:val="22"/>
              </w:rPr>
              <w:t>m</w:t>
            </w:r>
            <w:r w:rsidRPr="00AF5341">
              <w:rPr>
                <w:color w:val="000000"/>
                <w:sz w:val="22"/>
                <w:szCs w:val="22"/>
              </w:rPr>
              <w:t xml:space="preserve">inistri, </w:t>
            </w:r>
            <w:r w:rsidR="008444A3" w:rsidRPr="009B4E93">
              <w:rPr>
                <w:color w:val="000000"/>
                <w:sz w:val="22"/>
                <w:szCs w:val="22"/>
              </w:rPr>
              <w:t>D</w:t>
            </w:r>
            <w:r w:rsidR="009B4E93" w:rsidRPr="009B4E93">
              <w:rPr>
                <w:color w:val="000000"/>
                <w:sz w:val="22"/>
                <w:szCs w:val="22"/>
              </w:rPr>
              <w:t xml:space="preserve">ecreto del </w:t>
            </w:r>
            <w:r w:rsidR="008444A3" w:rsidRPr="009B4E93">
              <w:rPr>
                <w:color w:val="000000"/>
                <w:sz w:val="22"/>
                <w:szCs w:val="22"/>
              </w:rPr>
              <w:t>P</w:t>
            </w:r>
            <w:r w:rsidR="009B4E93" w:rsidRPr="009B4E93">
              <w:rPr>
                <w:color w:val="000000"/>
                <w:sz w:val="22"/>
                <w:szCs w:val="22"/>
              </w:rPr>
              <w:t xml:space="preserve">residente del </w:t>
            </w:r>
            <w:r w:rsidR="008444A3" w:rsidRPr="009B4E93">
              <w:rPr>
                <w:color w:val="000000"/>
                <w:sz w:val="22"/>
                <w:szCs w:val="22"/>
              </w:rPr>
              <w:t>C</w:t>
            </w:r>
            <w:r w:rsidR="009B4E93" w:rsidRPr="009B4E93">
              <w:rPr>
                <w:color w:val="000000"/>
                <w:sz w:val="22"/>
                <w:szCs w:val="22"/>
              </w:rPr>
              <w:t>onsiglio dei ministri</w:t>
            </w:r>
            <w:r w:rsidRPr="009B4E93">
              <w:rPr>
                <w:color w:val="000000"/>
                <w:sz w:val="22"/>
                <w:szCs w:val="22"/>
              </w:rPr>
              <w:t xml:space="preserve"> 16 settembre 2014</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b/>
                <w:bCs/>
                <w:color w:val="000000"/>
                <w:sz w:val="22"/>
                <w:szCs w:val="22"/>
              </w:rPr>
            </w:pPr>
            <w:r w:rsidRPr="00AF5341">
              <w:rPr>
                <w:b/>
                <w:bCs/>
                <w:color w:val="000000"/>
                <w:sz w:val="22"/>
                <w:szCs w:val="22"/>
              </w:rPr>
              <w:t xml:space="preserve">Commissione </w:t>
            </w:r>
          </w:p>
        </w:tc>
        <w:tc>
          <w:tcPr>
            <w:tcW w:w="0" w:type="auto"/>
            <w:tcBorders>
              <w:top w:val="nil"/>
              <w:left w:val="nil"/>
              <w:bottom w:val="nil"/>
              <w:right w:val="nil"/>
            </w:tcBorders>
            <w:shd w:val="clear" w:color="auto" w:fill="auto"/>
            <w:vAlign w:val="center"/>
            <w:hideMark/>
          </w:tcPr>
          <w:p w:rsidR="00AF5341" w:rsidRPr="00AF5341" w:rsidRDefault="00AF5341" w:rsidP="005F7B34">
            <w:pPr>
              <w:ind w:firstLine="0"/>
              <w:jc w:val="left"/>
              <w:rPr>
                <w:color w:val="000000"/>
                <w:sz w:val="22"/>
                <w:szCs w:val="22"/>
              </w:rPr>
            </w:pPr>
            <w:r w:rsidRPr="00AF5341">
              <w:rPr>
                <w:color w:val="000000"/>
                <w:sz w:val="22"/>
                <w:szCs w:val="22"/>
              </w:rPr>
              <w:t>Commissione di disciplina della P.C.M.</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0B15D5">
            <w:pPr>
              <w:ind w:firstLine="0"/>
              <w:jc w:val="left"/>
              <w:rPr>
                <w:b/>
                <w:bCs/>
                <w:color w:val="000000"/>
                <w:sz w:val="22"/>
                <w:szCs w:val="22"/>
              </w:rPr>
            </w:pPr>
            <w:r>
              <w:rPr>
                <w:b/>
                <w:bCs/>
                <w:color w:val="000000"/>
                <w:sz w:val="22"/>
                <w:szCs w:val="22"/>
              </w:rPr>
              <w:t>D.A.G.L.</w:t>
            </w:r>
            <w:r w:rsidRPr="00AF5341">
              <w:rPr>
                <w:b/>
                <w:bCs/>
                <w:color w:val="000000"/>
                <w:sz w:val="22"/>
                <w:szCs w:val="22"/>
              </w:rPr>
              <w:t xml:space="preserve">   </w:t>
            </w:r>
          </w:p>
        </w:tc>
        <w:tc>
          <w:tcPr>
            <w:tcW w:w="0" w:type="auto"/>
            <w:tcBorders>
              <w:top w:val="nil"/>
              <w:left w:val="nil"/>
              <w:bottom w:val="nil"/>
              <w:right w:val="nil"/>
            </w:tcBorders>
            <w:shd w:val="clear" w:color="auto" w:fill="auto"/>
            <w:vAlign w:val="center"/>
            <w:hideMark/>
          </w:tcPr>
          <w:p w:rsidR="000B15D5" w:rsidRPr="00AF5341" w:rsidRDefault="000B15D5" w:rsidP="000B15D5">
            <w:pPr>
              <w:ind w:firstLine="0"/>
              <w:jc w:val="left"/>
              <w:rPr>
                <w:bCs/>
                <w:color w:val="000000"/>
                <w:sz w:val="22"/>
                <w:szCs w:val="22"/>
              </w:rPr>
            </w:pPr>
            <w:r>
              <w:rPr>
                <w:bCs/>
                <w:color w:val="000000"/>
                <w:sz w:val="22"/>
                <w:szCs w:val="22"/>
              </w:rPr>
              <w:t>Dipartimento per gli affari g</w:t>
            </w:r>
            <w:r w:rsidR="00DE7C40">
              <w:rPr>
                <w:bCs/>
                <w:color w:val="000000"/>
                <w:sz w:val="22"/>
                <w:szCs w:val="22"/>
              </w:rPr>
              <w:t>iuridici</w:t>
            </w:r>
            <w:r>
              <w:rPr>
                <w:bCs/>
                <w:color w:val="000000"/>
                <w:sz w:val="22"/>
                <w:szCs w:val="22"/>
              </w:rPr>
              <w:t xml:space="preserve"> e legislativi</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424900" w:rsidRDefault="00424900" w:rsidP="000B15D5">
            <w:pPr>
              <w:ind w:firstLine="0"/>
              <w:jc w:val="left"/>
              <w:rPr>
                <w:b/>
                <w:bCs/>
                <w:color w:val="000000"/>
                <w:sz w:val="22"/>
                <w:szCs w:val="22"/>
              </w:rPr>
            </w:pPr>
            <w:r>
              <w:rPr>
                <w:b/>
                <w:bCs/>
                <w:color w:val="000000"/>
                <w:sz w:val="22"/>
                <w:szCs w:val="22"/>
              </w:rPr>
              <w:t>D.I.E.</w:t>
            </w:r>
          </w:p>
        </w:tc>
        <w:tc>
          <w:tcPr>
            <w:tcW w:w="0" w:type="auto"/>
            <w:tcBorders>
              <w:top w:val="nil"/>
              <w:left w:val="nil"/>
              <w:bottom w:val="nil"/>
              <w:right w:val="nil"/>
            </w:tcBorders>
            <w:shd w:val="clear" w:color="auto" w:fill="auto"/>
            <w:vAlign w:val="center"/>
          </w:tcPr>
          <w:p w:rsidR="00424900" w:rsidRDefault="00424900" w:rsidP="000B15D5">
            <w:pPr>
              <w:ind w:firstLine="0"/>
              <w:jc w:val="left"/>
              <w:rPr>
                <w:bCs/>
                <w:color w:val="000000"/>
                <w:sz w:val="22"/>
                <w:szCs w:val="22"/>
              </w:rPr>
            </w:pPr>
            <w:r>
              <w:rPr>
                <w:bCs/>
                <w:color w:val="000000"/>
                <w:sz w:val="22"/>
                <w:szCs w:val="22"/>
              </w:rPr>
              <w:t>Dipartimento per l’informazione e l’editoria</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 xml:space="preserve">D.P.C.  </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Cs/>
                <w:color w:val="000000"/>
                <w:sz w:val="22"/>
                <w:szCs w:val="22"/>
              </w:rPr>
            </w:pPr>
            <w:r w:rsidRPr="00AF5341">
              <w:rPr>
                <w:color w:val="000000"/>
                <w:sz w:val="22"/>
                <w:szCs w:val="22"/>
              </w:rPr>
              <w:t xml:space="preserve">Dipartimento della protezione civile </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6F2353" w:rsidRPr="00AF5341" w:rsidRDefault="006F2353" w:rsidP="005F7B34">
            <w:pPr>
              <w:ind w:firstLine="0"/>
              <w:jc w:val="left"/>
              <w:rPr>
                <w:b/>
                <w:bCs/>
                <w:color w:val="000000"/>
                <w:sz w:val="22"/>
                <w:szCs w:val="22"/>
              </w:rPr>
            </w:pPr>
            <w:r>
              <w:rPr>
                <w:b/>
                <w:bCs/>
                <w:color w:val="000000"/>
                <w:sz w:val="22"/>
                <w:szCs w:val="22"/>
              </w:rPr>
              <w:t>D.P.COE.</w:t>
            </w:r>
          </w:p>
        </w:tc>
        <w:tc>
          <w:tcPr>
            <w:tcW w:w="0" w:type="auto"/>
            <w:tcBorders>
              <w:top w:val="nil"/>
              <w:left w:val="nil"/>
              <w:bottom w:val="nil"/>
              <w:right w:val="nil"/>
            </w:tcBorders>
            <w:shd w:val="clear" w:color="auto" w:fill="auto"/>
            <w:vAlign w:val="center"/>
          </w:tcPr>
          <w:p w:rsidR="006F2353" w:rsidRPr="00AF5341" w:rsidRDefault="006F2353" w:rsidP="005F7B34">
            <w:pPr>
              <w:ind w:firstLine="0"/>
              <w:jc w:val="left"/>
              <w:rPr>
                <w:color w:val="000000"/>
                <w:sz w:val="22"/>
                <w:szCs w:val="22"/>
              </w:rPr>
            </w:pPr>
            <w:r>
              <w:rPr>
                <w:color w:val="000000"/>
                <w:sz w:val="22"/>
                <w:szCs w:val="22"/>
              </w:rPr>
              <w:t xml:space="preserve">Dipartimento per le </w:t>
            </w:r>
            <w:r w:rsidR="007444CE">
              <w:rPr>
                <w:color w:val="000000"/>
                <w:sz w:val="22"/>
                <w:szCs w:val="22"/>
              </w:rPr>
              <w:t>p</w:t>
            </w:r>
            <w:r>
              <w:rPr>
                <w:color w:val="000000"/>
                <w:sz w:val="22"/>
                <w:szCs w:val="22"/>
              </w:rPr>
              <w:t xml:space="preserve">olitiche di </w:t>
            </w:r>
            <w:r w:rsidR="007444CE">
              <w:rPr>
                <w:color w:val="000000"/>
                <w:sz w:val="22"/>
                <w:szCs w:val="22"/>
              </w:rPr>
              <w:t>c</w:t>
            </w:r>
            <w:r>
              <w:rPr>
                <w:color w:val="000000"/>
                <w:sz w:val="22"/>
                <w:szCs w:val="22"/>
              </w:rPr>
              <w:t>oesione</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D.S.S.</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i servizi strumentali</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DI.C.A.</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il coordinamento amministrativo</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0B15D5" w:rsidRPr="00AF5341" w:rsidRDefault="000B15D5" w:rsidP="005F7B34">
            <w:pPr>
              <w:ind w:firstLine="0"/>
              <w:jc w:val="left"/>
              <w:rPr>
                <w:b/>
                <w:bCs/>
                <w:color w:val="000000"/>
                <w:sz w:val="22"/>
                <w:szCs w:val="22"/>
              </w:rPr>
            </w:pPr>
            <w:r>
              <w:rPr>
                <w:b/>
                <w:bCs/>
                <w:color w:val="000000"/>
                <w:sz w:val="22"/>
                <w:szCs w:val="22"/>
              </w:rPr>
              <w:t>D.C.I.</w:t>
            </w:r>
          </w:p>
        </w:tc>
        <w:tc>
          <w:tcPr>
            <w:tcW w:w="0" w:type="auto"/>
            <w:tcBorders>
              <w:top w:val="nil"/>
              <w:left w:val="nil"/>
              <w:bottom w:val="nil"/>
              <w:right w:val="nil"/>
            </w:tcBorders>
            <w:shd w:val="clear" w:color="auto" w:fill="auto"/>
            <w:vAlign w:val="center"/>
          </w:tcPr>
          <w:p w:rsidR="000B15D5" w:rsidRPr="00AF5341" w:rsidRDefault="000B15D5" w:rsidP="0027050A">
            <w:pPr>
              <w:ind w:firstLine="0"/>
              <w:jc w:val="left"/>
              <w:rPr>
                <w:color w:val="000000"/>
                <w:sz w:val="22"/>
                <w:szCs w:val="22"/>
              </w:rPr>
            </w:pPr>
            <w:r>
              <w:rPr>
                <w:color w:val="000000"/>
                <w:sz w:val="22"/>
                <w:szCs w:val="22"/>
              </w:rPr>
              <w:t xml:space="preserve">Dipartimento </w:t>
            </w:r>
            <w:r w:rsidR="007444CE">
              <w:rPr>
                <w:color w:val="000000"/>
                <w:sz w:val="22"/>
                <w:szCs w:val="22"/>
              </w:rPr>
              <w:t>c</w:t>
            </w:r>
            <w:r>
              <w:rPr>
                <w:color w:val="000000"/>
                <w:sz w:val="22"/>
                <w:szCs w:val="22"/>
              </w:rPr>
              <w:t xml:space="preserve">asa </w:t>
            </w:r>
            <w:r w:rsidR="0027050A">
              <w:rPr>
                <w:color w:val="000000"/>
                <w:sz w:val="22"/>
                <w:szCs w:val="22"/>
              </w:rPr>
              <w:t>I</w:t>
            </w:r>
            <w:r>
              <w:rPr>
                <w:color w:val="000000"/>
                <w:sz w:val="22"/>
                <w:szCs w:val="22"/>
              </w:rPr>
              <w:t>talia</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DI.P.R.U.S.</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le politiche di gestione, promozione e sviluppo delle risorse umane e strumentali</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 xml:space="preserve">Dipartimento per il personale </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DI.P</w:t>
            </w:r>
            <w:r w:rsidR="00804BFC">
              <w:rPr>
                <w:b/>
                <w:bCs/>
                <w:color w:val="000000"/>
                <w:sz w:val="22"/>
                <w:szCs w:val="22"/>
              </w:rPr>
              <w:t>.C</w:t>
            </w:r>
            <w:r w:rsidRPr="00AF5341">
              <w:rPr>
                <w:b/>
                <w:bCs/>
                <w:color w:val="000000"/>
                <w:sz w:val="22"/>
                <w:szCs w:val="22"/>
              </w:rPr>
              <w:t>.</w:t>
            </w:r>
            <w:r w:rsidR="00804BFC">
              <w:rPr>
                <w:b/>
                <w:bCs/>
                <w:color w:val="000000"/>
                <w:sz w:val="22"/>
                <w:szCs w:val="22"/>
              </w:rPr>
              <w:t>P.</w:t>
            </w:r>
            <w:r w:rsidRPr="00AF5341">
              <w:rPr>
                <w:b/>
                <w:bCs/>
                <w:color w:val="000000"/>
                <w:sz w:val="22"/>
                <w:szCs w:val="22"/>
              </w:rPr>
              <w:t>E.</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Dipartimento per la programmazione e il coordinamento della politica economica</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D.F.P.</w:t>
            </w:r>
          </w:p>
        </w:tc>
        <w:tc>
          <w:tcPr>
            <w:tcW w:w="0" w:type="auto"/>
            <w:tcBorders>
              <w:top w:val="nil"/>
              <w:left w:val="nil"/>
              <w:bottom w:val="nil"/>
              <w:right w:val="nil"/>
            </w:tcBorders>
            <w:shd w:val="clear" w:color="auto" w:fill="auto"/>
            <w:vAlign w:val="center"/>
            <w:hideMark/>
          </w:tcPr>
          <w:p w:rsidR="00A00470" w:rsidRPr="00AF5341" w:rsidRDefault="000B15D5" w:rsidP="005F7B34">
            <w:pPr>
              <w:ind w:firstLine="0"/>
              <w:jc w:val="left"/>
              <w:rPr>
                <w:color w:val="000000"/>
                <w:sz w:val="22"/>
                <w:szCs w:val="22"/>
              </w:rPr>
            </w:pPr>
            <w:r w:rsidRPr="00AF5341">
              <w:rPr>
                <w:color w:val="000000"/>
                <w:sz w:val="22"/>
                <w:szCs w:val="22"/>
              </w:rPr>
              <w:t>Dipartimento della funzione pubblica</w:t>
            </w:r>
          </w:p>
        </w:tc>
      </w:tr>
      <w:tr w:rsidR="003F2673" w:rsidRPr="002A50E4" w:rsidTr="005F7B34">
        <w:trPr>
          <w:trHeight w:val="315"/>
        </w:trPr>
        <w:tc>
          <w:tcPr>
            <w:tcW w:w="0" w:type="auto"/>
            <w:tcBorders>
              <w:top w:val="nil"/>
              <w:left w:val="nil"/>
              <w:bottom w:val="nil"/>
              <w:right w:val="nil"/>
            </w:tcBorders>
            <w:shd w:val="clear" w:color="auto" w:fill="auto"/>
            <w:vAlign w:val="center"/>
            <w:hideMark/>
          </w:tcPr>
          <w:p w:rsidR="000B15D5" w:rsidRDefault="000B15D5" w:rsidP="005F7B34">
            <w:pPr>
              <w:ind w:firstLine="0"/>
              <w:jc w:val="left"/>
              <w:rPr>
                <w:b/>
                <w:bCs/>
                <w:color w:val="000000"/>
                <w:sz w:val="22"/>
                <w:szCs w:val="22"/>
              </w:rPr>
            </w:pPr>
            <w:r>
              <w:rPr>
                <w:b/>
                <w:bCs/>
                <w:color w:val="000000"/>
                <w:sz w:val="22"/>
                <w:szCs w:val="22"/>
              </w:rPr>
              <w:t>D.R.P.</w:t>
            </w:r>
          </w:p>
        </w:tc>
        <w:tc>
          <w:tcPr>
            <w:tcW w:w="0" w:type="auto"/>
            <w:tcBorders>
              <w:top w:val="nil"/>
              <w:left w:val="nil"/>
              <w:bottom w:val="nil"/>
              <w:right w:val="nil"/>
            </w:tcBorders>
            <w:shd w:val="clear" w:color="auto" w:fill="auto"/>
            <w:vAlign w:val="center"/>
            <w:hideMark/>
          </w:tcPr>
          <w:p w:rsidR="000B15D5" w:rsidRPr="001D6971" w:rsidRDefault="000B15D5" w:rsidP="005F7B34">
            <w:pPr>
              <w:ind w:firstLine="0"/>
              <w:jc w:val="left"/>
              <w:rPr>
                <w:bCs/>
                <w:color w:val="000000"/>
                <w:sz w:val="22"/>
                <w:szCs w:val="22"/>
              </w:rPr>
            </w:pPr>
            <w:r w:rsidRPr="001D6971">
              <w:rPr>
                <w:bCs/>
                <w:color w:val="000000"/>
                <w:sz w:val="22"/>
                <w:szCs w:val="22"/>
              </w:rPr>
              <w:t xml:space="preserve">Dipartimento per </w:t>
            </w:r>
            <w:r>
              <w:rPr>
                <w:bCs/>
                <w:color w:val="000000"/>
                <w:sz w:val="22"/>
                <w:szCs w:val="22"/>
              </w:rPr>
              <w:t>i</w:t>
            </w:r>
            <w:r w:rsidRPr="001D6971">
              <w:rPr>
                <w:bCs/>
                <w:color w:val="000000"/>
                <w:sz w:val="22"/>
                <w:szCs w:val="22"/>
              </w:rPr>
              <w:t xml:space="preserve"> rapporti con il Parlamento</w:t>
            </w:r>
          </w:p>
        </w:tc>
      </w:tr>
      <w:tr w:rsidR="003F2673" w:rsidRPr="00F15B47"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Pr>
                <w:b/>
                <w:bCs/>
                <w:color w:val="000000"/>
                <w:sz w:val="22"/>
                <w:szCs w:val="22"/>
              </w:rPr>
              <w:t>F.O.I.A.</w:t>
            </w:r>
          </w:p>
        </w:tc>
        <w:tc>
          <w:tcPr>
            <w:tcW w:w="0" w:type="auto"/>
            <w:tcBorders>
              <w:top w:val="nil"/>
              <w:left w:val="nil"/>
              <w:bottom w:val="nil"/>
              <w:right w:val="nil"/>
            </w:tcBorders>
            <w:shd w:val="clear" w:color="auto" w:fill="auto"/>
            <w:vAlign w:val="center"/>
            <w:hideMark/>
          </w:tcPr>
          <w:p w:rsidR="000B15D5" w:rsidRPr="005F7B34" w:rsidRDefault="000B15D5" w:rsidP="005F7B34">
            <w:pPr>
              <w:ind w:firstLine="0"/>
              <w:jc w:val="left"/>
              <w:rPr>
                <w:bCs/>
                <w:color w:val="000000"/>
                <w:sz w:val="22"/>
                <w:szCs w:val="22"/>
                <w:lang w:val="en-US"/>
              </w:rPr>
            </w:pPr>
            <w:r w:rsidRPr="007444CE">
              <w:rPr>
                <w:bCs/>
                <w:i/>
                <w:color w:val="000000"/>
                <w:sz w:val="22"/>
                <w:szCs w:val="22"/>
                <w:lang w:val="en-US"/>
              </w:rPr>
              <w:t xml:space="preserve">Freedom of </w:t>
            </w:r>
            <w:r w:rsidR="007444CE" w:rsidRPr="007444CE">
              <w:rPr>
                <w:bCs/>
                <w:i/>
                <w:color w:val="000000"/>
                <w:sz w:val="22"/>
                <w:szCs w:val="22"/>
                <w:lang w:val="en-US"/>
              </w:rPr>
              <w:t>i</w:t>
            </w:r>
            <w:r w:rsidRPr="007444CE">
              <w:rPr>
                <w:bCs/>
                <w:i/>
                <w:color w:val="000000"/>
                <w:sz w:val="22"/>
                <w:szCs w:val="22"/>
                <w:lang w:val="en-US"/>
              </w:rPr>
              <w:t xml:space="preserve">nformation </w:t>
            </w:r>
            <w:r w:rsidR="007444CE" w:rsidRPr="007444CE">
              <w:rPr>
                <w:bCs/>
                <w:i/>
                <w:color w:val="000000"/>
                <w:sz w:val="22"/>
                <w:szCs w:val="22"/>
                <w:lang w:val="en-US"/>
              </w:rPr>
              <w:t>a</w:t>
            </w:r>
            <w:r w:rsidRPr="007444CE">
              <w:rPr>
                <w:bCs/>
                <w:i/>
                <w:color w:val="000000"/>
                <w:sz w:val="22"/>
                <w:szCs w:val="22"/>
                <w:lang w:val="en-US"/>
              </w:rPr>
              <w:t>ct</w:t>
            </w:r>
            <w:r>
              <w:rPr>
                <w:bCs/>
                <w:color w:val="000000"/>
                <w:sz w:val="22"/>
                <w:szCs w:val="22"/>
                <w:lang w:val="en-US"/>
              </w:rPr>
              <w:t xml:space="preserve"> (</w:t>
            </w:r>
            <w:r w:rsidR="009B4E93">
              <w:rPr>
                <w:bCs/>
                <w:color w:val="000000"/>
                <w:sz w:val="22"/>
                <w:szCs w:val="22"/>
                <w:lang w:val="en-US"/>
              </w:rPr>
              <w:t>a</w:t>
            </w:r>
            <w:r>
              <w:rPr>
                <w:bCs/>
                <w:color w:val="000000"/>
                <w:sz w:val="22"/>
                <w:szCs w:val="22"/>
                <w:lang w:val="en-US"/>
              </w:rPr>
              <w:t xml:space="preserve">ccesso </w:t>
            </w:r>
            <w:r w:rsidR="009B4E93">
              <w:rPr>
                <w:bCs/>
                <w:color w:val="000000"/>
                <w:sz w:val="22"/>
                <w:szCs w:val="22"/>
                <w:lang w:val="en-US"/>
              </w:rPr>
              <w:t>c</w:t>
            </w:r>
            <w:r>
              <w:rPr>
                <w:bCs/>
                <w:color w:val="000000"/>
                <w:sz w:val="22"/>
                <w:szCs w:val="22"/>
                <w:lang w:val="en-US"/>
              </w:rPr>
              <w:t xml:space="preserve">ivico </w:t>
            </w:r>
            <w:r w:rsidR="009B4E93">
              <w:rPr>
                <w:bCs/>
                <w:color w:val="000000"/>
                <w:sz w:val="22"/>
                <w:szCs w:val="22"/>
                <w:lang w:val="en-US"/>
              </w:rPr>
              <w:t>g</w:t>
            </w:r>
            <w:r w:rsidRPr="005F7B34">
              <w:rPr>
                <w:bCs/>
                <w:color w:val="000000"/>
                <w:sz w:val="22"/>
                <w:szCs w:val="22"/>
                <w:lang w:val="en-US"/>
              </w:rPr>
              <w:t>eneralizzato)</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B64E2A" w:rsidRPr="00AF5341" w:rsidRDefault="00B64E2A" w:rsidP="005F7B34">
            <w:pPr>
              <w:ind w:firstLine="0"/>
              <w:jc w:val="left"/>
              <w:rPr>
                <w:b/>
                <w:bCs/>
                <w:color w:val="000000"/>
                <w:sz w:val="22"/>
                <w:szCs w:val="22"/>
              </w:rPr>
            </w:pPr>
            <w:r>
              <w:rPr>
                <w:b/>
                <w:bCs/>
                <w:color w:val="000000"/>
                <w:sz w:val="22"/>
                <w:szCs w:val="22"/>
              </w:rPr>
              <w:t>O.I.V.</w:t>
            </w:r>
          </w:p>
        </w:tc>
        <w:tc>
          <w:tcPr>
            <w:tcW w:w="0" w:type="auto"/>
            <w:tcBorders>
              <w:top w:val="nil"/>
              <w:left w:val="nil"/>
              <w:bottom w:val="nil"/>
              <w:right w:val="nil"/>
            </w:tcBorders>
            <w:shd w:val="clear" w:color="auto" w:fill="auto"/>
            <w:vAlign w:val="center"/>
          </w:tcPr>
          <w:p w:rsidR="00B64E2A" w:rsidRPr="00AF5341" w:rsidRDefault="00B64E2A" w:rsidP="005F7B34">
            <w:pPr>
              <w:ind w:firstLine="0"/>
              <w:jc w:val="left"/>
              <w:rPr>
                <w:color w:val="000000"/>
                <w:sz w:val="22"/>
                <w:szCs w:val="22"/>
              </w:rPr>
            </w:pPr>
            <w:r>
              <w:rPr>
                <w:color w:val="000000"/>
                <w:sz w:val="22"/>
                <w:szCs w:val="22"/>
              </w:rPr>
              <w:t xml:space="preserve">Organismo </w:t>
            </w:r>
            <w:r w:rsidR="007444CE">
              <w:rPr>
                <w:color w:val="000000"/>
                <w:sz w:val="22"/>
                <w:szCs w:val="22"/>
              </w:rPr>
              <w:t>i</w:t>
            </w:r>
            <w:r>
              <w:rPr>
                <w:color w:val="000000"/>
                <w:sz w:val="22"/>
                <w:szCs w:val="22"/>
              </w:rPr>
              <w:t xml:space="preserve">ndipendente di </w:t>
            </w:r>
            <w:r w:rsidR="007444CE">
              <w:rPr>
                <w:color w:val="000000"/>
                <w:sz w:val="22"/>
                <w:szCs w:val="22"/>
              </w:rPr>
              <w:t>v</w:t>
            </w:r>
            <w:r>
              <w:rPr>
                <w:color w:val="000000"/>
                <w:sz w:val="22"/>
                <w:szCs w:val="22"/>
              </w:rPr>
              <w:t>alutazione</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b/>
                <w:bCs/>
                <w:color w:val="000000"/>
                <w:sz w:val="22"/>
                <w:szCs w:val="22"/>
              </w:rPr>
            </w:pPr>
            <w:r w:rsidRPr="00AF5341">
              <w:rPr>
                <w:b/>
                <w:bCs/>
                <w:color w:val="000000"/>
                <w:sz w:val="22"/>
                <w:szCs w:val="22"/>
              </w:rPr>
              <w:t>P.C.M.</w:t>
            </w:r>
          </w:p>
        </w:tc>
        <w:tc>
          <w:tcPr>
            <w:tcW w:w="0" w:type="auto"/>
            <w:tcBorders>
              <w:top w:val="nil"/>
              <w:left w:val="nil"/>
              <w:bottom w:val="nil"/>
              <w:right w:val="nil"/>
            </w:tcBorders>
            <w:shd w:val="clear" w:color="auto" w:fill="auto"/>
            <w:vAlign w:val="center"/>
            <w:hideMark/>
          </w:tcPr>
          <w:p w:rsidR="000B15D5" w:rsidRPr="00AF5341" w:rsidRDefault="000B15D5" w:rsidP="005F7B34">
            <w:pPr>
              <w:ind w:firstLine="0"/>
              <w:jc w:val="left"/>
              <w:rPr>
                <w:color w:val="000000"/>
                <w:sz w:val="22"/>
                <w:szCs w:val="22"/>
              </w:rPr>
            </w:pPr>
            <w:r w:rsidRPr="00AF5341">
              <w:rPr>
                <w:color w:val="000000"/>
                <w:sz w:val="22"/>
                <w:szCs w:val="22"/>
              </w:rPr>
              <w:t xml:space="preserve">Presidenza del Consiglio dei </w:t>
            </w:r>
            <w:r w:rsidR="007444CE">
              <w:rPr>
                <w:color w:val="000000"/>
                <w:sz w:val="22"/>
                <w:szCs w:val="22"/>
              </w:rPr>
              <w:t>m</w:t>
            </w:r>
            <w:r w:rsidRPr="00AF5341">
              <w:rPr>
                <w:color w:val="000000"/>
                <w:sz w:val="22"/>
                <w:szCs w:val="22"/>
              </w:rPr>
              <w:t xml:space="preserve">inistri </w:t>
            </w:r>
          </w:p>
        </w:tc>
      </w:tr>
      <w:tr w:rsidR="003F2673" w:rsidRPr="00AF5341" w:rsidTr="002F3378">
        <w:trPr>
          <w:trHeight w:val="630"/>
        </w:trPr>
        <w:tc>
          <w:tcPr>
            <w:tcW w:w="0" w:type="auto"/>
            <w:tcBorders>
              <w:top w:val="nil"/>
              <w:left w:val="nil"/>
              <w:bottom w:val="nil"/>
              <w:right w:val="nil"/>
            </w:tcBorders>
            <w:shd w:val="clear" w:color="auto" w:fill="auto"/>
            <w:vAlign w:val="center"/>
          </w:tcPr>
          <w:p w:rsidR="00804BFC" w:rsidRPr="00717117" w:rsidRDefault="00804BFC" w:rsidP="002F3378">
            <w:pPr>
              <w:ind w:firstLine="0"/>
              <w:jc w:val="left"/>
              <w:rPr>
                <w:b/>
                <w:bCs/>
                <w:color w:val="000000"/>
                <w:sz w:val="22"/>
                <w:szCs w:val="22"/>
                <w:highlight w:val="yellow"/>
              </w:rPr>
            </w:pPr>
            <w:r>
              <w:rPr>
                <w:b/>
                <w:bCs/>
                <w:color w:val="000000"/>
                <w:sz w:val="22"/>
                <w:szCs w:val="22"/>
              </w:rPr>
              <w:t>P.N.A. 2019</w:t>
            </w:r>
          </w:p>
        </w:tc>
        <w:tc>
          <w:tcPr>
            <w:tcW w:w="0" w:type="auto"/>
            <w:tcBorders>
              <w:top w:val="nil"/>
              <w:left w:val="nil"/>
              <w:bottom w:val="nil"/>
              <w:right w:val="nil"/>
            </w:tcBorders>
            <w:shd w:val="clear" w:color="auto" w:fill="auto"/>
            <w:vAlign w:val="center"/>
          </w:tcPr>
          <w:p w:rsidR="00804BFC" w:rsidRPr="00717117" w:rsidRDefault="00804BFC" w:rsidP="009B4E93">
            <w:pPr>
              <w:ind w:firstLine="0"/>
              <w:rPr>
                <w:color w:val="000000"/>
                <w:sz w:val="22"/>
                <w:szCs w:val="22"/>
                <w:highlight w:val="yellow"/>
              </w:rPr>
            </w:pPr>
            <w:r w:rsidRPr="00AF5341">
              <w:rPr>
                <w:color w:val="000000"/>
                <w:sz w:val="22"/>
                <w:szCs w:val="22"/>
              </w:rPr>
              <w:t xml:space="preserve">Piano </w:t>
            </w:r>
            <w:r w:rsidR="007444CE">
              <w:rPr>
                <w:color w:val="000000"/>
                <w:sz w:val="22"/>
                <w:szCs w:val="22"/>
              </w:rPr>
              <w:t>n</w:t>
            </w:r>
            <w:r w:rsidRPr="00AF5341">
              <w:rPr>
                <w:color w:val="000000"/>
                <w:sz w:val="22"/>
                <w:szCs w:val="22"/>
              </w:rPr>
              <w:t xml:space="preserve">azionale </w:t>
            </w:r>
            <w:r w:rsidR="007444CE">
              <w:rPr>
                <w:color w:val="000000"/>
                <w:sz w:val="22"/>
                <w:szCs w:val="22"/>
              </w:rPr>
              <w:t>a</w:t>
            </w:r>
            <w:r w:rsidRPr="00AF5341">
              <w:rPr>
                <w:color w:val="000000"/>
                <w:sz w:val="22"/>
                <w:szCs w:val="22"/>
              </w:rPr>
              <w:t xml:space="preserve">nticorruzione adottato con delibera </w:t>
            </w:r>
            <w:r>
              <w:rPr>
                <w:color w:val="000000"/>
                <w:sz w:val="22"/>
                <w:szCs w:val="22"/>
              </w:rPr>
              <w:t>13 novembre 2019</w:t>
            </w:r>
            <w:r w:rsidRPr="00AF5341">
              <w:rPr>
                <w:color w:val="000000"/>
                <w:sz w:val="22"/>
                <w:szCs w:val="22"/>
              </w:rPr>
              <w:t xml:space="preserve"> dell’A.N.AC.</w:t>
            </w:r>
          </w:p>
        </w:tc>
      </w:tr>
      <w:tr w:rsidR="003F2673" w:rsidRPr="00AF5341" w:rsidTr="008245F9">
        <w:trPr>
          <w:trHeight w:val="630"/>
        </w:trPr>
        <w:tc>
          <w:tcPr>
            <w:tcW w:w="0" w:type="auto"/>
            <w:tcBorders>
              <w:top w:val="nil"/>
              <w:left w:val="nil"/>
              <w:bottom w:val="nil"/>
              <w:right w:val="nil"/>
            </w:tcBorders>
            <w:shd w:val="clear" w:color="auto" w:fill="auto"/>
            <w:vAlign w:val="center"/>
          </w:tcPr>
          <w:p w:rsidR="00717117" w:rsidRPr="00717117" w:rsidRDefault="00717117" w:rsidP="00FD00D1">
            <w:pPr>
              <w:ind w:firstLine="0"/>
              <w:jc w:val="left"/>
              <w:rPr>
                <w:b/>
                <w:bCs/>
                <w:color w:val="000000"/>
                <w:sz w:val="22"/>
                <w:szCs w:val="22"/>
                <w:highlight w:val="yellow"/>
              </w:rPr>
            </w:pPr>
            <w:r w:rsidRPr="00B650BA">
              <w:rPr>
                <w:b/>
                <w:bCs/>
                <w:color w:val="000000"/>
                <w:sz w:val="22"/>
                <w:szCs w:val="22"/>
              </w:rPr>
              <w:t>P.N.A. 2018</w:t>
            </w:r>
          </w:p>
        </w:tc>
        <w:tc>
          <w:tcPr>
            <w:tcW w:w="0" w:type="auto"/>
            <w:tcBorders>
              <w:top w:val="nil"/>
              <w:left w:val="nil"/>
              <w:bottom w:val="nil"/>
              <w:right w:val="nil"/>
            </w:tcBorders>
            <w:shd w:val="clear" w:color="auto" w:fill="auto"/>
            <w:vAlign w:val="center"/>
          </w:tcPr>
          <w:p w:rsidR="00717117" w:rsidRPr="00717117" w:rsidRDefault="00717117" w:rsidP="009B4E93">
            <w:pPr>
              <w:ind w:firstLine="0"/>
              <w:rPr>
                <w:color w:val="000000"/>
                <w:sz w:val="22"/>
                <w:szCs w:val="22"/>
                <w:highlight w:val="yellow"/>
              </w:rPr>
            </w:pPr>
            <w:r w:rsidRPr="00B650BA">
              <w:rPr>
                <w:color w:val="000000"/>
                <w:sz w:val="22"/>
                <w:szCs w:val="22"/>
              </w:rPr>
              <w:t xml:space="preserve">Aggiornamento al Piano </w:t>
            </w:r>
            <w:r w:rsidR="007444CE">
              <w:rPr>
                <w:color w:val="000000"/>
                <w:sz w:val="22"/>
                <w:szCs w:val="22"/>
              </w:rPr>
              <w:t>n</w:t>
            </w:r>
            <w:r w:rsidRPr="00B650BA">
              <w:rPr>
                <w:color w:val="000000"/>
                <w:sz w:val="22"/>
                <w:szCs w:val="22"/>
              </w:rPr>
              <w:t xml:space="preserve">azionale </w:t>
            </w:r>
            <w:r w:rsidR="007444CE">
              <w:rPr>
                <w:color w:val="000000"/>
                <w:sz w:val="22"/>
                <w:szCs w:val="22"/>
              </w:rPr>
              <w:t>a</w:t>
            </w:r>
            <w:r w:rsidRPr="00B650BA">
              <w:rPr>
                <w:color w:val="000000"/>
                <w:sz w:val="22"/>
                <w:szCs w:val="22"/>
              </w:rPr>
              <w:t>nticorruzione adottato con delibera 21 novembre 2018 dell’A.N.AC.</w:t>
            </w:r>
          </w:p>
        </w:tc>
      </w:tr>
      <w:tr w:rsidR="003F2673" w:rsidRPr="00AF5341" w:rsidTr="008245F9">
        <w:trPr>
          <w:trHeight w:val="630"/>
        </w:trPr>
        <w:tc>
          <w:tcPr>
            <w:tcW w:w="0" w:type="auto"/>
            <w:tcBorders>
              <w:top w:val="nil"/>
              <w:left w:val="nil"/>
              <w:bottom w:val="nil"/>
              <w:right w:val="nil"/>
            </w:tcBorders>
            <w:shd w:val="clear" w:color="auto" w:fill="auto"/>
            <w:vAlign w:val="center"/>
            <w:hideMark/>
          </w:tcPr>
          <w:p w:rsidR="00717117" w:rsidRPr="00AF5341" w:rsidRDefault="00717117" w:rsidP="008245F9">
            <w:pPr>
              <w:ind w:firstLine="0"/>
              <w:jc w:val="left"/>
              <w:rPr>
                <w:b/>
                <w:bCs/>
                <w:color w:val="000000"/>
                <w:sz w:val="22"/>
                <w:szCs w:val="22"/>
              </w:rPr>
            </w:pPr>
            <w:r w:rsidRPr="00AF5341">
              <w:rPr>
                <w:b/>
                <w:bCs/>
                <w:color w:val="000000"/>
                <w:sz w:val="22"/>
                <w:szCs w:val="22"/>
              </w:rPr>
              <w:t>P.N.A. 201</w:t>
            </w:r>
            <w:r>
              <w:rPr>
                <w:b/>
                <w:bCs/>
                <w:color w:val="000000"/>
                <w:sz w:val="22"/>
                <w:szCs w:val="22"/>
              </w:rPr>
              <w:t>7</w:t>
            </w:r>
          </w:p>
        </w:tc>
        <w:tc>
          <w:tcPr>
            <w:tcW w:w="0" w:type="auto"/>
            <w:tcBorders>
              <w:top w:val="nil"/>
              <w:left w:val="nil"/>
              <w:bottom w:val="nil"/>
              <w:right w:val="nil"/>
            </w:tcBorders>
            <w:shd w:val="clear" w:color="auto" w:fill="auto"/>
            <w:vAlign w:val="center"/>
            <w:hideMark/>
          </w:tcPr>
          <w:p w:rsidR="00717117" w:rsidRPr="00AF5341" w:rsidRDefault="00717117" w:rsidP="009B4E93">
            <w:pPr>
              <w:ind w:firstLine="0"/>
              <w:rPr>
                <w:color w:val="000000"/>
                <w:sz w:val="22"/>
                <w:szCs w:val="22"/>
              </w:rPr>
            </w:pPr>
            <w:r>
              <w:rPr>
                <w:color w:val="000000"/>
                <w:sz w:val="22"/>
                <w:szCs w:val="22"/>
              </w:rPr>
              <w:t xml:space="preserve">Aggiornamento al </w:t>
            </w:r>
            <w:r w:rsidRPr="00AF5341">
              <w:rPr>
                <w:color w:val="000000"/>
                <w:sz w:val="22"/>
                <w:szCs w:val="22"/>
              </w:rPr>
              <w:t xml:space="preserve">Piano </w:t>
            </w:r>
            <w:r w:rsidR="007444CE">
              <w:rPr>
                <w:color w:val="000000"/>
                <w:sz w:val="22"/>
                <w:szCs w:val="22"/>
              </w:rPr>
              <w:t>n</w:t>
            </w:r>
            <w:r w:rsidRPr="00AF5341">
              <w:rPr>
                <w:color w:val="000000"/>
                <w:sz w:val="22"/>
                <w:szCs w:val="22"/>
              </w:rPr>
              <w:t xml:space="preserve">azionale </w:t>
            </w:r>
            <w:r w:rsidR="007444CE">
              <w:rPr>
                <w:color w:val="000000"/>
                <w:sz w:val="22"/>
                <w:szCs w:val="22"/>
              </w:rPr>
              <w:t>a</w:t>
            </w:r>
            <w:r w:rsidRPr="00AF5341">
              <w:rPr>
                <w:color w:val="000000"/>
                <w:sz w:val="22"/>
                <w:szCs w:val="22"/>
              </w:rPr>
              <w:t xml:space="preserve">nticorruzione adottato con delibera </w:t>
            </w:r>
            <w:r>
              <w:rPr>
                <w:color w:val="000000"/>
                <w:sz w:val="22"/>
                <w:szCs w:val="22"/>
              </w:rPr>
              <w:t>22 novembre 2017</w:t>
            </w:r>
            <w:r w:rsidRPr="00AF5341">
              <w:rPr>
                <w:color w:val="000000"/>
                <w:sz w:val="22"/>
                <w:szCs w:val="22"/>
              </w:rPr>
              <w:t xml:space="preserve"> dell’A.N.AC.</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2016</w:t>
            </w:r>
          </w:p>
        </w:tc>
        <w:tc>
          <w:tcPr>
            <w:tcW w:w="0" w:type="auto"/>
            <w:tcBorders>
              <w:top w:val="nil"/>
              <w:left w:val="nil"/>
              <w:bottom w:val="nil"/>
              <w:right w:val="nil"/>
            </w:tcBorders>
            <w:shd w:val="clear" w:color="auto" w:fill="auto"/>
            <w:vAlign w:val="center"/>
            <w:hideMark/>
          </w:tcPr>
          <w:p w:rsidR="00717117" w:rsidRPr="00AF5341" w:rsidRDefault="00717117" w:rsidP="009B4E93">
            <w:pPr>
              <w:ind w:firstLine="0"/>
              <w:rPr>
                <w:color w:val="000000"/>
                <w:sz w:val="22"/>
                <w:szCs w:val="22"/>
              </w:rPr>
            </w:pPr>
            <w:r w:rsidRPr="00AF5341">
              <w:rPr>
                <w:color w:val="000000"/>
                <w:sz w:val="22"/>
                <w:szCs w:val="22"/>
              </w:rPr>
              <w:t xml:space="preserve">Piano </w:t>
            </w:r>
            <w:r w:rsidR="007444CE">
              <w:rPr>
                <w:color w:val="000000"/>
                <w:sz w:val="22"/>
                <w:szCs w:val="22"/>
              </w:rPr>
              <w:t>n</w:t>
            </w:r>
            <w:r w:rsidRPr="00AF5341">
              <w:rPr>
                <w:color w:val="000000"/>
                <w:sz w:val="22"/>
                <w:szCs w:val="22"/>
              </w:rPr>
              <w:t xml:space="preserve">azionale </w:t>
            </w:r>
            <w:r w:rsidR="007444CE">
              <w:rPr>
                <w:color w:val="000000"/>
                <w:sz w:val="22"/>
                <w:szCs w:val="22"/>
              </w:rPr>
              <w:t>a</w:t>
            </w:r>
            <w:r w:rsidRPr="00AF5341">
              <w:rPr>
                <w:color w:val="000000"/>
                <w:sz w:val="22"/>
                <w:szCs w:val="22"/>
              </w:rPr>
              <w:t>nticorruzione adottato con delibera 3 agosto 2016 dell’A.N.AC.</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2015</w:t>
            </w:r>
          </w:p>
        </w:tc>
        <w:tc>
          <w:tcPr>
            <w:tcW w:w="0" w:type="auto"/>
            <w:tcBorders>
              <w:top w:val="nil"/>
              <w:left w:val="nil"/>
              <w:bottom w:val="nil"/>
              <w:right w:val="nil"/>
            </w:tcBorders>
            <w:shd w:val="clear" w:color="auto" w:fill="auto"/>
            <w:vAlign w:val="center"/>
            <w:hideMark/>
          </w:tcPr>
          <w:p w:rsidR="00717117" w:rsidRPr="00AF5341" w:rsidRDefault="00717117" w:rsidP="009B4E93">
            <w:pPr>
              <w:ind w:firstLine="0"/>
              <w:rPr>
                <w:color w:val="000000"/>
                <w:sz w:val="22"/>
                <w:szCs w:val="22"/>
              </w:rPr>
            </w:pPr>
            <w:r w:rsidRPr="00AF5341">
              <w:rPr>
                <w:color w:val="000000"/>
                <w:sz w:val="22"/>
                <w:szCs w:val="22"/>
              </w:rPr>
              <w:t xml:space="preserve">Piano </w:t>
            </w:r>
            <w:r w:rsidR="007444CE">
              <w:rPr>
                <w:color w:val="000000"/>
                <w:sz w:val="22"/>
                <w:szCs w:val="22"/>
              </w:rPr>
              <w:t>n</w:t>
            </w:r>
            <w:r w:rsidRPr="00AF5341">
              <w:rPr>
                <w:color w:val="000000"/>
                <w:sz w:val="22"/>
                <w:szCs w:val="22"/>
              </w:rPr>
              <w:t xml:space="preserve">azionale </w:t>
            </w:r>
            <w:r w:rsidR="007444CE">
              <w:rPr>
                <w:color w:val="000000"/>
                <w:sz w:val="22"/>
                <w:szCs w:val="22"/>
              </w:rPr>
              <w:t>a</w:t>
            </w:r>
            <w:r w:rsidRPr="00AF5341">
              <w:rPr>
                <w:color w:val="000000"/>
                <w:sz w:val="22"/>
                <w:szCs w:val="22"/>
              </w:rPr>
              <w:t>nticorruzione 2013, come integrato e aggiornato dalla delibera 28 ottobre 2015 dell’A.N.AC.</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P.N.A. 2013</w:t>
            </w:r>
          </w:p>
        </w:tc>
        <w:tc>
          <w:tcPr>
            <w:tcW w:w="0" w:type="auto"/>
            <w:tcBorders>
              <w:top w:val="nil"/>
              <w:left w:val="nil"/>
              <w:bottom w:val="nil"/>
              <w:right w:val="nil"/>
            </w:tcBorders>
            <w:shd w:val="clear" w:color="auto" w:fill="auto"/>
            <w:vAlign w:val="center"/>
            <w:hideMark/>
          </w:tcPr>
          <w:p w:rsidR="00717117" w:rsidRPr="00AF5341" w:rsidRDefault="00717117" w:rsidP="009B4E93">
            <w:pPr>
              <w:ind w:firstLine="0"/>
              <w:rPr>
                <w:color w:val="000000"/>
                <w:sz w:val="22"/>
                <w:szCs w:val="22"/>
              </w:rPr>
            </w:pPr>
            <w:r w:rsidRPr="00AF5341">
              <w:rPr>
                <w:color w:val="000000"/>
                <w:sz w:val="22"/>
                <w:szCs w:val="22"/>
              </w:rPr>
              <w:t xml:space="preserve">Piano </w:t>
            </w:r>
            <w:r w:rsidR="007444CE">
              <w:rPr>
                <w:color w:val="000000"/>
                <w:sz w:val="22"/>
                <w:szCs w:val="22"/>
              </w:rPr>
              <w:t>n</w:t>
            </w:r>
            <w:r w:rsidRPr="00AF5341">
              <w:rPr>
                <w:color w:val="000000"/>
                <w:sz w:val="22"/>
                <w:szCs w:val="22"/>
              </w:rPr>
              <w:t xml:space="preserve">azionale </w:t>
            </w:r>
            <w:r w:rsidR="007444CE">
              <w:rPr>
                <w:color w:val="000000"/>
                <w:sz w:val="22"/>
                <w:szCs w:val="22"/>
              </w:rPr>
              <w:t>a</w:t>
            </w:r>
            <w:r w:rsidRPr="00AF5341">
              <w:rPr>
                <w:color w:val="000000"/>
                <w:sz w:val="22"/>
                <w:szCs w:val="22"/>
              </w:rPr>
              <w:t xml:space="preserve">nticorruzione approvato con delibera 13 settembre 2013 dalla C.I.V.I.T.  </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Pr>
                <w:b/>
                <w:bCs/>
                <w:color w:val="000000"/>
                <w:sz w:val="22"/>
                <w:szCs w:val="22"/>
              </w:rPr>
              <w:t>Pre.Cor.</w:t>
            </w:r>
          </w:p>
        </w:tc>
        <w:tc>
          <w:tcPr>
            <w:tcW w:w="0" w:type="auto"/>
            <w:tcBorders>
              <w:top w:val="nil"/>
              <w:left w:val="nil"/>
              <w:bottom w:val="nil"/>
              <w:right w:val="nil"/>
            </w:tcBorders>
            <w:shd w:val="clear" w:color="auto" w:fill="auto"/>
            <w:vAlign w:val="center"/>
            <w:hideMark/>
          </w:tcPr>
          <w:p w:rsidR="00717117" w:rsidRPr="00AF5341" w:rsidRDefault="00717117" w:rsidP="001D784C">
            <w:pPr>
              <w:ind w:firstLine="0"/>
              <w:jc w:val="left"/>
              <w:rPr>
                <w:color w:val="000000"/>
                <w:sz w:val="22"/>
                <w:szCs w:val="22"/>
              </w:rPr>
            </w:pPr>
            <w:r w:rsidRPr="009B651C">
              <w:rPr>
                <w:i/>
                <w:color w:val="000000"/>
                <w:sz w:val="22"/>
                <w:szCs w:val="22"/>
              </w:rPr>
              <w:t>Software</w:t>
            </w:r>
            <w:r>
              <w:rPr>
                <w:color w:val="000000"/>
                <w:sz w:val="22"/>
                <w:szCs w:val="22"/>
              </w:rPr>
              <w:t xml:space="preserve"> per la gestione delle attività di </w:t>
            </w:r>
            <w:r w:rsidR="007444CE">
              <w:rPr>
                <w:color w:val="000000"/>
                <w:sz w:val="22"/>
                <w:szCs w:val="22"/>
              </w:rPr>
              <w:t>p</w:t>
            </w:r>
            <w:r>
              <w:rPr>
                <w:color w:val="000000"/>
                <w:sz w:val="22"/>
                <w:szCs w:val="22"/>
              </w:rPr>
              <w:t xml:space="preserve">revenzione </w:t>
            </w:r>
            <w:r w:rsidR="007444CE">
              <w:rPr>
                <w:color w:val="000000"/>
                <w:sz w:val="22"/>
                <w:szCs w:val="22"/>
              </w:rPr>
              <w:t>c</w:t>
            </w:r>
            <w:r>
              <w:rPr>
                <w:color w:val="000000"/>
                <w:sz w:val="22"/>
                <w:szCs w:val="22"/>
              </w:rPr>
              <w:t>orruzione (Pre.Cor.)</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P.T.F.</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Piano </w:t>
            </w:r>
            <w:r w:rsidR="007444CE">
              <w:rPr>
                <w:color w:val="000000"/>
                <w:sz w:val="22"/>
                <w:szCs w:val="22"/>
              </w:rPr>
              <w:t>t</w:t>
            </w:r>
            <w:r w:rsidRPr="00AF5341">
              <w:rPr>
                <w:color w:val="000000"/>
                <w:sz w:val="22"/>
                <w:szCs w:val="22"/>
              </w:rPr>
              <w:t xml:space="preserve">riennale di </w:t>
            </w:r>
            <w:r w:rsidR="00F007BA">
              <w:rPr>
                <w:color w:val="000000"/>
                <w:sz w:val="22"/>
                <w:szCs w:val="22"/>
              </w:rPr>
              <w:t>f</w:t>
            </w:r>
            <w:r w:rsidRPr="00AF5341">
              <w:rPr>
                <w:color w:val="000000"/>
                <w:sz w:val="22"/>
                <w:szCs w:val="22"/>
              </w:rPr>
              <w:t>ormazione</w:t>
            </w:r>
          </w:p>
        </w:tc>
      </w:tr>
      <w:tr w:rsidR="003F2673" w:rsidRPr="00AF5341" w:rsidTr="002F3378">
        <w:trPr>
          <w:trHeight w:val="315"/>
        </w:trPr>
        <w:tc>
          <w:tcPr>
            <w:tcW w:w="0" w:type="auto"/>
            <w:tcBorders>
              <w:top w:val="nil"/>
              <w:left w:val="nil"/>
              <w:bottom w:val="nil"/>
              <w:right w:val="nil"/>
            </w:tcBorders>
            <w:shd w:val="clear" w:color="auto" w:fill="auto"/>
            <w:vAlign w:val="center"/>
            <w:hideMark/>
          </w:tcPr>
          <w:p w:rsidR="00033DAC" w:rsidRPr="00AF5341" w:rsidRDefault="00033DAC" w:rsidP="002F3378">
            <w:pPr>
              <w:ind w:firstLine="0"/>
              <w:jc w:val="left"/>
              <w:rPr>
                <w:b/>
                <w:bCs/>
                <w:color w:val="000000"/>
                <w:sz w:val="22"/>
                <w:szCs w:val="22"/>
              </w:rPr>
            </w:pPr>
            <w:r>
              <w:rPr>
                <w:b/>
                <w:bCs/>
                <w:color w:val="000000"/>
                <w:sz w:val="22"/>
                <w:szCs w:val="22"/>
              </w:rPr>
              <w:t>P.T.P.C.</w:t>
            </w:r>
          </w:p>
        </w:tc>
        <w:tc>
          <w:tcPr>
            <w:tcW w:w="0" w:type="auto"/>
            <w:tcBorders>
              <w:top w:val="nil"/>
              <w:left w:val="nil"/>
              <w:bottom w:val="nil"/>
              <w:right w:val="nil"/>
            </w:tcBorders>
            <w:shd w:val="clear" w:color="auto" w:fill="auto"/>
            <w:vAlign w:val="center"/>
            <w:hideMark/>
          </w:tcPr>
          <w:p w:rsidR="00033DAC" w:rsidRPr="00AF5341" w:rsidRDefault="00033DAC" w:rsidP="00033DAC">
            <w:pPr>
              <w:ind w:firstLine="0"/>
              <w:jc w:val="left"/>
              <w:rPr>
                <w:color w:val="000000"/>
                <w:sz w:val="22"/>
                <w:szCs w:val="22"/>
              </w:rPr>
            </w:pPr>
            <w:r w:rsidRPr="00AF5341">
              <w:rPr>
                <w:color w:val="000000"/>
                <w:sz w:val="22"/>
                <w:szCs w:val="22"/>
              </w:rPr>
              <w:t xml:space="preserve">Piano </w:t>
            </w:r>
            <w:r w:rsidR="007444CE">
              <w:rPr>
                <w:color w:val="000000"/>
                <w:sz w:val="22"/>
                <w:szCs w:val="22"/>
              </w:rPr>
              <w:t>t</w:t>
            </w:r>
            <w:r w:rsidRPr="00AF5341">
              <w:rPr>
                <w:color w:val="000000"/>
                <w:sz w:val="22"/>
                <w:szCs w:val="22"/>
              </w:rPr>
              <w:t xml:space="preserve">riennale di </w:t>
            </w:r>
            <w:r w:rsidR="007444CE">
              <w:rPr>
                <w:color w:val="000000"/>
                <w:sz w:val="22"/>
                <w:szCs w:val="22"/>
              </w:rPr>
              <w:t>p</w:t>
            </w:r>
            <w:r w:rsidRPr="00AF5341">
              <w:rPr>
                <w:color w:val="000000"/>
                <w:sz w:val="22"/>
                <w:szCs w:val="22"/>
              </w:rPr>
              <w:t xml:space="preserve">revenzione della </w:t>
            </w:r>
            <w:r w:rsidR="007444CE">
              <w:rPr>
                <w:color w:val="000000"/>
                <w:sz w:val="22"/>
                <w:szCs w:val="22"/>
              </w:rPr>
              <w:t>c</w:t>
            </w:r>
            <w:r w:rsidRPr="00AF5341">
              <w:rPr>
                <w:color w:val="000000"/>
                <w:sz w:val="22"/>
                <w:szCs w:val="22"/>
              </w:rPr>
              <w:t>orruzione</w:t>
            </w:r>
            <w:r>
              <w:rPr>
                <w:color w:val="000000"/>
                <w:sz w:val="22"/>
                <w:szCs w:val="22"/>
              </w:rPr>
              <w:t xml:space="preserve"> </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920B60" w:rsidP="005F7B34">
            <w:pPr>
              <w:ind w:firstLine="0"/>
              <w:jc w:val="left"/>
              <w:rPr>
                <w:b/>
                <w:bCs/>
                <w:color w:val="000000"/>
                <w:sz w:val="22"/>
                <w:szCs w:val="22"/>
              </w:rPr>
            </w:pPr>
            <w:r>
              <w:rPr>
                <w:b/>
                <w:bCs/>
                <w:color w:val="000000"/>
                <w:sz w:val="22"/>
                <w:szCs w:val="22"/>
              </w:rPr>
              <w:t>P.T.P.C.T.</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Piano </w:t>
            </w:r>
            <w:r w:rsidR="007444CE">
              <w:rPr>
                <w:color w:val="000000"/>
                <w:sz w:val="22"/>
                <w:szCs w:val="22"/>
              </w:rPr>
              <w:t>t</w:t>
            </w:r>
            <w:r w:rsidRPr="00AF5341">
              <w:rPr>
                <w:color w:val="000000"/>
                <w:sz w:val="22"/>
                <w:szCs w:val="22"/>
              </w:rPr>
              <w:t xml:space="preserve">riennale di </w:t>
            </w:r>
            <w:r w:rsidR="007444CE">
              <w:rPr>
                <w:color w:val="000000"/>
                <w:sz w:val="22"/>
                <w:szCs w:val="22"/>
              </w:rPr>
              <w:t>p</w:t>
            </w:r>
            <w:r w:rsidRPr="00AF5341">
              <w:rPr>
                <w:color w:val="000000"/>
                <w:sz w:val="22"/>
                <w:szCs w:val="22"/>
              </w:rPr>
              <w:t xml:space="preserve">revenzione della </w:t>
            </w:r>
            <w:r w:rsidR="007444CE">
              <w:rPr>
                <w:color w:val="000000"/>
                <w:sz w:val="22"/>
                <w:szCs w:val="22"/>
              </w:rPr>
              <w:t>c</w:t>
            </w:r>
            <w:r w:rsidRPr="00AF5341">
              <w:rPr>
                <w:color w:val="000000"/>
                <w:sz w:val="22"/>
                <w:szCs w:val="22"/>
              </w:rPr>
              <w:t>orruzione</w:t>
            </w:r>
            <w:r w:rsidR="00033DAC">
              <w:rPr>
                <w:color w:val="000000"/>
                <w:sz w:val="22"/>
                <w:szCs w:val="22"/>
              </w:rPr>
              <w:t xml:space="preserve"> e della </w:t>
            </w:r>
            <w:r w:rsidR="007444CE">
              <w:rPr>
                <w:color w:val="000000"/>
                <w:sz w:val="22"/>
                <w:szCs w:val="22"/>
              </w:rPr>
              <w:t>t</w:t>
            </w:r>
            <w:r w:rsidR="00033DAC">
              <w:rPr>
                <w:color w:val="000000"/>
                <w:sz w:val="22"/>
                <w:szCs w:val="22"/>
              </w:rPr>
              <w:t>rasparenza</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 xml:space="preserve">R.A.S.A.    </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Responsabile dell’</w:t>
            </w:r>
            <w:r w:rsidR="00F007BA">
              <w:rPr>
                <w:color w:val="000000"/>
                <w:sz w:val="22"/>
                <w:szCs w:val="22"/>
              </w:rPr>
              <w:t>a</w:t>
            </w:r>
            <w:r w:rsidRPr="00AF5341">
              <w:rPr>
                <w:color w:val="000000"/>
                <w:sz w:val="22"/>
                <w:szCs w:val="22"/>
              </w:rPr>
              <w:t xml:space="preserve">nagrafe della </w:t>
            </w:r>
            <w:r w:rsidR="00F007BA">
              <w:rPr>
                <w:color w:val="000000"/>
                <w:sz w:val="22"/>
                <w:szCs w:val="22"/>
              </w:rPr>
              <w:t>s</w:t>
            </w:r>
            <w:r w:rsidRPr="00AF5341">
              <w:rPr>
                <w:color w:val="000000"/>
                <w:sz w:val="22"/>
                <w:szCs w:val="22"/>
              </w:rPr>
              <w:t xml:space="preserve">tazione </w:t>
            </w:r>
            <w:r w:rsidR="00F007BA">
              <w:rPr>
                <w:color w:val="000000"/>
                <w:sz w:val="22"/>
                <w:szCs w:val="22"/>
              </w:rPr>
              <w:t>a</w:t>
            </w:r>
            <w:r w:rsidRPr="00AF5341">
              <w:rPr>
                <w:color w:val="000000"/>
                <w:sz w:val="22"/>
                <w:szCs w:val="22"/>
              </w:rPr>
              <w:t>ppaltante</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444CE" w:rsidRDefault="00717117" w:rsidP="00B650BA">
            <w:pPr>
              <w:ind w:firstLine="0"/>
              <w:jc w:val="left"/>
              <w:rPr>
                <w:b/>
                <w:bCs/>
                <w:color w:val="000000"/>
                <w:sz w:val="22"/>
                <w:szCs w:val="22"/>
              </w:rPr>
            </w:pPr>
            <w:r w:rsidRPr="00AF5341">
              <w:rPr>
                <w:b/>
                <w:bCs/>
                <w:color w:val="000000"/>
                <w:sz w:val="22"/>
                <w:szCs w:val="22"/>
              </w:rPr>
              <w:t>R.P.C.T.</w:t>
            </w:r>
            <w:r w:rsidR="007444CE">
              <w:rPr>
                <w:b/>
                <w:bCs/>
                <w:color w:val="000000"/>
                <w:sz w:val="22"/>
                <w:szCs w:val="22"/>
              </w:rPr>
              <w:t xml:space="preserve"> -</w:t>
            </w:r>
          </w:p>
          <w:p w:rsidR="00717117" w:rsidRPr="00AF5341" w:rsidRDefault="00B650BA" w:rsidP="00B650BA">
            <w:pPr>
              <w:ind w:firstLine="0"/>
              <w:jc w:val="left"/>
              <w:rPr>
                <w:b/>
                <w:bCs/>
                <w:color w:val="000000"/>
                <w:sz w:val="22"/>
                <w:szCs w:val="22"/>
              </w:rPr>
            </w:pPr>
            <w:r>
              <w:rPr>
                <w:b/>
                <w:bCs/>
                <w:color w:val="000000"/>
                <w:sz w:val="22"/>
                <w:szCs w:val="22"/>
              </w:rPr>
              <w:t>Responsabile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Responsabile della </w:t>
            </w:r>
            <w:r w:rsidR="007444CE">
              <w:rPr>
                <w:color w:val="000000"/>
                <w:sz w:val="22"/>
                <w:szCs w:val="22"/>
              </w:rPr>
              <w:t>p</w:t>
            </w:r>
            <w:r w:rsidRPr="00AF5341">
              <w:rPr>
                <w:color w:val="000000"/>
                <w:sz w:val="22"/>
                <w:szCs w:val="22"/>
              </w:rPr>
              <w:t xml:space="preserve">revenzione della </w:t>
            </w:r>
            <w:r w:rsidR="007444CE">
              <w:rPr>
                <w:color w:val="000000"/>
                <w:sz w:val="22"/>
                <w:szCs w:val="22"/>
              </w:rPr>
              <w:t>c</w:t>
            </w:r>
            <w:r>
              <w:rPr>
                <w:color w:val="000000"/>
                <w:sz w:val="22"/>
                <w:szCs w:val="22"/>
              </w:rPr>
              <w:t xml:space="preserve">orruzione e della </w:t>
            </w:r>
            <w:r w:rsidR="007444CE">
              <w:rPr>
                <w:color w:val="000000"/>
                <w:sz w:val="22"/>
                <w:szCs w:val="22"/>
              </w:rPr>
              <w:t>t</w:t>
            </w:r>
            <w:r>
              <w:rPr>
                <w:color w:val="000000"/>
                <w:sz w:val="22"/>
                <w:szCs w:val="22"/>
              </w:rPr>
              <w:t>rasparenza d</w:t>
            </w:r>
            <w:r w:rsidRPr="00AF5341">
              <w:rPr>
                <w:color w:val="000000"/>
                <w:sz w:val="22"/>
                <w:szCs w:val="22"/>
              </w:rPr>
              <w:t xml:space="preserve">ella Presidenza del Consiglio dei </w:t>
            </w:r>
            <w:r w:rsidR="007444CE">
              <w:rPr>
                <w:color w:val="000000"/>
                <w:sz w:val="22"/>
                <w:szCs w:val="22"/>
              </w:rPr>
              <w:t>m</w:t>
            </w:r>
            <w:r w:rsidRPr="00AF5341">
              <w:rPr>
                <w:color w:val="000000"/>
                <w:sz w:val="22"/>
                <w:szCs w:val="22"/>
              </w:rPr>
              <w:t>inistri</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Pr>
                <w:b/>
                <w:bCs/>
                <w:color w:val="000000"/>
                <w:sz w:val="22"/>
                <w:szCs w:val="22"/>
              </w:rPr>
              <w:t>Referenti</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Pr>
                <w:color w:val="000000"/>
                <w:sz w:val="22"/>
                <w:szCs w:val="22"/>
              </w:rPr>
              <w:t xml:space="preserve">Referenti del </w:t>
            </w:r>
            <w:r w:rsidRPr="001D784C">
              <w:rPr>
                <w:bCs/>
                <w:color w:val="000000"/>
                <w:sz w:val="22"/>
                <w:szCs w:val="22"/>
              </w:rPr>
              <w:t>R.P.C.T.</w:t>
            </w:r>
            <w:r>
              <w:rPr>
                <w:bCs/>
                <w:color w:val="000000"/>
                <w:sz w:val="22"/>
                <w:szCs w:val="22"/>
              </w:rPr>
              <w:t xml:space="preserve"> presso le strutture della P.C.M. in materia di anticorruzione e/o trasparenza</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Responsabile/i della/e Struttura/e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Capi Dipartimento, Capi di Ufficio autonomo e Capi delle Strutture di missione non istituite presso altri Dipartimenti    </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r>
              <w:rPr>
                <w:b/>
                <w:bCs/>
                <w:color w:val="000000"/>
                <w:sz w:val="22"/>
                <w:szCs w:val="22"/>
              </w:rPr>
              <w:t>Segreteria CAI</w:t>
            </w: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r>
              <w:rPr>
                <w:color w:val="000000"/>
                <w:sz w:val="22"/>
                <w:szCs w:val="22"/>
              </w:rPr>
              <w:t xml:space="preserve">Segreteria tecnica della Commissione per le </w:t>
            </w:r>
            <w:r w:rsidR="00F007BA">
              <w:rPr>
                <w:color w:val="000000"/>
                <w:sz w:val="22"/>
                <w:szCs w:val="22"/>
              </w:rPr>
              <w:t>a</w:t>
            </w:r>
            <w:r>
              <w:rPr>
                <w:color w:val="000000"/>
                <w:sz w:val="22"/>
                <w:szCs w:val="22"/>
              </w:rPr>
              <w:t xml:space="preserve">dozioni </w:t>
            </w:r>
            <w:r w:rsidR="00F007BA">
              <w:rPr>
                <w:color w:val="000000"/>
                <w:sz w:val="22"/>
                <w:szCs w:val="22"/>
              </w:rPr>
              <w:t>i</w:t>
            </w:r>
            <w:r>
              <w:rPr>
                <w:color w:val="000000"/>
                <w:sz w:val="22"/>
                <w:szCs w:val="22"/>
              </w:rPr>
              <w:t>nternazionali</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717117" w:rsidRDefault="00717117" w:rsidP="005F7B34">
            <w:pPr>
              <w:ind w:firstLine="0"/>
              <w:jc w:val="left"/>
              <w:rPr>
                <w:b/>
                <w:bCs/>
                <w:color w:val="000000"/>
                <w:sz w:val="22"/>
                <w:szCs w:val="22"/>
              </w:rPr>
            </w:pPr>
            <w:r>
              <w:rPr>
                <w:b/>
                <w:bCs/>
                <w:color w:val="000000"/>
                <w:sz w:val="22"/>
                <w:szCs w:val="22"/>
              </w:rPr>
              <w:t>S.G.</w:t>
            </w:r>
          </w:p>
        </w:tc>
        <w:tc>
          <w:tcPr>
            <w:tcW w:w="0" w:type="auto"/>
            <w:tcBorders>
              <w:top w:val="nil"/>
              <w:left w:val="nil"/>
              <w:bottom w:val="nil"/>
              <w:right w:val="nil"/>
            </w:tcBorders>
            <w:shd w:val="clear" w:color="auto" w:fill="auto"/>
            <w:vAlign w:val="center"/>
          </w:tcPr>
          <w:p w:rsidR="00717117" w:rsidRDefault="00717117" w:rsidP="005F7B34">
            <w:pPr>
              <w:ind w:firstLine="0"/>
              <w:jc w:val="left"/>
              <w:rPr>
                <w:color w:val="000000"/>
                <w:sz w:val="22"/>
                <w:szCs w:val="22"/>
              </w:rPr>
            </w:pPr>
            <w:r>
              <w:rPr>
                <w:color w:val="000000"/>
                <w:sz w:val="22"/>
                <w:szCs w:val="22"/>
              </w:rPr>
              <w:t xml:space="preserve">Segretario </w:t>
            </w:r>
            <w:r w:rsidR="007444CE">
              <w:rPr>
                <w:color w:val="000000"/>
                <w:sz w:val="22"/>
                <w:szCs w:val="22"/>
              </w:rPr>
              <w:t>g</w:t>
            </w:r>
            <w:r>
              <w:rPr>
                <w:color w:val="000000"/>
                <w:sz w:val="22"/>
                <w:szCs w:val="22"/>
              </w:rPr>
              <w:t>enerale della P</w:t>
            </w:r>
            <w:r w:rsidR="007444CE">
              <w:rPr>
                <w:color w:val="000000"/>
                <w:sz w:val="22"/>
                <w:szCs w:val="22"/>
              </w:rPr>
              <w:t>.C.M.</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S.N.A.</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Scuola </w:t>
            </w:r>
            <w:r w:rsidR="007444CE">
              <w:rPr>
                <w:color w:val="000000"/>
                <w:sz w:val="22"/>
                <w:szCs w:val="22"/>
              </w:rPr>
              <w:t>n</w:t>
            </w:r>
            <w:r w:rsidRPr="00AF5341">
              <w:rPr>
                <w:color w:val="000000"/>
                <w:sz w:val="22"/>
                <w:szCs w:val="22"/>
              </w:rPr>
              <w:t>azionale dell’</w:t>
            </w:r>
            <w:r w:rsidR="007444CE">
              <w:rPr>
                <w:color w:val="000000"/>
                <w:sz w:val="22"/>
                <w:szCs w:val="22"/>
              </w:rPr>
              <w:t>a</w:t>
            </w:r>
            <w:r w:rsidRPr="00AF5341">
              <w:rPr>
                <w:color w:val="000000"/>
                <w:sz w:val="22"/>
                <w:szCs w:val="22"/>
              </w:rPr>
              <w:t>mministrazione</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Struttura/e</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Dipartimento/i, Ufficio/i autonomi e Struttura/e di missione non istituite presso altri Dipartimenti    </w:t>
            </w:r>
          </w:p>
        </w:tc>
      </w:tr>
      <w:tr w:rsidR="003F2673" w:rsidRPr="00AF5341" w:rsidTr="005F7B34">
        <w:trPr>
          <w:trHeight w:val="630"/>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U.B.R.R.A.C.</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 xml:space="preserve">Ufficio del bilancio e per il riscontro di regolarità amministrativo </w:t>
            </w:r>
            <w:r w:rsidR="00967A00" w:rsidRPr="00AF5341">
              <w:rPr>
                <w:color w:val="000000"/>
                <w:sz w:val="22"/>
                <w:szCs w:val="22"/>
              </w:rPr>
              <w:t>- contabile</w:t>
            </w:r>
          </w:p>
        </w:tc>
      </w:tr>
      <w:tr w:rsidR="003F2673" w:rsidRPr="00AF5341" w:rsidTr="005F7B34">
        <w:trPr>
          <w:trHeight w:val="315"/>
        </w:trPr>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b/>
                <w:bCs/>
                <w:color w:val="000000"/>
                <w:sz w:val="22"/>
                <w:szCs w:val="22"/>
              </w:rPr>
            </w:pPr>
            <w:r w:rsidRPr="00AF5341">
              <w:rPr>
                <w:b/>
                <w:bCs/>
                <w:color w:val="000000"/>
                <w:sz w:val="22"/>
                <w:szCs w:val="22"/>
              </w:rPr>
              <w:t xml:space="preserve">U.C.I. </w:t>
            </w:r>
          </w:p>
        </w:tc>
        <w:tc>
          <w:tcPr>
            <w:tcW w:w="0" w:type="auto"/>
            <w:tcBorders>
              <w:top w:val="nil"/>
              <w:left w:val="nil"/>
              <w:bottom w:val="nil"/>
              <w:right w:val="nil"/>
            </w:tcBorders>
            <w:shd w:val="clear" w:color="auto" w:fill="auto"/>
            <w:vAlign w:val="center"/>
            <w:hideMark/>
          </w:tcPr>
          <w:p w:rsidR="00717117" w:rsidRPr="00AF5341" w:rsidRDefault="00717117" w:rsidP="005F7B34">
            <w:pPr>
              <w:ind w:firstLine="0"/>
              <w:jc w:val="left"/>
              <w:rPr>
                <w:color w:val="000000"/>
                <w:sz w:val="22"/>
                <w:szCs w:val="22"/>
              </w:rPr>
            </w:pPr>
            <w:r w:rsidRPr="00AF5341">
              <w:rPr>
                <w:color w:val="000000"/>
                <w:sz w:val="22"/>
                <w:szCs w:val="22"/>
              </w:rPr>
              <w:t>Ufficio controllo interno, trasparenza e integrità</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r>
              <w:rPr>
                <w:b/>
                <w:bCs/>
                <w:color w:val="000000"/>
                <w:sz w:val="22"/>
                <w:szCs w:val="22"/>
              </w:rPr>
              <w:t>U.I.T.</w:t>
            </w: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r>
              <w:rPr>
                <w:color w:val="000000"/>
                <w:sz w:val="22"/>
                <w:szCs w:val="22"/>
              </w:rPr>
              <w:t>Ufficio informatica e telematica del Dipartimento per i servizi strumentali</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717117" w:rsidRDefault="00717117" w:rsidP="005F7B34">
            <w:pPr>
              <w:ind w:firstLine="0"/>
              <w:jc w:val="left"/>
              <w:rPr>
                <w:b/>
                <w:bCs/>
                <w:color w:val="000000"/>
                <w:sz w:val="22"/>
                <w:szCs w:val="22"/>
              </w:rPr>
            </w:pPr>
            <w:r>
              <w:rPr>
                <w:b/>
                <w:bCs/>
                <w:color w:val="000000"/>
                <w:sz w:val="22"/>
                <w:szCs w:val="22"/>
              </w:rPr>
              <w:t>U.S.G.</w:t>
            </w:r>
          </w:p>
        </w:tc>
        <w:tc>
          <w:tcPr>
            <w:tcW w:w="0" w:type="auto"/>
            <w:tcBorders>
              <w:top w:val="nil"/>
              <w:left w:val="nil"/>
              <w:bottom w:val="nil"/>
              <w:right w:val="nil"/>
            </w:tcBorders>
            <w:shd w:val="clear" w:color="auto" w:fill="auto"/>
            <w:vAlign w:val="center"/>
          </w:tcPr>
          <w:p w:rsidR="00717117" w:rsidRDefault="00717117" w:rsidP="005F7B34">
            <w:pPr>
              <w:ind w:firstLine="0"/>
              <w:jc w:val="left"/>
              <w:rPr>
                <w:color w:val="000000"/>
                <w:sz w:val="22"/>
                <w:szCs w:val="22"/>
              </w:rPr>
            </w:pPr>
            <w:r>
              <w:rPr>
                <w:color w:val="000000"/>
                <w:sz w:val="22"/>
                <w:szCs w:val="22"/>
              </w:rPr>
              <w:t xml:space="preserve">Ufficio del Segretario </w:t>
            </w:r>
            <w:r w:rsidR="007444CE">
              <w:rPr>
                <w:color w:val="000000"/>
                <w:sz w:val="22"/>
                <w:szCs w:val="22"/>
              </w:rPr>
              <w:t>g</w:t>
            </w:r>
            <w:r>
              <w:rPr>
                <w:color w:val="000000"/>
                <w:sz w:val="22"/>
                <w:szCs w:val="22"/>
              </w:rPr>
              <w:t>enerale</w:t>
            </w:r>
          </w:p>
        </w:tc>
      </w:tr>
      <w:tr w:rsidR="003F2673" w:rsidRPr="00AF5341" w:rsidTr="005F7B34">
        <w:trPr>
          <w:trHeight w:val="315"/>
        </w:trPr>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b/>
                <w:bCs/>
                <w:color w:val="000000"/>
                <w:sz w:val="22"/>
                <w:szCs w:val="22"/>
              </w:rPr>
            </w:pPr>
          </w:p>
        </w:tc>
        <w:tc>
          <w:tcPr>
            <w:tcW w:w="0" w:type="auto"/>
            <w:tcBorders>
              <w:top w:val="nil"/>
              <w:left w:val="nil"/>
              <w:bottom w:val="nil"/>
              <w:right w:val="nil"/>
            </w:tcBorders>
            <w:shd w:val="clear" w:color="auto" w:fill="auto"/>
            <w:vAlign w:val="center"/>
          </w:tcPr>
          <w:p w:rsidR="00717117" w:rsidRPr="00AF5341" w:rsidRDefault="00717117" w:rsidP="005F7B34">
            <w:pPr>
              <w:ind w:firstLine="0"/>
              <w:jc w:val="left"/>
              <w:rPr>
                <w:color w:val="000000"/>
                <w:sz w:val="22"/>
                <w:szCs w:val="22"/>
              </w:rPr>
            </w:pPr>
          </w:p>
        </w:tc>
      </w:tr>
    </w:tbl>
    <w:p w:rsidR="001711DE" w:rsidRDefault="001711DE">
      <w:pPr>
        <w:ind w:firstLine="0"/>
        <w:jc w:val="left"/>
      </w:pPr>
    </w:p>
    <w:p w:rsidR="00035FD7" w:rsidRDefault="00035FD7">
      <w:pPr>
        <w:sectPr w:rsidR="00035FD7">
          <w:footerReference w:type="default" r:id="rId10"/>
          <w:pgSz w:w="11906" w:h="16838"/>
          <w:pgMar w:top="1417" w:right="1134" w:bottom="1134" w:left="1134" w:header="709" w:footer="198" w:gutter="0"/>
          <w:cols w:space="708"/>
          <w:docGrid w:linePitch="381"/>
        </w:sectPr>
      </w:pPr>
    </w:p>
    <w:p w:rsidR="00E562BC" w:rsidRPr="004A689C" w:rsidRDefault="00B67B02" w:rsidP="00842A60">
      <w:pPr>
        <w:pStyle w:val="Titolo1"/>
        <w:rPr>
          <w:rFonts w:ascii="Times New Roman" w:hAnsi="Times New Roman"/>
          <w:szCs w:val="28"/>
        </w:rPr>
      </w:pPr>
      <w:bookmarkStart w:id="2" w:name="_Toc226790518"/>
      <w:bookmarkStart w:id="3" w:name="_Toc355778755"/>
      <w:bookmarkStart w:id="4" w:name="_Toc66721198"/>
      <w:r w:rsidRPr="004A689C">
        <w:rPr>
          <w:rFonts w:ascii="Times New Roman" w:hAnsi="Times New Roman"/>
          <w:szCs w:val="28"/>
        </w:rPr>
        <w:t xml:space="preserve">Il Piano </w:t>
      </w:r>
      <w:bookmarkStart w:id="5" w:name="_Toc226790519"/>
      <w:bookmarkEnd w:id="2"/>
      <w:bookmarkEnd w:id="3"/>
      <w:r w:rsidR="00F007BA" w:rsidRPr="004A689C">
        <w:rPr>
          <w:rFonts w:ascii="Times New Roman" w:hAnsi="Times New Roman"/>
          <w:szCs w:val="28"/>
        </w:rPr>
        <w:t>t</w:t>
      </w:r>
      <w:r w:rsidR="005A27D5" w:rsidRPr="004A689C">
        <w:rPr>
          <w:rFonts w:ascii="Times New Roman" w:hAnsi="Times New Roman"/>
          <w:szCs w:val="28"/>
        </w:rPr>
        <w:t xml:space="preserve">riennale di </w:t>
      </w:r>
      <w:r w:rsidR="00F007BA" w:rsidRPr="004A689C">
        <w:rPr>
          <w:rFonts w:ascii="Times New Roman" w:hAnsi="Times New Roman"/>
          <w:szCs w:val="28"/>
        </w:rPr>
        <w:t>p</w:t>
      </w:r>
      <w:r w:rsidR="005A27D5" w:rsidRPr="004A689C">
        <w:rPr>
          <w:rFonts w:ascii="Times New Roman" w:hAnsi="Times New Roman"/>
          <w:szCs w:val="28"/>
        </w:rPr>
        <w:t xml:space="preserve">revenzione della </w:t>
      </w:r>
      <w:r w:rsidR="00F007BA" w:rsidRPr="004A689C">
        <w:rPr>
          <w:rFonts w:ascii="Times New Roman" w:hAnsi="Times New Roman"/>
          <w:szCs w:val="28"/>
        </w:rPr>
        <w:t>c</w:t>
      </w:r>
      <w:r w:rsidR="005A27D5" w:rsidRPr="004A689C">
        <w:rPr>
          <w:rFonts w:ascii="Times New Roman" w:hAnsi="Times New Roman"/>
          <w:szCs w:val="28"/>
        </w:rPr>
        <w:t>orruzione</w:t>
      </w:r>
      <w:r w:rsidR="009F06C7" w:rsidRPr="004A689C">
        <w:rPr>
          <w:rFonts w:ascii="Times New Roman" w:hAnsi="Times New Roman"/>
          <w:szCs w:val="28"/>
        </w:rPr>
        <w:t xml:space="preserve"> e della </w:t>
      </w:r>
      <w:r w:rsidR="000A0407" w:rsidRPr="004A689C">
        <w:rPr>
          <w:rFonts w:ascii="Times New Roman" w:hAnsi="Times New Roman"/>
          <w:szCs w:val="28"/>
        </w:rPr>
        <w:t>t</w:t>
      </w:r>
      <w:r w:rsidR="009F06C7" w:rsidRPr="004A689C">
        <w:rPr>
          <w:rFonts w:ascii="Times New Roman" w:hAnsi="Times New Roman"/>
          <w:szCs w:val="28"/>
        </w:rPr>
        <w:t>rasparenza</w:t>
      </w:r>
      <w:r w:rsidR="005A27D5" w:rsidRPr="004A689C">
        <w:rPr>
          <w:rFonts w:ascii="Times New Roman" w:hAnsi="Times New Roman"/>
          <w:szCs w:val="28"/>
        </w:rPr>
        <w:t xml:space="preserve"> </w:t>
      </w:r>
      <w:r w:rsidR="00230BB3" w:rsidRPr="004A689C">
        <w:rPr>
          <w:rFonts w:ascii="Times New Roman" w:hAnsi="Times New Roman"/>
          <w:szCs w:val="28"/>
        </w:rPr>
        <w:t>202</w:t>
      </w:r>
      <w:r w:rsidR="007E05AF" w:rsidRPr="004A689C">
        <w:rPr>
          <w:rFonts w:ascii="Times New Roman" w:hAnsi="Times New Roman"/>
          <w:szCs w:val="28"/>
        </w:rPr>
        <w:t>1</w:t>
      </w:r>
      <w:r w:rsidR="00605336" w:rsidRPr="004A689C">
        <w:rPr>
          <w:rFonts w:ascii="Times New Roman" w:hAnsi="Times New Roman"/>
          <w:szCs w:val="28"/>
        </w:rPr>
        <w:t>-202</w:t>
      </w:r>
      <w:r w:rsidR="007E05AF" w:rsidRPr="004A689C">
        <w:rPr>
          <w:rFonts w:ascii="Times New Roman" w:hAnsi="Times New Roman"/>
          <w:szCs w:val="28"/>
        </w:rPr>
        <w:t>3</w:t>
      </w:r>
      <w:bookmarkEnd w:id="4"/>
      <w:r w:rsidR="00FA5DD0" w:rsidRPr="004A689C">
        <w:rPr>
          <w:rFonts w:ascii="Times New Roman" w:hAnsi="Times New Roman"/>
          <w:szCs w:val="28"/>
        </w:rPr>
        <w:t xml:space="preserve"> </w:t>
      </w:r>
    </w:p>
    <w:p w:rsidR="00B67B02" w:rsidRPr="004A689C" w:rsidRDefault="00175DAE" w:rsidP="00842A60">
      <w:pPr>
        <w:pStyle w:val="Titolo2"/>
        <w:rPr>
          <w:rFonts w:ascii="Times New Roman" w:hAnsi="Times New Roman"/>
          <w:szCs w:val="28"/>
        </w:rPr>
      </w:pPr>
      <w:bookmarkStart w:id="6" w:name="_Toc66721199"/>
      <w:bookmarkStart w:id="7" w:name="_Toc355778756"/>
      <w:r w:rsidRPr="004A689C">
        <w:rPr>
          <w:rFonts w:ascii="Times New Roman" w:hAnsi="Times New Roman"/>
          <w:szCs w:val="28"/>
        </w:rPr>
        <w:t xml:space="preserve">Strategia, </w:t>
      </w:r>
      <w:r w:rsidR="007E2CD5" w:rsidRPr="004A689C">
        <w:rPr>
          <w:rFonts w:ascii="Times New Roman" w:hAnsi="Times New Roman"/>
          <w:szCs w:val="28"/>
        </w:rPr>
        <w:t>c</w:t>
      </w:r>
      <w:r w:rsidR="003E3E42" w:rsidRPr="004A689C">
        <w:rPr>
          <w:rFonts w:ascii="Times New Roman" w:hAnsi="Times New Roman"/>
          <w:szCs w:val="28"/>
        </w:rPr>
        <w:t>ontenuti</w:t>
      </w:r>
      <w:r w:rsidR="00726375" w:rsidRPr="004A689C">
        <w:rPr>
          <w:rFonts w:ascii="Times New Roman" w:hAnsi="Times New Roman"/>
          <w:szCs w:val="28"/>
        </w:rPr>
        <w:t>, ambito di applicazione</w:t>
      </w:r>
      <w:r w:rsidR="003E3E42" w:rsidRPr="004A689C">
        <w:rPr>
          <w:rFonts w:ascii="Times New Roman" w:hAnsi="Times New Roman"/>
          <w:szCs w:val="28"/>
        </w:rPr>
        <w:t xml:space="preserve"> </w:t>
      </w:r>
      <w:r w:rsidR="00B56498" w:rsidRPr="004A689C">
        <w:rPr>
          <w:rFonts w:ascii="Times New Roman" w:hAnsi="Times New Roman"/>
          <w:szCs w:val="28"/>
        </w:rPr>
        <w:t xml:space="preserve">e </w:t>
      </w:r>
      <w:r w:rsidR="007E1D3A" w:rsidRPr="004A689C">
        <w:rPr>
          <w:rFonts w:ascii="Times New Roman" w:hAnsi="Times New Roman"/>
          <w:szCs w:val="28"/>
        </w:rPr>
        <w:t>periodo di riferimento</w:t>
      </w:r>
      <w:bookmarkEnd w:id="6"/>
      <w:r w:rsidR="007E1D3A" w:rsidRPr="004A689C">
        <w:rPr>
          <w:rFonts w:ascii="Times New Roman" w:hAnsi="Times New Roman"/>
          <w:szCs w:val="28"/>
        </w:rPr>
        <w:t xml:space="preserve"> </w:t>
      </w:r>
      <w:bookmarkEnd w:id="7"/>
      <w:r w:rsidR="00C737E4" w:rsidRPr="004A689C">
        <w:rPr>
          <w:rFonts w:ascii="Times New Roman" w:hAnsi="Times New Roman"/>
          <w:szCs w:val="28"/>
        </w:rPr>
        <w:t xml:space="preserve"> </w:t>
      </w:r>
      <w:bookmarkEnd w:id="5"/>
    </w:p>
    <w:p w:rsidR="007808EB" w:rsidRPr="004A689C" w:rsidRDefault="007808EB" w:rsidP="001B5B36">
      <w:pPr>
        <w:rPr>
          <w:rFonts w:ascii="Times New Roman" w:hAnsi="Times New Roman"/>
          <w:szCs w:val="28"/>
        </w:rPr>
      </w:pPr>
      <w:r w:rsidRPr="004A689C">
        <w:rPr>
          <w:rFonts w:ascii="Times New Roman" w:hAnsi="Times New Roman"/>
          <w:szCs w:val="28"/>
        </w:rPr>
        <w:t xml:space="preserve">Nell’ambito della P.C.M., il Responsabile della prevenzione della corruzione coincide con il Responsabile della trasparenza, anche al fine di facilitare l’integrazione tra la pianificazione delle misure di prevenzione e le attività di implementazione della trasparenza amministrativa. </w:t>
      </w:r>
      <w:r w:rsidR="00572A74" w:rsidRPr="004A689C">
        <w:rPr>
          <w:rFonts w:ascii="Times New Roman" w:hAnsi="Times New Roman"/>
          <w:szCs w:val="28"/>
        </w:rPr>
        <w:t xml:space="preserve">Con </w:t>
      </w:r>
      <w:bookmarkStart w:id="8" w:name="_Hlk63934209"/>
      <w:r w:rsidR="000A0407" w:rsidRPr="004A689C">
        <w:rPr>
          <w:rFonts w:ascii="Times New Roman" w:hAnsi="Times New Roman"/>
          <w:szCs w:val="28"/>
        </w:rPr>
        <w:t>decreto del Presidente del Consiglio dei ministri</w:t>
      </w:r>
      <w:r w:rsidR="00572A74" w:rsidRPr="004A689C">
        <w:rPr>
          <w:rFonts w:ascii="Times New Roman" w:hAnsi="Times New Roman"/>
          <w:szCs w:val="28"/>
        </w:rPr>
        <w:t xml:space="preserve"> </w:t>
      </w:r>
      <w:bookmarkEnd w:id="8"/>
      <w:r w:rsidR="00572A74" w:rsidRPr="004A689C">
        <w:rPr>
          <w:rFonts w:ascii="Times New Roman" w:hAnsi="Times New Roman"/>
          <w:szCs w:val="28"/>
        </w:rPr>
        <w:t xml:space="preserve">27 gennaio 2017 è stato nominato </w:t>
      </w:r>
      <w:r w:rsidR="00C7628E" w:rsidRPr="004A689C">
        <w:rPr>
          <w:rFonts w:ascii="Times New Roman" w:hAnsi="Times New Roman"/>
          <w:szCs w:val="28"/>
        </w:rPr>
        <w:t xml:space="preserve">come </w:t>
      </w:r>
      <w:r w:rsidR="00572A74" w:rsidRPr="004A689C">
        <w:rPr>
          <w:rFonts w:ascii="Times New Roman" w:hAnsi="Times New Roman"/>
          <w:szCs w:val="28"/>
        </w:rPr>
        <w:t>R</w:t>
      </w:r>
      <w:r w:rsidR="000A0407" w:rsidRPr="004A689C">
        <w:rPr>
          <w:rFonts w:ascii="Times New Roman" w:hAnsi="Times New Roman"/>
          <w:szCs w:val="28"/>
        </w:rPr>
        <w:t>.P.C.T.</w:t>
      </w:r>
      <w:r w:rsidR="00572A74" w:rsidRPr="004A689C">
        <w:rPr>
          <w:rFonts w:ascii="Times New Roman" w:hAnsi="Times New Roman"/>
          <w:szCs w:val="28"/>
        </w:rPr>
        <w:t xml:space="preserve"> il Cons. Patrizia De Rose</w:t>
      </w:r>
      <w:r w:rsidR="00605336" w:rsidRPr="004A689C">
        <w:rPr>
          <w:rFonts w:ascii="Times New Roman" w:hAnsi="Times New Roman"/>
          <w:szCs w:val="28"/>
        </w:rPr>
        <w:t xml:space="preserve"> </w:t>
      </w:r>
      <w:r w:rsidR="00456FA5" w:rsidRPr="004A689C">
        <w:rPr>
          <w:rFonts w:ascii="Times New Roman" w:hAnsi="Times New Roman"/>
          <w:szCs w:val="28"/>
        </w:rPr>
        <w:t>confermata</w:t>
      </w:r>
      <w:r w:rsidR="001D27CA" w:rsidRPr="004A689C">
        <w:rPr>
          <w:rFonts w:ascii="Times New Roman" w:hAnsi="Times New Roman"/>
          <w:szCs w:val="28"/>
        </w:rPr>
        <w:t>,</w:t>
      </w:r>
      <w:r w:rsidR="00605336" w:rsidRPr="004A689C">
        <w:rPr>
          <w:rFonts w:ascii="Times New Roman" w:hAnsi="Times New Roman"/>
          <w:szCs w:val="28"/>
        </w:rPr>
        <w:t xml:space="preserve"> </w:t>
      </w:r>
      <w:r w:rsidR="001D27CA" w:rsidRPr="004A689C">
        <w:rPr>
          <w:rFonts w:ascii="Times New Roman" w:hAnsi="Times New Roman"/>
          <w:szCs w:val="28"/>
        </w:rPr>
        <w:t xml:space="preserve">a seguito dei cambi di Governo, </w:t>
      </w:r>
      <w:r w:rsidR="00605336" w:rsidRPr="004A689C">
        <w:rPr>
          <w:rFonts w:ascii="Times New Roman" w:hAnsi="Times New Roman"/>
          <w:szCs w:val="28"/>
        </w:rPr>
        <w:t xml:space="preserve">con </w:t>
      </w:r>
      <w:r w:rsidR="000A0407" w:rsidRPr="004A689C">
        <w:rPr>
          <w:rFonts w:ascii="Times New Roman" w:hAnsi="Times New Roman"/>
          <w:szCs w:val="28"/>
        </w:rPr>
        <w:t xml:space="preserve">decreto del Presidente del Consiglio dei ministri </w:t>
      </w:r>
      <w:r w:rsidR="00605336" w:rsidRPr="004A689C">
        <w:rPr>
          <w:rFonts w:ascii="Times New Roman" w:hAnsi="Times New Roman"/>
          <w:szCs w:val="28"/>
        </w:rPr>
        <w:t xml:space="preserve">14 settembre 2018 </w:t>
      </w:r>
      <w:r w:rsidR="00456FA5" w:rsidRPr="004A689C">
        <w:rPr>
          <w:rFonts w:ascii="Times New Roman" w:hAnsi="Times New Roman"/>
          <w:szCs w:val="28"/>
        </w:rPr>
        <w:t xml:space="preserve">e </w:t>
      </w:r>
      <w:bookmarkStart w:id="9" w:name="_Hlk63934650"/>
      <w:r w:rsidR="00025A36" w:rsidRPr="004A689C">
        <w:rPr>
          <w:rFonts w:ascii="Times New Roman" w:hAnsi="Times New Roman"/>
          <w:szCs w:val="28"/>
        </w:rPr>
        <w:t xml:space="preserve">con il </w:t>
      </w:r>
      <w:r w:rsidR="000A0407" w:rsidRPr="004A689C">
        <w:rPr>
          <w:rFonts w:ascii="Times New Roman" w:hAnsi="Times New Roman"/>
          <w:szCs w:val="28"/>
        </w:rPr>
        <w:t xml:space="preserve">decreto del Presidente del Consiglio dei ministri </w:t>
      </w:r>
      <w:bookmarkEnd w:id="9"/>
      <w:r w:rsidR="00456FA5" w:rsidRPr="004A689C">
        <w:rPr>
          <w:rFonts w:ascii="Times New Roman" w:hAnsi="Times New Roman"/>
          <w:szCs w:val="28"/>
        </w:rPr>
        <w:t>25 novembre 2019</w:t>
      </w:r>
      <w:r w:rsidR="00097F53" w:rsidRPr="004A689C">
        <w:rPr>
          <w:rFonts w:ascii="Times New Roman" w:hAnsi="Times New Roman"/>
          <w:szCs w:val="28"/>
        </w:rPr>
        <w:t>,</w:t>
      </w:r>
      <w:r w:rsidR="007A3A31" w:rsidRPr="004A689C">
        <w:rPr>
          <w:rFonts w:ascii="Times New Roman" w:hAnsi="Times New Roman"/>
          <w:szCs w:val="28"/>
        </w:rPr>
        <w:t xml:space="preserve"> </w:t>
      </w:r>
      <w:r w:rsidR="008B277E" w:rsidRPr="004A689C">
        <w:rPr>
          <w:rFonts w:ascii="Times New Roman" w:hAnsi="Times New Roman"/>
          <w:szCs w:val="28"/>
        </w:rPr>
        <w:t>registrato dalla Corte dei conti in data 27 dicembre 2019</w:t>
      </w:r>
      <w:r w:rsidR="008925DC" w:rsidRPr="004A689C">
        <w:rPr>
          <w:rFonts w:ascii="Times New Roman" w:hAnsi="Times New Roman"/>
          <w:szCs w:val="28"/>
        </w:rPr>
        <w:t>,</w:t>
      </w:r>
      <w:r w:rsidR="008B277E" w:rsidRPr="004A689C">
        <w:rPr>
          <w:rFonts w:ascii="Times New Roman" w:hAnsi="Times New Roman"/>
          <w:szCs w:val="28"/>
        </w:rPr>
        <w:t xml:space="preserve"> n. 2440.</w:t>
      </w:r>
    </w:p>
    <w:p w:rsidR="001B5B36" w:rsidRPr="004A689C" w:rsidRDefault="001B5B36" w:rsidP="001B5B36">
      <w:pPr>
        <w:rPr>
          <w:rFonts w:ascii="Times New Roman" w:hAnsi="Times New Roman"/>
          <w:szCs w:val="28"/>
        </w:rPr>
      </w:pPr>
      <w:r w:rsidRPr="004A689C">
        <w:rPr>
          <w:rFonts w:ascii="Times New Roman" w:hAnsi="Times New Roman"/>
          <w:szCs w:val="28"/>
        </w:rPr>
        <w:t>La strategia di prevenzione del rischio di corruzione della P.C.M. si è concretizzata nella volontà di</w:t>
      </w:r>
      <w:r w:rsidR="00700B33" w:rsidRPr="004A689C">
        <w:rPr>
          <w:rFonts w:ascii="Times New Roman" w:hAnsi="Times New Roman"/>
          <w:szCs w:val="28"/>
        </w:rPr>
        <w:t xml:space="preserve"> dare compiuta attuazione alla </w:t>
      </w:r>
      <w:r w:rsidR="000A0407" w:rsidRPr="004A689C">
        <w:rPr>
          <w:rFonts w:ascii="Times New Roman" w:hAnsi="Times New Roman"/>
          <w:szCs w:val="28"/>
        </w:rPr>
        <w:t>l</w:t>
      </w:r>
      <w:r w:rsidR="003346ED" w:rsidRPr="004A689C">
        <w:rPr>
          <w:rFonts w:ascii="Times New Roman" w:hAnsi="Times New Roman"/>
          <w:szCs w:val="28"/>
        </w:rPr>
        <w:t>egge</w:t>
      </w:r>
      <w:r w:rsidR="002145F4" w:rsidRPr="004A689C">
        <w:rPr>
          <w:rFonts w:ascii="Times New Roman" w:hAnsi="Times New Roman"/>
          <w:szCs w:val="28"/>
        </w:rPr>
        <w:t xml:space="preserve"> 6 novembre 2012, n. 190</w:t>
      </w:r>
      <w:r w:rsidRPr="004A689C">
        <w:rPr>
          <w:rFonts w:ascii="Times New Roman" w:hAnsi="Times New Roman"/>
          <w:szCs w:val="28"/>
        </w:rPr>
        <w:t xml:space="preserve">, </w:t>
      </w:r>
      <w:r w:rsidR="00FA4AA7" w:rsidRPr="004A689C">
        <w:rPr>
          <w:rFonts w:ascii="Times New Roman" w:hAnsi="Times New Roman"/>
          <w:szCs w:val="28"/>
        </w:rPr>
        <w:t>concernente “</w:t>
      </w:r>
      <w:r w:rsidR="00FA4AA7" w:rsidRPr="004A689C">
        <w:rPr>
          <w:rFonts w:ascii="Times New Roman" w:hAnsi="Times New Roman"/>
          <w:i/>
          <w:szCs w:val="28"/>
        </w:rPr>
        <w:t>Disposizione per la prevenzione e la repressione della corruzione e dell’illegalità nella Pubblica Amministrazione</w:t>
      </w:r>
      <w:r w:rsidR="00FA4AA7" w:rsidRPr="004A689C">
        <w:rPr>
          <w:rFonts w:ascii="Times New Roman" w:hAnsi="Times New Roman"/>
          <w:szCs w:val="28"/>
        </w:rPr>
        <w:t xml:space="preserve">”, </w:t>
      </w:r>
      <w:r w:rsidRPr="004A689C">
        <w:rPr>
          <w:rFonts w:ascii="Times New Roman" w:hAnsi="Times New Roman"/>
          <w:szCs w:val="28"/>
        </w:rPr>
        <w:t>seguendone l’impostazione e perseguendone convintamente le finalità, in una logica di innovazione sostanziale e strutturale e non di mero adempimento.</w:t>
      </w:r>
    </w:p>
    <w:p w:rsidR="001B5B36" w:rsidRPr="004A689C" w:rsidRDefault="001B5B36" w:rsidP="001B5B36">
      <w:pPr>
        <w:rPr>
          <w:rFonts w:ascii="Times New Roman" w:hAnsi="Times New Roman"/>
          <w:szCs w:val="28"/>
        </w:rPr>
      </w:pPr>
      <w:r w:rsidRPr="004A689C">
        <w:rPr>
          <w:rFonts w:ascii="Times New Roman" w:hAnsi="Times New Roman"/>
          <w:szCs w:val="28"/>
        </w:rPr>
        <w:t>In linea con quanto previsto nell’originario P.N.A.</w:t>
      </w:r>
      <w:r w:rsidR="000A0407" w:rsidRPr="004A689C">
        <w:rPr>
          <w:rFonts w:ascii="Times New Roman" w:hAnsi="Times New Roman"/>
          <w:szCs w:val="28"/>
        </w:rPr>
        <w:t xml:space="preserve"> 2013</w:t>
      </w:r>
      <w:r w:rsidRPr="004A689C">
        <w:rPr>
          <w:rFonts w:ascii="Times New Roman" w:hAnsi="Times New Roman"/>
          <w:szCs w:val="28"/>
        </w:rPr>
        <w:t>, già c</w:t>
      </w:r>
      <w:r w:rsidR="007E2CD5" w:rsidRPr="004A689C">
        <w:rPr>
          <w:rFonts w:ascii="Times New Roman" w:hAnsi="Times New Roman"/>
          <w:szCs w:val="28"/>
        </w:rPr>
        <w:t xml:space="preserve">on il primo </w:t>
      </w:r>
      <w:r w:rsidR="00920B60" w:rsidRPr="004A689C">
        <w:rPr>
          <w:rFonts w:ascii="Times New Roman" w:hAnsi="Times New Roman"/>
          <w:szCs w:val="28"/>
        </w:rPr>
        <w:t>P.T.P.C.</w:t>
      </w:r>
      <w:r w:rsidR="007E2CD5" w:rsidRPr="004A689C">
        <w:rPr>
          <w:rFonts w:ascii="Times New Roman" w:hAnsi="Times New Roman"/>
          <w:szCs w:val="28"/>
        </w:rPr>
        <w:t xml:space="preserve"> 2014-</w:t>
      </w:r>
      <w:r w:rsidR="001A70CA" w:rsidRPr="004A689C">
        <w:rPr>
          <w:rFonts w:ascii="Times New Roman" w:hAnsi="Times New Roman"/>
          <w:szCs w:val="28"/>
        </w:rPr>
        <w:t>2016</w:t>
      </w:r>
      <w:r w:rsidRPr="004A689C">
        <w:rPr>
          <w:rFonts w:ascii="Times New Roman" w:hAnsi="Times New Roman"/>
          <w:szCs w:val="28"/>
        </w:rPr>
        <w:t xml:space="preserve">, la P.C.M. ha adottato una nozione ampia di “corruzione”, estendendo il raggio di azione della prevenzione ad un ambito più vasto di quello strettamente penalistico. </w:t>
      </w:r>
    </w:p>
    <w:p w:rsidR="001B5B36" w:rsidRPr="004A689C" w:rsidRDefault="001B5B36" w:rsidP="001B5B36">
      <w:pPr>
        <w:rPr>
          <w:rFonts w:ascii="Times New Roman" w:hAnsi="Times New Roman"/>
          <w:szCs w:val="28"/>
        </w:rPr>
      </w:pPr>
      <w:r w:rsidRPr="004A689C">
        <w:rPr>
          <w:rFonts w:ascii="Times New Roman" w:hAnsi="Times New Roman"/>
          <w:szCs w:val="28"/>
        </w:rPr>
        <w:t xml:space="preserve">Peraltro, </w:t>
      </w:r>
      <w:r w:rsidR="003E46A8" w:rsidRPr="004A689C">
        <w:rPr>
          <w:rFonts w:ascii="Times New Roman" w:hAnsi="Times New Roman"/>
          <w:szCs w:val="28"/>
        </w:rPr>
        <w:t xml:space="preserve">nel </w:t>
      </w:r>
      <w:r w:rsidRPr="004A689C">
        <w:rPr>
          <w:rFonts w:ascii="Times New Roman" w:hAnsi="Times New Roman"/>
          <w:szCs w:val="28"/>
        </w:rPr>
        <w:t xml:space="preserve">P.N.A. </w:t>
      </w:r>
      <w:r w:rsidR="003E46A8" w:rsidRPr="004A689C">
        <w:rPr>
          <w:rFonts w:ascii="Times New Roman" w:hAnsi="Times New Roman"/>
          <w:szCs w:val="28"/>
        </w:rPr>
        <w:t xml:space="preserve">del 2019 è stato </w:t>
      </w:r>
      <w:r w:rsidRPr="004A689C">
        <w:rPr>
          <w:rFonts w:ascii="Times New Roman" w:hAnsi="Times New Roman"/>
          <w:szCs w:val="28"/>
        </w:rPr>
        <w:t>ribadito</w:t>
      </w:r>
      <w:r w:rsidR="003E46A8" w:rsidRPr="004A689C">
        <w:rPr>
          <w:rFonts w:ascii="Times New Roman" w:hAnsi="Times New Roman"/>
          <w:szCs w:val="28"/>
        </w:rPr>
        <w:t xml:space="preserve"> un concetto ampio di corruzione, esteso alla cosiddetta </w:t>
      </w:r>
      <w:r w:rsidR="003E46A8" w:rsidRPr="004A689C">
        <w:rPr>
          <w:rFonts w:ascii="Times New Roman" w:hAnsi="Times New Roman"/>
          <w:i/>
          <w:szCs w:val="28"/>
        </w:rPr>
        <w:t xml:space="preserve">“maladministration”. </w:t>
      </w:r>
      <w:r w:rsidR="003E46A8" w:rsidRPr="004A689C">
        <w:rPr>
          <w:rFonts w:ascii="Times New Roman" w:hAnsi="Times New Roman"/>
          <w:szCs w:val="28"/>
        </w:rPr>
        <w:t xml:space="preserve">In proposito, già il P.N.A. del 2015 aveva affermato che </w:t>
      </w:r>
      <w:r w:rsidRPr="004A689C">
        <w:rPr>
          <w:rFonts w:ascii="Times New Roman" w:hAnsi="Times New Roman"/>
          <w:szCs w:val="28"/>
        </w:rPr>
        <w:t xml:space="preserve"> tale nozione deve intendersi “</w:t>
      </w:r>
      <w:r w:rsidRPr="004A689C">
        <w:rPr>
          <w:rFonts w:ascii="Times New Roman" w:hAnsi="Times New Roman"/>
          <w:i/>
          <w:szCs w:val="28"/>
        </w:rPr>
        <w:t xml:space="preserve">non solo più ampia dello specifico reato di corruzione e del complesso dei reati contro la pubblica amministrazione, ma coincidente con la “maladministration”, intesa come assunzione di decisioni (di assetto di interessi a conclusione di procedimenti, di determinazioni di fasi interne a singoli procedimenti, di gestione di risorse pubbliche) devianti dalla cura dell’interesse generale a causa del condizionamento improprio da parte di interessi </w:t>
      </w:r>
      <w:r w:rsidRPr="004A689C">
        <w:rPr>
          <w:rFonts w:ascii="Times New Roman" w:hAnsi="Times New Roman"/>
          <w:i/>
          <w:szCs w:val="28"/>
          <w:u w:val="single"/>
        </w:rPr>
        <w:t>particolari.</w:t>
      </w:r>
      <w:r w:rsidRPr="004A689C">
        <w:rPr>
          <w:rFonts w:ascii="Times New Roman" w:hAnsi="Times New Roman"/>
          <w:i/>
          <w:szCs w:val="28"/>
        </w:rPr>
        <w:t xml:space="preserve">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r w:rsidRPr="004A689C">
        <w:rPr>
          <w:rFonts w:ascii="Times New Roman" w:hAnsi="Times New Roman"/>
          <w:szCs w:val="28"/>
        </w:rPr>
        <w:t>”.</w:t>
      </w:r>
    </w:p>
    <w:p w:rsidR="001B5B36" w:rsidRPr="004A689C" w:rsidRDefault="001B5B36" w:rsidP="001B5B36">
      <w:pPr>
        <w:rPr>
          <w:rFonts w:ascii="Times New Roman" w:hAnsi="Times New Roman"/>
          <w:szCs w:val="28"/>
        </w:rPr>
      </w:pPr>
      <w:r w:rsidRPr="004A689C">
        <w:rPr>
          <w:rFonts w:ascii="Times New Roman" w:hAnsi="Times New Roman"/>
          <w:szCs w:val="28"/>
        </w:rPr>
        <w:t>La P.C.M. persegue le proprie finalità istituzionali e conforma il proprio agire al dettato costituzionale</w:t>
      </w:r>
      <w:r w:rsidR="00FD6EDA" w:rsidRPr="004A689C">
        <w:rPr>
          <w:rFonts w:ascii="Times New Roman" w:hAnsi="Times New Roman"/>
          <w:szCs w:val="28"/>
        </w:rPr>
        <w:t xml:space="preserve">, </w:t>
      </w:r>
      <w:r w:rsidRPr="004A689C">
        <w:rPr>
          <w:rFonts w:ascii="Times New Roman" w:hAnsi="Times New Roman"/>
          <w:szCs w:val="28"/>
        </w:rPr>
        <w:t>nella consapevolezza che la fiducia che i cittadini ripongono nell’</w:t>
      </w:r>
      <w:r w:rsidR="00230BB3" w:rsidRPr="004A689C">
        <w:rPr>
          <w:rFonts w:ascii="Times New Roman" w:hAnsi="Times New Roman"/>
          <w:szCs w:val="28"/>
        </w:rPr>
        <w:t>I</w:t>
      </w:r>
      <w:r w:rsidRPr="004A689C">
        <w:rPr>
          <w:rFonts w:ascii="Times New Roman" w:hAnsi="Times New Roman"/>
          <w:szCs w:val="28"/>
        </w:rPr>
        <w:t xml:space="preserve">stituzione dipende anche dal comportamento di ciascun singolo dipendente. Essa intende riconoscere e valorizzare il ruolo dei dirigenti, a cui è affidato il compito delicato e complesso di tradurre gli obiettivi e gli indirizzi politici nello svolgimento dell’azione amministrativa che deve essere imparziale, oltre che improntata ad efficacia, efficienza ed economicità. </w:t>
      </w:r>
    </w:p>
    <w:p w:rsidR="001B5B36" w:rsidRPr="004A689C" w:rsidRDefault="001B5B36" w:rsidP="001B5B36">
      <w:pPr>
        <w:rPr>
          <w:rFonts w:ascii="Times New Roman" w:hAnsi="Times New Roman"/>
          <w:szCs w:val="28"/>
        </w:rPr>
      </w:pPr>
      <w:r w:rsidRPr="004A689C">
        <w:rPr>
          <w:rFonts w:ascii="Times New Roman" w:hAnsi="Times New Roman"/>
          <w:szCs w:val="28"/>
        </w:rPr>
        <w:t>E</w:t>
      </w:r>
      <w:r w:rsidR="00ED1737" w:rsidRPr="004A689C">
        <w:rPr>
          <w:rFonts w:ascii="Times New Roman" w:hAnsi="Times New Roman"/>
          <w:szCs w:val="28"/>
        </w:rPr>
        <w:t>’</w:t>
      </w:r>
      <w:r w:rsidR="00E70CE3">
        <w:rPr>
          <w:rFonts w:ascii="Times New Roman" w:hAnsi="Times New Roman"/>
          <w:szCs w:val="28"/>
        </w:rPr>
        <w:t xml:space="preserve"> </w:t>
      </w:r>
      <w:r w:rsidR="00FD6EDA" w:rsidRPr="004A689C">
        <w:rPr>
          <w:rFonts w:ascii="Times New Roman" w:hAnsi="Times New Roman"/>
          <w:szCs w:val="28"/>
        </w:rPr>
        <w:t>richiesto, a chiunque operi all’</w:t>
      </w:r>
      <w:r w:rsidRPr="004A689C">
        <w:rPr>
          <w:rFonts w:ascii="Times New Roman" w:hAnsi="Times New Roman"/>
          <w:szCs w:val="28"/>
        </w:rPr>
        <w:t xml:space="preserve">interno </w:t>
      </w:r>
      <w:r w:rsidR="00FD6EDA" w:rsidRPr="004A689C">
        <w:rPr>
          <w:rFonts w:ascii="Times New Roman" w:hAnsi="Times New Roman"/>
          <w:szCs w:val="28"/>
        </w:rPr>
        <w:t xml:space="preserve">della P.C.M., </w:t>
      </w:r>
      <w:r w:rsidRPr="004A689C">
        <w:rPr>
          <w:rFonts w:ascii="Times New Roman" w:hAnsi="Times New Roman"/>
          <w:szCs w:val="28"/>
        </w:rPr>
        <w:t xml:space="preserve">il rispetto dei valori dell’etica pubblica, che - tra le altre cose - si traduce in comportamenti volti ad assicurare la qualità delle relazioni con i cittadini, comportamenti improntati al decoro e al rispetto delle Istituzioni ed alla trasparenza sulle attività e sull’organizzazione, per favorire il controllo sociale sul perseguimento degli scopi istituzionali e sull’utilizzo delle risorse pubbliche. </w:t>
      </w:r>
    </w:p>
    <w:p w:rsidR="001B5B36" w:rsidRPr="004A689C" w:rsidRDefault="001B5B36" w:rsidP="001B5B36">
      <w:pPr>
        <w:rPr>
          <w:rFonts w:ascii="Times New Roman" w:hAnsi="Times New Roman"/>
          <w:szCs w:val="28"/>
        </w:rPr>
      </w:pPr>
      <w:r w:rsidRPr="004A689C">
        <w:rPr>
          <w:rFonts w:ascii="Times New Roman" w:hAnsi="Times New Roman"/>
          <w:szCs w:val="28"/>
        </w:rPr>
        <w:t xml:space="preserve">I dipendenti sono tenuti ad esercitare le funzioni pubbliche loro attribuite nel rispetto della legge, con imparzialità e secondo i principi dell’efficacia, dell’efficienza e dell’economicità. I dirigenti rappresentano il “presidio organizzativo” del sistema anticorruttivo e collaborano attivamente con il </w:t>
      </w:r>
      <w:r w:rsidR="00360D1C" w:rsidRPr="004A689C">
        <w:rPr>
          <w:rFonts w:ascii="Times New Roman" w:hAnsi="Times New Roman"/>
          <w:szCs w:val="28"/>
        </w:rPr>
        <w:t>R</w:t>
      </w:r>
      <w:r w:rsidR="00187464" w:rsidRPr="004A689C">
        <w:rPr>
          <w:rFonts w:ascii="Times New Roman" w:hAnsi="Times New Roman"/>
          <w:szCs w:val="28"/>
        </w:rPr>
        <w:t>.P.C.T.</w:t>
      </w:r>
      <w:r w:rsidRPr="004A689C">
        <w:rPr>
          <w:rFonts w:ascii="Times New Roman" w:hAnsi="Times New Roman"/>
          <w:szCs w:val="28"/>
        </w:rPr>
        <w:t xml:space="preserve"> </w:t>
      </w:r>
    </w:p>
    <w:p w:rsidR="001B5B36" w:rsidRPr="004A689C" w:rsidRDefault="001B5B36" w:rsidP="001B5B36">
      <w:pPr>
        <w:rPr>
          <w:rFonts w:ascii="Times New Roman" w:hAnsi="Times New Roman"/>
          <w:szCs w:val="28"/>
        </w:rPr>
      </w:pPr>
      <w:r w:rsidRPr="004A689C">
        <w:rPr>
          <w:rFonts w:ascii="Times New Roman" w:hAnsi="Times New Roman"/>
          <w:szCs w:val="28"/>
        </w:rPr>
        <w:t>La gestione del rischio, la cui finalità è di mettere in campo gli interventi per scongiurare eventi illeciti nell’organizzazione, è un processo a sviluppo circolare: la fase di monitoraggio è propedeutica all’aggiornamento del processo, che tiene conto dei cambiamenti di contesto. Il processo deve essere s</w:t>
      </w:r>
      <w:r w:rsidR="00E2299D" w:rsidRPr="004A689C">
        <w:rPr>
          <w:rFonts w:ascii="Times New Roman" w:hAnsi="Times New Roman"/>
          <w:szCs w:val="28"/>
        </w:rPr>
        <w:t>viluppato</w:t>
      </w:r>
      <w:r w:rsidR="0045784B" w:rsidRPr="004A689C">
        <w:rPr>
          <w:rFonts w:ascii="Times New Roman" w:hAnsi="Times New Roman"/>
          <w:color w:val="FF0000"/>
          <w:szCs w:val="28"/>
        </w:rPr>
        <w:t xml:space="preserve"> </w:t>
      </w:r>
      <w:r w:rsidR="0045784B" w:rsidRPr="004A689C">
        <w:rPr>
          <w:rFonts w:ascii="Times New Roman" w:hAnsi="Times New Roman"/>
          <w:szCs w:val="28"/>
        </w:rPr>
        <w:t>in modo che i</w:t>
      </w:r>
      <w:r w:rsidRPr="004A689C">
        <w:rPr>
          <w:rFonts w:ascii="Times New Roman" w:hAnsi="Times New Roman"/>
          <w:szCs w:val="28"/>
        </w:rPr>
        <w:t xml:space="preserve"> risultati siano tali da produrre modificazioni nei comportamenti individuali e in quelli organizzativi. Per questo</w:t>
      </w:r>
      <w:r w:rsidR="00FD6EDA" w:rsidRPr="004A689C">
        <w:rPr>
          <w:rFonts w:ascii="Times New Roman" w:hAnsi="Times New Roman"/>
          <w:szCs w:val="28"/>
        </w:rPr>
        <w:t xml:space="preserve"> motivo</w:t>
      </w:r>
      <w:r w:rsidRPr="004A689C">
        <w:rPr>
          <w:rFonts w:ascii="Times New Roman" w:hAnsi="Times New Roman"/>
          <w:szCs w:val="28"/>
        </w:rPr>
        <w:t>, la metodologia d</w:t>
      </w:r>
      <w:r w:rsidR="00A54E50" w:rsidRPr="004A689C">
        <w:rPr>
          <w:rFonts w:ascii="Times New Roman" w:hAnsi="Times New Roman"/>
          <w:szCs w:val="28"/>
        </w:rPr>
        <w:t xml:space="preserve">eve </w:t>
      </w:r>
      <w:r w:rsidRPr="004A689C">
        <w:rPr>
          <w:rFonts w:ascii="Times New Roman" w:hAnsi="Times New Roman"/>
          <w:szCs w:val="28"/>
        </w:rPr>
        <w:t>essere oggetto di una costante opera di messa a punto.</w:t>
      </w:r>
    </w:p>
    <w:p w:rsidR="001B5B36" w:rsidRPr="00DE7C40" w:rsidRDefault="001B5B36" w:rsidP="001B5B36">
      <w:pPr>
        <w:rPr>
          <w:rFonts w:ascii="Times New Roman" w:hAnsi="Times New Roman"/>
          <w:szCs w:val="28"/>
        </w:rPr>
      </w:pPr>
      <w:r w:rsidRPr="004A689C">
        <w:rPr>
          <w:rFonts w:ascii="Times New Roman" w:hAnsi="Times New Roman"/>
          <w:szCs w:val="28"/>
        </w:rPr>
        <w:t xml:space="preserve">Il presente Piano rappresenta l’aggiornamento al </w:t>
      </w:r>
      <w:r w:rsidR="00187464" w:rsidRPr="004A689C">
        <w:rPr>
          <w:rFonts w:ascii="Times New Roman" w:hAnsi="Times New Roman"/>
          <w:szCs w:val="28"/>
        </w:rPr>
        <w:t>P.T.P.C.</w:t>
      </w:r>
      <w:r w:rsidR="00021C53" w:rsidRPr="004A689C">
        <w:rPr>
          <w:rFonts w:ascii="Times New Roman" w:hAnsi="Times New Roman"/>
          <w:szCs w:val="28"/>
        </w:rPr>
        <w:t>T.</w:t>
      </w:r>
      <w:r w:rsidR="00ED1737" w:rsidRPr="004A689C">
        <w:rPr>
          <w:rFonts w:ascii="Times New Roman" w:hAnsi="Times New Roman"/>
          <w:szCs w:val="28"/>
        </w:rPr>
        <w:t xml:space="preserve"> 2020</w:t>
      </w:r>
      <w:r w:rsidR="007E2CD5" w:rsidRPr="004A689C">
        <w:rPr>
          <w:rFonts w:ascii="Times New Roman" w:hAnsi="Times New Roman"/>
          <w:szCs w:val="28"/>
        </w:rPr>
        <w:t>-</w:t>
      </w:r>
      <w:r w:rsidR="00ED1737" w:rsidRPr="004A689C">
        <w:rPr>
          <w:rFonts w:ascii="Times New Roman" w:hAnsi="Times New Roman"/>
          <w:szCs w:val="28"/>
        </w:rPr>
        <w:t>2022</w:t>
      </w:r>
      <w:r w:rsidR="00184FB1" w:rsidRPr="004A689C">
        <w:rPr>
          <w:rFonts w:ascii="Times New Roman" w:hAnsi="Times New Roman"/>
          <w:szCs w:val="28"/>
        </w:rPr>
        <w:t>,</w:t>
      </w:r>
      <w:r w:rsidRPr="004A689C">
        <w:rPr>
          <w:rFonts w:ascii="Times New Roman" w:hAnsi="Times New Roman"/>
          <w:szCs w:val="28"/>
        </w:rPr>
        <w:t xml:space="preserve"> approvato con </w:t>
      </w:r>
      <w:r w:rsidR="000A0407" w:rsidRPr="004A689C">
        <w:rPr>
          <w:rFonts w:ascii="Times New Roman" w:hAnsi="Times New Roman"/>
          <w:szCs w:val="28"/>
        </w:rPr>
        <w:t xml:space="preserve">decreto del Presidente del Consiglio dei ministri </w:t>
      </w:r>
      <w:r w:rsidR="00ED1737" w:rsidRPr="004A689C">
        <w:rPr>
          <w:rFonts w:ascii="Times New Roman" w:hAnsi="Times New Roman"/>
          <w:szCs w:val="28"/>
        </w:rPr>
        <w:t>30 gennaio 2020</w:t>
      </w:r>
      <w:r w:rsidR="00605336" w:rsidRPr="004A689C">
        <w:rPr>
          <w:rFonts w:ascii="Times New Roman" w:hAnsi="Times New Roman"/>
          <w:szCs w:val="28"/>
        </w:rPr>
        <w:t xml:space="preserve"> </w:t>
      </w:r>
      <w:r w:rsidRPr="00DE7C40">
        <w:rPr>
          <w:rFonts w:ascii="Times New Roman" w:hAnsi="Times New Roman"/>
          <w:szCs w:val="28"/>
        </w:rPr>
        <w:t xml:space="preserve">ed è proposto dal Responsabile. </w:t>
      </w:r>
    </w:p>
    <w:p w:rsidR="001B5B36" w:rsidRPr="00DE7C40" w:rsidRDefault="001B5B36" w:rsidP="001B5B36">
      <w:pPr>
        <w:rPr>
          <w:rFonts w:ascii="Times New Roman" w:hAnsi="Times New Roman"/>
          <w:szCs w:val="28"/>
        </w:rPr>
      </w:pPr>
      <w:r w:rsidRPr="00DE7C40">
        <w:rPr>
          <w:rFonts w:ascii="Times New Roman" w:hAnsi="Times New Roman"/>
          <w:szCs w:val="28"/>
        </w:rPr>
        <w:t xml:space="preserve">Il Piano esprime la strategia di prevenzione della corruzione che la P.C.M. intende attuare durante il triennio </w:t>
      </w:r>
      <w:r w:rsidR="00ED1737" w:rsidRPr="00DE7C40">
        <w:rPr>
          <w:rFonts w:ascii="Times New Roman" w:hAnsi="Times New Roman"/>
          <w:szCs w:val="28"/>
        </w:rPr>
        <w:t>2021-2023</w:t>
      </w:r>
      <w:r w:rsidRPr="00DE7C40">
        <w:rPr>
          <w:rFonts w:ascii="Times New Roman" w:hAnsi="Times New Roman"/>
          <w:szCs w:val="28"/>
        </w:rPr>
        <w:t xml:space="preserve">, </w:t>
      </w:r>
      <w:r w:rsidR="00D4217A" w:rsidRPr="00DE7C40">
        <w:rPr>
          <w:rFonts w:ascii="Times New Roman" w:hAnsi="Times New Roman"/>
          <w:szCs w:val="28"/>
        </w:rPr>
        <w:t xml:space="preserve">con un </w:t>
      </w:r>
      <w:r w:rsidR="00D4217A" w:rsidRPr="00DE7C40">
        <w:rPr>
          <w:rFonts w:ascii="Times New Roman" w:hAnsi="Times New Roman"/>
          <w:i/>
          <w:szCs w:val="28"/>
        </w:rPr>
        <w:t>focus</w:t>
      </w:r>
      <w:r w:rsidR="00D4217A" w:rsidRPr="00DE7C40">
        <w:rPr>
          <w:rFonts w:ascii="Times New Roman" w:hAnsi="Times New Roman"/>
          <w:szCs w:val="28"/>
        </w:rPr>
        <w:t xml:space="preserve"> sul primo anno di pianificazione, </w:t>
      </w:r>
      <w:r w:rsidRPr="00DE7C40">
        <w:rPr>
          <w:rFonts w:ascii="Times New Roman" w:hAnsi="Times New Roman"/>
          <w:szCs w:val="28"/>
        </w:rPr>
        <w:t xml:space="preserve">in linea di continuità e in un’ottica di progressivo miglioramento rispetto a quanto già previsto nel </w:t>
      </w:r>
      <w:r w:rsidR="00187464" w:rsidRPr="00DE7C40">
        <w:rPr>
          <w:rFonts w:ascii="Times New Roman" w:hAnsi="Times New Roman"/>
          <w:szCs w:val="28"/>
        </w:rPr>
        <w:t>P.T.P.C.</w:t>
      </w:r>
      <w:r w:rsidR="00021C53" w:rsidRPr="00DE7C40">
        <w:rPr>
          <w:rFonts w:ascii="Times New Roman" w:hAnsi="Times New Roman"/>
          <w:szCs w:val="28"/>
        </w:rPr>
        <w:t>T.</w:t>
      </w:r>
      <w:r w:rsidR="00ED1737" w:rsidRPr="00DE7C40">
        <w:rPr>
          <w:rFonts w:ascii="Times New Roman" w:hAnsi="Times New Roman"/>
          <w:szCs w:val="28"/>
        </w:rPr>
        <w:t xml:space="preserve"> 2020-2022</w:t>
      </w:r>
      <w:r w:rsidRPr="00DE7C40">
        <w:rPr>
          <w:rFonts w:ascii="Times New Roman" w:hAnsi="Times New Roman"/>
          <w:szCs w:val="28"/>
        </w:rPr>
        <w:t xml:space="preserve">. </w:t>
      </w:r>
      <w:r w:rsidR="005201A4" w:rsidRPr="00DE7C40">
        <w:rPr>
          <w:rFonts w:ascii="Times New Roman" w:hAnsi="Times New Roman"/>
          <w:szCs w:val="28"/>
        </w:rPr>
        <w:t>C</w:t>
      </w:r>
      <w:r w:rsidRPr="00DE7C40">
        <w:rPr>
          <w:rFonts w:ascii="Times New Roman" w:hAnsi="Times New Roman"/>
          <w:szCs w:val="28"/>
        </w:rPr>
        <w:t xml:space="preserve">ostituisce </w:t>
      </w:r>
      <w:r w:rsidR="00A12F44" w:rsidRPr="00DE7C40">
        <w:rPr>
          <w:rFonts w:ascii="Times New Roman" w:hAnsi="Times New Roman"/>
          <w:szCs w:val="28"/>
        </w:rPr>
        <w:t xml:space="preserve">una apposita </w:t>
      </w:r>
      <w:r w:rsidR="007E2CD5" w:rsidRPr="00DE7C40">
        <w:rPr>
          <w:rFonts w:ascii="Times New Roman" w:hAnsi="Times New Roman"/>
          <w:szCs w:val="28"/>
        </w:rPr>
        <w:t>S</w:t>
      </w:r>
      <w:r w:rsidR="00A12F44" w:rsidRPr="00DE7C40">
        <w:rPr>
          <w:rFonts w:ascii="Times New Roman" w:hAnsi="Times New Roman"/>
          <w:szCs w:val="28"/>
        </w:rPr>
        <w:t xml:space="preserve">ezione </w:t>
      </w:r>
      <w:r w:rsidRPr="00DE7C40">
        <w:rPr>
          <w:rFonts w:ascii="Times New Roman" w:hAnsi="Times New Roman"/>
          <w:szCs w:val="28"/>
        </w:rPr>
        <w:t xml:space="preserve">del presente Piano </w:t>
      </w:r>
      <w:r w:rsidR="00A12F44" w:rsidRPr="00DE7C40">
        <w:rPr>
          <w:rFonts w:ascii="Times New Roman" w:hAnsi="Times New Roman"/>
          <w:szCs w:val="28"/>
        </w:rPr>
        <w:t>l’</w:t>
      </w:r>
      <w:r w:rsidR="00A12F44" w:rsidRPr="00DE7C40">
        <w:rPr>
          <w:rFonts w:ascii="Times New Roman" w:hAnsi="Times New Roman"/>
          <w:i/>
          <w:szCs w:val="28"/>
        </w:rPr>
        <w:t xml:space="preserve">ex </w:t>
      </w:r>
      <w:r w:rsidR="00A12F44" w:rsidRPr="00DE7C40">
        <w:rPr>
          <w:rFonts w:ascii="Times New Roman" w:hAnsi="Times New Roman"/>
          <w:szCs w:val="28"/>
        </w:rPr>
        <w:t>P.T.T.I.</w:t>
      </w:r>
      <w:r w:rsidRPr="00DE7C40">
        <w:rPr>
          <w:rFonts w:ascii="Times New Roman" w:hAnsi="Times New Roman"/>
          <w:szCs w:val="28"/>
        </w:rPr>
        <w:t xml:space="preserve">, </w:t>
      </w:r>
      <w:r w:rsidR="00A12F44" w:rsidRPr="00DE7C40">
        <w:rPr>
          <w:rFonts w:ascii="Times New Roman" w:hAnsi="Times New Roman"/>
          <w:szCs w:val="28"/>
        </w:rPr>
        <w:t>che definisce le misure organizzative per l’attuazione degli obblighi di</w:t>
      </w:r>
      <w:r w:rsidR="00360D1C" w:rsidRPr="00DE7C40">
        <w:rPr>
          <w:rFonts w:ascii="Times New Roman" w:hAnsi="Times New Roman"/>
          <w:szCs w:val="28"/>
        </w:rPr>
        <w:t xml:space="preserve"> </w:t>
      </w:r>
      <w:r w:rsidR="00A42F11" w:rsidRPr="00DE7C40">
        <w:rPr>
          <w:rFonts w:ascii="Times New Roman" w:hAnsi="Times New Roman"/>
          <w:szCs w:val="28"/>
        </w:rPr>
        <w:t>trasparenza</w:t>
      </w:r>
      <w:r w:rsidRPr="00DE7C40">
        <w:rPr>
          <w:rFonts w:ascii="Times New Roman" w:hAnsi="Times New Roman"/>
          <w:szCs w:val="28"/>
        </w:rPr>
        <w:t>.</w:t>
      </w:r>
    </w:p>
    <w:p w:rsidR="00B650BA" w:rsidRPr="00DE7C40" w:rsidRDefault="001B5B36" w:rsidP="001B5B36">
      <w:pPr>
        <w:rPr>
          <w:rFonts w:ascii="Times New Roman" w:hAnsi="Times New Roman"/>
          <w:szCs w:val="28"/>
        </w:rPr>
      </w:pPr>
      <w:r w:rsidRPr="00DE7C40">
        <w:rPr>
          <w:rFonts w:ascii="Times New Roman" w:hAnsi="Times New Roman"/>
          <w:szCs w:val="28"/>
        </w:rPr>
        <w:t xml:space="preserve">Il Piano conserva lo stesso ambito di applicazione del </w:t>
      </w:r>
      <w:r w:rsidR="00920B60" w:rsidRPr="00DE7C40">
        <w:rPr>
          <w:rFonts w:ascii="Times New Roman" w:hAnsi="Times New Roman"/>
          <w:szCs w:val="28"/>
        </w:rPr>
        <w:t>P.T.P.C.</w:t>
      </w:r>
      <w:r w:rsidR="000A0407" w:rsidRPr="00DE7C40">
        <w:rPr>
          <w:rFonts w:ascii="Times New Roman" w:hAnsi="Times New Roman"/>
          <w:szCs w:val="28"/>
        </w:rPr>
        <w:t>T.</w:t>
      </w:r>
      <w:r w:rsidR="00645565" w:rsidRPr="00DE7C40">
        <w:rPr>
          <w:rFonts w:ascii="Times New Roman" w:hAnsi="Times New Roman"/>
          <w:szCs w:val="28"/>
        </w:rPr>
        <w:t xml:space="preserve"> 2020 – 2022</w:t>
      </w:r>
      <w:r w:rsidRPr="00DE7C40">
        <w:rPr>
          <w:rFonts w:ascii="Times New Roman" w:hAnsi="Times New Roman"/>
          <w:szCs w:val="28"/>
        </w:rPr>
        <w:t xml:space="preserve"> (par. 1.1</w:t>
      </w:r>
      <w:r w:rsidR="004F3E4B" w:rsidRPr="00DE7C40">
        <w:rPr>
          <w:rFonts w:ascii="Times New Roman" w:hAnsi="Times New Roman"/>
          <w:szCs w:val="28"/>
        </w:rPr>
        <w:t>)</w:t>
      </w:r>
      <w:r w:rsidR="00B650BA" w:rsidRPr="00DE7C40">
        <w:rPr>
          <w:rFonts w:ascii="Times New Roman" w:hAnsi="Times New Roman"/>
          <w:szCs w:val="28"/>
        </w:rPr>
        <w:t>.</w:t>
      </w:r>
      <w:r w:rsidR="00C624EA" w:rsidRPr="00DE7C40">
        <w:rPr>
          <w:rFonts w:ascii="Times New Roman" w:hAnsi="Times New Roman"/>
          <w:szCs w:val="28"/>
        </w:rPr>
        <w:t xml:space="preserve"> </w:t>
      </w:r>
    </w:p>
    <w:p w:rsidR="00190456" w:rsidRPr="00DE7C40" w:rsidRDefault="00726375" w:rsidP="00190456">
      <w:pPr>
        <w:rPr>
          <w:rFonts w:ascii="Times New Roman" w:hAnsi="Times New Roman"/>
          <w:szCs w:val="28"/>
        </w:rPr>
      </w:pPr>
      <w:r w:rsidRPr="00DE7C40">
        <w:rPr>
          <w:rFonts w:ascii="Times New Roman" w:hAnsi="Times New Roman"/>
          <w:szCs w:val="28"/>
        </w:rPr>
        <w:t xml:space="preserve">Per quanto riguarda </w:t>
      </w:r>
      <w:r w:rsidR="00915161" w:rsidRPr="00DE7C40">
        <w:rPr>
          <w:rFonts w:ascii="Times New Roman" w:hAnsi="Times New Roman"/>
          <w:szCs w:val="28"/>
        </w:rPr>
        <w:t xml:space="preserve">i Commissari straordinari di Governo e le relative Strutture di supporto, </w:t>
      </w:r>
      <w:r w:rsidR="00190456" w:rsidRPr="00DE7C40">
        <w:rPr>
          <w:rFonts w:ascii="Times New Roman" w:hAnsi="Times New Roman"/>
          <w:szCs w:val="28"/>
        </w:rPr>
        <w:t>a seguito dell’approvazione del P</w:t>
      </w:r>
      <w:r w:rsidR="00187464" w:rsidRPr="00DE7C40">
        <w:rPr>
          <w:rFonts w:ascii="Times New Roman" w:hAnsi="Times New Roman"/>
          <w:szCs w:val="28"/>
        </w:rPr>
        <w:t>.</w:t>
      </w:r>
      <w:r w:rsidR="00190456" w:rsidRPr="00DE7C40">
        <w:rPr>
          <w:rFonts w:ascii="Times New Roman" w:hAnsi="Times New Roman"/>
          <w:szCs w:val="28"/>
        </w:rPr>
        <w:t>N</w:t>
      </w:r>
      <w:r w:rsidR="00187464" w:rsidRPr="00DE7C40">
        <w:rPr>
          <w:rFonts w:ascii="Times New Roman" w:hAnsi="Times New Roman"/>
          <w:szCs w:val="28"/>
        </w:rPr>
        <w:t>.</w:t>
      </w:r>
      <w:r w:rsidR="00190456" w:rsidRPr="00DE7C40">
        <w:rPr>
          <w:rFonts w:ascii="Times New Roman" w:hAnsi="Times New Roman"/>
          <w:szCs w:val="28"/>
        </w:rPr>
        <w:t>A</w:t>
      </w:r>
      <w:r w:rsidR="00187464" w:rsidRPr="00DE7C40">
        <w:rPr>
          <w:rFonts w:ascii="Times New Roman" w:hAnsi="Times New Roman"/>
          <w:szCs w:val="28"/>
        </w:rPr>
        <w:t>.</w:t>
      </w:r>
      <w:r w:rsidR="00190456" w:rsidRPr="00DE7C40">
        <w:rPr>
          <w:rFonts w:ascii="Times New Roman" w:hAnsi="Times New Roman"/>
          <w:szCs w:val="28"/>
        </w:rPr>
        <w:t xml:space="preserve"> 2017</w:t>
      </w:r>
      <w:r w:rsidR="00025A36" w:rsidRPr="00DE7C40">
        <w:rPr>
          <w:rFonts w:ascii="Times New Roman" w:hAnsi="Times New Roman"/>
          <w:szCs w:val="28"/>
        </w:rPr>
        <w:t>,</w:t>
      </w:r>
      <w:r w:rsidR="00190456" w:rsidRPr="00DE7C40">
        <w:rPr>
          <w:rFonts w:ascii="Times New Roman" w:hAnsi="Times New Roman"/>
          <w:szCs w:val="28"/>
        </w:rPr>
        <w:t xml:space="preserve"> da parte dell’A</w:t>
      </w:r>
      <w:r w:rsidR="00FD6EDA" w:rsidRPr="00DE7C40">
        <w:rPr>
          <w:rFonts w:ascii="Times New Roman" w:hAnsi="Times New Roman"/>
          <w:szCs w:val="28"/>
        </w:rPr>
        <w:t>.</w:t>
      </w:r>
      <w:r w:rsidR="00190456" w:rsidRPr="00DE7C40">
        <w:rPr>
          <w:rFonts w:ascii="Times New Roman" w:hAnsi="Times New Roman"/>
          <w:szCs w:val="28"/>
        </w:rPr>
        <w:t>N</w:t>
      </w:r>
      <w:r w:rsidR="00FD6EDA" w:rsidRPr="00DE7C40">
        <w:rPr>
          <w:rFonts w:ascii="Times New Roman" w:hAnsi="Times New Roman"/>
          <w:szCs w:val="28"/>
        </w:rPr>
        <w:t>.</w:t>
      </w:r>
      <w:r w:rsidR="00190456" w:rsidRPr="00DE7C40">
        <w:rPr>
          <w:rFonts w:ascii="Times New Roman" w:hAnsi="Times New Roman"/>
          <w:szCs w:val="28"/>
        </w:rPr>
        <w:t>AC</w:t>
      </w:r>
      <w:r w:rsidR="00FD6EDA" w:rsidRPr="00DE7C40">
        <w:rPr>
          <w:rFonts w:ascii="Times New Roman" w:hAnsi="Times New Roman"/>
          <w:szCs w:val="28"/>
        </w:rPr>
        <w:t>.</w:t>
      </w:r>
      <w:r w:rsidR="00190456" w:rsidRPr="00DE7C40">
        <w:rPr>
          <w:rFonts w:ascii="Times New Roman" w:hAnsi="Times New Roman"/>
          <w:szCs w:val="28"/>
        </w:rPr>
        <w:t xml:space="preserve"> e in linea con le indicazioni </w:t>
      </w:r>
      <w:r w:rsidR="00B016A1" w:rsidRPr="00DE7C40">
        <w:rPr>
          <w:rFonts w:ascii="Times New Roman" w:hAnsi="Times New Roman"/>
          <w:szCs w:val="28"/>
        </w:rPr>
        <w:t xml:space="preserve">già </w:t>
      </w:r>
      <w:r w:rsidR="00190456" w:rsidRPr="00DE7C40">
        <w:rPr>
          <w:rFonts w:ascii="Times New Roman" w:hAnsi="Times New Roman"/>
          <w:szCs w:val="28"/>
        </w:rPr>
        <w:t xml:space="preserve">contenute nel </w:t>
      </w:r>
      <w:r w:rsidR="00920B60" w:rsidRPr="00DE7C40">
        <w:rPr>
          <w:rFonts w:ascii="Times New Roman" w:hAnsi="Times New Roman"/>
          <w:szCs w:val="28"/>
        </w:rPr>
        <w:t>P.T.P.C.T.</w:t>
      </w:r>
      <w:r w:rsidR="00FD6EDA" w:rsidRPr="00DE7C40">
        <w:rPr>
          <w:rFonts w:ascii="Times New Roman" w:hAnsi="Times New Roman"/>
          <w:szCs w:val="28"/>
        </w:rPr>
        <w:t xml:space="preserve"> </w:t>
      </w:r>
      <w:r w:rsidR="00190456" w:rsidRPr="00DE7C40">
        <w:rPr>
          <w:rFonts w:ascii="Times New Roman" w:hAnsi="Times New Roman"/>
          <w:szCs w:val="28"/>
        </w:rPr>
        <w:t>2018-2020 della P</w:t>
      </w:r>
      <w:r w:rsidR="00FD6EDA" w:rsidRPr="00DE7C40">
        <w:rPr>
          <w:rFonts w:ascii="Times New Roman" w:hAnsi="Times New Roman"/>
          <w:szCs w:val="28"/>
        </w:rPr>
        <w:t>.</w:t>
      </w:r>
      <w:r w:rsidR="00190456" w:rsidRPr="00DE7C40">
        <w:rPr>
          <w:rFonts w:ascii="Times New Roman" w:hAnsi="Times New Roman"/>
          <w:szCs w:val="28"/>
        </w:rPr>
        <w:t>C</w:t>
      </w:r>
      <w:r w:rsidR="00FD6EDA" w:rsidRPr="00DE7C40">
        <w:rPr>
          <w:rFonts w:ascii="Times New Roman" w:hAnsi="Times New Roman"/>
          <w:szCs w:val="28"/>
        </w:rPr>
        <w:t>.</w:t>
      </w:r>
      <w:r w:rsidR="00190456" w:rsidRPr="00DE7C40">
        <w:rPr>
          <w:rFonts w:ascii="Times New Roman" w:hAnsi="Times New Roman"/>
          <w:szCs w:val="28"/>
        </w:rPr>
        <w:t>M</w:t>
      </w:r>
      <w:r w:rsidR="00FD6EDA" w:rsidRPr="00DE7C40">
        <w:rPr>
          <w:rFonts w:ascii="Times New Roman" w:hAnsi="Times New Roman"/>
          <w:szCs w:val="28"/>
        </w:rPr>
        <w:t>.</w:t>
      </w:r>
      <w:r w:rsidR="00190456" w:rsidRPr="00DE7C40">
        <w:rPr>
          <w:rFonts w:ascii="Times New Roman" w:hAnsi="Times New Roman"/>
          <w:szCs w:val="28"/>
        </w:rPr>
        <w:t xml:space="preserve">, con </w:t>
      </w:r>
      <w:r w:rsidR="00915161" w:rsidRPr="00DE7C40">
        <w:rPr>
          <w:rFonts w:ascii="Times New Roman" w:hAnsi="Times New Roman"/>
          <w:szCs w:val="28"/>
        </w:rPr>
        <w:t xml:space="preserve">decreto del Presidente del Consiglio dei ministri </w:t>
      </w:r>
      <w:r w:rsidR="00190456" w:rsidRPr="00DE7C40">
        <w:rPr>
          <w:rFonts w:ascii="Times New Roman" w:hAnsi="Times New Roman"/>
          <w:szCs w:val="28"/>
        </w:rPr>
        <w:t xml:space="preserve">28 marzo 2018 è stato modificato l’art. 10 del </w:t>
      </w:r>
      <w:r w:rsidR="00915161" w:rsidRPr="00DE7C40">
        <w:rPr>
          <w:rFonts w:ascii="Times New Roman" w:hAnsi="Times New Roman"/>
          <w:szCs w:val="28"/>
        </w:rPr>
        <w:t>decreto del Presidente del Consiglio dei ministri</w:t>
      </w:r>
      <w:r w:rsidR="00190456" w:rsidRPr="00DE7C40">
        <w:rPr>
          <w:rFonts w:ascii="Times New Roman" w:hAnsi="Times New Roman"/>
          <w:szCs w:val="28"/>
        </w:rPr>
        <w:t xml:space="preserve"> 20 dicembre 2013, recante “</w:t>
      </w:r>
      <w:r w:rsidR="00190456" w:rsidRPr="00DE7C40">
        <w:rPr>
          <w:rFonts w:ascii="Times New Roman" w:hAnsi="Times New Roman"/>
          <w:i/>
          <w:szCs w:val="28"/>
        </w:rPr>
        <w:t>Modalità applicative degli obblighi di trasparenza in P</w:t>
      </w:r>
      <w:r w:rsidR="00075AAE" w:rsidRPr="00DE7C40">
        <w:rPr>
          <w:rFonts w:ascii="Times New Roman" w:hAnsi="Times New Roman"/>
          <w:i/>
          <w:szCs w:val="28"/>
        </w:rPr>
        <w:t>.</w:t>
      </w:r>
      <w:r w:rsidR="00190456" w:rsidRPr="00DE7C40">
        <w:rPr>
          <w:rFonts w:ascii="Times New Roman" w:hAnsi="Times New Roman"/>
          <w:i/>
          <w:szCs w:val="28"/>
        </w:rPr>
        <w:t>C</w:t>
      </w:r>
      <w:r w:rsidR="00075AAE" w:rsidRPr="00DE7C40">
        <w:rPr>
          <w:rFonts w:ascii="Times New Roman" w:hAnsi="Times New Roman"/>
          <w:i/>
          <w:szCs w:val="28"/>
        </w:rPr>
        <w:t>.</w:t>
      </w:r>
      <w:r w:rsidR="00190456" w:rsidRPr="00DE7C40">
        <w:rPr>
          <w:rFonts w:ascii="Times New Roman" w:hAnsi="Times New Roman"/>
          <w:i/>
          <w:szCs w:val="28"/>
        </w:rPr>
        <w:t>M</w:t>
      </w:r>
      <w:r w:rsidR="00075AAE" w:rsidRPr="00DE7C40">
        <w:rPr>
          <w:rFonts w:ascii="Times New Roman" w:hAnsi="Times New Roman"/>
          <w:i/>
          <w:szCs w:val="28"/>
        </w:rPr>
        <w:t>.</w:t>
      </w:r>
      <w:r w:rsidR="00190456" w:rsidRPr="00DE7C40">
        <w:rPr>
          <w:rFonts w:ascii="Times New Roman" w:hAnsi="Times New Roman"/>
          <w:i/>
          <w:szCs w:val="28"/>
        </w:rPr>
        <w:t xml:space="preserve"> ai sensi dell’art. 49 del </w:t>
      </w:r>
      <w:r w:rsidR="00B650BA" w:rsidRPr="00DE7C40">
        <w:rPr>
          <w:rFonts w:ascii="Times New Roman" w:hAnsi="Times New Roman"/>
          <w:i/>
          <w:szCs w:val="28"/>
        </w:rPr>
        <w:t>D</w:t>
      </w:r>
      <w:r w:rsidR="00190456" w:rsidRPr="00DE7C40">
        <w:rPr>
          <w:rFonts w:ascii="Times New Roman" w:hAnsi="Times New Roman"/>
          <w:i/>
          <w:szCs w:val="28"/>
        </w:rPr>
        <w:t>.</w:t>
      </w:r>
      <w:r w:rsidR="00B650BA" w:rsidRPr="00DE7C40">
        <w:rPr>
          <w:rFonts w:ascii="Times New Roman" w:hAnsi="Times New Roman"/>
          <w:i/>
          <w:szCs w:val="28"/>
        </w:rPr>
        <w:t>L</w:t>
      </w:r>
      <w:r w:rsidR="00645565" w:rsidRPr="00DE7C40">
        <w:rPr>
          <w:rFonts w:ascii="Times New Roman" w:hAnsi="Times New Roman"/>
          <w:i/>
          <w:szCs w:val="28"/>
        </w:rPr>
        <w:t xml:space="preserve">gs. </w:t>
      </w:r>
      <w:r w:rsidR="00816840" w:rsidRPr="00DE7C40">
        <w:rPr>
          <w:rFonts w:ascii="Times New Roman" w:hAnsi="Times New Roman"/>
          <w:i/>
          <w:szCs w:val="28"/>
        </w:rPr>
        <w:t>14 marzo 2013, n.33</w:t>
      </w:r>
      <w:r w:rsidR="00816840" w:rsidRPr="00DE7C40">
        <w:rPr>
          <w:rFonts w:ascii="Times New Roman" w:hAnsi="Times New Roman"/>
          <w:szCs w:val="28"/>
        </w:rPr>
        <w:t>”</w:t>
      </w:r>
      <w:r w:rsidR="00915161" w:rsidRPr="00DE7C40">
        <w:rPr>
          <w:rFonts w:ascii="Times New Roman" w:hAnsi="Times New Roman"/>
          <w:szCs w:val="28"/>
        </w:rPr>
        <w:t xml:space="preserve">. </w:t>
      </w:r>
    </w:p>
    <w:p w:rsidR="00F40673" w:rsidRPr="00DE7C40" w:rsidRDefault="00190456" w:rsidP="00F40673">
      <w:pPr>
        <w:rPr>
          <w:rFonts w:ascii="Times New Roman" w:hAnsi="Times New Roman"/>
          <w:szCs w:val="28"/>
        </w:rPr>
      </w:pPr>
      <w:r w:rsidRPr="00DE7C40">
        <w:rPr>
          <w:rFonts w:ascii="Times New Roman" w:hAnsi="Times New Roman"/>
          <w:szCs w:val="28"/>
        </w:rPr>
        <w:t xml:space="preserve">Ai sensi di tale </w:t>
      </w:r>
      <w:r w:rsidR="008444A3" w:rsidRPr="00DE7C40">
        <w:rPr>
          <w:rFonts w:ascii="Times New Roman" w:hAnsi="Times New Roman"/>
          <w:szCs w:val="28"/>
        </w:rPr>
        <w:t>D.P.C.M.</w:t>
      </w:r>
      <w:r w:rsidR="00187464" w:rsidRPr="00DE7C40">
        <w:rPr>
          <w:rFonts w:ascii="Times New Roman" w:hAnsi="Times New Roman"/>
          <w:szCs w:val="28"/>
        </w:rPr>
        <w:t>,</w:t>
      </w:r>
      <w:r w:rsidRPr="00DE7C40">
        <w:rPr>
          <w:rFonts w:ascii="Times New Roman" w:hAnsi="Times New Roman"/>
          <w:szCs w:val="28"/>
        </w:rPr>
        <w:t xml:space="preserve"> i Commiss</w:t>
      </w:r>
      <w:r w:rsidR="00B650BA" w:rsidRPr="00DE7C40">
        <w:rPr>
          <w:rFonts w:ascii="Times New Roman" w:hAnsi="Times New Roman"/>
          <w:szCs w:val="28"/>
        </w:rPr>
        <w:t>ari straordinari nominati</w:t>
      </w:r>
      <w:r w:rsidR="00025A36" w:rsidRPr="00DE7C40">
        <w:rPr>
          <w:rFonts w:ascii="Times New Roman" w:hAnsi="Times New Roman"/>
          <w:szCs w:val="28"/>
        </w:rPr>
        <w:t>,</w:t>
      </w:r>
      <w:r w:rsidR="00B650BA" w:rsidRPr="00DE7C40">
        <w:rPr>
          <w:rFonts w:ascii="Times New Roman" w:hAnsi="Times New Roman"/>
          <w:szCs w:val="28"/>
        </w:rPr>
        <w:t xml:space="preserve"> </w:t>
      </w:r>
      <w:r w:rsidR="00B650BA" w:rsidRPr="00DE7C40">
        <w:rPr>
          <w:rFonts w:ascii="Times New Roman" w:hAnsi="Times New Roman"/>
          <w:i/>
          <w:szCs w:val="28"/>
        </w:rPr>
        <w:t>ex le</w:t>
      </w:r>
      <w:r w:rsidRPr="00DE7C40">
        <w:rPr>
          <w:rFonts w:ascii="Times New Roman" w:hAnsi="Times New Roman"/>
          <w:i/>
          <w:szCs w:val="28"/>
        </w:rPr>
        <w:t>ge</w:t>
      </w:r>
      <w:r w:rsidRPr="00DE7C40">
        <w:rPr>
          <w:rFonts w:ascii="Times New Roman" w:hAnsi="Times New Roman"/>
          <w:szCs w:val="28"/>
        </w:rPr>
        <w:t xml:space="preserve"> </w:t>
      </w:r>
      <w:r w:rsidR="007F6BBD" w:rsidRPr="00DE7C40">
        <w:rPr>
          <w:rFonts w:ascii="Times New Roman" w:hAnsi="Times New Roman"/>
          <w:szCs w:val="28"/>
        </w:rPr>
        <w:t>23 agosto 1988, n. 400,</w:t>
      </w:r>
      <w:r w:rsidRPr="00DE7C40">
        <w:rPr>
          <w:rFonts w:ascii="Times New Roman" w:hAnsi="Times New Roman"/>
          <w:szCs w:val="28"/>
        </w:rPr>
        <w:t xml:space="preserve"> </w:t>
      </w:r>
      <w:r w:rsidR="00740608" w:rsidRPr="00DE7C40">
        <w:rPr>
          <w:rFonts w:ascii="Times New Roman" w:hAnsi="Times New Roman"/>
          <w:szCs w:val="28"/>
        </w:rPr>
        <w:t>“</w:t>
      </w:r>
      <w:r w:rsidR="00740608" w:rsidRPr="00DE7C40">
        <w:rPr>
          <w:rFonts w:ascii="Times New Roman" w:hAnsi="Times New Roman"/>
          <w:i/>
          <w:szCs w:val="28"/>
        </w:rPr>
        <w:t>Disciplina dell’attività di Governo e ordinamento della Presidenza del Consiglio dei Ministri</w:t>
      </w:r>
      <w:r w:rsidR="00740608" w:rsidRPr="00DE7C40">
        <w:rPr>
          <w:rFonts w:ascii="Times New Roman" w:hAnsi="Times New Roman"/>
          <w:szCs w:val="28"/>
        </w:rPr>
        <w:t xml:space="preserve">”, </w:t>
      </w:r>
      <w:r w:rsidRPr="00DE7C40">
        <w:rPr>
          <w:rFonts w:ascii="Times New Roman" w:hAnsi="Times New Roman"/>
          <w:szCs w:val="28"/>
        </w:rPr>
        <w:t>sono Responsabili della prevenzione della corruzione e della trasparenza della Struttura commissariale da loro presieduta; anche per i Commissari nominati ai sensi di leggi speciali vige lo stesso principio, salvo che le Amministrazioni di riferimento dispongano diversamente in sede di proposta di nomina. I Commissari straordinari sono, inoltre, direttamente responsabili dell’assolvimento degli obblighi di pubblicità.</w:t>
      </w:r>
    </w:p>
    <w:p w:rsidR="00DB4500" w:rsidRPr="00DE7C40" w:rsidRDefault="004F3E4B" w:rsidP="00DB4500">
      <w:pPr>
        <w:rPr>
          <w:rFonts w:ascii="Times New Roman" w:hAnsi="Times New Roman"/>
          <w:szCs w:val="28"/>
        </w:rPr>
      </w:pPr>
      <w:r w:rsidRPr="00DE7C40">
        <w:rPr>
          <w:rFonts w:ascii="Times New Roman" w:hAnsi="Times New Roman"/>
          <w:szCs w:val="28"/>
        </w:rPr>
        <w:t xml:space="preserve">Il Piano </w:t>
      </w:r>
      <w:r w:rsidR="001B5B36" w:rsidRPr="00DE7C40">
        <w:rPr>
          <w:rFonts w:ascii="Times New Roman" w:hAnsi="Times New Roman"/>
          <w:szCs w:val="28"/>
        </w:rPr>
        <w:t>adegua</w:t>
      </w:r>
      <w:r w:rsidR="00206A2E" w:rsidRPr="00DE7C40">
        <w:rPr>
          <w:rFonts w:ascii="Times New Roman" w:hAnsi="Times New Roman"/>
          <w:szCs w:val="28"/>
        </w:rPr>
        <w:t xml:space="preserve"> la strategia di prevenzione agli </w:t>
      </w:r>
      <w:r w:rsidR="00700B33" w:rsidRPr="00DE7C40">
        <w:rPr>
          <w:rFonts w:ascii="Times New Roman" w:hAnsi="Times New Roman"/>
          <w:szCs w:val="28"/>
        </w:rPr>
        <w:t>indirizzi impartiti dall’A.N.A</w:t>
      </w:r>
      <w:r w:rsidR="001B5B36" w:rsidRPr="00DE7C40">
        <w:rPr>
          <w:rFonts w:ascii="Times New Roman" w:hAnsi="Times New Roman"/>
          <w:szCs w:val="28"/>
        </w:rPr>
        <w:t xml:space="preserve">C. con </w:t>
      </w:r>
      <w:r w:rsidR="004F0FF6" w:rsidRPr="00DE7C40">
        <w:rPr>
          <w:rFonts w:ascii="Times New Roman" w:hAnsi="Times New Roman"/>
          <w:szCs w:val="28"/>
        </w:rPr>
        <w:t xml:space="preserve">i contenuti dei </w:t>
      </w:r>
      <w:r w:rsidR="006F23EE" w:rsidRPr="00DE7C40">
        <w:rPr>
          <w:rFonts w:ascii="Times New Roman" w:hAnsi="Times New Roman"/>
          <w:szCs w:val="28"/>
        </w:rPr>
        <w:t xml:space="preserve">P.N.A. </w:t>
      </w:r>
      <w:r w:rsidR="00E42F05" w:rsidRPr="00DE7C40">
        <w:rPr>
          <w:rFonts w:ascii="Times New Roman" w:hAnsi="Times New Roman"/>
          <w:szCs w:val="28"/>
        </w:rPr>
        <w:t>e</w:t>
      </w:r>
      <w:r w:rsidR="0012325C" w:rsidRPr="00DE7C40">
        <w:rPr>
          <w:rFonts w:ascii="Times New Roman" w:hAnsi="Times New Roman"/>
          <w:szCs w:val="28"/>
        </w:rPr>
        <w:t>, da ultimo,</w:t>
      </w:r>
      <w:r w:rsidR="00E42F05" w:rsidRPr="00DE7C40">
        <w:rPr>
          <w:rFonts w:ascii="Times New Roman" w:hAnsi="Times New Roman"/>
          <w:szCs w:val="28"/>
        </w:rPr>
        <w:t xml:space="preserve"> con </w:t>
      </w:r>
      <w:r w:rsidR="0012325C" w:rsidRPr="00DE7C40">
        <w:rPr>
          <w:rFonts w:ascii="Times New Roman" w:hAnsi="Times New Roman"/>
          <w:szCs w:val="28"/>
        </w:rPr>
        <w:t xml:space="preserve">la </w:t>
      </w:r>
      <w:r w:rsidR="006A5ECC" w:rsidRPr="00DE7C40">
        <w:rPr>
          <w:rFonts w:ascii="Times New Roman" w:hAnsi="Times New Roman"/>
          <w:szCs w:val="28"/>
        </w:rPr>
        <w:t xml:space="preserve">delibera </w:t>
      </w:r>
      <w:r w:rsidR="007F6BBD" w:rsidRPr="00DE7C40">
        <w:rPr>
          <w:rFonts w:ascii="Times New Roman" w:hAnsi="Times New Roman"/>
          <w:szCs w:val="28"/>
        </w:rPr>
        <w:t xml:space="preserve">n. </w:t>
      </w:r>
      <w:r w:rsidR="006A5ECC" w:rsidRPr="00DE7C40">
        <w:rPr>
          <w:rFonts w:ascii="Times New Roman" w:hAnsi="Times New Roman"/>
          <w:szCs w:val="28"/>
        </w:rPr>
        <w:t>1</w:t>
      </w:r>
      <w:r w:rsidR="00B016A1" w:rsidRPr="00DE7C40">
        <w:rPr>
          <w:rFonts w:ascii="Times New Roman" w:hAnsi="Times New Roman"/>
          <w:szCs w:val="28"/>
        </w:rPr>
        <w:t>064 del 13 novembre 2019</w:t>
      </w:r>
      <w:r w:rsidR="00206A2E" w:rsidRPr="00DE7C40">
        <w:rPr>
          <w:rFonts w:ascii="Times New Roman" w:hAnsi="Times New Roman"/>
          <w:szCs w:val="28"/>
        </w:rPr>
        <w:t>,</w:t>
      </w:r>
      <w:r w:rsidR="00E42F05" w:rsidRPr="00DE7C40">
        <w:rPr>
          <w:rFonts w:ascii="Times New Roman" w:hAnsi="Times New Roman"/>
          <w:szCs w:val="28"/>
        </w:rPr>
        <w:t xml:space="preserve"> di approvazione </w:t>
      </w:r>
      <w:r w:rsidR="00B016A1" w:rsidRPr="00DE7C40">
        <w:rPr>
          <w:rFonts w:ascii="Times New Roman" w:hAnsi="Times New Roman"/>
          <w:szCs w:val="28"/>
        </w:rPr>
        <w:t xml:space="preserve">del </w:t>
      </w:r>
      <w:r w:rsidR="00E42F05" w:rsidRPr="00DE7C40">
        <w:rPr>
          <w:rFonts w:ascii="Times New Roman" w:hAnsi="Times New Roman"/>
          <w:szCs w:val="28"/>
        </w:rPr>
        <w:t>P</w:t>
      </w:r>
      <w:r w:rsidR="00D838E2" w:rsidRPr="00DE7C40">
        <w:rPr>
          <w:rFonts w:ascii="Times New Roman" w:hAnsi="Times New Roman"/>
          <w:szCs w:val="28"/>
        </w:rPr>
        <w:t>.</w:t>
      </w:r>
      <w:r w:rsidR="00E42F05" w:rsidRPr="00DE7C40">
        <w:rPr>
          <w:rFonts w:ascii="Times New Roman" w:hAnsi="Times New Roman"/>
          <w:szCs w:val="28"/>
        </w:rPr>
        <w:t>N</w:t>
      </w:r>
      <w:r w:rsidR="00D838E2" w:rsidRPr="00DE7C40">
        <w:rPr>
          <w:rFonts w:ascii="Times New Roman" w:hAnsi="Times New Roman"/>
          <w:szCs w:val="28"/>
        </w:rPr>
        <w:t>.</w:t>
      </w:r>
      <w:r w:rsidR="00E42F05" w:rsidRPr="00DE7C40">
        <w:rPr>
          <w:rFonts w:ascii="Times New Roman" w:hAnsi="Times New Roman"/>
          <w:szCs w:val="28"/>
        </w:rPr>
        <w:t>A</w:t>
      </w:r>
      <w:r w:rsidR="00D838E2" w:rsidRPr="00DE7C40">
        <w:rPr>
          <w:rFonts w:ascii="Times New Roman" w:hAnsi="Times New Roman"/>
          <w:szCs w:val="28"/>
        </w:rPr>
        <w:t>.</w:t>
      </w:r>
      <w:r w:rsidR="006A5ECC" w:rsidRPr="00DE7C40">
        <w:rPr>
          <w:rFonts w:ascii="Times New Roman" w:hAnsi="Times New Roman"/>
          <w:szCs w:val="28"/>
        </w:rPr>
        <w:t xml:space="preserve"> </w:t>
      </w:r>
      <w:r w:rsidR="00B016A1" w:rsidRPr="00DE7C40">
        <w:rPr>
          <w:rFonts w:ascii="Times New Roman" w:hAnsi="Times New Roman"/>
          <w:szCs w:val="28"/>
        </w:rPr>
        <w:t xml:space="preserve">2019. </w:t>
      </w:r>
    </w:p>
    <w:p w:rsidR="00726375" w:rsidRPr="00DE7C40" w:rsidRDefault="007F6BBD" w:rsidP="00DB4500">
      <w:pPr>
        <w:rPr>
          <w:rFonts w:ascii="Times New Roman" w:hAnsi="Times New Roman"/>
          <w:szCs w:val="28"/>
        </w:rPr>
      </w:pPr>
      <w:r w:rsidRPr="00DE7C40">
        <w:rPr>
          <w:rFonts w:ascii="Times New Roman" w:hAnsi="Times New Roman"/>
          <w:szCs w:val="28"/>
        </w:rPr>
        <w:t>L’applicazione delle prescrizioni e delle direttive contenute nel presente Piano</w:t>
      </w:r>
      <w:r w:rsidR="00CF69F7" w:rsidRPr="00DE7C40">
        <w:rPr>
          <w:rFonts w:ascii="Times New Roman" w:hAnsi="Times New Roman"/>
          <w:szCs w:val="28"/>
        </w:rPr>
        <w:t>,</w:t>
      </w:r>
      <w:r w:rsidRPr="00DE7C40">
        <w:rPr>
          <w:rFonts w:ascii="Times New Roman" w:hAnsi="Times New Roman"/>
          <w:szCs w:val="28"/>
        </w:rPr>
        <w:t xml:space="preserve"> tiene conto dei contenuti dell’</w:t>
      </w:r>
      <w:r w:rsidR="00740608" w:rsidRPr="00DE7C40">
        <w:rPr>
          <w:rFonts w:ascii="Times New Roman" w:hAnsi="Times New Roman"/>
          <w:szCs w:val="28"/>
        </w:rPr>
        <w:t>O</w:t>
      </w:r>
      <w:r w:rsidR="00726375" w:rsidRPr="00DE7C40">
        <w:rPr>
          <w:rFonts w:ascii="Times New Roman" w:hAnsi="Times New Roman"/>
          <w:szCs w:val="28"/>
        </w:rPr>
        <w:t>rdinanza del Capo Dipartimento</w:t>
      </w:r>
      <w:r w:rsidRPr="00DE7C40">
        <w:rPr>
          <w:rFonts w:ascii="Times New Roman" w:hAnsi="Times New Roman"/>
          <w:szCs w:val="28"/>
        </w:rPr>
        <w:t xml:space="preserve"> della protezione civile</w:t>
      </w:r>
      <w:r w:rsidR="00726375" w:rsidRPr="00DE7C40">
        <w:rPr>
          <w:rFonts w:ascii="Times New Roman" w:hAnsi="Times New Roman"/>
          <w:szCs w:val="28"/>
        </w:rPr>
        <w:t xml:space="preserve"> del 1° aprile 2020, n. 659, pubblicata nella Gazzetta ufficiale, Serie generale, n. 90 del 4 aprile 2020</w:t>
      </w:r>
      <w:r w:rsidR="00E31028" w:rsidRPr="00DE7C40">
        <w:rPr>
          <w:rFonts w:ascii="Times New Roman" w:hAnsi="Times New Roman"/>
          <w:szCs w:val="28"/>
        </w:rPr>
        <w:t xml:space="preserve">. L’art. 2 di tale ordinanza </w:t>
      </w:r>
      <w:r w:rsidR="00726375" w:rsidRPr="00DE7C40">
        <w:rPr>
          <w:rFonts w:ascii="Times New Roman" w:hAnsi="Times New Roman"/>
          <w:szCs w:val="28"/>
        </w:rPr>
        <w:t>prev</w:t>
      </w:r>
      <w:r w:rsidR="00E31028" w:rsidRPr="00DE7C40">
        <w:rPr>
          <w:rFonts w:ascii="Times New Roman" w:hAnsi="Times New Roman"/>
          <w:szCs w:val="28"/>
        </w:rPr>
        <w:t xml:space="preserve">ede </w:t>
      </w:r>
      <w:r w:rsidR="00726375" w:rsidRPr="00DE7C40">
        <w:rPr>
          <w:rFonts w:ascii="Times New Roman" w:hAnsi="Times New Roman"/>
          <w:szCs w:val="28"/>
        </w:rPr>
        <w:t>una normativa eccezionale, disponendo la sospensione degli adempimenti di trasparenza e di prevenzione della corruzione per il predetto Dipartimento</w:t>
      </w:r>
      <w:r w:rsidR="00CF69F7" w:rsidRPr="00DE7C40">
        <w:rPr>
          <w:rFonts w:ascii="Times New Roman" w:hAnsi="Times New Roman"/>
          <w:szCs w:val="28"/>
        </w:rPr>
        <w:t>,</w:t>
      </w:r>
      <w:r w:rsidR="00726375" w:rsidRPr="00DE7C40">
        <w:rPr>
          <w:rFonts w:ascii="Times New Roman" w:hAnsi="Times New Roman"/>
          <w:szCs w:val="28"/>
        </w:rPr>
        <w:t xml:space="preserve"> sino a trenta giorni dopo la cessazione dello stato di emergenza</w:t>
      </w:r>
      <w:r w:rsidR="00CF69F7" w:rsidRPr="00DE7C40">
        <w:rPr>
          <w:rFonts w:ascii="Times New Roman" w:hAnsi="Times New Roman"/>
          <w:szCs w:val="28"/>
        </w:rPr>
        <w:t>,</w:t>
      </w:r>
      <w:r w:rsidR="00726375" w:rsidRPr="00DE7C40">
        <w:rPr>
          <w:rFonts w:ascii="Times New Roman" w:hAnsi="Times New Roman"/>
          <w:szCs w:val="28"/>
        </w:rPr>
        <w:t xml:space="preserve"> dovuta alla pandemia causata dalla diffusione del COVID-19.</w:t>
      </w:r>
      <w:r w:rsidR="00A23F47" w:rsidRPr="00DE7C40">
        <w:rPr>
          <w:rFonts w:ascii="Times New Roman" w:hAnsi="Times New Roman"/>
          <w:szCs w:val="28"/>
        </w:rPr>
        <w:t xml:space="preserve"> Lo stato di emergenza </w:t>
      </w:r>
      <w:r w:rsidR="00595DB5" w:rsidRPr="00DE7C40">
        <w:rPr>
          <w:rFonts w:ascii="Times New Roman" w:hAnsi="Times New Roman"/>
          <w:szCs w:val="28"/>
        </w:rPr>
        <w:t>è stato prorogato al 30 aprile 2021 con Delibera del Consiglio dei ministri del 13 gennaio 2021.</w:t>
      </w:r>
    </w:p>
    <w:p w:rsidR="00AD1565" w:rsidRPr="00DE7C40" w:rsidRDefault="00727EC6" w:rsidP="00694CEF">
      <w:pPr>
        <w:pStyle w:val="Titolo2"/>
        <w:rPr>
          <w:rFonts w:ascii="Times New Roman" w:hAnsi="Times New Roman"/>
          <w:szCs w:val="28"/>
        </w:rPr>
      </w:pPr>
      <w:bookmarkStart w:id="10" w:name="_Toc226790521"/>
      <w:bookmarkStart w:id="11" w:name="_Toc355778757"/>
      <w:bookmarkStart w:id="12" w:name="_Toc66721200"/>
      <w:r w:rsidRPr="00DE7C40">
        <w:rPr>
          <w:rFonts w:ascii="Times New Roman" w:hAnsi="Times New Roman"/>
          <w:szCs w:val="28"/>
        </w:rPr>
        <w:t>E</w:t>
      </w:r>
      <w:r w:rsidR="0007398A" w:rsidRPr="00DE7C40">
        <w:rPr>
          <w:rFonts w:ascii="Times New Roman" w:hAnsi="Times New Roman"/>
          <w:szCs w:val="28"/>
        </w:rPr>
        <w:t>laborazione</w:t>
      </w:r>
      <w:r w:rsidR="003922D1" w:rsidRPr="00DE7C40">
        <w:rPr>
          <w:rFonts w:ascii="Times New Roman" w:hAnsi="Times New Roman"/>
          <w:szCs w:val="28"/>
        </w:rPr>
        <w:t>,</w:t>
      </w:r>
      <w:r w:rsidR="00766607" w:rsidRPr="00DE7C40">
        <w:rPr>
          <w:rFonts w:ascii="Times New Roman" w:hAnsi="Times New Roman"/>
          <w:szCs w:val="28"/>
        </w:rPr>
        <w:t xml:space="preserve"> </w:t>
      </w:r>
      <w:r w:rsidR="00331179" w:rsidRPr="00DE7C40">
        <w:rPr>
          <w:rFonts w:ascii="Times New Roman" w:hAnsi="Times New Roman"/>
          <w:szCs w:val="28"/>
        </w:rPr>
        <w:t>s</w:t>
      </w:r>
      <w:r w:rsidR="00AD1565" w:rsidRPr="00DE7C40">
        <w:rPr>
          <w:rFonts w:ascii="Times New Roman" w:hAnsi="Times New Roman"/>
          <w:szCs w:val="28"/>
        </w:rPr>
        <w:t>truttura</w:t>
      </w:r>
      <w:bookmarkEnd w:id="10"/>
      <w:bookmarkEnd w:id="11"/>
      <w:r w:rsidR="003922D1" w:rsidRPr="00DE7C40">
        <w:rPr>
          <w:rFonts w:ascii="Times New Roman" w:hAnsi="Times New Roman"/>
          <w:szCs w:val="28"/>
        </w:rPr>
        <w:t xml:space="preserve"> e pubblicazione</w:t>
      </w:r>
      <w:bookmarkEnd w:id="12"/>
      <w:r w:rsidR="0027125D" w:rsidRPr="00DE7C40">
        <w:rPr>
          <w:rFonts w:ascii="Times New Roman" w:hAnsi="Times New Roman"/>
          <w:szCs w:val="28"/>
        </w:rPr>
        <w:t xml:space="preserve"> </w:t>
      </w:r>
    </w:p>
    <w:p w:rsidR="00531C1C" w:rsidRPr="00DE7C40" w:rsidRDefault="00531C1C" w:rsidP="00531C1C">
      <w:pPr>
        <w:rPr>
          <w:rFonts w:ascii="Times New Roman" w:hAnsi="Times New Roman"/>
          <w:szCs w:val="28"/>
        </w:rPr>
      </w:pPr>
      <w:r w:rsidRPr="00DE7C40">
        <w:rPr>
          <w:rFonts w:ascii="Times New Roman" w:hAnsi="Times New Roman"/>
          <w:szCs w:val="28"/>
        </w:rPr>
        <w:t>Con Comunicato del 2 dicembre 2020</w:t>
      </w:r>
      <w:r w:rsidR="00CF69F7" w:rsidRPr="00DE7C40">
        <w:rPr>
          <w:rFonts w:ascii="Times New Roman" w:hAnsi="Times New Roman"/>
          <w:szCs w:val="28"/>
        </w:rPr>
        <w:t>,</w:t>
      </w:r>
      <w:r w:rsidRPr="00DE7C40">
        <w:rPr>
          <w:rFonts w:ascii="Times New Roman" w:hAnsi="Times New Roman"/>
          <w:szCs w:val="28"/>
        </w:rPr>
        <w:t xml:space="preserve"> tenuto conto dell’emergenza sanitaria da C</w:t>
      </w:r>
      <w:r w:rsidR="003228D9" w:rsidRPr="00DE7C40">
        <w:rPr>
          <w:rFonts w:ascii="Times New Roman" w:hAnsi="Times New Roman"/>
          <w:szCs w:val="28"/>
        </w:rPr>
        <w:t>OVID</w:t>
      </w:r>
      <w:r w:rsidRPr="00DE7C40">
        <w:rPr>
          <w:rFonts w:ascii="Times New Roman" w:hAnsi="Times New Roman"/>
          <w:szCs w:val="28"/>
        </w:rPr>
        <w:t>-</w:t>
      </w:r>
      <w:r w:rsidR="003228D9" w:rsidRPr="00DE7C40">
        <w:rPr>
          <w:rFonts w:ascii="Times New Roman" w:hAnsi="Times New Roman"/>
          <w:szCs w:val="28"/>
        </w:rPr>
        <w:t>1</w:t>
      </w:r>
      <w:r w:rsidRPr="00DE7C40">
        <w:rPr>
          <w:rFonts w:ascii="Times New Roman" w:hAnsi="Times New Roman"/>
          <w:szCs w:val="28"/>
        </w:rPr>
        <w:t>9, il Consiglio dell’A</w:t>
      </w:r>
      <w:r w:rsidR="00740608" w:rsidRPr="00DE7C40">
        <w:rPr>
          <w:rFonts w:ascii="Times New Roman" w:hAnsi="Times New Roman"/>
          <w:szCs w:val="28"/>
        </w:rPr>
        <w:t>.N.AC.</w:t>
      </w:r>
      <w:r w:rsidRPr="00DE7C40">
        <w:rPr>
          <w:rFonts w:ascii="Times New Roman" w:hAnsi="Times New Roman"/>
          <w:szCs w:val="28"/>
        </w:rPr>
        <w:t xml:space="preserve"> ha ritenuto opportuno differire al 31 marzo 2021 il termine ultimo per la predisposizione e la pubblicazione della Relazione annuale 2020 che i R</w:t>
      </w:r>
      <w:r w:rsidR="00740608" w:rsidRPr="00DE7C40">
        <w:rPr>
          <w:rFonts w:ascii="Times New Roman" w:hAnsi="Times New Roman"/>
          <w:szCs w:val="28"/>
        </w:rPr>
        <w:t>.P.C.T.</w:t>
      </w:r>
      <w:r w:rsidRPr="00DE7C40">
        <w:rPr>
          <w:rFonts w:ascii="Times New Roman" w:hAnsi="Times New Roman"/>
          <w:szCs w:val="28"/>
        </w:rPr>
        <w:t xml:space="preserve"> sono tenuti ad elaborare, ai sensi dell’art. 1, co</w:t>
      </w:r>
      <w:r w:rsidR="00740608" w:rsidRPr="00DE7C40">
        <w:rPr>
          <w:rFonts w:ascii="Times New Roman" w:hAnsi="Times New Roman"/>
          <w:szCs w:val="28"/>
        </w:rPr>
        <w:t>mma</w:t>
      </w:r>
      <w:r w:rsidRPr="00DE7C40">
        <w:rPr>
          <w:rFonts w:ascii="Times New Roman" w:hAnsi="Times New Roman"/>
          <w:szCs w:val="28"/>
        </w:rPr>
        <w:t xml:space="preserve"> 14, della </w:t>
      </w:r>
      <w:r w:rsidR="00740608" w:rsidRPr="00DE7C40">
        <w:rPr>
          <w:rFonts w:ascii="Times New Roman" w:hAnsi="Times New Roman"/>
          <w:szCs w:val="28"/>
        </w:rPr>
        <w:t>L. n.</w:t>
      </w:r>
      <w:r w:rsidRPr="00DE7C40">
        <w:rPr>
          <w:rFonts w:ascii="Times New Roman" w:hAnsi="Times New Roman"/>
          <w:szCs w:val="28"/>
        </w:rPr>
        <w:t xml:space="preserve"> 190/2012. Per le stesse motivazioni legate all’emergenza sanitaria e al fine di consentire ai R</w:t>
      </w:r>
      <w:r w:rsidR="00740608" w:rsidRPr="00DE7C40">
        <w:rPr>
          <w:rFonts w:ascii="Times New Roman" w:hAnsi="Times New Roman"/>
          <w:szCs w:val="28"/>
        </w:rPr>
        <w:t>.</w:t>
      </w:r>
      <w:r w:rsidRPr="00DE7C40">
        <w:rPr>
          <w:rFonts w:ascii="Times New Roman" w:hAnsi="Times New Roman"/>
          <w:szCs w:val="28"/>
        </w:rPr>
        <w:t>P</w:t>
      </w:r>
      <w:r w:rsidR="00740608" w:rsidRPr="00DE7C40">
        <w:rPr>
          <w:rFonts w:ascii="Times New Roman" w:hAnsi="Times New Roman"/>
          <w:szCs w:val="28"/>
        </w:rPr>
        <w:t>.</w:t>
      </w:r>
      <w:r w:rsidRPr="00DE7C40">
        <w:rPr>
          <w:rFonts w:ascii="Times New Roman" w:hAnsi="Times New Roman"/>
          <w:szCs w:val="28"/>
        </w:rPr>
        <w:t>C</w:t>
      </w:r>
      <w:r w:rsidR="00740608" w:rsidRPr="00DE7C40">
        <w:rPr>
          <w:rFonts w:ascii="Times New Roman" w:hAnsi="Times New Roman"/>
          <w:szCs w:val="28"/>
        </w:rPr>
        <w:t>.</w:t>
      </w:r>
      <w:r w:rsidRPr="00DE7C40">
        <w:rPr>
          <w:rFonts w:ascii="Times New Roman" w:hAnsi="Times New Roman"/>
          <w:szCs w:val="28"/>
        </w:rPr>
        <w:t>T</w:t>
      </w:r>
      <w:r w:rsidR="00740608" w:rsidRPr="00DE7C40">
        <w:rPr>
          <w:rFonts w:ascii="Times New Roman" w:hAnsi="Times New Roman"/>
          <w:szCs w:val="28"/>
        </w:rPr>
        <w:t>.</w:t>
      </w:r>
      <w:r w:rsidRPr="00DE7C40">
        <w:rPr>
          <w:rFonts w:ascii="Times New Roman" w:hAnsi="Times New Roman"/>
          <w:szCs w:val="28"/>
        </w:rPr>
        <w:t xml:space="preserve"> di svolgere adeguatamente tutte le attività connesse all’elaborazione dei P</w:t>
      </w:r>
      <w:r w:rsidR="00740608" w:rsidRPr="00DE7C40">
        <w:rPr>
          <w:rFonts w:ascii="Times New Roman" w:hAnsi="Times New Roman"/>
          <w:szCs w:val="28"/>
        </w:rPr>
        <w:t>.T.P.C.T.,</w:t>
      </w:r>
      <w:r w:rsidRPr="00DE7C40">
        <w:rPr>
          <w:rFonts w:ascii="Times New Roman" w:hAnsi="Times New Roman"/>
          <w:szCs w:val="28"/>
        </w:rPr>
        <w:t xml:space="preserve"> il Consiglio dell’Autorità ha altresì deliberato di differire alla medesima data (31 marzo 2021) il termine ultimo per la predisposizione e la pubblicazione dei </w:t>
      </w:r>
      <w:r w:rsidR="00740608" w:rsidRPr="00DE7C40">
        <w:rPr>
          <w:rFonts w:ascii="Times New Roman" w:hAnsi="Times New Roman"/>
          <w:szCs w:val="28"/>
        </w:rPr>
        <w:t xml:space="preserve">medesimi </w:t>
      </w:r>
      <w:r w:rsidRPr="00DE7C40">
        <w:rPr>
          <w:rFonts w:ascii="Times New Roman" w:hAnsi="Times New Roman"/>
          <w:szCs w:val="28"/>
        </w:rPr>
        <w:t>Piani 2021-2023.</w:t>
      </w:r>
    </w:p>
    <w:p w:rsidR="004A3608" w:rsidRPr="00DE7C40" w:rsidRDefault="004A3608" w:rsidP="00184FB1">
      <w:pPr>
        <w:rPr>
          <w:rFonts w:ascii="Times New Roman" w:hAnsi="Times New Roman"/>
          <w:szCs w:val="28"/>
        </w:rPr>
      </w:pPr>
      <w:r w:rsidRPr="00DE7C40">
        <w:rPr>
          <w:rFonts w:ascii="Times New Roman" w:hAnsi="Times New Roman"/>
          <w:szCs w:val="28"/>
        </w:rPr>
        <w:t xml:space="preserve">Il presente </w:t>
      </w:r>
      <w:r w:rsidR="00920B60" w:rsidRPr="00DE7C40">
        <w:rPr>
          <w:rFonts w:ascii="Times New Roman" w:hAnsi="Times New Roman"/>
          <w:szCs w:val="28"/>
        </w:rPr>
        <w:t>P.T.P.C.T.</w:t>
      </w:r>
      <w:r w:rsidRPr="00DE7C40">
        <w:rPr>
          <w:rFonts w:ascii="Times New Roman" w:hAnsi="Times New Roman"/>
          <w:szCs w:val="28"/>
        </w:rPr>
        <w:t xml:space="preserve"> è stato elaborato tenendo presenti gli elementi pervenuti a seguito della consultazione nell’ambito della P.C.M. avviata dal Responsabile e indirizzata ai Capi delle Strutture </w:t>
      </w:r>
      <w:r w:rsidR="00B016A1" w:rsidRPr="00DE7C40">
        <w:rPr>
          <w:rFonts w:ascii="Times New Roman" w:hAnsi="Times New Roman"/>
          <w:szCs w:val="28"/>
        </w:rPr>
        <w:t xml:space="preserve">(cfr.: </w:t>
      </w:r>
      <w:r w:rsidR="00920B60" w:rsidRPr="00DE7C40">
        <w:rPr>
          <w:rFonts w:ascii="Times New Roman" w:hAnsi="Times New Roman"/>
          <w:szCs w:val="28"/>
        </w:rPr>
        <w:t>P.T.P.C.</w:t>
      </w:r>
      <w:r w:rsidR="008326E6" w:rsidRPr="00DE7C40">
        <w:rPr>
          <w:rFonts w:ascii="Times New Roman" w:hAnsi="Times New Roman"/>
          <w:szCs w:val="28"/>
        </w:rPr>
        <w:t>T.</w:t>
      </w:r>
      <w:r w:rsidR="00645565" w:rsidRPr="00DE7C40">
        <w:rPr>
          <w:rFonts w:ascii="Times New Roman" w:hAnsi="Times New Roman"/>
          <w:szCs w:val="28"/>
        </w:rPr>
        <w:t xml:space="preserve"> 2020-2022</w:t>
      </w:r>
      <w:r w:rsidRPr="00DE7C40">
        <w:rPr>
          <w:rFonts w:ascii="Times New Roman" w:hAnsi="Times New Roman"/>
          <w:szCs w:val="28"/>
        </w:rPr>
        <w:t>, par.7).</w:t>
      </w:r>
      <w:r w:rsidR="00DA1A02" w:rsidRPr="00DE7C40">
        <w:rPr>
          <w:rFonts w:ascii="Times New Roman" w:hAnsi="Times New Roman"/>
          <w:szCs w:val="28"/>
        </w:rPr>
        <w:t xml:space="preserve"> </w:t>
      </w:r>
    </w:p>
    <w:p w:rsidR="00892F97" w:rsidRPr="00DE7C40" w:rsidRDefault="004A3608" w:rsidP="00F92246">
      <w:pPr>
        <w:rPr>
          <w:rFonts w:ascii="Times New Roman" w:hAnsi="Times New Roman"/>
          <w:szCs w:val="28"/>
        </w:rPr>
      </w:pPr>
      <w:r w:rsidRPr="00DE7C40">
        <w:rPr>
          <w:rFonts w:ascii="Times New Roman" w:hAnsi="Times New Roman"/>
          <w:szCs w:val="28"/>
        </w:rPr>
        <w:t>La programmazione di attività inno</w:t>
      </w:r>
      <w:r w:rsidR="00791537" w:rsidRPr="00DE7C40">
        <w:rPr>
          <w:rFonts w:ascii="Times New Roman" w:hAnsi="Times New Roman"/>
          <w:szCs w:val="28"/>
        </w:rPr>
        <w:t xml:space="preserve">vative rispetto al </w:t>
      </w:r>
      <w:r w:rsidR="00920B60" w:rsidRPr="00DE7C40">
        <w:rPr>
          <w:rFonts w:ascii="Times New Roman" w:hAnsi="Times New Roman"/>
          <w:szCs w:val="28"/>
        </w:rPr>
        <w:t>P.T.P.C.</w:t>
      </w:r>
      <w:r w:rsidR="008326E6" w:rsidRPr="00DE7C40">
        <w:rPr>
          <w:rFonts w:ascii="Times New Roman" w:hAnsi="Times New Roman"/>
          <w:szCs w:val="28"/>
        </w:rPr>
        <w:t>T.</w:t>
      </w:r>
      <w:r w:rsidR="00645565" w:rsidRPr="00DE7C40">
        <w:rPr>
          <w:rFonts w:ascii="Times New Roman" w:hAnsi="Times New Roman"/>
          <w:szCs w:val="28"/>
        </w:rPr>
        <w:t xml:space="preserve"> 2020-2022</w:t>
      </w:r>
      <w:r w:rsidRPr="00DE7C40">
        <w:rPr>
          <w:rFonts w:ascii="Times New Roman" w:hAnsi="Times New Roman"/>
          <w:szCs w:val="28"/>
        </w:rPr>
        <w:t xml:space="preserve">, che coinvolgono specifiche Strutture della P.C.M., è stata condivisa </w:t>
      </w:r>
      <w:r w:rsidR="00B016A1" w:rsidRPr="00DE7C40">
        <w:rPr>
          <w:rFonts w:ascii="Times New Roman" w:hAnsi="Times New Roman"/>
          <w:szCs w:val="28"/>
        </w:rPr>
        <w:t>con le stesse</w:t>
      </w:r>
      <w:r w:rsidR="00740608" w:rsidRPr="00DE7C40">
        <w:rPr>
          <w:rFonts w:ascii="Times New Roman" w:hAnsi="Times New Roman"/>
          <w:szCs w:val="28"/>
        </w:rPr>
        <w:t xml:space="preserve"> in sede di elaborazione della relazione propedeutica con le proposte di Piano all’Autorità politica.</w:t>
      </w:r>
    </w:p>
    <w:p w:rsidR="004A3608" w:rsidRPr="00DE7C40" w:rsidRDefault="004A3608" w:rsidP="00F92246">
      <w:pPr>
        <w:rPr>
          <w:rFonts w:ascii="Times New Roman" w:hAnsi="Times New Roman"/>
          <w:szCs w:val="28"/>
        </w:rPr>
      </w:pPr>
      <w:r w:rsidRPr="00DE7C40">
        <w:rPr>
          <w:rFonts w:ascii="Times New Roman" w:hAnsi="Times New Roman"/>
          <w:szCs w:val="28"/>
        </w:rPr>
        <w:t xml:space="preserve">I contenuti del </w:t>
      </w:r>
      <w:r w:rsidR="00920B60" w:rsidRPr="00DE7C40">
        <w:rPr>
          <w:rFonts w:ascii="Times New Roman" w:hAnsi="Times New Roman"/>
          <w:szCs w:val="28"/>
        </w:rPr>
        <w:t>P.T.P.C.T.</w:t>
      </w:r>
      <w:r w:rsidRPr="00DE7C40">
        <w:rPr>
          <w:rFonts w:ascii="Times New Roman" w:hAnsi="Times New Roman"/>
          <w:szCs w:val="28"/>
        </w:rPr>
        <w:t xml:space="preserve"> sono stati sottoposti anche al Collegio di direzione dell’U.C.I., con particolare riferimento agli aspetti di collegamento con il ciclo della </w:t>
      </w:r>
      <w:r w:rsidRPr="00DE7C40">
        <w:rPr>
          <w:rFonts w:ascii="Times New Roman" w:hAnsi="Times New Roman"/>
          <w:i/>
          <w:szCs w:val="28"/>
        </w:rPr>
        <w:t>performance</w:t>
      </w:r>
      <w:r w:rsidRPr="00DE7C40">
        <w:rPr>
          <w:rFonts w:ascii="Times New Roman" w:hAnsi="Times New Roman"/>
          <w:szCs w:val="28"/>
        </w:rPr>
        <w:t>.</w:t>
      </w:r>
    </w:p>
    <w:p w:rsidR="004A3608" w:rsidRPr="00DE7C40" w:rsidRDefault="004A3608" w:rsidP="00A519C5">
      <w:pPr>
        <w:shd w:val="clear" w:color="auto" w:fill="FFFFFF" w:themeFill="background1"/>
        <w:rPr>
          <w:rFonts w:ascii="Times New Roman" w:hAnsi="Times New Roman"/>
          <w:szCs w:val="28"/>
          <w:shd w:val="clear" w:color="auto" w:fill="FFFFFF" w:themeFill="background1"/>
        </w:rPr>
      </w:pPr>
      <w:r w:rsidRPr="00DE7C40">
        <w:rPr>
          <w:rFonts w:ascii="Times New Roman" w:hAnsi="Times New Roman"/>
          <w:szCs w:val="28"/>
        </w:rPr>
        <w:t xml:space="preserve">Inoltre, i </w:t>
      </w:r>
      <w:r w:rsidR="00BC2C67" w:rsidRPr="00DE7C40">
        <w:rPr>
          <w:rFonts w:ascii="Times New Roman" w:hAnsi="Times New Roman"/>
          <w:szCs w:val="28"/>
        </w:rPr>
        <w:t xml:space="preserve">contenuti essenziali </w:t>
      </w:r>
      <w:r w:rsidRPr="00DE7C40">
        <w:rPr>
          <w:rFonts w:ascii="Times New Roman" w:hAnsi="Times New Roman"/>
          <w:szCs w:val="28"/>
        </w:rPr>
        <w:t xml:space="preserve">del Piano sono stati oggetto di informativa presentata dal </w:t>
      </w:r>
      <w:r w:rsidR="00021C53" w:rsidRPr="00DE7C40">
        <w:rPr>
          <w:rFonts w:ascii="Times New Roman" w:hAnsi="Times New Roman"/>
          <w:szCs w:val="28"/>
        </w:rPr>
        <w:t>R.P.C.T.</w:t>
      </w:r>
      <w:r w:rsidR="004E3546" w:rsidRPr="00DE7C40">
        <w:rPr>
          <w:rFonts w:ascii="Times New Roman" w:hAnsi="Times New Roman"/>
          <w:szCs w:val="28"/>
        </w:rPr>
        <w:t xml:space="preserve"> </w:t>
      </w:r>
      <w:r w:rsidR="00BF2F88" w:rsidRPr="00DE7C40">
        <w:rPr>
          <w:rFonts w:ascii="Times New Roman" w:hAnsi="Times New Roman"/>
          <w:szCs w:val="28"/>
        </w:rPr>
        <w:t>in data 23 febbraio 2021</w:t>
      </w:r>
      <w:r w:rsidR="00E720EF" w:rsidRPr="00DE7C40">
        <w:rPr>
          <w:rFonts w:ascii="Times New Roman" w:hAnsi="Times New Roman"/>
          <w:szCs w:val="28"/>
          <w:shd w:val="clear" w:color="auto" w:fill="FFFFFF" w:themeFill="background1"/>
        </w:rPr>
        <w:t xml:space="preserve"> all’organo di indirizzo politico. </w:t>
      </w:r>
    </w:p>
    <w:p w:rsidR="004A3608" w:rsidRPr="00DE7C40" w:rsidRDefault="004A3608" w:rsidP="00BC2C67">
      <w:pPr>
        <w:rPr>
          <w:rFonts w:ascii="Times New Roman" w:hAnsi="Times New Roman"/>
          <w:szCs w:val="28"/>
        </w:rPr>
      </w:pPr>
      <w:r w:rsidRPr="00DE7C40">
        <w:rPr>
          <w:rFonts w:ascii="Times New Roman" w:hAnsi="Times New Roman"/>
          <w:szCs w:val="28"/>
        </w:rPr>
        <w:t>Il Piano si compo</w:t>
      </w:r>
      <w:r w:rsidR="00E720EF" w:rsidRPr="00DE7C40">
        <w:rPr>
          <w:rFonts w:ascii="Times New Roman" w:hAnsi="Times New Roman"/>
          <w:szCs w:val="28"/>
        </w:rPr>
        <w:t xml:space="preserve">ne </w:t>
      </w:r>
      <w:r w:rsidR="00187464" w:rsidRPr="00DE7C40">
        <w:rPr>
          <w:rFonts w:ascii="Times New Roman" w:hAnsi="Times New Roman"/>
          <w:szCs w:val="28"/>
        </w:rPr>
        <w:t>di una parte generale, seguita dalla trattazione dell’anticorruzione e dei rispettivi</w:t>
      </w:r>
      <w:r w:rsidR="00230440" w:rsidRPr="00DE7C40">
        <w:rPr>
          <w:rFonts w:ascii="Times New Roman" w:hAnsi="Times New Roman"/>
          <w:szCs w:val="28"/>
        </w:rPr>
        <w:t xml:space="preserve"> </w:t>
      </w:r>
      <w:r w:rsidR="009260C5" w:rsidRPr="00DE7C40">
        <w:rPr>
          <w:rFonts w:ascii="Times New Roman" w:hAnsi="Times New Roman"/>
          <w:szCs w:val="28"/>
        </w:rPr>
        <w:t xml:space="preserve">quattro </w:t>
      </w:r>
      <w:r w:rsidRPr="00DE7C40">
        <w:rPr>
          <w:rFonts w:ascii="Times New Roman" w:hAnsi="Times New Roman"/>
          <w:szCs w:val="28"/>
        </w:rPr>
        <w:t xml:space="preserve">Allegati, incluso il cronoprogramma delle attività. La trasparenza è parte della strategia di prevenzione della corruzione; pertanto, la </w:t>
      </w:r>
      <w:r w:rsidR="00187464" w:rsidRPr="00DE7C40">
        <w:rPr>
          <w:rFonts w:ascii="Times New Roman" w:hAnsi="Times New Roman"/>
          <w:szCs w:val="28"/>
        </w:rPr>
        <w:t>programmazione</w:t>
      </w:r>
      <w:r w:rsidRPr="00DE7C40">
        <w:rPr>
          <w:rFonts w:ascii="Times New Roman" w:hAnsi="Times New Roman"/>
          <w:szCs w:val="28"/>
        </w:rPr>
        <w:t xml:space="preserve"> delle misure organizzative per l’attuazione degli obblighi di trasparenza costituisce </w:t>
      </w:r>
      <w:r w:rsidR="00516FFE" w:rsidRPr="00DE7C40">
        <w:rPr>
          <w:rFonts w:ascii="Times New Roman" w:hAnsi="Times New Roman"/>
          <w:szCs w:val="28"/>
        </w:rPr>
        <w:t>a</w:t>
      </w:r>
      <w:r w:rsidRPr="00DE7C40">
        <w:rPr>
          <w:rFonts w:ascii="Times New Roman" w:hAnsi="Times New Roman"/>
          <w:szCs w:val="28"/>
        </w:rPr>
        <w:t xml:space="preserve">pposita </w:t>
      </w:r>
      <w:r w:rsidR="00516FFE" w:rsidRPr="00DE7C40">
        <w:rPr>
          <w:rFonts w:ascii="Times New Roman" w:hAnsi="Times New Roman"/>
          <w:szCs w:val="28"/>
        </w:rPr>
        <w:t>S</w:t>
      </w:r>
      <w:r w:rsidRPr="00DE7C40">
        <w:rPr>
          <w:rFonts w:ascii="Times New Roman" w:hAnsi="Times New Roman"/>
          <w:szCs w:val="28"/>
        </w:rPr>
        <w:t>ezione del presente Piano (art. 10</w:t>
      </w:r>
      <w:r w:rsidR="0012325C" w:rsidRPr="00DE7C40">
        <w:rPr>
          <w:rFonts w:ascii="Times New Roman" w:hAnsi="Times New Roman"/>
          <w:szCs w:val="28"/>
        </w:rPr>
        <w:t>,</w:t>
      </w:r>
      <w:r w:rsidRPr="00DE7C40">
        <w:rPr>
          <w:rFonts w:ascii="Times New Roman" w:hAnsi="Times New Roman"/>
          <w:szCs w:val="28"/>
        </w:rPr>
        <w:t xml:space="preserve"> comma 1</w:t>
      </w:r>
      <w:r w:rsidR="00B02C9E" w:rsidRPr="00DE7C40">
        <w:rPr>
          <w:rFonts w:ascii="Times New Roman" w:hAnsi="Times New Roman"/>
          <w:szCs w:val="28"/>
        </w:rPr>
        <w:t>,</w:t>
      </w:r>
      <w:r w:rsidRPr="00DE7C40">
        <w:rPr>
          <w:rFonts w:ascii="Times New Roman" w:hAnsi="Times New Roman"/>
          <w:szCs w:val="28"/>
        </w:rPr>
        <w:t xml:space="preserve"> lett. b) del </w:t>
      </w:r>
      <w:r w:rsidR="00BC2C67" w:rsidRPr="00DE7C40">
        <w:rPr>
          <w:rFonts w:ascii="Times New Roman" w:hAnsi="Times New Roman"/>
          <w:szCs w:val="28"/>
        </w:rPr>
        <w:t xml:space="preserve">Decreto legislativo </w:t>
      </w:r>
      <w:r w:rsidR="00816840" w:rsidRPr="00DE7C40">
        <w:rPr>
          <w:rFonts w:ascii="Times New Roman" w:hAnsi="Times New Roman"/>
          <w:szCs w:val="28"/>
        </w:rPr>
        <w:t>25 maggio 2016, n</w:t>
      </w:r>
      <w:r w:rsidRPr="00DE7C40">
        <w:rPr>
          <w:rFonts w:ascii="Times New Roman" w:hAnsi="Times New Roman"/>
          <w:szCs w:val="28"/>
        </w:rPr>
        <w:t>. 97</w:t>
      </w:r>
      <w:r w:rsidR="00816840" w:rsidRPr="00DE7C40">
        <w:rPr>
          <w:rFonts w:ascii="Times New Roman" w:hAnsi="Times New Roman"/>
          <w:szCs w:val="28"/>
        </w:rPr>
        <w:t>, concernente la “</w:t>
      </w:r>
      <w:r w:rsidR="00816840" w:rsidRPr="00DE7C40">
        <w:rPr>
          <w:rFonts w:ascii="Times New Roman" w:hAnsi="Times New Roman"/>
          <w:i/>
          <w:szCs w:val="28"/>
        </w:rPr>
        <w:t xml:space="preserve">Revisione e semplificazione delle disposizioni in materia di prevenzione della corruzione, pubblicità e trasparenza, correttivo della Legge 6 novembre 2012, n. 190 e del </w:t>
      </w:r>
      <w:bookmarkStart w:id="13" w:name="_Hlk63940790"/>
      <w:r w:rsidR="00816840" w:rsidRPr="00DE7C40">
        <w:rPr>
          <w:rFonts w:ascii="Times New Roman" w:hAnsi="Times New Roman"/>
          <w:i/>
          <w:szCs w:val="28"/>
        </w:rPr>
        <w:t xml:space="preserve">Decreto legislativo </w:t>
      </w:r>
      <w:bookmarkEnd w:id="13"/>
      <w:r w:rsidR="00816840" w:rsidRPr="00DE7C40">
        <w:rPr>
          <w:rFonts w:ascii="Times New Roman" w:hAnsi="Times New Roman"/>
          <w:i/>
          <w:szCs w:val="28"/>
        </w:rPr>
        <w:t>14 marzo 2013, n. 33 ai sensi dell’art. 7 della Legge 7 agosto 2015, n. 124, in materia di riorganizzazione delle Amministrazioni pubbliche</w:t>
      </w:r>
      <w:r w:rsidRPr="00DE7C40">
        <w:rPr>
          <w:rFonts w:ascii="Times New Roman" w:hAnsi="Times New Roman"/>
          <w:szCs w:val="28"/>
        </w:rPr>
        <w:t xml:space="preserve">). </w:t>
      </w:r>
    </w:p>
    <w:p w:rsidR="004A3608" w:rsidRPr="00DE7C40" w:rsidRDefault="004A3608" w:rsidP="004A3608">
      <w:pPr>
        <w:rPr>
          <w:rFonts w:ascii="Times New Roman" w:hAnsi="Times New Roman"/>
          <w:szCs w:val="28"/>
        </w:rPr>
      </w:pPr>
      <w:r w:rsidRPr="00DE7C40">
        <w:rPr>
          <w:rFonts w:ascii="Times New Roman" w:hAnsi="Times New Roman"/>
          <w:szCs w:val="28"/>
        </w:rPr>
        <w:t xml:space="preserve">Dopo l’approvazione da parte dell’Autorità politica, il Piano sarà pubblicato sul sito </w:t>
      </w:r>
      <w:r w:rsidRPr="00DE7C40">
        <w:rPr>
          <w:rFonts w:ascii="Times New Roman" w:hAnsi="Times New Roman"/>
          <w:i/>
          <w:szCs w:val="28"/>
        </w:rPr>
        <w:t>internet</w:t>
      </w:r>
      <w:r w:rsidRPr="00DE7C40">
        <w:rPr>
          <w:rFonts w:ascii="Times New Roman" w:hAnsi="Times New Roman"/>
          <w:szCs w:val="28"/>
        </w:rPr>
        <w:t xml:space="preserve"> della P.C.M., sezione “Amministrazione trasparente” – altri contenuti –</w:t>
      </w:r>
      <w:r w:rsidR="006A6608" w:rsidRPr="00DE7C40">
        <w:rPr>
          <w:rFonts w:ascii="Times New Roman" w:hAnsi="Times New Roman"/>
          <w:szCs w:val="28"/>
        </w:rPr>
        <w:t xml:space="preserve"> prevenzione della </w:t>
      </w:r>
      <w:r w:rsidRPr="00DE7C40">
        <w:rPr>
          <w:rFonts w:ascii="Times New Roman" w:hAnsi="Times New Roman"/>
          <w:szCs w:val="28"/>
        </w:rPr>
        <w:t xml:space="preserve">corruzione e nella rete </w:t>
      </w:r>
      <w:r w:rsidRPr="00DE7C40">
        <w:rPr>
          <w:rFonts w:ascii="Times New Roman" w:hAnsi="Times New Roman"/>
          <w:i/>
          <w:szCs w:val="28"/>
        </w:rPr>
        <w:t>intranet</w:t>
      </w:r>
      <w:r w:rsidR="00B02C9E" w:rsidRPr="00DE7C40">
        <w:rPr>
          <w:rFonts w:ascii="Times New Roman" w:hAnsi="Times New Roman"/>
          <w:szCs w:val="28"/>
        </w:rPr>
        <w:t xml:space="preserve"> della P.C.M.</w:t>
      </w:r>
    </w:p>
    <w:p w:rsidR="004A3608" w:rsidRPr="00DE7C40" w:rsidRDefault="004A3608" w:rsidP="004A3608">
      <w:pPr>
        <w:rPr>
          <w:rFonts w:ascii="Times New Roman" w:hAnsi="Times New Roman"/>
          <w:szCs w:val="28"/>
        </w:rPr>
      </w:pPr>
      <w:r w:rsidRPr="00DE7C40">
        <w:rPr>
          <w:rFonts w:ascii="Times New Roman" w:hAnsi="Times New Roman"/>
          <w:szCs w:val="28"/>
        </w:rPr>
        <w:t>Le attività programmate e scadenzate nel Piano po</w:t>
      </w:r>
      <w:r w:rsidR="00DA1A02" w:rsidRPr="00DE7C40">
        <w:rPr>
          <w:rFonts w:ascii="Times New Roman" w:hAnsi="Times New Roman"/>
          <w:szCs w:val="28"/>
        </w:rPr>
        <w:t xml:space="preserve">tranno </w:t>
      </w:r>
      <w:r w:rsidRPr="00DE7C40">
        <w:rPr>
          <w:rFonts w:ascii="Times New Roman" w:hAnsi="Times New Roman"/>
          <w:szCs w:val="28"/>
        </w:rPr>
        <w:t xml:space="preserve">subire una rivalutazione e riprogrammazione a seguito di </w:t>
      </w:r>
      <w:r w:rsidR="00BC2C67" w:rsidRPr="00DE7C40">
        <w:rPr>
          <w:rFonts w:ascii="Times New Roman" w:hAnsi="Times New Roman"/>
          <w:szCs w:val="28"/>
        </w:rPr>
        <w:t>un</w:t>
      </w:r>
      <w:r w:rsidR="00DA1A02" w:rsidRPr="00DE7C40">
        <w:rPr>
          <w:rFonts w:ascii="Times New Roman" w:hAnsi="Times New Roman"/>
          <w:szCs w:val="28"/>
        </w:rPr>
        <w:t xml:space="preserve"> </w:t>
      </w:r>
      <w:r w:rsidR="00BC2C67" w:rsidRPr="00DE7C40">
        <w:rPr>
          <w:rFonts w:ascii="Times New Roman" w:hAnsi="Times New Roman"/>
          <w:szCs w:val="28"/>
        </w:rPr>
        <w:t xml:space="preserve">aggravamento della crisi pandemica che possa incidere in maniera rilevante sulle attività con esigenza di rivederne le priorità, di </w:t>
      </w:r>
      <w:r w:rsidRPr="00DE7C40">
        <w:rPr>
          <w:rFonts w:ascii="Times New Roman" w:hAnsi="Times New Roman"/>
          <w:szCs w:val="28"/>
        </w:rPr>
        <w:t>sopra</w:t>
      </w:r>
      <w:r w:rsidR="005B09C7" w:rsidRPr="00DE7C40">
        <w:rPr>
          <w:rFonts w:ascii="Times New Roman" w:hAnsi="Times New Roman"/>
          <w:szCs w:val="28"/>
        </w:rPr>
        <w:t xml:space="preserve">ggiunti indirizzi dell’A.N.AC., </w:t>
      </w:r>
      <w:r w:rsidRPr="00DE7C40">
        <w:rPr>
          <w:rFonts w:ascii="Times New Roman" w:hAnsi="Times New Roman"/>
          <w:szCs w:val="28"/>
        </w:rPr>
        <w:t>dell’approvazione dei provvedimenti in materia di</w:t>
      </w:r>
      <w:r w:rsidRPr="00DE7C40">
        <w:rPr>
          <w:rFonts w:ascii="Times New Roman" w:hAnsi="Times New Roman"/>
          <w:color w:val="FF0000"/>
          <w:szCs w:val="28"/>
        </w:rPr>
        <w:t xml:space="preserve"> </w:t>
      </w:r>
      <w:r w:rsidRPr="00DE7C40">
        <w:rPr>
          <w:rFonts w:ascii="Times New Roman" w:hAnsi="Times New Roman"/>
          <w:szCs w:val="28"/>
        </w:rPr>
        <w:t xml:space="preserve">assetto organizzativo della </w:t>
      </w:r>
      <w:r w:rsidR="0012325C" w:rsidRPr="00DE7C40">
        <w:rPr>
          <w:rFonts w:ascii="Times New Roman" w:hAnsi="Times New Roman"/>
          <w:szCs w:val="28"/>
        </w:rPr>
        <w:t>P.C.M.</w:t>
      </w:r>
      <w:r w:rsidRPr="00DE7C40">
        <w:rPr>
          <w:rFonts w:ascii="Times New Roman" w:hAnsi="Times New Roman"/>
          <w:szCs w:val="28"/>
        </w:rPr>
        <w:t xml:space="preserve">, nonché di eventuali altre novità normative che dovessero comportare un forte impatto sull’organizzazione e sull’attività della </w:t>
      </w:r>
      <w:r w:rsidR="0012325C" w:rsidRPr="00DE7C40">
        <w:rPr>
          <w:rFonts w:ascii="Times New Roman" w:hAnsi="Times New Roman"/>
          <w:szCs w:val="28"/>
        </w:rPr>
        <w:t>stessa.</w:t>
      </w:r>
    </w:p>
    <w:p w:rsidR="00DE128E" w:rsidRPr="00DE7C40" w:rsidRDefault="00DE128E" w:rsidP="00842A60">
      <w:pPr>
        <w:pStyle w:val="Titolo2"/>
        <w:rPr>
          <w:rFonts w:ascii="Times New Roman" w:hAnsi="Times New Roman"/>
          <w:szCs w:val="28"/>
        </w:rPr>
      </w:pPr>
      <w:bookmarkStart w:id="14" w:name="_Toc66721201"/>
      <w:r w:rsidRPr="00DE7C40">
        <w:rPr>
          <w:rFonts w:ascii="Times New Roman" w:hAnsi="Times New Roman"/>
          <w:szCs w:val="28"/>
        </w:rPr>
        <w:t>Analisi del contesto</w:t>
      </w:r>
      <w:bookmarkEnd w:id="14"/>
    </w:p>
    <w:p w:rsidR="00892F97" w:rsidRPr="00DE7C40" w:rsidRDefault="007319A3" w:rsidP="00892F97">
      <w:pPr>
        <w:ind w:firstLine="0"/>
        <w:rPr>
          <w:rFonts w:ascii="Times New Roman" w:hAnsi="Times New Roman"/>
          <w:szCs w:val="28"/>
        </w:rPr>
      </w:pPr>
      <w:r w:rsidRPr="00DE7C40">
        <w:rPr>
          <w:rFonts w:ascii="Times New Roman" w:hAnsi="Times New Roman"/>
          <w:szCs w:val="28"/>
        </w:rPr>
        <w:t xml:space="preserve">   L’analisi del contesto è funzionale all’elaborazione di una strategia di prevenzione mirata e specifica, in un’ottica relativa e concreta rispetto alle circostanze esterne e interne in cui opera l’Amministrazione. La definizione del contesto avviene per fasi di approfondimento graduale, in relazione all’esperienza maturata sul processo di valutazione del rischio e compatibilmente con le risorse professionali disponibili. </w:t>
      </w:r>
    </w:p>
    <w:p w:rsidR="007319A3" w:rsidRPr="00DE7C40" w:rsidRDefault="007319A3" w:rsidP="00892F97">
      <w:pPr>
        <w:ind w:firstLine="0"/>
        <w:rPr>
          <w:rFonts w:ascii="Times New Roman" w:hAnsi="Times New Roman"/>
          <w:szCs w:val="28"/>
        </w:rPr>
      </w:pPr>
      <w:r w:rsidRPr="00DE7C40">
        <w:rPr>
          <w:rFonts w:ascii="Times New Roman" w:hAnsi="Times New Roman"/>
          <w:szCs w:val="28"/>
        </w:rPr>
        <w:t xml:space="preserve">    </w:t>
      </w:r>
    </w:p>
    <w:p w:rsidR="007E2254" w:rsidRPr="00DE7C40" w:rsidRDefault="007E2254" w:rsidP="00892F97">
      <w:pPr>
        <w:ind w:firstLine="0"/>
        <w:rPr>
          <w:rFonts w:ascii="Times New Roman" w:hAnsi="Times New Roman"/>
          <w:szCs w:val="28"/>
        </w:rPr>
      </w:pPr>
    </w:p>
    <w:p w:rsidR="007E2254" w:rsidRPr="00DE7C40" w:rsidRDefault="007E2254" w:rsidP="00892F97">
      <w:pPr>
        <w:ind w:firstLine="0"/>
        <w:rPr>
          <w:rFonts w:ascii="Times New Roman" w:hAnsi="Times New Roman"/>
          <w:szCs w:val="28"/>
        </w:rPr>
      </w:pPr>
    </w:p>
    <w:p w:rsidR="007319A3" w:rsidRPr="00DE7C40" w:rsidRDefault="007319A3" w:rsidP="00D4217A">
      <w:pPr>
        <w:numPr>
          <w:ilvl w:val="0"/>
          <w:numId w:val="12"/>
        </w:numPr>
        <w:contextualSpacing/>
        <w:rPr>
          <w:rFonts w:ascii="Times New Roman" w:hAnsi="Times New Roman"/>
          <w:szCs w:val="28"/>
        </w:rPr>
      </w:pPr>
      <w:r w:rsidRPr="00DE7C40">
        <w:rPr>
          <w:rFonts w:ascii="Times New Roman" w:hAnsi="Times New Roman"/>
          <w:szCs w:val="28"/>
        </w:rPr>
        <w:t xml:space="preserve">Il contesto esterno </w:t>
      </w:r>
    </w:p>
    <w:p w:rsidR="007319A3" w:rsidRPr="00DE7C40" w:rsidRDefault="007319A3" w:rsidP="007319A3">
      <w:pPr>
        <w:rPr>
          <w:rFonts w:ascii="Times New Roman" w:hAnsi="Times New Roman"/>
          <w:szCs w:val="28"/>
        </w:rPr>
      </w:pPr>
      <w:r w:rsidRPr="00DE7C40">
        <w:rPr>
          <w:rFonts w:ascii="Times New Roman" w:hAnsi="Times New Roman"/>
          <w:szCs w:val="28"/>
        </w:rPr>
        <w:t xml:space="preserve">Il centro decisionale e la concentrazione dell’attività della P.C.M. </w:t>
      </w:r>
      <w:r w:rsidR="00892F97" w:rsidRPr="00DE7C40">
        <w:rPr>
          <w:rFonts w:ascii="Times New Roman" w:hAnsi="Times New Roman"/>
          <w:szCs w:val="28"/>
        </w:rPr>
        <w:t xml:space="preserve">sono </w:t>
      </w:r>
      <w:r w:rsidRPr="00DE7C40">
        <w:rPr>
          <w:rFonts w:ascii="Times New Roman" w:hAnsi="Times New Roman"/>
          <w:szCs w:val="28"/>
        </w:rPr>
        <w:t>individuabil</w:t>
      </w:r>
      <w:r w:rsidR="00892F97" w:rsidRPr="00DE7C40">
        <w:rPr>
          <w:rFonts w:ascii="Times New Roman" w:hAnsi="Times New Roman"/>
          <w:szCs w:val="28"/>
        </w:rPr>
        <w:t>i</w:t>
      </w:r>
      <w:r w:rsidRPr="00DE7C40">
        <w:rPr>
          <w:rFonts w:ascii="Times New Roman" w:hAnsi="Times New Roman"/>
          <w:szCs w:val="28"/>
        </w:rPr>
        <w:t xml:space="preserve"> nel territorio di Roma, ove sono presenti le sedi istituzionali; tuttavia, il suo ambito di competenza si estende all’intero territorio nazionale. </w:t>
      </w:r>
    </w:p>
    <w:p w:rsidR="007319A3" w:rsidRPr="00DE7C40" w:rsidRDefault="007319A3" w:rsidP="007319A3">
      <w:pPr>
        <w:rPr>
          <w:rFonts w:ascii="Times New Roman" w:hAnsi="Times New Roman"/>
          <w:szCs w:val="28"/>
        </w:rPr>
      </w:pPr>
      <w:r w:rsidRPr="00DE7C40">
        <w:rPr>
          <w:rFonts w:ascii="Times New Roman" w:hAnsi="Times New Roman"/>
          <w:szCs w:val="28"/>
        </w:rPr>
        <w:t>Gli stabili rapporti di collaborazione con l’A.N.AC. agevolano la circolazione di informazioni e l’adozione di buone prassi e iniziative di prevenzione.</w:t>
      </w:r>
    </w:p>
    <w:p w:rsidR="00892F97" w:rsidRPr="00DE7C40" w:rsidRDefault="00892F97" w:rsidP="007319A3">
      <w:pPr>
        <w:rPr>
          <w:rFonts w:ascii="Times New Roman" w:hAnsi="Times New Roman"/>
          <w:szCs w:val="28"/>
        </w:rPr>
      </w:pPr>
    </w:p>
    <w:p w:rsidR="007319A3" w:rsidRPr="00DE7C40" w:rsidRDefault="007319A3" w:rsidP="00D4217A">
      <w:pPr>
        <w:pStyle w:val="Paragrafoelenco"/>
        <w:numPr>
          <w:ilvl w:val="0"/>
          <w:numId w:val="13"/>
        </w:numPr>
        <w:ind w:left="0" w:firstLine="284"/>
        <w:rPr>
          <w:rFonts w:ascii="Times New Roman" w:hAnsi="Times New Roman"/>
          <w:szCs w:val="28"/>
          <w:u w:val="single"/>
        </w:rPr>
      </w:pPr>
      <w:r w:rsidRPr="00DE7C40">
        <w:rPr>
          <w:rFonts w:ascii="Times New Roman" w:hAnsi="Times New Roman"/>
          <w:szCs w:val="28"/>
          <w:u w:val="single"/>
        </w:rPr>
        <w:t xml:space="preserve">Gli </w:t>
      </w:r>
      <w:r w:rsidRPr="00DE7C40">
        <w:rPr>
          <w:rFonts w:ascii="Times New Roman" w:hAnsi="Times New Roman"/>
          <w:i/>
          <w:szCs w:val="28"/>
          <w:u w:val="single"/>
        </w:rPr>
        <w:t xml:space="preserve">stakeholder  </w:t>
      </w:r>
    </w:p>
    <w:p w:rsidR="007319A3" w:rsidRPr="00DE7C40" w:rsidRDefault="007319A3" w:rsidP="00892F97">
      <w:pPr>
        <w:rPr>
          <w:rFonts w:ascii="Times New Roman" w:eastAsia="Calibri" w:hAnsi="Times New Roman"/>
          <w:szCs w:val="28"/>
          <w:lang w:eastAsia="en-US"/>
        </w:rPr>
      </w:pPr>
      <w:r w:rsidRPr="00DE7C40">
        <w:rPr>
          <w:rFonts w:ascii="Times New Roman" w:eastAsia="Calibri" w:hAnsi="Times New Roman"/>
          <w:szCs w:val="28"/>
          <w:lang w:eastAsia="en-US"/>
        </w:rPr>
        <w:t xml:space="preserve">Le molteplici e diversificate attività svolte dalle Strutture della </w:t>
      </w:r>
      <w:r w:rsidRPr="00DE7C40">
        <w:rPr>
          <w:rFonts w:ascii="Times New Roman" w:hAnsi="Times New Roman"/>
          <w:szCs w:val="28"/>
        </w:rPr>
        <w:t xml:space="preserve">P.C.M. </w:t>
      </w:r>
      <w:r w:rsidRPr="00DE7C40">
        <w:rPr>
          <w:rFonts w:ascii="Times New Roman" w:eastAsia="Calibri" w:hAnsi="Times New Roman"/>
          <w:szCs w:val="28"/>
          <w:lang w:eastAsia="en-US"/>
        </w:rPr>
        <w:t xml:space="preserve">hanno evidenziato che la parte più considerevole degli </w:t>
      </w:r>
      <w:r w:rsidRPr="00DE7C40">
        <w:rPr>
          <w:rFonts w:ascii="Times New Roman" w:eastAsia="Calibri" w:hAnsi="Times New Roman"/>
          <w:i/>
          <w:szCs w:val="28"/>
          <w:lang w:eastAsia="en-US"/>
        </w:rPr>
        <w:t>stakeholder</w:t>
      </w:r>
      <w:r w:rsidRPr="00DE7C40">
        <w:rPr>
          <w:rFonts w:ascii="Times New Roman" w:eastAsia="Calibri" w:hAnsi="Times New Roman"/>
          <w:szCs w:val="28"/>
          <w:lang w:eastAsia="en-US"/>
        </w:rPr>
        <w:t xml:space="preserve"> con cui l’Amministrazione interagisce è costituita da amministrazioni pubbliche, organizzazioni sovranazionali, titolari di interessi collettivi per le funzioni relative ad alcune aree specifiche-funzionali, enti e organismi di settore privati di varia tipologia e natura, nonché, solo in via residuale, persone fisiche in qualità di utenti finali. </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L’analisi dei portatori di interessi evidenzia quindi una situazione eterogenea che richiede valutazioni ed iniziative differenziate a seconda della tipologia dei soggetti coinvolti.</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 xml:space="preserve">A seguito della ricognizione degli </w:t>
      </w:r>
      <w:r w:rsidRPr="00DE7C40">
        <w:rPr>
          <w:rFonts w:ascii="Times New Roman" w:eastAsia="Calibri" w:hAnsi="Times New Roman"/>
          <w:i/>
          <w:szCs w:val="28"/>
          <w:lang w:eastAsia="en-US"/>
        </w:rPr>
        <w:t>stakeholder</w:t>
      </w:r>
      <w:r w:rsidRPr="00DE7C40">
        <w:rPr>
          <w:rFonts w:ascii="Times New Roman" w:eastAsia="Calibri" w:hAnsi="Times New Roman"/>
          <w:szCs w:val="28"/>
          <w:lang w:eastAsia="en-US"/>
        </w:rPr>
        <w:t xml:space="preserve"> della P.C.M., svolta dalle Strutture negli anni 2017 e 2018, nel corso del 2020 sono state pianificate e realizzate in via sperimentale le prime iniziative di confronto da parte dei due Dipartimenti selezionati per la tipologia dei soggetti coinvolti e la particolarità dei processi: il Dipartimento per le politiche della famiglia e il Dipartimento per le politiche giovanili e il servizio civile universale.</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 xml:space="preserve">Le due Strutture hanno utilizzato differenti strumenti per realizzare forme di consultazione e coinvolgimento degli </w:t>
      </w:r>
      <w:r w:rsidRPr="00DE7C40">
        <w:rPr>
          <w:rFonts w:ascii="Times New Roman" w:eastAsia="Calibri" w:hAnsi="Times New Roman"/>
          <w:i/>
          <w:szCs w:val="28"/>
          <w:lang w:eastAsia="en-US"/>
        </w:rPr>
        <w:t>stakeholder</w:t>
      </w:r>
      <w:r w:rsidRPr="00DE7C40">
        <w:rPr>
          <w:rFonts w:ascii="Times New Roman" w:eastAsia="Calibri" w:hAnsi="Times New Roman"/>
          <w:szCs w:val="28"/>
          <w:lang w:eastAsia="en-US"/>
        </w:rPr>
        <w:t xml:space="preserve">. </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 xml:space="preserve">Il Dipartimento per le politiche della famiglia, dopo aver proceduto ad una ricognizione delle categorie dei portatori di interesse, identificati nelle a) Amministrazioni territoriali e altri enti rappresentativi, b) imprese e associazioni di categoria, commercianti e professionisti e c) organizzazioni non governative e della società civile, ha ritenuto interessante rivolgere la propria azione rispetto a quest’ultima categoria, che si presenta numericamente più rilevante e formata da organismi eterogenei. </w:t>
      </w:r>
    </w:p>
    <w:p w:rsidR="00892F97"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 xml:space="preserve">Il Dipartimento ha quindi svolto una consultazione </w:t>
      </w:r>
      <w:r w:rsidRPr="00DE7C40">
        <w:rPr>
          <w:rFonts w:ascii="Times New Roman" w:eastAsia="Calibri" w:hAnsi="Times New Roman"/>
          <w:i/>
          <w:szCs w:val="28"/>
          <w:lang w:eastAsia="en-US"/>
        </w:rPr>
        <w:t>on line</w:t>
      </w:r>
      <w:r w:rsidRPr="00DE7C40">
        <w:rPr>
          <w:rFonts w:ascii="Times New Roman" w:eastAsia="Calibri" w:hAnsi="Times New Roman"/>
          <w:szCs w:val="28"/>
          <w:lang w:eastAsia="en-US"/>
        </w:rPr>
        <w:t xml:space="preserve"> “</w:t>
      </w:r>
      <w:r w:rsidRPr="00DE7C40">
        <w:rPr>
          <w:rFonts w:ascii="Times New Roman" w:eastAsia="Calibri" w:hAnsi="Times New Roman"/>
          <w:i/>
          <w:szCs w:val="28"/>
          <w:lang w:eastAsia="en-US"/>
        </w:rPr>
        <w:t>Strategia Dipofam per regolamentare le relazioni con i portatori di interesse</w:t>
      </w:r>
      <w:r w:rsidRPr="00DE7C40">
        <w:rPr>
          <w:rFonts w:ascii="Times New Roman" w:eastAsia="Calibri" w:hAnsi="Times New Roman"/>
          <w:szCs w:val="28"/>
          <w:lang w:eastAsia="en-US"/>
        </w:rPr>
        <w:t xml:space="preserve">”. </w:t>
      </w:r>
      <w:r w:rsidR="00967A00" w:rsidRPr="00DE7C40">
        <w:rPr>
          <w:rFonts w:ascii="Times New Roman" w:eastAsia="Calibri" w:hAnsi="Times New Roman"/>
          <w:szCs w:val="28"/>
          <w:lang w:eastAsia="en-US"/>
        </w:rPr>
        <w:t>È</w:t>
      </w:r>
      <w:r w:rsidRPr="00DE7C40">
        <w:rPr>
          <w:rFonts w:ascii="Times New Roman" w:eastAsia="Calibri" w:hAnsi="Times New Roman"/>
          <w:szCs w:val="28"/>
          <w:lang w:eastAsia="en-US"/>
        </w:rPr>
        <w:t xml:space="preserve"> stato riscontrato che il terzo settore ha uno spiccato interesse per la consultazione e il coinvolgimento. Gli interlocutori hanno suggerito una pluralità di modalità che l’Amministrazione può utilizzare per il confronto. Il Dipartimento ha valutato positivamente l’iniziativa e ritiene che il lavoro con gli </w:t>
      </w:r>
      <w:r w:rsidRPr="00DE7C40">
        <w:rPr>
          <w:rFonts w:ascii="Times New Roman" w:eastAsia="Calibri" w:hAnsi="Times New Roman"/>
          <w:i/>
          <w:szCs w:val="28"/>
          <w:lang w:eastAsia="en-US"/>
        </w:rPr>
        <w:t>stakeholder</w:t>
      </w:r>
      <w:r w:rsidRPr="00DE7C40">
        <w:rPr>
          <w:rFonts w:ascii="Times New Roman" w:eastAsia="Calibri" w:hAnsi="Times New Roman"/>
          <w:szCs w:val="28"/>
          <w:lang w:eastAsia="en-US"/>
        </w:rPr>
        <w:t xml:space="preserve"> sia di grande rilevanza per il rapporto diretto con il territorio e la conseguenziale capacità di analisi. </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 xml:space="preserve">Ciò premesso, nel corso del 2021 il Dipartimento manterrà attiva e svilupperà la consultazione con l’obiettivo di consolidarne la prassi nelle situazioni e con le modalità in cui essa si dovesse mostrare più efficace.    </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Il Dipartimento per le politiche giovanili e il servizio civile universale ha individuato quale interlocutore la Consulta nazionale per il servizio civile universale, organismo nel cui ambito sono rappresentati gli esponenti delle associazioni e degli enti territoriali coinvolti nel Servizio civile universale. Per la sperimentazione della consultazione il Dipartimento ha organizzato alcune riunioni e somministrato un questionario.</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 xml:space="preserve">L’iniziativa del Dipartimento per le politiche giovanili e il servizio civile universale si è focalizzata su due processi di competenza ed ha riguardato specificamente le misure e le azioni di prevenzione della corruzione. Dall’analisi delle risposte ricevute è risultato che, in riferimento ai due processi selezionati, il livello di efficacia delle misure contenute nel P.T.P.C.T. della P.C.M. è valutato mediamente buono o molto buono. Sono stati formulati alcuni suggerimenti in riferimento ai rischi connessi ai due processi considerati e alle possibili misure da approntare. Sono state avanzate alcune proposte metodologiche per migliorare la conoscenza della normativa sulla prevenzione della corruzione e per la programmazione delle iniziative di prevenzione. A conclusione della sperimentazione, il Dipartimento ha evidenziato alcuni aspetti di miglioramento per l’azione amministrativa.  </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Ciò premesso, nel corso del 2021 il Dipartimento assumerà le iniziative opportune in relazione ai suggerimenti ricevuti in sede di consultazione.</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Entro il 30 novembre del 2021 entrambe le Strutture riferiranno circa le iniziative assunte.</w:t>
      </w:r>
    </w:p>
    <w:p w:rsidR="007319A3" w:rsidRPr="00DE7C40" w:rsidRDefault="007319A3" w:rsidP="007319A3">
      <w:pPr>
        <w:rPr>
          <w:rFonts w:ascii="Times New Roman" w:eastAsia="Calibri" w:hAnsi="Times New Roman"/>
          <w:szCs w:val="28"/>
          <w:lang w:eastAsia="en-US"/>
        </w:rPr>
      </w:pPr>
      <w:r w:rsidRPr="00DE7C40">
        <w:rPr>
          <w:rFonts w:ascii="Times New Roman" w:eastAsia="Calibri" w:hAnsi="Times New Roman"/>
          <w:szCs w:val="28"/>
          <w:lang w:eastAsia="en-US"/>
        </w:rPr>
        <w:t xml:space="preserve">Nel corso del 2021 il R.P.C.T. procederà all’individuazione di una ulteriore Struttura che per le caratteristiche delle funzioni svolte potrà essere adatta ad avviare la sperimentazione di forme di consultazione.                        </w:t>
      </w:r>
    </w:p>
    <w:p w:rsidR="001D336C" w:rsidRPr="00DE7C40" w:rsidRDefault="001D336C" w:rsidP="001D336C">
      <w:pPr>
        <w:ind w:left="360" w:firstLine="0"/>
        <w:contextualSpacing/>
        <w:rPr>
          <w:rFonts w:ascii="Times New Roman" w:hAnsi="Times New Roman"/>
          <w:szCs w:val="28"/>
        </w:rPr>
      </w:pPr>
    </w:p>
    <w:p w:rsidR="00B60060" w:rsidRPr="00DE7C40" w:rsidRDefault="00B60060" w:rsidP="00D4217A">
      <w:pPr>
        <w:numPr>
          <w:ilvl w:val="0"/>
          <w:numId w:val="2"/>
        </w:numPr>
        <w:contextualSpacing/>
        <w:rPr>
          <w:rFonts w:ascii="Times New Roman" w:hAnsi="Times New Roman"/>
          <w:szCs w:val="28"/>
        </w:rPr>
      </w:pPr>
      <w:r w:rsidRPr="00DE7C40">
        <w:rPr>
          <w:rFonts w:ascii="Times New Roman" w:hAnsi="Times New Roman"/>
          <w:szCs w:val="28"/>
        </w:rPr>
        <w:t>Il contesto interno</w:t>
      </w:r>
    </w:p>
    <w:p w:rsidR="007F6E73" w:rsidRPr="00DE7C40" w:rsidRDefault="00D16885" w:rsidP="00AD3E54">
      <w:pPr>
        <w:tabs>
          <w:tab w:val="left" w:pos="2127"/>
        </w:tabs>
        <w:rPr>
          <w:rFonts w:ascii="Times New Roman" w:hAnsi="Times New Roman"/>
          <w:szCs w:val="28"/>
        </w:rPr>
      </w:pPr>
      <w:r w:rsidRPr="00DE7C40">
        <w:rPr>
          <w:rFonts w:ascii="Times New Roman" w:hAnsi="Times New Roman"/>
          <w:szCs w:val="28"/>
        </w:rPr>
        <w:t xml:space="preserve">Considerato che al momento della stesura del presente Piano, il Governo si è appena insediato le iniziative presenti nello stesso potranno essere suscettibili di future integrazioni. </w:t>
      </w:r>
    </w:p>
    <w:p w:rsidR="007F6E73" w:rsidRPr="00DE7C40" w:rsidRDefault="007F6E73" w:rsidP="007F6E73">
      <w:pPr>
        <w:rPr>
          <w:rFonts w:ascii="Times New Roman" w:hAnsi="Times New Roman"/>
          <w:szCs w:val="28"/>
        </w:rPr>
      </w:pPr>
      <w:r w:rsidRPr="00DE7C40">
        <w:rPr>
          <w:rFonts w:ascii="Times New Roman" w:hAnsi="Times New Roman"/>
          <w:szCs w:val="28"/>
        </w:rPr>
        <w:t>La specificità della P.C.M. rispetto ad altre Amministrazioni centrali è data</w:t>
      </w:r>
      <w:r w:rsidR="003B35C0" w:rsidRPr="00DE7C40">
        <w:rPr>
          <w:rFonts w:ascii="Times New Roman" w:hAnsi="Times New Roman"/>
          <w:szCs w:val="28"/>
        </w:rPr>
        <w:t>,</w:t>
      </w:r>
      <w:r w:rsidRPr="00DE7C40">
        <w:rPr>
          <w:rFonts w:ascii="Times New Roman" w:hAnsi="Times New Roman"/>
          <w:szCs w:val="28"/>
        </w:rPr>
        <w:t xml:space="preserve"> poi</w:t>
      </w:r>
      <w:r w:rsidR="003B35C0" w:rsidRPr="00DE7C40">
        <w:rPr>
          <w:rFonts w:ascii="Times New Roman" w:hAnsi="Times New Roman"/>
          <w:szCs w:val="28"/>
        </w:rPr>
        <w:t>,</w:t>
      </w:r>
      <w:r w:rsidRPr="00DE7C40">
        <w:rPr>
          <w:rFonts w:ascii="Times New Roman" w:hAnsi="Times New Roman"/>
          <w:szCs w:val="28"/>
        </w:rPr>
        <w:t xml:space="preserve"> dal fatto che le Strutture svolgono funzioni di supporto </w:t>
      </w:r>
      <w:r w:rsidR="00516FFE" w:rsidRPr="00DE7C40">
        <w:rPr>
          <w:rFonts w:ascii="Times New Roman" w:hAnsi="Times New Roman"/>
          <w:szCs w:val="28"/>
        </w:rPr>
        <w:t>ad</w:t>
      </w:r>
      <w:r w:rsidRPr="00DE7C40">
        <w:rPr>
          <w:rFonts w:ascii="Times New Roman" w:hAnsi="Times New Roman"/>
          <w:szCs w:val="28"/>
        </w:rPr>
        <w:t xml:space="preserve"> una pluralità di Autorità politiche (Presidente del Consiglio</w:t>
      </w:r>
      <w:r w:rsidR="00516FFE" w:rsidRPr="00DE7C40">
        <w:rPr>
          <w:rFonts w:ascii="Times New Roman" w:hAnsi="Times New Roman"/>
          <w:szCs w:val="28"/>
        </w:rPr>
        <w:t xml:space="preserve"> dei </w:t>
      </w:r>
      <w:r w:rsidR="00A56117" w:rsidRPr="00DE7C40">
        <w:rPr>
          <w:rFonts w:ascii="Times New Roman" w:hAnsi="Times New Roman"/>
          <w:szCs w:val="28"/>
        </w:rPr>
        <w:t>m</w:t>
      </w:r>
      <w:r w:rsidR="00516FFE" w:rsidRPr="00DE7C40">
        <w:rPr>
          <w:rFonts w:ascii="Times New Roman" w:hAnsi="Times New Roman"/>
          <w:szCs w:val="28"/>
        </w:rPr>
        <w:t>inistri</w:t>
      </w:r>
      <w:r w:rsidR="00733481" w:rsidRPr="00DE7C40">
        <w:rPr>
          <w:rFonts w:ascii="Times New Roman" w:hAnsi="Times New Roman"/>
          <w:szCs w:val="28"/>
        </w:rPr>
        <w:t xml:space="preserve">, </w:t>
      </w:r>
      <w:r w:rsidRPr="00DE7C40">
        <w:rPr>
          <w:rFonts w:ascii="Times New Roman" w:hAnsi="Times New Roman"/>
          <w:szCs w:val="28"/>
        </w:rPr>
        <w:t>Ministri senza portafoglio e Sottos</w:t>
      </w:r>
      <w:r w:rsidR="00D9195A" w:rsidRPr="00DE7C40">
        <w:rPr>
          <w:rFonts w:ascii="Times New Roman" w:hAnsi="Times New Roman"/>
          <w:szCs w:val="28"/>
        </w:rPr>
        <w:t xml:space="preserve">egretari), oltre al </w:t>
      </w:r>
      <w:r w:rsidR="00187464" w:rsidRPr="00DE7C40">
        <w:rPr>
          <w:rFonts w:ascii="Times New Roman" w:hAnsi="Times New Roman"/>
          <w:szCs w:val="28"/>
        </w:rPr>
        <w:t>S.G.</w:t>
      </w:r>
      <w:r w:rsidRPr="00DE7C40">
        <w:rPr>
          <w:rFonts w:ascii="Times New Roman" w:hAnsi="Times New Roman"/>
          <w:szCs w:val="28"/>
        </w:rPr>
        <w:t xml:space="preserve"> a cui, come noto, è affidato anche </w:t>
      </w:r>
      <w:r w:rsidR="00516FFE" w:rsidRPr="00DE7C40">
        <w:rPr>
          <w:rFonts w:ascii="Times New Roman" w:hAnsi="Times New Roman"/>
          <w:szCs w:val="28"/>
        </w:rPr>
        <w:t xml:space="preserve">il </w:t>
      </w:r>
      <w:r w:rsidR="00E720EF" w:rsidRPr="00DE7C40">
        <w:rPr>
          <w:rFonts w:ascii="Times New Roman" w:hAnsi="Times New Roman"/>
          <w:szCs w:val="28"/>
        </w:rPr>
        <w:t>potere di indirizzo politico-</w:t>
      </w:r>
      <w:r w:rsidRPr="00DE7C40">
        <w:rPr>
          <w:rFonts w:ascii="Times New Roman" w:hAnsi="Times New Roman"/>
          <w:szCs w:val="28"/>
        </w:rPr>
        <w:t>amministrativo.</w:t>
      </w:r>
    </w:p>
    <w:p w:rsidR="00CF69F7" w:rsidRPr="00DE7C40" w:rsidRDefault="00CF69F7" w:rsidP="007F6E73">
      <w:pPr>
        <w:rPr>
          <w:rFonts w:ascii="Times New Roman" w:hAnsi="Times New Roman"/>
          <w:szCs w:val="28"/>
        </w:rPr>
      </w:pPr>
    </w:p>
    <w:p w:rsidR="007F6E73" w:rsidRPr="00DE7C40" w:rsidRDefault="007F6E73" w:rsidP="007F6E73">
      <w:pPr>
        <w:rPr>
          <w:rFonts w:ascii="Times New Roman" w:hAnsi="Times New Roman"/>
          <w:szCs w:val="28"/>
        </w:rPr>
      </w:pPr>
      <w:r w:rsidRPr="00DE7C40">
        <w:rPr>
          <w:rFonts w:ascii="Times New Roman" w:hAnsi="Times New Roman"/>
          <w:szCs w:val="28"/>
        </w:rPr>
        <w:t>La flessibilità organizzativa, la caratteristica di “policentrismo” dal punto di vista politico e la mutevolezza nel tempo propr</w:t>
      </w:r>
      <w:r w:rsidR="00A42B28" w:rsidRPr="00DE7C40">
        <w:rPr>
          <w:rFonts w:ascii="Times New Roman" w:hAnsi="Times New Roman"/>
          <w:szCs w:val="28"/>
        </w:rPr>
        <w:t xml:space="preserve">i della P.C.M. (accorpamento o </w:t>
      </w:r>
      <w:r w:rsidRPr="00DE7C40">
        <w:rPr>
          <w:rFonts w:ascii="Times New Roman" w:hAnsi="Times New Roman"/>
          <w:szCs w:val="28"/>
        </w:rPr>
        <w:t xml:space="preserve">suddivisione di </w:t>
      </w:r>
      <w:r w:rsidR="00824E14" w:rsidRPr="00DE7C40">
        <w:rPr>
          <w:rFonts w:ascii="Times New Roman" w:hAnsi="Times New Roman"/>
          <w:szCs w:val="28"/>
        </w:rPr>
        <w:t>D</w:t>
      </w:r>
      <w:r w:rsidRPr="00DE7C40">
        <w:rPr>
          <w:rFonts w:ascii="Times New Roman" w:hAnsi="Times New Roman"/>
          <w:szCs w:val="28"/>
        </w:rPr>
        <w:t xml:space="preserve">ipartimenti, istituzione/soppressione di Strutture di missione, modifica dell’assetto delle deleghe politiche, ecc.) rendono dinamiche le attività di supporto, inevitabilmente influenzate anche dai frequenti cambiamenti di scenario politico-istituzionale. Pertanto, le attività che presuppongono un assetto organizzativo stabile (come quelle relative al ciclo della </w:t>
      </w:r>
      <w:r w:rsidRPr="00DE7C40">
        <w:rPr>
          <w:rFonts w:ascii="Times New Roman" w:hAnsi="Times New Roman"/>
          <w:i/>
          <w:szCs w:val="28"/>
        </w:rPr>
        <w:t xml:space="preserve">performance, </w:t>
      </w:r>
      <w:r w:rsidRPr="00DE7C40">
        <w:rPr>
          <w:rFonts w:ascii="Times New Roman" w:hAnsi="Times New Roman"/>
          <w:szCs w:val="28"/>
        </w:rPr>
        <w:t>nonch</w:t>
      </w:r>
      <w:r w:rsidR="00824E14" w:rsidRPr="00DE7C40">
        <w:rPr>
          <w:rFonts w:ascii="Times New Roman" w:hAnsi="Times New Roman"/>
          <w:szCs w:val="28"/>
        </w:rPr>
        <w:t>é</w:t>
      </w:r>
      <w:r w:rsidRPr="00DE7C40">
        <w:rPr>
          <w:rFonts w:ascii="Times New Roman" w:hAnsi="Times New Roman"/>
          <w:szCs w:val="28"/>
        </w:rPr>
        <w:t xml:space="preserve"> quelle di pianificazione e programmazione della prevenzione della corruzione e, in particolare, la mappatura dei processi e la gestione del rischio corruttivo) si presentano molto laboriose. </w:t>
      </w:r>
    </w:p>
    <w:p w:rsidR="002C3568" w:rsidRPr="00DE7C40" w:rsidRDefault="00091DBD" w:rsidP="00E53502">
      <w:pPr>
        <w:rPr>
          <w:rFonts w:ascii="Times New Roman" w:hAnsi="Times New Roman"/>
          <w:bCs/>
          <w:szCs w:val="28"/>
        </w:rPr>
      </w:pPr>
      <w:r w:rsidRPr="00DE7C40">
        <w:rPr>
          <w:rFonts w:ascii="Times New Roman" w:hAnsi="Times New Roman"/>
          <w:bCs/>
          <w:szCs w:val="28"/>
        </w:rPr>
        <w:t>L</w:t>
      </w:r>
      <w:r w:rsidR="007F6E73" w:rsidRPr="00DE7C40">
        <w:rPr>
          <w:rFonts w:ascii="Times New Roman" w:hAnsi="Times New Roman"/>
          <w:bCs/>
          <w:szCs w:val="28"/>
        </w:rPr>
        <w:t xml:space="preserve">e attività concernenti il monitoraggio sugli adempimenti di trasparenza e di prevenzione della corruzione, in via di progressivo rafforzamento con il collegamento con il ciclo della </w:t>
      </w:r>
      <w:r w:rsidR="007F6E73" w:rsidRPr="00DE7C40">
        <w:rPr>
          <w:rFonts w:ascii="Times New Roman" w:hAnsi="Times New Roman"/>
          <w:bCs/>
          <w:i/>
          <w:szCs w:val="28"/>
        </w:rPr>
        <w:t>performance</w:t>
      </w:r>
      <w:r w:rsidR="007F6E73" w:rsidRPr="00DE7C40">
        <w:rPr>
          <w:rFonts w:ascii="Times New Roman" w:hAnsi="Times New Roman"/>
          <w:bCs/>
          <w:szCs w:val="28"/>
        </w:rPr>
        <w:t xml:space="preserve">, risultano particolarmente onerose e delicate in ragione dell’accennata complessità e flessibilità organizzativa. L’attività di coordinamento e monitoraggio dell’attuazione degli obblighi normativi in materia di trasparenza comporta il monitoraggio </w:t>
      </w:r>
      <w:r w:rsidR="00E05A22">
        <w:rPr>
          <w:rFonts w:ascii="Times New Roman" w:hAnsi="Times New Roman"/>
          <w:bCs/>
          <w:szCs w:val="28"/>
        </w:rPr>
        <w:t xml:space="preserve">periodico </w:t>
      </w:r>
      <w:r w:rsidR="007F6E73" w:rsidRPr="00DE7C40">
        <w:rPr>
          <w:rFonts w:ascii="Times New Roman" w:hAnsi="Times New Roman"/>
          <w:bCs/>
          <w:szCs w:val="28"/>
        </w:rPr>
        <w:t>di un elevato numero di dati presenti nella sezione “Amministrazione trasparente” del sito del Governo</w:t>
      </w:r>
      <w:r w:rsidR="002F453E" w:rsidRPr="00DE7C40">
        <w:rPr>
          <w:rFonts w:ascii="Times New Roman" w:hAnsi="Times New Roman"/>
          <w:bCs/>
          <w:szCs w:val="28"/>
        </w:rPr>
        <w:t xml:space="preserve">, </w:t>
      </w:r>
      <w:r w:rsidR="007F6E73" w:rsidRPr="00DE7C40">
        <w:rPr>
          <w:rFonts w:ascii="Times New Roman" w:hAnsi="Times New Roman"/>
          <w:bCs/>
          <w:szCs w:val="28"/>
        </w:rPr>
        <w:t xml:space="preserve">corrispondenti agli obblighi di pubblicità di tutte </w:t>
      </w:r>
      <w:r w:rsidR="00B02C9E" w:rsidRPr="00DE7C40">
        <w:rPr>
          <w:rFonts w:ascii="Times New Roman" w:hAnsi="Times New Roman"/>
          <w:bCs/>
          <w:szCs w:val="28"/>
        </w:rPr>
        <w:t>le Strutture della P.C.M.</w:t>
      </w:r>
      <w:r w:rsidRPr="00DE7C40">
        <w:rPr>
          <w:rFonts w:ascii="Times New Roman" w:hAnsi="Times New Roman"/>
          <w:bCs/>
          <w:szCs w:val="28"/>
        </w:rPr>
        <w:t xml:space="preserve"> Inoltre</w:t>
      </w:r>
      <w:r w:rsidR="00824E14" w:rsidRPr="00DE7C40">
        <w:rPr>
          <w:rFonts w:ascii="Times New Roman" w:hAnsi="Times New Roman"/>
          <w:bCs/>
          <w:szCs w:val="28"/>
        </w:rPr>
        <w:t>,</w:t>
      </w:r>
      <w:r w:rsidR="007F6E73" w:rsidRPr="00DE7C40">
        <w:rPr>
          <w:rFonts w:ascii="Times New Roman" w:hAnsi="Times New Roman"/>
          <w:bCs/>
          <w:szCs w:val="28"/>
        </w:rPr>
        <w:t xml:space="preserve"> il monitoraggio degli obblighi di pubblicità dei titolari di cariche di Governo, rispetto ad altre amministrazioni centrali, assume una particolare laboriosità a causa dell’elevato numero di Autorità politiche presenti in Presidenza. </w:t>
      </w:r>
    </w:p>
    <w:p w:rsidR="005F7B95" w:rsidRPr="00DE7C40" w:rsidRDefault="005F7B95" w:rsidP="00E53502">
      <w:pPr>
        <w:rPr>
          <w:rFonts w:ascii="Times New Roman" w:hAnsi="Times New Roman"/>
          <w:szCs w:val="28"/>
        </w:rPr>
      </w:pPr>
      <w:r w:rsidRPr="00DE7C40">
        <w:rPr>
          <w:rFonts w:ascii="Times New Roman" w:hAnsi="Times New Roman"/>
          <w:szCs w:val="28"/>
        </w:rPr>
        <w:t xml:space="preserve">Relativamente alle attività di prevenzione della corruzione, la mappatura e la valutazione del rischio </w:t>
      </w:r>
      <w:r w:rsidR="008611B0" w:rsidRPr="00DE7C40">
        <w:rPr>
          <w:rFonts w:ascii="Times New Roman" w:hAnsi="Times New Roman"/>
          <w:szCs w:val="28"/>
        </w:rPr>
        <w:t>hanno riguardato quasi 3000</w:t>
      </w:r>
      <w:r w:rsidR="005C23A2" w:rsidRPr="00DE7C40">
        <w:rPr>
          <w:rFonts w:ascii="Times New Roman" w:hAnsi="Times New Roman"/>
          <w:szCs w:val="28"/>
        </w:rPr>
        <w:t xml:space="preserve"> processi</w:t>
      </w:r>
      <w:r w:rsidR="00CF69F7" w:rsidRPr="00DE7C40">
        <w:rPr>
          <w:rFonts w:ascii="Times New Roman" w:hAnsi="Times New Roman"/>
          <w:szCs w:val="28"/>
        </w:rPr>
        <w:t>,</w:t>
      </w:r>
      <w:r w:rsidR="005C23A2" w:rsidRPr="00DE7C40">
        <w:rPr>
          <w:rFonts w:ascii="Times New Roman" w:hAnsi="Times New Roman"/>
          <w:szCs w:val="28"/>
        </w:rPr>
        <w:t xml:space="preserve"> dei quali circa 1500</w:t>
      </w:r>
      <w:r w:rsidRPr="00DE7C40">
        <w:rPr>
          <w:rFonts w:ascii="Times New Roman" w:hAnsi="Times New Roman"/>
          <w:szCs w:val="28"/>
        </w:rPr>
        <w:t xml:space="preserve"> sono stati ritenuti dalle Strutture a potenzial</w:t>
      </w:r>
      <w:r w:rsidR="001332E0" w:rsidRPr="00DE7C40">
        <w:rPr>
          <w:rFonts w:ascii="Times New Roman" w:hAnsi="Times New Roman"/>
          <w:szCs w:val="28"/>
        </w:rPr>
        <w:t>e rischio cor</w:t>
      </w:r>
      <w:r w:rsidR="005C23A2" w:rsidRPr="00DE7C40">
        <w:rPr>
          <w:rFonts w:ascii="Times New Roman" w:hAnsi="Times New Roman"/>
          <w:szCs w:val="28"/>
        </w:rPr>
        <w:t xml:space="preserve">ruttivo </w:t>
      </w:r>
      <w:r w:rsidRPr="00DE7C40">
        <w:rPr>
          <w:rFonts w:ascii="Times New Roman" w:hAnsi="Times New Roman"/>
          <w:szCs w:val="28"/>
        </w:rPr>
        <w:t xml:space="preserve">(allegato </w:t>
      </w:r>
      <w:r w:rsidR="00327DC2" w:rsidRPr="00DE7C40">
        <w:rPr>
          <w:rFonts w:ascii="Times New Roman" w:hAnsi="Times New Roman"/>
          <w:szCs w:val="28"/>
        </w:rPr>
        <w:t>2</w:t>
      </w:r>
      <w:r w:rsidRPr="00DE7C40">
        <w:rPr>
          <w:rFonts w:ascii="Times New Roman" w:hAnsi="Times New Roman"/>
          <w:szCs w:val="28"/>
        </w:rPr>
        <w:t xml:space="preserve">). </w:t>
      </w:r>
    </w:p>
    <w:p w:rsidR="000F7799" w:rsidRPr="00DE7C40" w:rsidRDefault="001332E0" w:rsidP="00E53502">
      <w:pPr>
        <w:rPr>
          <w:rFonts w:ascii="Times New Roman" w:hAnsi="Times New Roman"/>
          <w:szCs w:val="28"/>
        </w:rPr>
      </w:pPr>
      <w:r w:rsidRPr="00DE7C40">
        <w:rPr>
          <w:rFonts w:ascii="Times New Roman" w:hAnsi="Times New Roman"/>
          <w:szCs w:val="28"/>
        </w:rPr>
        <w:t>L’are</w:t>
      </w:r>
      <w:r w:rsidR="00FF02B2" w:rsidRPr="00DE7C40">
        <w:rPr>
          <w:rFonts w:ascii="Times New Roman" w:hAnsi="Times New Roman"/>
          <w:szCs w:val="28"/>
        </w:rPr>
        <w:t xml:space="preserve">a di rischio più rappresentata risulta essere sempre </w:t>
      </w:r>
      <w:r w:rsidRPr="00DE7C40">
        <w:rPr>
          <w:rFonts w:ascii="Times New Roman" w:hAnsi="Times New Roman"/>
          <w:szCs w:val="28"/>
        </w:rPr>
        <w:t>l’</w:t>
      </w:r>
      <w:r w:rsidR="00E53502" w:rsidRPr="00DE7C40">
        <w:rPr>
          <w:rFonts w:ascii="Times New Roman" w:hAnsi="Times New Roman"/>
          <w:szCs w:val="28"/>
        </w:rPr>
        <w:t>Area B: affidamento di lavori, servizi e forniture</w:t>
      </w:r>
      <w:r w:rsidRPr="00DE7C40">
        <w:rPr>
          <w:rFonts w:ascii="Times New Roman" w:hAnsi="Times New Roman"/>
          <w:szCs w:val="28"/>
        </w:rPr>
        <w:t>.</w:t>
      </w:r>
      <w:r w:rsidR="00E53502" w:rsidRPr="00DE7C40">
        <w:rPr>
          <w:rFonts w:ascii="Times New Roman" w:hAnsi="Times New Roman"/>
          <w:szCs w:val="28"/>
        </w:rPr>
        <w:t xml:space="preserve"> </w:t>
      </w:r>
    </w:p>
    <w:p w:rsidR="00EC7494" w:rsidRPr="00DE7C40" w:rsidRDefault="007F6E73" w:rsidP="007F6E73">
      <w:pPr>
        <w:rPr>
          <w:rFonts w:ascii="Times New Roman" w:hAnsi="Times New Roman"/>
          <w:szCs w:val="28"/>
        </w:rPr>
      </w:pPr>
      <w:r w:rsidRPr="00DE7C40">
        <w:rPr>
          <w:rFonts w:ascii="Times New Roman" w:hAnsi="Times New Roman"/>
          <w:szCs w:val="28"/>
        </w:rPr>
        <w:t>Contribuisce all’analisi del contesto interno l’esame dei dati forniti dall’Ufficio politiche formative, attività statistica, responsabilità e disciplina del DI.P. relativi ai procedimenti disciplinari (le f</w:t>
      </w:r>
      <w:r w:rsidR="00E2299D" w:rsidRPr="00DE7C40">
        <w:rPr>
          <w:rFonts w:ascii="Times New Roman" w:hAnsi="Times New Roman"/>
          <w:szCs w:val="28"/>
        </w:rPr>
        <w:t xml:space="preserve">unzioni di Ufficio procedimenti </w:t>
      </w:r>
      <w:r w:rsidRPr="00DE7C40">
        <w:rPr>
          <w:rFonts w:ascii="Times New Roman" w:hAnsi="Times New Roman"/>
          <w:szCs w:val="28"/>
        </w:rPr>
        <w:t>disciplinari in P.C.M. sono assegnate ad una apposita Commissione).</w:t>
      </w:r>
    </w:p>
    <w:p w:rsidR="00D71003" w:rsidRPr="00DE7C40" w:rsidRDefault="00D71003" w:rsidP="007F6E73">
      <w:pPr>
        <w:rPr>
          <w:rFonts w:ascii="Times New Roman" w:hAnsi="Times New Roman"/>
          <w:szCs w:val="28"/>
        </w:rPr>
      </w:pPr>
    </w:p>
    <w:p w:rsidR="00AD3E54" w:rsidRPr="00DE7C40" w:rsidRDefault="00EC7494" w:rsidP="00D4217A">
      <w:pPr>
        <w:pStyle w:val="Paragrafoelenco"/>
        <w:numPr>
          <w:ilvl w:val="0"/>
          <w:numId w:val="3"/>
        </w:numPr>
        <w:rPr>
          <w:rFonts w:ascii="Times New Roman" w:hAnsi="Times New Roman"/>
          <w:szCs w:val="28"/>
          <w:u w:val="single"/>
        </w:rPr>
      </w:pPr>
      <w:r w:rsidRPr="00DE7C40">
        <w:rPr>
          <w:rFonts w:ascii="Times New Roman" w:hAnsi="Times New Roman"/>
          <w:szCs w:val="28"/>
          <w:u w:val="single"/>
        </w:rPr>
        <w:t>P</w:t>
      </w:r>
      <w:r w:rsidR="00AD3E54" w:rsidRPr="00DE7C40">
        <w:rPr>
          <w:rFonts w:ascii="Times New Roman" w:hAnsi="Times New Roman"/>
          <w:szCs w:val="28"/>
          <w:u w:val="single"/>
        </w:rPr>
        <w:t>rocedimenti disciplinari</w:t>
      </w:r>
      <w:r w:rsidR="00232A58" w:rsidRPr="00DE7C40">
        <w:rPr>
          <w:rFonts w:ascii="Times New Roman" w:hAnsi="Times New Roman"/>
          <w:szCs w:val="28"/>
          <w:u w:val="single"/>
        </w:rPr>
        <w:t xml:space="preserve"> </w:t>
      </w:r>
    </w:p>
    <w:p w:rsidR="00313226" w:rsidRPr="00DE7C40" w:rsidRDefault="00BF2F88" w:rsidP="003F2673">
      <w:pPr>
        <w:pStyle w:val="Testonormale"/>
        <w:rPr>
          <w:rFonts w:ascii="Times New Roman" w:hAnsi="Times New Roman"/>
          <w:sz w:val="28"/>
          <w:szCs w:val="28"/>
        </w:rPr>
      </w:pPr>
      <w:r w:rsidRPr="00DE7C40">
        <w:rPr>
          <w:rFonts w:ascii="Times New Roman" w:hAnsi="Times New Roman"/>
          <w:sz w:val="28"/>
          <w:szCs w:val="28"/>
        </w:rPr>
        <w:t>A carico del personale in servizio presso la P.C.M sono stati avviati, n</w:t>
      </w:r>
      <w:r w:rsidR="00313226" w:rsidRPr="00DE7C40">
        <w:rPr>
          <w:rFonts w:ascii="Times New Roman" w:hAnsi="Times New Roman"/>
          <w:sz w:val="28"/>
          <w:szCs w:val="28"/>
        </w:rPr>
        <w:t>ell’anno 2020</w:t>
      </w:r>
      <w:r w:rsidRPr="00DE7C40">
        <w:rPr>
          <w:rFonts w:ascii="Times New Roman" w:hAnsi="Times New Roman"/>
          <w:sz w:val="28"/>
          <w:szCs w:val="28"/>
        </w:rPr>
        <w:t>,</w:t>
      </w:r>
      <w:r w:rsidR="00A42B28" w:rsidRPr="00DE7C40">
        <w:rPr>
          <w:rFonts w:ascii="Times New Roman" w:hAnsi="Times New Roman"/>
          <w:sz w:val="28"/>
          <w:szCs w:val="28"/>
        </w:rPr>
        <w:t xml:space="preserve"> </w:t>
      </w:r>
      <w:r w:rsidR="00313226" w:rsidRPr="00DE7C40">
        <w:rPr>
          <w:rFonts w:ascii="Times New Roman" w:hAnsi="Times New Roman"/>
          <w:sz w:val="28"/>
          <w:szCs w:val="28"/>
        </w:rPr>
        <w:t>cinque procedimenti</w:t>
      </w:r>
      <w:r w:rsidRPr="00DE7C40">
        <w:rPr>
          <w:rFonts w:ascii="Times New Roman" w:hAnsi="Times New Roman"/>
          <w:sz w:val="28"/>
          <w:szCs w:val="28"/>
        </w:rPr>
        <w:t xml:space="preserve"> disciplinari. Tre dei suddetti</w:t>
      </w:r>
      <w:r w:rsidR="00313226" w:rsidRPr="00DE7C40">
        <w:rPr>
          <w:rFonts w:ascii="Times New Roman" w:hAnsi="Times New Roman"/>
          <w:sz w:val="28"/>
          <w:szCs w:val="28"/>
        </w:rPr>
        <w:t xml:space="preserve"> procedimenti si sono conclusi con l’erogazi</w:t>
      </w:r>
      <w:r w:rsidRPr="00DE7C40">
        <w:rPr>
          <w:rFonts w:ascii="Times New Roman" w:hAnsi="Times New Roman"/>
          <w:sz w:val="28"/>
          <w:szCs w:val="28"/>
        </w:rPr>
        <w:t xml:space="preserve">one di una sanzione, mentre </w:t>
      </w:r>
      <w:r w:rsidR="00313226" w:rsidRPr="00DE7C40">
        <w:rPr>
          <w:rFonts w:ascii="Times New Roman" w:hAnsi="Times New Roman"/>
          <w:sz w:val="28"/>
          <w:szCs w:val="28"/>
        </w:rPr>
        <w:t xml:space="preserve">altri due sono ancora in corso. </w:t>
      </w:r>
    </w:p>
    <w:p w:rsidR="00D95069" w:rsidRPr="004A689C" w:rsidRDefault="00BF2F88" w:rsidP="003F2673">
      <w:pPr>
        <w:pStyle w:val="Testonormale"/>
        <w:rPr>
          <w:rFonts w:ascii="Times New Roman" w:hAnsi="Times New Roman"/>
          <w:sz w:val="28"/>
          <w:szCs w:val="28"/>
        </w:rPr>
      </w:pPr>
      <w:r w:rsidRPr="00DE7C40">
        <w:rPr>
          <w:rFonts w:ascii="Times New Roman" w:hAnsi="Times New Roman"/>
          <w:sz w:val="28"/>
          <w:szCs w:val="28"/>
        </w:rPr>
        <w:t>Va evidenziato che n</w:t>
      </w:r>
      <w:r w:rsidR="00313226" w:rsidRPr="00DE7C40">
        <w:rPr>
          <w:rFonts w:ascii="Times New Roman" w:hAnsi="Times New Roman"/>
          <w:sz w:val="28"/>
          <w:szCs w:val="28"/>
        </w:rPr>
        <w:t xml:space="preserve">essuno di tali procedimenti risulta </w:t>
      </w:r>
      <w:r w:rsidR="00DB10FB" w:rsidRPr="00DE7C40">
        <w:rPr>
          <w:rFonts w:ascii="Times New Roman" w:hAnsi="Times New Roman"/>
          <w:sz w:val="28"/>
          <w:szCs w:val="28"/>
        </w:rPr>
        <w:t>relativo a fatti penalmente rilevanti</w:t>
      </w:r>
      <w:r w:rsidR="00313226" w:rsidRPr="00DE7C40">
        <w:rPr>
          <w:rFonts w:ascii="Times New Roman" w:hAnsi="Times New Roman"/>
          <w:sz w:val="28"/>
          <w:szCs w:val="28"/>
        </w:rPr>
        <w:t>.</w:t>
      </w:r>
      <w:r w:rsidR="00DB10FB" w:rsidRPr="004A689C">
        <w:rPr>
          <w:rFonts w:ascii="Times New Roman" w:hAnsi="Times New Roman"/>
          <w:sz w:val="28"/>
          <w:szCs w:val="28"/>
        </w:rPr>
        <w:t xml:space="preserve"> </w:t>
      </w:r>
    </w:p>
    <w:p w:rsidR="007F6E73" w:rsidRPr="004A689C" w:rsidRDefault="00BF2F88" w:rsidP="007F6E73">
      <w:pPr>
        <w:rPr>
          <w:rFonts w:ascii="Times New Roman" w:hAnsi="Times New Roman"/>
          <w:szCs w:val="28"/>
        </w:rPr>
      </w:pPr>
      <w:r w:rsidRPr="004A689C">
        <w:rPr>
          <w:rFonts w:ascii="Times New Roman" w:hAnsi="Times New Roman"/>
          <w:szCs w:val="28"/>
        </w:rPr>
        <w:t>Inoltre, d</w:t>
      </w:r>
      <w:r w:rsidR="007F6E73" w:rsidRPr="004A689C">
        <w:rPr>
          <w:rFonts w:ascii="Times New Roman" w:hAnsi="Times New Roman"/>
          <w:szCs w:val="28"/>
        </w:rPr>
        <w:t>a</w:t>
      </w:r>
      <w:r w:rsidR="00824E14" w:rsidRPr="004A689C">
        <w:rPr>
          <w:rFonts w:ascii="Times New Roman" w:hAnsi="Times New Roman"/>
          <w:szCs w:val="28"/>
        </w:rPr>
        <w:t>ll’</w:t>
      </w:r>
      <w:r w:rsidR="007F6E73" w:rsidRPr="004A689C">
        <w:rPr>
          <w:rFonts w:ascii="Times New Roman" w:hAnsi="Times New Roman"/>
          <w:szCs w:val="28"/>
        </w:rPr>
        <w:t>esame dei giudizi di responsabilità</w:t>
      </w:r>
      <w:r w:rsidR="00CF69F7" w:rsidRPr="004A689C">
        <w:rPr>
          <w:rFonts w:ascii="Times New Roman" w:hAnsi="Times New Roman"/>
          <w:szCs w:val="28"/>
        </w:rPr>
        <w:t>,</w:t>
      </w:r>
      <w:r w:rsidR="007F6E73" w:rsidRPr="004A689C">
        <w:rPr>
          <w:rFonts w:ascii="Times New Roman" w:hAnsi="Times New Roman"/>
          <w:szCs w:val="28"/>
        </w:rPr>
        <w:t xml:space="preserve"> pronunciati dalla Corte dei conti negli ultimi cinque anni </w:t>
      </w:r>
      <w:r w:rsidR="00313226" w:rsidRPr="004A689C">
        <w:rPr>
          <w:rFonts w:ascii="Times New Roman" w:hAnsi="Times New Roman"/>
          <w:szCs w:val="28"/>
        </w:rPr>
        <w:t>(2016-2020</w:t>
      </w:r>
      <w:r w:rsidR="00161DEA" w:rsidRPr="004A689C">
        <w:rPr>
          <w:rFonts w:ascii="Times New Roman" w:hAnsi="Times New Roman"/>
          <w:szCs w:val="28"/>
        </w:rPr>
        <w:t xml:space="preserve">) </w:t>
      </w:r>
      <w:r w:rsidR="007F6E73" w:rsidRPr="004A689C">
        <w:rPr>
          <w:rFonts w:ascii="Times New Roman" w:hAnsi="Times New Roman"/>
          <w:szCs w:val="28"/>
        </w:rPr>
        <w:t xml:space="preserve">che hanno </w:t>
      </w:r>
      <w:r w:rsidR="003F5716" w:rsidRPr="004A689C">
        <w:rPr>
          <w:rFonts w:ascii="Times New Roman" w:hAnsi="Times New Roman"/>
          <w:szCs w:val="28"/>
        </w:rPr>
        <w:t xml:space="preserve">coinvolto </w:t>
      </w:r>
      <w:r w:rsidR="007F6E73" w:rsidRPr="004A689C">
        <w:rPr>
          <w:rFonts w:ascii="Times New Roman" w:hAnsi="Times New Roman"/>
          <w:szCs w:val="28"/>
        </w:rPr>
        <w:t>l</w:t>
      </w:r>
      <w:r w:rsidR="008C56AD" w:rsidRPr="004A689C">
        <w:rPr>
          <w:rFonts w:ascii="Times New Roman" w:hAnsi="Times New Roman"/>
          <w:szCs w:val="28"/>
        </w:rPr>
        <w:t xml:space="preserve">a </w:t>
      </w:r>
      <w:r w:rsidR="008C56AD" w:rsidRPr="00DE7C40">
        <w:rPr>
          <w:rFonts w:ascii="Times New Roman" w:hAnsi="Times New Roman"/>
          <w:szCs w:val="28"/>
        </w:rPr>
        <w:t>P</w:t>
      </w:r>
      <w:r w:rsidR="00892F97" w:rsidRPr="00DE7C40">
        <w:rPr>
          <w:rFonts w:ascii="Times New Roman" w:hAnsi="Times New Roman"/>
          <w:szCs w:val="28"/>
        </w:rPr>
        <w:t>.C.M.</w:t>
      </w:r>
      <w:r w:rsidR="007F6E73" w:rsidRPr="004A689C">
        <w:rPr>
          <w:rFonts w:ascii="Times New Roman" w:hAnsi="Times New Roman"/>
          <w:szCs w:val="28"/>
        </w:rPr>
        <w:t xml:space="preserve"> emergono ulteriori elementi.</w:t>
      </w:r>
    </w:p>
    <w:p w:rsidR="007F6E73" w:rsidRPr="004A689C" w:rsidRDefault="00CF69F7" w:rsidP="007F6E73">
      <w:pPr>
        <w:rPr>
          <w:rFonts w:ascii="Times New Roman" w:hAnsi="Times New Roman"/>
          <w:szCs w:val="28"/>
        </w:rPr>
      </w:pPr>
      <w:r w:rsidRPr="004A689C">
        <w:rPr>
          <w:rFonts w:ascii="Times New Roman" w:hAnsi="Times New Roman"/>
          <w:szCs w:val="28"/>
        </w:rPr>
        <w:t>R</w:t>
      </w:r>
      <w:r w:rsidR="00BF2F88" w:rsidRPr="004A689C">
        <w:rPr>
          <w:rFonts w:ascii="Times New Roman" w:hAnsi="Times New Roman"/>
          <w:szCs w:val="28"/>
        </w:rPr>
        <w:t>isulta</w:t>
      </w:r>
      <w:r w:rsidRPr="004A689C">
        <w:rPr>
          <w:rFonts w:ascii="Times New Roman" w:hAnsi="Times New Roman"/>
          <w:szCs w:val="28"/>
        </w:rPr>
        <w:t xml:space="preserve">, infatti, </w:t>
      </w:r>
      <w:r w:rsidR="00BF2F88" w:rsidRPr="004A689C">
        <w:rPr>
          <w:rFonts w:ascii="Times New Roman" w:hAnsi="Times New Roman"/>
          <w:szCs w:val="28"/>
        </w:rPr>
        <w:t xml:space="preserve"> che u</w:t>
      </w:r>
      <w:r w:rsidR="007F6E73" w:rsidRPr="004A689C">
        <w:rPr>
          <w:rFonts w:ascii="Times New Roman" w:hAnsi="Times New Roman"/>
          <w:szCs w:val="28"/>
        </w:rPr>
        <w:t xml:space="preserve">na </w:t>
      </w:r>
      <w:r w:rsidR="004E3546" w:rsidRPr="004A689C">
        <w:rPr>
          <w:rFonts w:ascii="Times New Roman" w:hAnsi="Times New Roman"/>
          <w:szCs w:val="28"/>
        </w:rPr>
        <w:t xml:space="preserve"> </w:t>
      </w:r>
      <w:r w:rsidR="007F6E73" w:rsidRPr="004A689C">
        <w:rPr>
          <w:rFonts w:ascii="Times New Roman" w:hAnsi="Times New Roman"/>
          <w:szCs w:val="28"/>
        </w:rPr>
        <w:t xml:space="preserve">buona </w:t>
      </w:r>
      <w:r w:rsidR="004E3546" w:rsidRPr="004A689C">
        <w:rPr>
          <w:rFonts w:ascii="Times New Roman" w:hAnsi="Times New Roman"/>
          <w:szCs w:val="28"/>
        </w:rPr>
        <w:t xml:space="preserve"> </w:t>
      </w:r>
      <w:r w:rsidR="007F6E73" w:rsidRPr="004A689C">
        <w:rPr>
          <w:rFonts w:ascii="Times New Roman" w:hAnsi="Times New Roman"/>
          <w:szCs w:val="28"/>
        </w:rPr>
        <w:t xml:space="preserve">percentuale </w:t>
      </w:r>
      <w:r w:rsidR="004E3546" w:rsidRPr="004A689C">
        <w:rPr>
          <w:rFonts w:ascii="Times New Roman" w:hAnsi="Times New Roman"/>
          <w:szCs w:val="28"/>
        </w:rPr>
        <w:t xml:space="preserve"> </w:t>
      </w:r>
      <w:r w:rsidR="007F6E73" w:rsidRPr="004A689C">
        <w:rPr>
          <w:rFonts w:ascii="Times New Roman" w:hAnsi="Times New Roman"/>
          <w:szCs w:val="28"/>
        </w:rPr>
        <w:t xml:space="preserve">di </w:t>
      </w:r>
      <w:r w:rsidR="004E3546" w:rsidRPr="004A689C">
        <w:rPr>
          <w:rFonts w:ascii="Times New Roman" w:hAnsi="Times New Roman"/>
          <w:szCs w:val="28"/>
        </w:rPr>
        <w:t xml:space="preserve"> </w:t>
      </w:r>
      <w:r w:rsidR="007F6E73" w:rsidRPr="004A689C">
        <w:rPr>
          <w:rFonts w:ascii="Times New Roman" w:hAnsi="Times New Roman"/>
          <w:szCs w:val="28"/>
        </w:rPr>
        <w:t>condanne</w:t>
      </w:r>
      <w:r w:rsidR="004E3546" w:rsidRPr="004A689C">
        <w:rPr>
          <w:rFonts w:ascii="Times New Roman" w:hAnsi="Times New Roman"/>
          <w:szCs w:val="28"/>
        </w:rPr>
        <w:t xml:space="preserve"> </w:t>
      </w:r>
      <w:r w:rsidR="007F6E73" w:rsidRPr="004A689C">
        <w:rPr>
          <w:rFonts w:ascii="Times New Roman" w:hAnsi="Times New Roman"/>
          <w:szCs w:val="28"/>
        </w:rPr>
        <w:t xml:space="preserve"> sono</w:t>
      </w:r>
      <w:r w:rsidR="004E3546" w:rsidRPr="004A689C">
        <w:rPr>
          <w:rFonts w:ascii="Times New Roman" w:hAnsi="Times New Roman"/>
          <w:szCs w:val="28"/>
        </w:rPr>
        <w:t xml:space="preserve">  </w:t>
      </w:r>
      <w:r w:rsidR="007F6E73" w:rsidRPr="004A689C">
        <w:rPr>
          <w:rFonts w:ascii="Times New Roman" w:hAnsi="Times New Roman"/>
          <w:szCs w:val="28"/>
        </w:rPr>
        <w:t>state</w:t>
      </w:r>
      <w:r w:rsidR="004E3546" w:rsidRPr="004A689C">
        <w:rPr>
          <w:rFonts w:ascii="Times New Roman" w:hAnsi="Times New Roman"/>
          <w:szCs w:val="28"/>
        </w:rPr>
        <w:t xml:space="preserve">  </w:t>
      </w:r>
      <w:r w:rsidR="007F6E73" w:rsidRPr="004A689C">
        <w:rPr>
          <w:rFonts w:ascii="Times New Roman" w:hAnsi="Times New Roman"/>
          <w:szCs w:val="28"/>
        </w:rPr>
        <w:t xml:space="preserve">irrogate dal </w:t>
      </w:r>
      <w:r w:rsidR="00824E14" w:rsidRPr="004A689C">
        <w:rPr>
          <w:rFonts w:ascii="Times New Roman" w:hAnsi="Times New Roman"/>
          <w:szCs w:val="28"/>
        </w:rPr>
        <w:t>G</w:t>
      </w:r>
      <w:r w:rsidR="007F6E73" w:rsidRPr="004A689C">
        <w:rPr>
          <w:rFonts w:ascii="Times New Roman" w:hAnsi="Times New Roman"/>
          <w:szCs w:val="28"/>
        </w:rPr>
        <w:t>iudice contabile nei confronti di soggetti terzi all’Amministrazione che avevano illegittimamente percepito i contributi di legge a sostegno dell’editoria; sul punto si evidenzia che moltissime erogazioni non dovute sono emerse a seguito dei controlli della Guardia di finanza effettuati in attuazione del Protocollo d’intesa tra il D</w:t>
      </w:r>
      <w:r w:rsidR="004E3546" w:rsidRPr="004A689C">
        <w:rPr>
          <w:rFonts w:ascii="Times New Roman" w:hAnsi="Times New Roman"/>
          <w:szCs w:val="28"/>
        </w:rPr>
        <w:t>.I.E.</w:t>
      </w:r>
      <w:r w:rsidR="007F6E73" w:rsidRPr="004A689C">
        <w:rPr>
          <w:rFonts w:ascii="Times New Roman" w:hAnsi="Times New Roman"/>
          <w:szCs w:val="28"/>
        </w:rPr>
        <w:t xml:space="preserve"> e il Nucleo speciale spesa pubblica e repressione frodi comunitarie del citato Corpo. </w:t>
      </w:r>
    </w:p>
    <w:p w:rsidR="006D75DB" w:rsidRPr="004A689C" w:rsidRDefault="00CF69F7" w:rsidP="00D16885">
      <w:pPr>
        <w:rPr>
          <w:rFonts w:ascii="Times New Roman" w:hAnsi="Times New Roman"/>
          <w:szCs w:val="28"/>
        </w:rPr>
      </w:pPr>
      <w:r w:rsidRPr="004A689C">
        <w:rPr>
          <w:rFonts w:ascii="Times New Roman" w:hAnsi="Times New Roman"/>
          <w:szCs w:val="28"/>
        </w:rPr>
        <w:t>C</w:t>
      </w:r>
      <w:r w:rsidR="00BF2F88" w:rsidRPr="004A689C">
        <w:rPr>
          <w:rFonts w:ascii="Times New Roman" w:hAnsi="Times New Roman"/>
          <w:szCs w:val="28"/>
        </w:rPr>
        <w:t>ospicuo è anche il contenzioso</w:t>
      </w:r>
      <w:r w:rsidR="007F6E73" w:rsidRPr="004A689C">
        <w:rPr>
          <w:rFonts w:ascii="Times New Roman" w:hAnsi="Times New Roman"/>
          <w:szCs w:val="28"/>
        </w:rPr>
        <w:t xml:space="preserve"> riguardante l’illegittima percezione, da parte di soggetti terzi all’Amministrazione, di benefici economici non dovuti a seguito della proclamazione dello stato d’emergenza scaturente da eventi naturali catastrofici in determinate zone del Paese</w:t>
      </w:r>
      <w:r w:rsidR="00D71003" w:rsidRPr="004A689C">
        <w:rPr>
          <w:rFonts w:ascii="Times New Roman" w:hAnsi="Times New Roman"/>
          <w:szCs w:val="28"/>
        </w:rPr>
        <w:t>.</w:t>
      </w:r>
      <w:r w:rsidR="007F6E73" w:rsidRPr="004A689C">
        <w:rPr>
          <w:rFonts w:ascii="Times New Roman" w:hAnsi="Times New Roman"/>
          <w:szCs w:val="28"/>
        </w:rPr>
        <w:t xml:space="preserve"> </w:t>
      </w:r>
      <w:r w:rsidR="00805402" w:rsidRPr="004A689C">
        <w:rPr>
          <w:rFonts w:ascii="Times New Roman" w:hAnsi="Times New Roman"/>
          <w:szCs w:val="28"/>
        </w:rPr>
        <w:t>S</w:t>
      </w:r>
      <w:r w:rsidR="007F6E73" w:rsidRPr="004A689C">
        <w:rPr>
          <w:rFonts w:ascii="Times New Roman" w:hAnsi="Times New Roman"/>
          <w:szCs w:val="28"/>
        </w:rPr>
        <w:t>ul punto, in capo al D</w:t>
      </w:r>
      <w:r w:rsidR="00824E14" w:rsidRPr="004A689C">
        <w:rPr>
          <w:rFonts w:ascii="Times New Roman" w:hAnsi="Times New Roman"/>
          <w:szCs w:val="28"/>
        </w:rPr>
        <w:t xml:space="preserve">.P.C. </w:t>
      </w:r>
      <w:r w:rsidR="00313226" w:rsidRPr="004A689C">
        <w:rPr>
          <w:rFonts w:ascii="Times New Roman" w:hAnsi="Times New Roman"/>
          <w:szCs w:val="28"/>
        </w:rPr>
        <w:t>sono</w:t>
      </w:r>
      <w:r w:rsidR="007F6E73" w:rsidRPr="004A689C">
        <w:rPr>
          <w:rFonts w:ascii="Times New Roman" w:hAnsi="Times New Roman"/>
          <w:szCs w:val="28"/>
        </w:rPr>
        <w:t xml:space="preserve"> attive e monitorate due misure specifiche</w:t>
      </w:r>
      <w:r w:rsidRPr="004A689C">
        <w:rPr>
          <w:rFonts w:ascii="Times New Roman" w:hAnsi="Times New Roman"/>
          <w:szCs w:val="28"/>
        </w:rPr>
        <w:t>,</w:t>
      </w:r>
      <w:r w:rsidR="007F6E73" w:rsidRPr="004A689C">
        <w:rPr>
          <w:rFonts w:ascii="Times New Roman" w:hAnsi="Times New Roman"/>
          <w:szCs w:val="28"/>
        </w:rPr>
        <w:t xml:space="preserve"> che prevedono </w:t>
      </w:r>
      <w:r w:rsidR="00824E14" w:rsidRPr="004A689C">
        <w:rPr>
          <w:rFonts w:ascii="Times New Roman" w:hAnsi="Times New Roman"/>
          <w:szCs w:val="28"/>
        </w:rPr>
        <w:t xml:space="preserve">il </w:t>
      </w:r>
      <w:r w:rsidR="007F6E73" w:rsidRPr="004A689C">
        <w:rPr>
          <w:rFonts w:ascii="Times New Roman" w:hAnsi="Times New Roman"/>
          <w:szCs w:val="28"/>
        </w:rPr>
        <w:t>controllo a campione sulle dichiarazioni sostitutive concernenti le attività relative alle iscrizioni, contributi, accertamenti e rimborsi alle organizzazioni di volontariato e</w:t>
      </w:r>
      <w:r w:rsidR="00824E14" w:rsidRPr="004A689C">
        <w:rPr>
          <w:rFonts w:ascii="Times New Roman" w:hAnsi="Times New Roman"/>
          <w:szCs w:val="28"/>
        </w:rPr>
        <w:t xml:space="preserve"> il</w:t>
      </w:r>
      <w:r w:rsidR="007F6E73" w:rsidRPr="004A689C">
        <w:rPr>
          <w:rFonts w:ascii="Times New Roman" w:hAnsi="Times New Roman"/>
          <w:szCs w:val="28"/>
        </w:rPr>
        <w:t xml:space="preserve"> controllo a campione</w:t>
      </w:r>
      <w:r w:rsidRPr="004A689C">
        <w:rPr>
          <w:rFonts w:ascii="Times New Roman" w:hAnsi="Times New Roman"/>
          <w:szCs w:val="28"/>
        </w:rPr>
        <w:t>,</w:t>
      </w:r>
      <w:r w:rsidR="007F6E73" w:rsidRPr="004A689C">
        <w:rPr>
          <w:rFonts w:ascii="Times New Roman" w:hAnsi="Times New Roman"/>
          <w:szCs w:val="28"/>
        </w:rPr>
        <w:t xml:space="preserve"> sulle fatture presentate riguardanti la gestione dei fondi per specifiche attività istituzionali </w:t>
      </w:r>
      <w:r w:rsidR="00107647" w:rsidRPr="004A689C">
        <w:rPr>
          <w:rFonts w:ascii="Times New Roman" w:hAnsi="Times New Roman"/>
          <w:szCs w:val="28"/>
        </w:rPr>
        <w:t xml:space="preserve">(cfr. </w:t>
      </w:r>
      <w:r w:rsidR="003C317C" w:rsidRPr="004A689C">
        <w:rPr>
          <w:rFonts w:ascii="Times New Roman" w:hAnsi="Times New Roman"/>
          <w:szCs w:val="28"/>
        </w:rPr>
        <w:t>p</w:t>
      </w:r>
      <w:r w:rsidR="007C7B04" w:rsidRPr="004A689C">
        <w:rPr>
          <w:rFonts w:ascii="Times New Roman" w:hAnsi="Times New Roman"/>
          <w:szCs w:val="28"/>
        </w:rPr>
        <w:t>ar</w:t>
      </w:r>
      <w:r w:rsidR="00BE5F27">
        <w:rPr>
          <w:rFonts w:ascii="Times New Roman" w:hAnsi="Times New Roman"/>
          <w:szCs w:val="28"/>
        </w:rPr>
        <w:t>.</w:t>
      </w:r>
      <w:r w:rsidR="003C317C" w:rsidRPr="004A689C">
        <w:rPr>
          <w:rFonts w:ascii="Times New Roman" w:hAnsi="Times New Roman"/>
          <w:szCs w:val="28"/>
        </w:rPr>
        <w:t xml:space="preserve"> 5.2.1</w:t>
      </w:r>
      <w:r w:rsidR="00107647" w:rsidRPr="004A689C">
        <w:rPr>
          <w:rFonts w:ascii="Times New Roman" w:hAnsi="Times New Roman"/>
          <w:szCs w:val="28"/>
        </w:rPr>
        <w:t>).</w:t>
      </w:r>
      <w:r w:rsidR="00742D20" w:rsidRPr="004A689C">
        <w:rPr>
          <w:rFonts w:ascii="Times New Roman" w:hAnsi="Times New Roman"/>
          <w:szCs w:val="28"/>
        </w:rPr>
        <w:t xml:space="preserve"> </w:t>
      </w:r>
    </w:p>
    <w:p w:rsidR="006F2951" w:rsidRPr="004A689C" w:rsidRDefault="006F2951" w:rsidP="00D842ED">
      <w:pPr>
        <w:pStyle w:val="Titolo1"/>
        <w:rPr>
          <w:rFonts w:ascii="Times New Roman" w:hAnsi="Times New Roman"/>
          <w:szCs w:val="28"/>
        </w:rPr>
      </w:pPr>
      <w:bookmarkStart w:id="15" w:name="_Toc66721202"/>
      <w:r w:rsidRPr="004A689C">
        <w:rPr>
          <w:rFonts w:ascii="Times New Roman" w:hAnsi="Times New Roman"/>
          <w:szCs w:val="28"/>
        </w:rPr>
        <w:t>L’integrazione della strategia di prevenzione con le</w:t>
      </w:r>
      <w:r w:rsidR="008D7244" w:rsidRPr="004A689C">
        <w:rPr>
          <w:rFonts w:ascii="Times New Roman" w:hAnsi="Times New Roman"/>
          <w:szCs w:val="28"/>
        </w:rPr>
        <w:t xml:space="preserve"> altre</w:t>
      </w:r>
      <w:r w:rsidRPr="004A689C">
        <w:rPr>
          <w:rFonts w:ascii="Times New Roman" w:hAnsi="Times New Roman"/>
          <w:szCs w:val="28"/>
        </w:rPr>
        <w:t xml:space="preserve"> azioni strategiche della P.C.M.</w:t>
      </w:r>
      <w:bookmarkEnd w:id="15"/>
      <w:r w:rsidR="00073AB0" w:rsidRPr="004A689C">
        <w:rPr>
          <w:rFonts w:ascii="Times New Roman" w:hAnsi="Times New Roman"/>
          <w:szCs w:val="28"/>
        </w:rPr>
        <w:t xml:space="preserve"> </w:t>
      </w:r>
    </w:p>
    <w:p w:rsidR="004709F7" w:rsidRPr="004A689C" w:rsidRDefault="00332AAF" w:rsidP="00D4217A">
      <w:pPr>
        <w:pStyle w:val="Titolo2"/>
        <w:numPr>
          <w:ilvl w:val="1"/>
          <w:numId w:val="10"/>
        </w:numPr>
        <w:rPr>
          <w:rFonts w:ascii="Times New Roman" w:hAnsi="Times New Roman"/>
          <w:szCs w:val="28"/>
        </w:rPr>
      </w:pPr>
      <w:bookmarkStart w:id="16" w:name="_Toc66721203"/>
      <w:r w:rsidRPr="004A689C">
        <w:rPr>
          <w:rFonts w:ascii="Times New Roman" w:hAnsi="Times New Roman"/>
          <w:szCs w:val="28"/>
        </w:rPr>
        <w:t>I</w:t>
      </w:r>
      <w:r w:rsidR="006F2951" w:rsidRPr="004A689C">
        <w:rPr>
          <w:rFonts w:ascii="Times New Roman" w:hAnsi="Times New Roman"/>
          <w:szCs w:val="28"/>
        </w:rPr>
        <w:t>l collegamento con il ciclo della performance</w:t>
      </w:r>
      <w:r w:rsidRPr="004A689C">
        <w:rPr>
          <w:rFonts w:ascii="Times New Roman" w:hAnsi="Times New Roman"/>
          <w:szCs w:val="28"/>
        </w:rPr>
        <w:t xml:space="preserve"> e</w:t>
      </w:r>
      <w:r w:rsidR="006F2951" w:rsidRPr="004A689C">
        <w:rPr>
          <w:rFonts w:ascii="Times New Roman" w:hAnsi="Times New Roman"/>
          <w:szCs w:val="28"/>
        </w:rPr>
        <w:t xml:space="preserve"> </w:t>
      </w:r>
      <w:r w:rsidR="00E3373A" w:rsidRPr="004A689C">
        <w:rPr>
          <w:rFonts w:ascii="Times New Roman" w:hAnsi="Times New Roman"/>
          <w:szCs w:val="28"/>
        </w:rPr>
        <w:t xml:space="preserve">gli </w:t>
      </w:r>
      <w:r w:rsidRPr="004A689C">
        <w:rPr>
          <w:rFonts w:ascii="Times New Roman" w:hAnsi="Times New Roman"/>
          <w:szCs w:val="28"/>
        </w:rPr>
        <w:t>obiettivi strategici</w:t>
      </w:r>
      <w:bookmarkEnd w:id="16"/>
      <w:r w:rsidRPr="004A689C">
        <w:rPr>
          <w:rFonts w:ascii="Times New Roman" w:hAnsi="Times New Roman"/>
          <w:szCs w:val="28"/>
        </w:rPr>
        <w:t xml:space="preserve"> </w:t>
      </w:r>
    </w:p>
    <w:p w:rsidR="001B5E40" w:rsidRPr="004A689C" w:rsidRDefault="001B5E40" w:rsidP="001B5E40">
      <w:pPr>
        <w:rPr>
          <w:rFonts w:ascii="Times New Roman" w:hAnsi="Times New Roman"/>
          <w:szCs w:val="28"/>
        </w:rPr>
      </w:pPr>
      <w:r w:rsidRPr="004A689C">
        <w:rPr>
          <w:rFonts w:ascii="Times New Roman" w:hAnsi="Times New Roman"/>
          <w:szCs w:val="28"/>
        </w:rPr>
        <w:t>La programmazione delle attività delle Strutture della P.C.M. ai sensi dell’art. 7 del decreto del Presidente del Consiglio dei ministri 28 dicembre 2020, n. 185, viene avviata e definita annualmente in varie sedi e più precisamente:</w:t>
      </w:r>
    </w:p>
    <w:p w:rsidR="001B5E40" w:rsidRPr="004A689C" w:rsidRDefault="001B5E40" w:rsidP="001B5E40">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in sede di redazione della Nota preliminare al bilancio di previsione della P.C.M. e in sede di bilancio di previsione;</w:t>
      </w:r>
    </w:p>
    <w:p w:rsidR="001B5E40" w:rsidRPr="004A689C" w:rsidRDefault="001B5E40" w:rsidP="001B5E40">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sulla base delle priorità politiche individuate nelle Linee guida del Presidente del Consiglio dei ministri per l’individuazione di indirizzi e obiettivi strategici e operativi ai fini dell’emanazione delle Direttive per l’azione amministrativa e la gestione delle Strutture generali della Presidenza del Consiglio dei ministri,</w:t>
      </w:r>
    </w:p>
    <w:p w:rsidR="001B5E40" w:rsidRPr="004A689C" w:rsidRDefault="001B5E40" w:rsidP="001B5E40">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nelle Direttive annuali delle Autorità politiche;</w:t>
      </w:r>
    </w:p>
    <w:p w:rsidR="001D336C" w:rsidRDefault="001B5E40" w:rsidP="001B5E40">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nel P.T.P.C.T., che aggiorna annualmente gli obiettivi e le azioni già programmati su base triennale;</w:t>
      </w:r>
    </w:p>
    <w:p w:rsidR="001B5E40" w:rsidRPr="004A689C" w:rsidRDefault="001B5E40" w:rsidP="001B5E40">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 xml:space="preserve">nell’ambito del sistema di valutazione della </w:t>
      </w:r>
      <w:r w:rsidRPr="004A689C">
        <w:rPr>
          <w:rFonts w:ascii="Times New Roman" w:hAnsi="Times New Roman"/>
          <w:i/>
          <w:szCs w:val="28"/>
        </w:rPr>
        <w:t>performance</w:t>
      </w:r>
      <w:r w:rsidRPr="004A689C">
        <w:rPr>
          <w:rFonts w:ascii="Times New Roman" w:hAnsi="Times New Roman"/>
          <w:szCs w:val="28"/>
        </w:rPr>
        <w:t>, il quale comprende, oltre agli obiettivi strategici, anche gli obiettivi annuali operativi.</w:t>
      </w:r>
    </w:p>
    <w:p w:rsidR="001B5E40" w:rsidRPr="004A689C" w:rsidRDefault="001B5E40" w:rsidP="001B5E40">
      <w:pPr>
        <w:rPr>
          <w:rFonts w:ascii="Times New Roman" w:hAnsi="Times New Roman"/>
          <w:szCs w:val="28"/>
        </w:rPr>
      </w:pPr>
      <w:r w:rsidRPr="004A689C">
        <w:rPr>
          <w:rFonts w:ascii="Times New Roman" w:hAnsi="Times New Roman"/>
          <w:szCs w:val="28"/>
        </w:rPr>
        <w:t xml:space="preserve">I processi di valutazione relativi al ciclo della gestione della </w:t>
      </w:r>
      <w:r w:rsidRPr="004A689C">
        <w:rPr>
          <w:rFonts w:ascii="Times New Roman" w:hAnsi="Times New Roman"/>
          <w:i/>
          <w:szCs w:val="28"/>
        </w:rPr>
        <w:t>performance</w:t>
      </w:r>
      <w:r w:rsidRPr="004A689C">
        <w:rPr>
          <w:rFonts w:ascii="Times New Roman" w:hAnsi="Times New Roman"/>
          <w:szCs w:val="28"/>
        </w:rPr>
        <w:t xml:space="preserve"> per l’anno 2020</w:t>
      </w:r>
      <w:r w:rsidR="00CF69F7" w:rsidRPr="004A689C">
        <w:rPr>
          <w:rFonts w:ascii="Times New Roman" w:hAnsi="Times New Roman"/>
          <w:szCs w:val="28"/>
        </w:rPr>
        <w:t>,</w:t>
      </w:r>
      <w:r w:rsidRPr="004A689C">
        <w:rPr>
          <w:rFonts w:ascii="Times New Roman" w:hAnsi="Times New Roman"/>
          <w:szCs w:val="28"/>
        </w:rPr>
        <w:t xml:space="preserve"> vengono completati sulla base del D.P.C.M. 25 maggio 2011, n. 131, applicabile </w:t>
      </w:r>
      <w:r w:rsidRPr="004A689C">
        <w:rPr>
          <w:rFonts w:ascii="Times New Roman" w:hAnsi="Times New Roman"/>
          <w:i/>
          <w:szCs w:val="28"/>
        </w:rPr>
        <w:t>ratione temporis</w:t>
      </w:r>
      <w:r w:rsidRPr="004A689C">
        <w:rPr>
          <w:rFonts w:ascii="Times New Roman" w:hAnsi="Times New Roman"/>
          <w:szCs w:val="28"/>
        </w:rPr>
        <w:t>, secondo quanto disposto dall’art. 12, comma 2, del citato D.P.C.M. 28 dicembre 2020, n. 185.</w:t>
      </w:r>
    </w:p>
    <w:p w:rsidR="001B5E40" w:rsidRPr="004A689C" w:rsidRDefault="001B5E40" w:rsidP="001B5E40">
      <w:pPr>
        <w:rPr>
          <w:rFonts w:ascii="Times New Roman" w:hAnsi="Times New Roman"/>
          <w:szCs w:val="28"/>
        </w:rPr>
      </w:pPr>
      <w:r w:rsidRPr="004A689C">
        <w:rPr>
          <w:rFonts w:ascii="Times New Roman" w:hAnsi="Times New Roman"/>
          <w:szCs w:val="28"/>
        </w:rPr>
        <w:t xml:space="preserve">Gli obiettivi, gli indicatori e i </w:t>
      </w:r>
      <w:r w:rsidRPr="004A689C">
        <w:rPr>
          <w:rFonts w:ascii="Times New Roman" w:hAnsi="Times New Roman"/>
          <w:i/>
          <w:szCs w:val="28"/>
        </w:rPr>
        <w:t>target</w:t>
      </w:r>
      <w:r w:rsidRPr="004A689C">
        <w:rPr>
          <w:rFonts w:ascii="Times New Roman" w:hAnsi="Times New Roman"/>
          <w:szCs w:val="28"/>
        </w:rPr>
        <w:t xml:space="preserve"> contenuti nelle Direttive vengono definiti seguendo una logica di coerenza con quelli individuati nella Nota preliminare al bilancio, così da assicurare un chiaro collegamento tra obiettivi, risorse finanziarie, indicatori e </w:t>
      </w:r>
      <w:r w:rsidRPr="004A689C">
        <w:rPr>
          <w:rFonts w:ascii="Times New Roman" w:hAnsi="Times New Roman"/>
          <w:i/>
          <w:szCs w:val="28"/>
        </w:rPr>
        <w:t xml:space="preserve">target </w:t>
      </w:r>
      <w:r w:rsidRPr="004A689C">
        <w:rPr>
          <w:rFonts w:ascii="Times New Roman" w:hAnsi="Times New Roman"/>
          <w:szCs w:val="28"/>
        </w:rPr>
        <w:t xml:space="preserve">(programmati e realizzati), utile anche ai fini della valutazione della </w:t>
      </w:r>
      <w:r w:rsidRPr="004A689C">
        <w:rPr>
          <w:rFonts w:ascii="Times New Roman" w:hAnsi="Times New Roman"/>
          <w:i/>
          <w:szCs w:val="28"/>
        </w:rPr>
        <w:t>performance</w:t>
      </w:r>
      <w:r w:rsidRPr="004A689C">
        <w:rPr>
          <w:rFonts w:ascii="Times New Roman" w:hAnsi="Times New Roman"/>
          <w:szCs w:val="28"/>
        </w:rPr>
        <w:t xml:space="preserve"> dei relativi responsabili. </w:t>
      </w:r>
    </w:p>
    <w:p w:rsidR="001B5E40" w:rsidRPr="004A689C" w:rsidRDefault="001B5E40" w:rsidP="001B5E40">
      <w:pPr>
        <w:rPr>
          <w:rFonts w:ascii="Times New Roman" w:hAnsi="Times New Roman"/>
          <w:szCs w:val="28"/>
        </w:rPr>
      </w:pPr>
      <w:r w:rsidRPr="004A689C">
        <w:rPr>
          <w:rFonts w:ascii="Times New Roman" w:hAnsi="Times New Roman"/>
          <w:szCs w:val="28"/>
        </w:rPr>
        <w:t xml:space="preserve">Per l’anno 2021 le Linee guida per l’individuazione di indirizzi e obiettivi strategici e operativi, nonché per la definizione di indicatori per la misurazione e la valutazione </w:t>
      </w:r>
      <w:r w:rsidRPr="00DE7C40">
        <w:rPr>
          <w:rFonts w:ascii="Times New Roman" w:hAnsi="Times New Roman"/>
          <w:szCs w:val="28"/>
        </w:rPr>
        <w:t xml:space="preserve">della </w:t>
      </w:r>
      <w:r w:rsidRPr="00DE7C40">
        <w:rPr>
          <w:rFonts w:ascii="Times New Roman" w:hAnsi="Times New Roman"/>
          <w:i/>
          <w:szCs w:val="28"/>
        </w:rPr>
        <w:t>performance</w:t>
      </w:r>
      <w:r w:rsidRPr="00DE7C40">
        <w:rPr>
          <w:rFonts w:ascii="Times New Roman" w:hAnsi="Times New Roman"/>
          <w:szCs w:val="28"/>
        </w:rPr>
        <w:t xml:space="preserve"> dell’Amministrazione e</w:t>
      </w:r>
      <w:r w:rsidRPr="004A689C">
        <w:rPr>
          <w:rFonts w:ascii="Times New Roman" w:hAnsi="Times New Roman"/>
          <w:szCs w:val="28"/>
        </w:rPr>
        <w:t xml:space="preserve"> di quella individuale approvate con decreto del Presidente del Consiglio dei ministri 30 dicembre 2020</w:t>
      </w:r>
      <w:r w:rsidR="00CF69F7" w:rsidRPr="004A689C">
        <w:rPr>
          <w:rFonts w:ascii="Times New Roman" w:hAnsi="Times New Roman"/>
          <w:szCs w:val="28"/>
        </w:rPr>
        <w:t>,</w:t>
      </w:r>
      <w:r w:rsidRPr="004A689C">
        <w:rPr>
          <w:rFonts w:ascii="Times New Roman" w:hAnsi="Times New Roman"/>
          <w:szCs w:val="28"/>
        </w:rPr>
        <w:t xml:space="preserve"> individuano una apposita Area strategica denominata “</w:t>
      </w:r>
      <w:r w:rsidRPr="004A689C">
        <w:rPr>
          <w:rFonts w:ascii="Times New Roman" w:hAnsi="Times New Roman"/>
          <w:i/>
          <w:szCs w:val="28"/>
        </w:rPr>
        <w:t>Interventi per la valorizzazione degli asset strategici dell’amministrazione e per la promozione della trasparenza e la prevenzione della corruzione</w:t>
      </w:r>
      <w:r w:rsidRPr="004A689C">
        <w:rPr>
          <w:rFonts w:ascii="Times New Roman" w:hAnsi="Times New Roman"/>
          <w:szCs w:val="28"/>
        </w:rPr>
        <w:t xml:space="preserve">”. Nell’ambito di questa Area strategica sono indicate le linee di azione che riguardano anche la prevenzione della corruzione e la trasparenza. </w:t>
      </w:r>
    </w:p>
    <w:p w:rsidR="001B5E40" w:rsidRPr="004A689C" w:rsidRDefault="001B5E40" w:rsidP="001B5E40">
      <w:pPr>
        <w:rPr>
          <w:rFonts w:ascii="Times New Roman" w:hAnsi="Times New Roman"/>
          <w:szCs w:val="28"/>
        </w:rPr>
      </w:pPr>
      <w:r w:rsidRPr="004A689C">
        <w:rPr>
          <w:rFonts w:ascii="Times New Roman" w:hAnsi="Times New Roman"/>
          <w:szCs w:val="28"/>
        </w:rPr>
        <w:t xml:space="preserve">In particolare, viene dato rilievo ai progetti di digitalizzazione dei processi come strumento qualificante della semplificazione e trasparenza, alla realizzazione di piattaforme digitali per interagire con gli </w:t>
      </w:r>
      <w:r w:rsidRPr="004A689C">
        <w:rPr>
          <w:rFonts w:ascii="Times New Roman" w:hAnsi="Times New Roman"/>
          <w:i/>
          <w:szCs w:val="28"/>
        </w:rPr>
        <w:t>stakeholder,</w:t>
      </w:r>
      <w:r w:rsidRPr="004A689C">
        <w:rPr>
          <w:rFonts w:ascii="Times New Roman" w:hAnsi="Times New Roman"/>
          <w:szCs w:val="28"/>
        </w:rPr>
        <w:t xml:space="preserve"> allo sviluppo del capitale umano attraverso la sua riqualificazione, il miglioramento delle competenze e delle capacità manageriali mediante la formazione. Inoltre, le Linee guida indicano che “</w:t>
      </w:r>
      <w:r w:rsidRPr="004A689C">
        <w:rPr>
          <w:rFonts w:ascii="Times New Roman" w:hAnsi="Times New Roman"/>
          <w:i/>
          <w:szCs w:val="28"/>
        </w:rPr>
        <w:t>al fine di elevare il livello di trasparenza dell’amministrazione e di migliorare le azioni di contrasto ai fenomeni corruttivi, le Strutture della Presidenza del Consiglio sono chiamate a dare attuazione alle risultanze delle proprie attività di analisi e di individuazione dei progetti volti alla semplificazione e alla digitalizzazione dei processi e delle attività</w:t>
      </w:r>
      <w:r w:rsidR="00F426F4" w:rsidRPr="004A689C">
        <w:rPr>
          <w:rFonts w:ascii="Times New Roman" w:hAnsi="Times New Roman"/>
          <w:i/>
          <w:szCs w:val="28"/>
        </w:rPr>
        <w:t>”</w:t>
      </w:r>
      <w:r w:rsidRPr="004A689C">
        <w:rPr>
          <w:rFonts w:ascii="Times New Roman" w:hAnsi="Times New Roman"/>
          <w:szCs w:val="28"/>
        </w:rPr>
        <w:t xml:space="preserve">.  </w:t>
      </w:r>
    </w:p>
    <w:p w:rsidR="001B5E40" w:rsidRPr="004A689C" w:rsidRDefault="001B5E40" w:rsidP="001B5E40">
      <w:pPr>
        <w:rPr>
          <w:rFonts w:ascii="Times New Roman" w:hAnsi="Times New Roman"/>
          <w:szCs w:val="28"/>
        </w:rPr>
      </w:pPr>
      <w:r w:rsidRPr="004A689C">
        <w:rPr>
          <w:rFonts w:ascii="Times New Roman" w:hAnsi="Times New Roman"/>
          <w:szCs w:val="28"/>
        </w:rPr>
        <w:t>In questo contesto, in coerenza e in linea di continuità con le misure previste nel P.T.P.C.T. 2020-2022 - paragrafo 5.5 - si colloca la realizzazione dei progetti di semplificazione e digitalizzazione</w:t>
      </w:r>
      <w:r w:rsidR="00CF69F7" w:rsidRPr="004A689C">
        <w:rPr>
          <w:rFonts w:ascii="Times New Roman" w:hAnsi="Times New Roman"/>
          <w:szCs w:val="28"/>
        </w:rPr>
        <w:t>,</w:t>
      </w:r>
      <w:r w:rsidRPr="004A689C">
        <w:rPr>
          <w:rFonts w:ascii="Times New Roman" w:hAnsi="Times New Roman"/>
          <w:szCs w:val="28"/>
        </w:rPr>
        <w:t xml:space="preserve"> definiti nel corso del 2020</w:t>
      </w:r>
      <w:r w:rsidR="00CF69F7" w:rsidRPr="004A689C">
        <w:rPr>
          <w:rFonts w:ascii="Times New Roman" w:hAnsi="Times New Roman"/>
          <w:szCs w:val="28"/>
        </w:rPr>
        <w:t>,</w:t>
      </w:r>
      <w:r w:rsidRPr="004A689C">
        <w:rPr>
          <w:rFonts w:ascii="Times New Roman" w:hAnsi="Times New Roman"/>
          <w:szCs w:val="28"/>
        </w:rPr>
        <w:t xml:space="preserve"> la cui analisi di fattibilità abbia evidenziato compatibilità di attuazione anche rispetto alle priorità e problematiche connesse con l'emergenza sanitaria in atto.</w:t>
      </w:r>
      <w:r w:rsidR="00DA37E5" w:rsidRPr="004A689C">
        <w:rPr>
          <w:rFonts w:ascii="Times New Roman" w:hAnsi="Times New Roman"/>
          <w:szCs w:val="28"/>
        </w:rPr>
        <w:t>”</w:t>
      </w:r>
      <w:r w:rsidRPr="004A689C">
        <w:rPr>
          <w:rFonts w:ascii="Times New Roman" w:hAnsi="Times New Roman"/>
          <w:szCs w:val="28"/>
        </w:rPr>
        <w:t xml:space="preserve"> Il documento infine evidenzia che “</w:t>
      </w:r>
      <w:r w:rsidRPr="004A689C">
        <w:rPr>
          <w:rFonts w:ascii="Times New Roman" w:hAnsi="Times New Roman"/>
          <w:i/>
          <w:szCs w:val="28"/>
        </w:rPr>
        <w:t>Si dovranno privilegiare progetti volti alla realizzazione di obiettivi in grado di avere ricadute positive anche trasversali tra più Strutture, in modo che le azioni di semplificazione e/o digitalizzazione abbiano percorsi e finalità comuni tra le Strutture della Presidenza del Consiglio</w:t>
      </w:r>
      <w:r w:rsidRPr="004A689C">
        <w:rPr>
          <w:rFonts w:ascii="Times New Roman" w:hAnsi="Times New Roman"/>
          <w:szCs w:val="28"/>
        </w:rPr>
        <w:t>.”.</w:t>
      </w:r>
      <w:r w:rsidR="004C0344" w:rsidRPr="004A689C">
        <w:rPr>
          <w:rFonts w:ascii="Times New Roman" w:hAnsi="Times New Roman"/>
          <w:szCs w:val="28"/>
        </w:rPr>
        <w:t xml:space="preserve"> </w:t>
      </w:r>
    </w:p>
    <w:p w:rsidR="001B5E40" w:rsidRPr="004A689C" w:rsidRDefault="001B5E40" w:rsidP="001B5E40">
      <w:pPr>
        <w:rPr>
          <w:rFonts w:ascii="Times New Roman" w:hAnsi="Times New Roman"/>
          <w:szCs w:val="28"/>
        </w:rPr>
      </w:pPr>
      <w:r w:rsidRPr="004A689C">
        <w:rPr>
          <w:rFonts w:ascii="Times New Roman" w:hAnsi="Times New Roman"/>
          <w:szCs w:val="28"/>
        </w:rPr>
        <w:t>Pertanto, in linea con gli indirizzi strategici riportati e, più in generale, nel quadro delle misure di rilancio dell’economia caratterizzate dall’accelerazione dei processi e dalla semplificazione, saranno particolarmente qualificanti gli obiettivi strategici e operativi finalizzati alla semplificazione</w:t>
      </w:r>
      <w:r w:rsidR="001D336C">
        <w:rPr>
          <w:rFonts w:ascii="Times New Roman" w:hAnsi="Times New Roman"/>
          <w:szCs w:val="28"/>
        </w:rPr>
        <w:t>,</w:t>
      </w:r>
      <w:r w:rsidRPr="004A689C">
        <w:rPr>
          <w:rFonts w:ascii="Times New Roman" w:hAnsi="Times New Roman"/>
          <w:szCs w:val="28"/>
        </w:rPr>
        <w:t xml:space="preserve"> alla digitalizzazione</w:t>
      </w:r>
      <w:r w:rsidR="001D336C">
        <w:rPr>
          <w:rFonts w:ascii="Times New Roman" w:hAnsi="Times New Roman"/>
          <w:szCs w:val="28"/>
        </w:rPr>
        <w:t xml:space="preserve"> e quindi alla trasparenza</w:t>
      </w:r>
      <w:r w:rsidRPr="004A689C">
        <w:rPr>
          <w:rFonts w:ascii="Times New Roman" w:hAnsi="Times New Roman"/>
          <w:szCs w:val="28"/>
        </w:rPr>
        <w:t>, azioni che già di per sé dovrebbero essere idonee a conseguire una mitigazione del rischio corruttivo. Nell’ambito di tali iniziative, saranno poi particolarmente pregnanti per la prevenzione della corruzione e la promozione della trasparenza</w:t>
      </w:r>
      <w:r w:rsidR="00482777" w:rsidRPr="004A689C">
        <w:rPr>
          <w:rFonts w:ascii="Times New Roman" w:hAnsi="Times New Roman"/>
          <w:szCs w:val="28"/>
        </w:rPr>
        <w:t>,</w:t>
      </w:r>
      <w:r w:rsidRPr="004A689C">
        <w:rPr>
          <w:rFonts w:ascii="Times New Roman" w:hAnsi="Times New Roman"/>
          <w:szCs w:val="28"/>
        </w:rPr>
        <w:t xml:space="preserve"> gli obiettivi aventi carattere trasversale che impegnino o abbiano ricadute nei confronti di più Strutture</w:t>
      </w:r>
      <w:r w:rsidR="00DA37E5" w:rsidRPr="004A689C">
        <w:rPr>
          <w:rFonts w:ascii="Times New Roman" w:hAnsi="Times New Roman"/>
          <w:szCs w:val="28"/>
        </w:rPr>
        <w:t xml:space="preserve"> o più unità organizzative di un Dipartimento o Uffici autonomi o Strutture di missione</w:t>
      </w:r>
      <w:r w:rsidR="00482777" w:rsidRPr="004A689C">
        <w:rPr>
          <w:rFonts w:ascii="Times New Roman" w:hAnsi="Times New Roman"/>
          <w:szCs w:val="28"/>
        </w:rPr>
        <w:t>,</w:t>
      </w:r>
      <w:r w:rsidR="00DA37E5" w:rsidRPr="004A689C">
        <w:rPr>
          <w:rFonts w:ascii="Times New Roman" w:hAnsi="Times New Roman"/>
          <w:szCs w:val="28"/>
        </w:rPr>
        <w:t xml:space="preserve"> oppure riguardanti specifici processi e progetti trasversali a più unità organizzative.</w:t>
      </w:r>
    </w:p>
    <w:p w:rsidR="00455A0C" w:rsidRPr="004A689C" w:rsidRDefault="001B5E40" w:rsidP="001B5E40">
      <w:pPr>
        <w:rPr>
          <w:rFonts w:ascii="Times New Roman" w:hAnsi="Times New Roman"/>
          <w:szCs w:val="28"/>
        </w:rPr>
      </w:pPr>
      <w:r w:rsidRPr="004A689C">
        <w:rPr>
          <w:rFonts w:ascii="Times New Roman" w:hAnsi="Times New Roman"/>
          <w:szCs w:val="28"/>
        </w:rPr>
        <w:t xml:space="preserve">Nel quadro del ciclo della </w:t>
      </w:r>
      <w:r w:rsidRPr="004A689C">
        <w:rPr>
          <w:rFonts w:ascii="Times New Roman" w:hAnsi="Times New Roman"/>
          <w:i/>
          <w:szCs w:val="28"/>
        </w:rPr>
        <w:t>performance</w:t>
      </w:r>
      <w:r w:rsidRPr="004A689C">
        <w:rPr>
          <w:rFonts w:ascii="Times New Roman" w:hAnsi="Times New Roman"/>
          <w:szCs w:val="28"/>
        </w:rPr>
        <w:t xml:space="preserve"> relativo all’anno 2020</w:t>
      </w:r>
      <w:r w:rsidR="00482777" w:rsidRPr="004A689C">
        <w:rPr>
          <w:rFonts w:ascii="Times New Roman" w:hAnsi="Times New Roman"/>
          <w:szCs w:val="28"/>
        </w:rPr>
        <w:t>,</w:t>
      </w:r>
      <w:r w:rsidRPr="004A689C">
        <w:rPr>
          <w:rFonts w:ascii="Times New Roman" w:hAnsi="Times New Roman"/>
          <w:szCs w:val="28"/>
        </w:rPr>
        <w:t xml:space="preserve"> le Strutture hanno studiato e progettato alcune iniziative di semplificazione e digitalizzazione producendo le relative analisi di fattibilità. In sede di programmazione degli obiettivi strategici e operativi per l’anno 2021, le medesime iniziative potranno essere messe a sistema o essere realizzate in maniera graduale, secondo una pianificazione che impegni più annualità</w:t>
      </w:r>
      <w:r w:rsidR="00482777" w:rsidRPr="004A689C">
        <w:rPr>
          <w:rFonts w:ascii="Times New Roman" w:hAnsi="Times New Roman"/>
          <w:szCs w:val="28"/>
        </w:rPr>
        <w:t>,</w:t>
      </w:r>
      <w:r w:rsidRPr="004A689C">
        <w:rPr>
          <w:rFonts w:ascii="Times New Roman" w:hAnsi="Times New Roman"/>
          <w:szCs w:val="28"/>
        </w:rPr>
        <w:t xml:space="preserve"> tenendo conto delle priorità e dei vincoli derivanti dalla pandemia. </w:t>
      </w:r>
    </w:p>
    <w:p w:rsidR="00455A0C" w:rsidRPr="004A689C" w:rsidRDefault="00455A0C" w:rsidP="00455A0C">
      <w:pPr>
        <w:rPr>
          <w:rFonts w:ascii="Times New Roman" w:hAnsi="Times New Roman"/>
          <w:szCs w:val="28"/>
        </w:rPr>
      </w:pPr>
      <w:r w:rsidRPr="004A689C">
        <w:rPr>
          <w:rFonts w:ascii="Times New Roman" w:hAnsi="Times New Roman"/>
          <w:szCs w:val="28"/>
        </w:rPr>
        <w:t xml:space="preserve">Al fine di stabilire un raccordo continuativo tra la procedura di valutazione della </w:t>
      </w:r>
      <w:r w:rsidRPr="004A689C">
        <w:rPr>
          <w:rFonts w:ascii="Times New Roman" w:hAnsi="Times New Roman"/>
          <w:i/>
          <w:szCs w:val="28"/>
        </w:rPr>
        <w:t>performance</w:t>
      </w:r>
      <w:r w:rsidRPr="004A689C">
        <w:rPr>
          <w:rFonts w:ascii="Times New Roman" w:hAnsi="Times New Roman"/>
          <w:szCs w:val="28"/>
        </w:rPr>
        <w:t xml:space="preserve"> e l’osservanza delle misure di prevenzione della corruzione della trasparenza, le Strutture interessate da cessazioni di incarico dei dirigenti nel corso dell’anno trasmettono al Capo dell’U.C.I.</w:t>
      </w:r>
      <w:r w:rsidR="00BC1836" w:rsidRPr="004A689C">
        <w:rPr>
          <w:rFonts w:ascii="Times New Roman" w:hAnsi="Times New Roman"/>
          <w:szCs w:val="28"/>
        </w:rPr>
        <w:t xml:space="preserve"> e al </w:t>
      </w:r>
      <w:r w:rsidRPr="004A689C">
        <w:rPr>
          <w:rFonts w:ascii="Times New Roman" w:hAnsi="Times New Roman"/>
          <w:szCs w:val="28"/>
        </w:rPr>
        <w:t xml:space="preserve">R.P.C.T. una dichiarazione del Capo </w:t>
      </w:r>
      <w:r w:rsidR="00AE67BA" w:rsidRPr="004A689C">
        <w:rPr>
          <w:rFonts w:ascii="Times New Roman" w:hAnsi="Times New Roman"/>
          <w:szCs w:val="28"/>
        </w:rPr>
        <w:t>S</w:t>
      </w:r>
      <w:r w:rsidRPr="004A689C">
        <w:rPr>
          <w:rFonts w:ascii="Times New Roman" w:hAnsi="Times New Roman"/>
          <w:szCs w:val="28"/>
        </w:rPr>
        <w:t>truttura in merito al rispetto da parte del dirigente cessato degli adempimenti in materia di anticorruzione e trasparenza</w:t>
      </w:r>
      <w:r w:rsidR="00AE67BA" w:rsidRPr="004A689C">
        <w:rPr>
          <w:rFonts w:ascii="Times New Roman" w:hAnsi="Times New Roman"/>
          <w:szCs w:val="28"/>
        </w:rPr>
        <w:t xml:space="preserve">. La comunicazione è trasmessa </w:t>
      </w:r>
      <w:r w:rsidRPr="004A689C">
        <w:rPr>
          <w:rFonts w:ascii="Times New Roman" w:hAnsi="Times New Roman"/>
          <w:szCs w:val="28"/>
        </w:rPr>
        <w:t>al momento della cessazione dall’incarico</w:t>
      </w:r>
      <w:r w:rsidR="008E6B15" w:rsidRPr="004A689C">
        <w:rPr>
          <w:rFonts w:ascii="Times New Roman" w:hAnsi="Times New Roman"/>
          <w:szCs w:val="28"/>
        </w:rPr>
        <w:t>.</w:t>
      </w:r>
      <w:r w:rsidR="00355BDB" w:rsidRPr="004A689C">
        <w:rPr>
          <w:rFonts w:ascii="Times New Roman" w:hAnsi="Times New Roman"/>
          <w:szCs w:val="28"/>
        </w:rPr>
        <w:t xml:space="preserve"> </w:t>
      </w:r>
      <w:r w:rsidR="001A63AD" w:rsidRPr="004A689C">
        <w:rPr>
          <w:rFonts w:ascii="Times New Roman" w:hAnsi="Times New Roman"/>
          <w:szCs w:val="28"/>
        </w:rPr>
        <w:t>(cfr.</w:t>
      </w:r>
      <w:r w:rsidR="00CF69F7" w:rsidRPr="004A689C">
        <w:rPr>
          <w:rFonts w:ascii="Times New Roman" w:hAnsi="Times New Roman"/>
          <w:szCs w:val="28"/>
        </w:rPr>
        <w:t>:</w:t>
      </w:r>
      <w:r w:rsidR="001A63AD" w:rsidRPr="004A689C">
        <w:rPr>
          <w:rFonts w:ascii="Times New Roman" w:hAnsi="Times New Roman"/>
          <w:szCs w:val="28"/>
        </w:rPr>
        <w:t xml:space="preserve"> par</w:t>
      </w:r>
      <w:r w:rsidR="001D336C">
        <w:rPr>
          <w:rFonts w:ascii="Times New Roman" w:hAnsi="Times New Roman"/>
          <w:szCs w:val="28"/>
        </w:rPr>
        <w:t>.</w:t>
      </w:r>
      <w:r w:rsidR="001A63AD" w:rsidRPr="004A689C">
        <w:rPr>
          <w:rFonts w:ascii="Times New Roman" w:hAnsi="Times New Roman"/>
          <w:szCs w:val="28"/>
        </w:rPr>
        <w:t xml:space="preserve"> 6)</w:t>
      </w:r>
    </w:p>
    <w:p w:rsidR="005E2B04" w:rsidRPr="0077316E" w:rsidRDefault="005E2B04" w:rsidP="0077316E">
      <w:pPr>
        <w:pStyle w:val="Titolo1"/>
        <w:ind w:left="716"/>
        <w:rPr>
          <w:rFonts w:ascii="Times New Roman" w:hAnsi="Times New Roman"/>
          <w:szCs w:val="28"/>
        </w:rPr>
      </w:pPr>
      <w:bookmarkStart w:id="17" w:name="_Toc66721204"/>
      <w:r w:rsidRPr="0077316E">
        <w:rPr>
          <w:rFonts w:ascii="Times New Roman" w:hAnsi="Times New Roman"/>
          <w:szCs w:val="28"/>
        </w:rPr>
        <w:t xml:space="preserve">La </w:t>
      </w:r>
      <w:r w:rsidR="00F249F6" w:rsidRPr="0077316E">
        <w:rPr>
          <w:rFonts w:ascii="Times New Roman" w:hAnsi="Times New Roman"/>
          <w:szCs w:val="28"/>
        </w:rPr>
        <w:t>collaborazione con il Responsabile</w:t>
      </w:r>
      <w:bookmarkEnd w:id="17"/>
      <w:r w:rsidR="00ED1737" w:rsidRPr="0077316E">
        <w:rPr>
          <w:rFonts w:ascii="Times New Roman" w:hAnsi="Times New Roman"/>
          <w:szCs w:val="28"/>
        </w:rPr>
        <w:t xml:space="preserve"> </w:t>
      </w:r>
    </w:p>
    <w:p w:rsidR="009575EA" w:rsidRPr="004A689C" w:rsidRDefault="009575EA" w:rsidP="009575EA">
      <w:pPr>
        <w:rPr>
          <w:rFonts w:ascii="Times New Roman" w:hAnsi="Times New Roman"/>
          <w:szCs w:val="28"/>
        </w:rPr>
      </w:pPr>
      <w:r w:rsidRPr="004A689C">
        <w:rPr>
          <w:rFonts w:ascii="Times New Roman" w:hAnsi="Times New Roman"/>
          <w:szCs w:val="28"/>
        </w:rPr>
        <w:t xml:space="preserve">Ferma restando la responsabilità dei dirigenti ai sensi dell’art. 16 del </w:t>
      </w:r>
      <w:r w:rsidR="003F2673" w:rsidRPr="004A689C">
        <w:rPr>
          <w:rFonts w:ascii="Times New Roman" w:hAnsi="Times New Roman"/>
          <w:szCs w:val="28"/>
        </w:rPr>
        <w:t xml:space="preserve">Decreto legislativo </w:t>
      </w:r>
      <w:r w:rsidR="00DA6D2D" w:rsidRPr="004A689C">
        <w:rPr>
          <w:rFonts w:ascii="Times New Roman" w:hAnsi="Times New Roman"/>
          <w:szCs w:val="28"/>
        </w:rPr>
        <w:t>30 marzo 2</w:t>
      </w:r>
      <w:r w:rsidRPr="004A689C">
        <w:rPr>
          <w:rFonts w:ascii="Times New Roman" w:hAnsi="Times New Roman"/>
          <w:szCs w:val="28"/>
        </w:rPr>
        <w:t>001,</w:t>
      </w:r>
      <w:r w:rsidR="00DA6D2D" w:rsidRPr="004A689C">
        <w:rPr>
          <w:rFonts w:ascii="Times New Roman" w:hAnsi="Times New Roman"/>
          <w:szCs w:val="28"/>
        </w:rPr>
        <w:t xml:space="preserve"> n. 165</w:t>
      </w:r>
      <w:r w:rsidR="001D336C">
        <w:rPr>
          <w:rFonts w:ascii="Times New Roman" w:hAnsi="Times New Roman"/>
          <w:szCs w:val="28"/>
        </w:rPr>
        <w:t>,</w:t>
      </w:r>
      <w:r w:rsidR="00DA6D2D" w:rsidRPr="004A689C">
        <w:rPr>
          <w:rFonts w:ascii="Times New Roman" w:hAnsi="Times New Roman"/>
          <w:szCs w:val="28"/>
        </w:rPr>
        <w:t xml:space="preserve"> concernente “</w:t>
      </w:r>
      <w:r w:rsidR="00DA6D2D" w:rsidRPr="004A689C">
        <w:rPr>
          <w:rFonts w:ascii="Times New Roman" w:hAnsi="Times New Roman"/>
          <w:i/>
          <w:szCs w:val="28"/>
        </w:rPr>
        <w:t>Norme generali sull’ordinamento del lavoro alle dipendenze delle Amministrazioni pubbliche</w:t>
      </w:r>
      <w:r w:rsidR="00DA6D2D" w:rsidRPr="004A689C">
        <w:rPr>
          <w:rFonts w:ascii="Times New Roman" w:hAnsi="Times New Roman"/>
          <w:szCs w:val="28"/>
        </w:rPr>
        <w:t>”</w:t>
      </w:r>
      <w:r w:rsidRPr="004A689C">
        <w:rPr>
          <w:rFonts w:ascii="Times New Roman" w:hAnsi="Times New Roman"/>
          <w:szCs w:val="28"/>
        </w:rPr>
        <w:t xml:space="preserve"> presso ciascuna Struttura è individuato un dirigente cui sono affidate le funzioni di </w:t>
      </w:r>
      <w:r w:rsidR="008326E6" w:rsidRPr="004A689C">
        <w:rPr>
          <w:rFonts w:ascii="Times New Roman" w:hAnsi="Times New Roman"/>
          <w:szCs w:val="28"/>
        </w:rPr>
        <w:t>R</w:t>
      </w:r>
      <w:r w:rsidRPr="004A689C">
        <w:rPr>
          <w:rFonts w:ascii="Times New Roman" w:hAnsi="Times New Roman"/>
          <w:szCs w:val="28"/>
        </w:rPr>
        <w:t xml:space="preserve">eferente del Responsabile. I </w:t>
      </w:r>
      <w:r w:rsidR="007E2CD5" w:rsidRPr="004A689C">
        <w:rPr>
          <w:rFonts w:ascii="Times New Roman" w:hAnsi="Times New Roman"/>
          <w:szCs w:val="28"/>
        </w:rPr>
        <w:t>R</w:t>
      </w:r>
      <w:r w:rsidRPr="004A689C">
        <w:rPr>
          <w:rFonts w:ascii="Times New Roman" w:hAnsi="Times New Roman"/>
          <w:szCs w:val="28"/>
        </w:rPr>
        <w:t>eferenti “</w:t>
      </w:r>
      <w:r w:rsidRPr="004A689C">
        <w:rPr>
          <w:rFonts w:ascii="Times New Roman" w:hAnsi="Times New Roman"/>
          <w:i/>
          <w:szCs w:val="28"/>
        </w:rPr>
        <w:t xml:space="preserve">svolgono attività informativa nei confronti del </w:t>
      </w:r>
      <w:r w:rsidR="00A57158" w:rsidRPr="004A689C">
        <w:rPr>
          <w:rFonts w:ascii="Times New Roman" w:hAnsi="Times New Roman"/>
          <w:i/>
          <w:szCs w:val="28"/>
        </w:rPr>
        <w:t>R</w:t>
      </w:r>
      <w:r w:rsidRPr="004A689C">
        <w:rPr>
          <w:rFonts w:ascii="Times New Roman" w:hAnsi="Times New Roman"/>
          <w:i/>
          <w:szCs w:val="28"/>
        </w:rPr>
        <w:t>esponsabile, affinché questi abbia elementi e riscontri sull’intera o</w:t>
      </w:r>
      <w:r w:rsidR="00755A5B" w:rsidRPr="004A689C">
        <w:rPr>
          <w:rFonts w:ascii="Times New Roman" w:hAnsi="Times New Roman"/>
          <w:i/>
          <w:szCs w:val="28"/>
        </w:rPr>
        <w:t>rgani</w:t>
      </w:r>
      <w:r w:rsidR="00B02C9E" w:rsidRPr="004A689C">
        <w:rPr>
          <w:rFonts w:ascii="Times New Roman" w:hAnsi="Times New Roman"/>
          <w:i/>
          <w:szCs w:val="28"/>
        </w:rPr>
        <w:t xml:space="preserve">zzazione e </w:t>
      </w:r>
      <w:r w:rsidR="00755A5B" w:rsidRPr="004A689C">
        <w:rPr>
          <w:rFonts w:ascii="Times New Roman" w:hAnsi="Times New Roman"/>
          <w:i/>
          <w:szCs w:val="28"/>
        </w:rPr>
        <w:t>attività dell’A</w:t>
      </w:r>
      <w:r w:rsidRPr="004A689C">
        <w:rPr>
          <w:rFonts w:ascii="Times New Roman" w:hAnsi="Times New Roman"/>
          <w:i/>
          <w:szCs w:val="28"/>
        </w:rPr>
        <w:t xml:space="preserve">mministrazione, e di costante monitoraggio sull’attività svolta dai dirigenti assegnati agli uffici di riferimento, anche </w:t>
      </w:r>
      <w:r w:rsidR="00CC537C" w:rsidRPr="004A689C">
        <w:rPr>
          <w:rFonts w:ascii="Times New Roman" w:hAnsi="Times New Roman"/>
          <w:i/>
          <w:szCs w:val="28"/>
        </w:rPr>
        <w:t xml:space="preserve">per quanto concerne </w:t>
      </w:r>
      <w:r w:rsidRPr="004A689C">
        <w:rPr>
          <w:rFonts w:ascii="Times New Roman" w:hAnsi="Times New Roman"/>
          <w:i/>
          <w:szCs w:val="28"/>
        </w:rPr>
        <w:t>gli obblighi di rotazione del personale</w:t>
      </w:r>
      <w:r w:rsidRPr="004A689C">
        <w:rPr>
          <w:rFonts w:ascii="Times New Roman" w:hAnsi="Times New Roman"/>
          <w:szCs w:val="28"/>
        </w:rPr>
        <w:t>” (</w:t>
      </w:r>
      <w:r w:rsidR="00920B60" w:rsidRPr="004A689C">
        <w:rPr>
          <w:rFonts w:ascii="Times New Roman" w:hAnsi="Times New Roman"/>
          <w:szCs w:val="28"/>
        </w:rPr>
        <w:t>P.T.P.C.</w:t>
      </w:r>
      <w:r w:rsidRPr="004A689C">
        <w:rPr>
          <w:rFonts w:ascii="Times New Roman" w:hAnsi="Times New Roman"/>
          <w:szCs w:val="28"/>
        </w:rPr>
        <w:t xml:space="preserve"> 2015-2017</w:t>
      </w:r>
      <w:r w:rsidR="003C317C" w:rsidRPr="004A689C">
        <w:rPr>
          <w:rFonts w:ascii="Times New Roman" w:hAnsi="Times New Roman"/>
          <w:szCs w:val="28"/>
        </w:rPr>
        <w:t>,</w:t>
      </w:r>
      <w:r w:rsidRPr="004A689C">
        <w:rPr>
          <w:rFonts w:ascii="Times New Roman" w:hAnsi="Times New Roman"/>
          <w:szCs w:val="28"/>
        </w:rPr>
        <w:t xml:space="preserve"> par. 2).</w:t>
      </w:r>
    </w:p>
    <w:p w:rsidR="009575EA" w:rsidRPr="004A689C" w:rsidRDefault="009575EA" w:rsidP="009575EA">
      <w:pPr>
        <w:rPr>
          <w:rFonts w:ascii="Times New Roman" w:hAnsi="Times New Roman"/>
          <w:szCs w:val="28"/>
        </w:rPr>
      </w:pPr>
      <w:r w:rsidRPr="004A689C">
        <w:rPr>
          <w:rFonts w:ascii="Times New Roman" w:hAnsi="Times New Roman"/>
          <w:szCs w:val="28"/>
        </w:rPr>
        <w:t xml:space="preserve">I </w:t>
      </w:r>
      <w:r w:rsidR="007E2CD5" w:rsidRPr="004A689C">
        <w:rPr>
          <w:rFonts w:ascii="Times New Roman" w:hAnsi="Times New Roman"/>
          <w:szCs w:val="28"/>
        </w:rPr>
        <w:t>R</w:t>
      </w:r>
      <w:r w:rsidRPr="004A689C">
        <w:rPr>
          <w:rFonts w:ascii="Times New Roman" w:hAnsi="Times New Roman"/>
          <w:szCs w:val="28"/>
        </w:rPr>
        <w:t>eferenti curano il coordinamento tempestivo delle risposte alle richieste di informativa del Responsabile, nonché la trasmissione di informazioni</w:t>
      </w:r>
      <w:r w:rsidR="00B02C9E" w:rsidRPr="004A689C">
        <w:rPr>
          <w:rFonts w:ascii="Times New Roman" w:hAnsi="Times New Roman"/>
          <w:szCs w:val="28"/>
        </w:rPr>
        <w:t xml:space="preserve"> in occasione dei monitoraggi e</w:t>
      </w:r>
      <w:r w:rsidRPr="004A689C">
        <w:rPr>
          <w:rFonts w:ascii="Times New Roman" w:hAnsi="Times New Roman"/>
          <w:szCs w:val="28"/>
        </w:rPr>
        <w:t xml:space="preserve"> ogni altra informazione rilevante; segnalano al Responsabile le eventuali criticità emerse nella valutazione del rischio e nell’applicazione delle misure</w:t>
      </w:r>
      <w:r w:rsidR="003C317C" w:rsidRPr="004A689C">
        <w:rPr>
          <w:rFonts w:ascii="Times New Roman" w:hAnsi="Times New Roman"/>
          <w:szCs w:val="28"/>
        </w:rPr>
        <w:t xml:space="preserve">, </w:t>
      </w:r>
      <w:r w:rsidRPr="004A689C">
        <w:rPr>
          <w:rFonts w:ascii="Times New Roman" w:hAnsi="Times New Roman"/>
          <w:szCs w:val="28"/>
        </w:rPr>
        <w:t>al fine di consentire interventi di miglioramento.</w:t>
      </w:r>
    </w:p>
    <w:p w:rsidR="002C3568" w:rsidRPr="004A689C" w:rsidRDefault="002C3568" w:rsidP="009575EA">
      <w:pPr>
        <w:rPr>
          <w:rFonts w:ascii="Times New Roman" w:hAnsi="Times New Roman"/>
          <w:szCs w:val="28"/>
        </w:rPr>
      </w:pPr>
    </w:p>
    <w:p w:rsidR="009575EA" w:rsidRPr="004A689C" w:rsidRDefault="009575EA" w:rsidP="009575EA">
      <w:pPr>
        <w:rPr>
          <w:rFonts w:ascii="Times New Roman" w:hAnsi="Times New Roman"/>
          <w:szCs w:val="28"/>
        </w:rPr>
      </w:pPr>
      <w:r w:rsidRPr="004A689C">
        <w:rPr>
          <w:rFonts w:ascii="Times New Roman" w:hAnsi="Times New Roman"/>
          <w:szCs w:val="28"/>
        </w:rPr>
        <w:t xml:space="preserve">L’attività svolta in qualità di </w:t>
      </w:r>
      <w:r w:rsidR="007E2CD5" w:rsidRPr="004A689C">
        <w:rPr>
          <w:rFonts w:ascii="Times New Roman" w:hAnsi="Times New Roman"/>
          <w:szCs w:val="28"/>
        </w:rPr>
        <w:t>R</w:t>
      </w:r>
      <w:r w:rsidRPr="004A689C">
        <w:rPr>
          <w:rFonts w:ascii="Times New Roman" w:hAnsi="Times New Roman"/>
          <w:szCs w:val="28"/>
        </w:rPr>
        <w:t xml:space="preserve">eferente è rilevante ai fini della valutazione della relativa </w:t>
      </w:r>
      <w:r w:rsidRPr="004A689C">
        <w:rPr>
          <w:rFonts w:ascii="Times New Roman" w:hAnsi="Times New Roman"/>
          <w:i/>
          <w:szCs w:val="28"/>
        </w:rPr>
        <w:t>performance</w:t>
      </w:r>
      <w:r w:rsidRPr="004A689C">
        <w:rPr>
          <w:rFonts w:ascii="Times New Roman" w:hAnsi="Times New Roman"/>
          <w:szCs w:val="28"/>
        </w:rPr>
        <w:t xml:space="preserve"> individuale. Inoltre, i valutatori dei </w:t>
      </w:r>
      <w:r w:rsidR="007E2CD5" w:rsidRPr="004A689C">
        <w:rPr>
          <w:rFonts w:ascii="Times New Roman" w:hAnsi="Times New Roman"/>
          <w:szCs w:val="28"/>
        </w:rPr>
        <w:t>R</w:t>
      </w:r>
      <w:r w:rsidRPr="004A689C">
        <w:rPr>
          <w:rFonts w:ascii="Times New Roman" w:hAnsi="Times New Roman"/>
          <w:szCs w:val="28"/>
        </w:rPr>
        <w:t>eferenti tengono conto dell’impegno richi</w:t>
      </w:r>
      <w:r w:rsidR="00ED1737" w:rsidRPr="004A689C">
        <w:rPr>
          <w:rFonts w:ascii="Times New Roman" w:hAnsi="Times New Roman"/>
          <w:szCs w:val="28"/>
        </w:rPr>
        <w:t>esto per lo svolgimento di tale incarico</w:t>
      </w:r>
      <w:r w:rsidRPr="004A689C">
        <w:rPr>
          <w:rFonts w:ascii="Times New Roman" w:hAnsi="Times New Roman"/>
          <w:szCs w:val="28"/>
        </w:rPr>
        <w:t xml:space="preserve"> nell’assegnazione degli obiettivi. </w:t>
      </w:r>
    </w:p>
    <w:p w:rsidR="009575EA" w:rsidRPr="004A689C" w:rsidRDefault="009575EA" w:rsidP="009575EA">
      <w:pPr>
        <w:rPr>
          <w:rFonts w:ascii="Times New Roman" w:hAnsi="Times New Roman"/>
          <w:szCs w:val="28"/>
        </w:rPr>
      </w:pPr>
      <w:r w:rsidRPr="004A689C">
        <w:rPr>
          <w:rFonts w:ascii="Times New Roman" w:hAnsi="Times New Roman"/>
          <w:szCs w:val="28"/>
        </w:rPr>
        <w:t>I dirigenti e il personale non d</w:t>
      </w:r>
      <w:r w:rsidR="00ED1737" w:rsidRPr="004A689C">
        <w:rPr>
          <w:rFonts w:ascii="Times New Roman" w:hAnsi="Times New Roman"/>
          <w:szCs w:val="28"/>
        </w:rPr>
        <w:t xml:space="preserve">irigenziale interessato debbono collaborare </w:t>
      </w:r>
      <w:r w:rsidRPr="004A689C">
        <w:rPr>
          <w:rFonts w:ascii="Times New Roman" w:hAnsi="Times New Roman"/>
          <w:szCs w:val="28"/>
        </w:rPr>
        <w:t xml:space="preserve">con il </w:t>
      </w:r>
      <w:r w:rsidR="007E2CD5" w:rsidRPr="004A689C">
        <w:rPr>
          <w:rFonts w:ascii="Times New Roman" w:hAnsi="Times New Roman"/>
          <w:szCs w:val="28"/>
        </w:rPr>
        <w:t>R</w:t>
      </w:r>
      <w:r w:rsidRPr="004A689C">
        <w:rPr>
          <w:rFonts w:ascii="Times New Roman" w:hAnsi="Times New Roman"/>
          <w:szCs w:val="28"/>
        </w:rPr>
        <w:t>eferente e forniscono tempestivamente i dati e l</w:t>
      </w:r>
      <w:r w:rsidR="00A05145" w:rsidRPr="004A689C">
        <w:rPr>
          <w:rFonts w:ascii="Times New Roman" w:hAnsi="Times New Roman"/>
          <w:szCs w:val="28"/>
        </w:rPr>
        <w:t>e informazioni richieste</w:t>
      </w:r>
      <w:r w:rsidRPr="004A689C">
        <w:rPr>
          <w:rFonts w:ascii="Times New Roman" w:hAnsi="Times New Roman"/>
          <w:szCs w:val="28"/>
        </w:rPr>
        <w:t>.</w:t>
      </w:r>
    </w:p>
    <w:p w:rsidR="003E6E66" w:rsidRPr="004A689C" w:rsidRDefault="009575EA" w:rsidP="009575EA">
      <w:pPr>
        <w:rPr>
          <w:rFonts w:ascii="Times New Roman" w:hAnsi="Times New Roman"/>
          <w:szCs w:val="28"/>
        </w:rPr>
      </w:pPr>
      <w:r w:rsidRPr="004A689C">
        <w:rPr>
          <w:rFonts w:ascii="Times New Roman" w:hAnsi="Times New Roman"/>
          <w:szCs w:val="28"/>
        </w:rPr>
        <w:t xml:space="preserve">Al riguardo si rammenta che l’art. 8 del </w:t>
      </w:r>
      <w:r w:rsidR="00A668FB" w:rsidRPr="004A689C">
        <w:rPr>
          <w:rFonts w:ascii="Times New Roman" w:hAnsi="Times New Roman"/>
          <w:szCs w:val="28"/>
        </w:rPr>
        <w:t>D</w:t>
      </w:r>
      <w:r w:rsidR="003F2673" w:rsidRPr="004A689C">
        <w:rPr>
          <w:rFonts w:ascii="Times New Roman" w:hAnsi="Times New Roman"/>
          <w:szCs w:val="28"/>
        </w:rPr>
        <w:t xml:space="preserve">ecreto del </w:t>
      </w:r>
      <w:r w:rsidR="00A668FB" w:rsidRPr="004A689C">
        <w:rPr>
          <w:rFonts w:ascii="Times New Roman" w:hAnsi="Times New Roman"/>
          <w:szCs w:val="28"/>
        </w:rPr>
        <w:t>P</w:t>
      </w:r>
      <w:r w:rsidR="003F2673" w:rsidRPr="004A689C">
        <w:rPr>
          <w:rFonts w:ascii="Times New Roman" w:hAnsi="Times New Roman"/>
          <w:szCs w:val="28"/>
        </w:rPr>
        <w:t xml:space="preserve">residente della </w:t>
      </w:r>
      <w:r w:rsidR="00A668FB" w:rsidRPr="004A689C">
        <w:rPr>
          <w:rFonts w:ascii="Times New Roman" w:hAnsi="Times New Roman"/>
          <w:szCs w:val="28"/>
        </w:rPr>
        <w:t>R</w:t>
      </w:r>
      <w:r w:rsidR="003F2673" w:rsidRPr="004A689C">
        <w:rPr>
          <w:rFonts w:ascii="Times New Roman" w:hAnsi="Times New Roman"/>
          <w:szCs w:val="28"/>
        </w:rPr>
        <w:t>epubblica</w:t>
      </w:r>
      <w:r w:rsidR="008F7198" w:rsidRPr="004A689C">
        <w:rPr>
          <w:rFonts w:ascii="Times New Roman" w:hAnsi="Times New Roman"/>
          <w:szCs w:val="28"/>
        </w:rPr>
        <w:t xml:space="preserve"> </w:t>
      </w:r>
      <w:r w:rsidR="00DA6D2D" w:rsidRPr="004A689C">
        <w:rPr>
          <w:rFonts w:ascii="Times New Roman" w:hAnsi="Times New Roman"/>
          <w:szCs w:val="28"/>
        </w:rPr>
        <w:t xml:space="preserve">16 aprile 2013, </w:t>
      </w:r>
      <w:r w:rsidR="008F7198" w:rsidRPr="004A689C">
        <w:rPr>
          <w:rFonts w:ascii="Times New Roman" w:hAnsi="Times New Roman"/>
          <w:szCs w:val="28"/>
        </w:rPr>
        <w:t xml:space="preserve">n. </w:t>
      </w:r>
      <w:r w:rsidRPr="004A689C">
        <w:rPr>
          <w:rFonts w:ascii="Times New Roman" w:hAnsi="Times New Roman"/>
          <w:szCs w:val="28"/>
        </w:rPr>
        <w:t>62</w:t>
      </w:r>
      <w:r w:rsidR="00DA6D2D" w:rsidRPr="004A689C">
        <w:rPr>
          <w:rFonts w:ascii="Times New Roman" w:hAnsi="Times New Roman"/>
          <w:szCs w:val="28"/>
        </w:rPr>
        <w:t>, concernente il “</w:t>
      </w:r>
      <w:r w:rsidR="00DA6D2D" w:rsidRPr="004A689C">
        <w:rPr>
          <w:rFonts w:ascii="Times New Roman" w:hAnsi="Times New Roman"/>
          <w:i/>
          <w:szCs w:val="28"/>
        </w:rPr>
        <w:t>Regolamento recante codice di comportamento dei dipendenti pubblici, a norma dell’art. 54 del Decreto legislativo 30 marzo 2001, n. 165</w:t>
      </w:r>
      <w:r w:rsidR="00DA6D2D" w:rsidRPr="004A689C">
        <w:rPr>
          <w:rFonts w:ascii="Times New Roman" w:hAnsi="Times New Roman"/>
          <w:szCs w:val="28"/>
        </w:rPr>
        <w:t>”</w:t>
      </w:r>
      <w:r w:rsidRPr="004A689C">
        <w:rPr>
          <w:rFonts w:ascii="Times New Roman" w:hAnsi="Times New Roman"/>
          <w:szCs w:val="28"/>
        </w:rPr>
        <w:t xml:space="preserve"> prevede un dovere di collaborazione dei dipendenti nei confronti del R</w:t>
      </w:r>
      <w:r w:rsidR="003F5716" w:rsidRPr="004A689C">
        <w:rPr>
          <w:rFonts w:ascii="Times New Roman" w:hAnsi="Times New Roman"/>
          <w:szCs w:val="28"/>
        </w:rPr>
        <w:t>esponsabile</w:t>
      </w:r>
      <w:r w:rsidR="008F7198" w:rsidRPr="004A689C">
        <w:rPr>
          <w:rFonts w:ascii="Times New Roman" w:hAnsi="Times New Roman"/>
          <w:szCs w:val="28"/>
        </w:rPr>
        <w:t>,</w:t>
      </w:r>
      <w:r w:rsidR="003F5716" w:rsidRPr="004A689C">
        <w:rPr>
          <w:rFonts w:ascii="Times New Roman" w:hAnsi="Times New Roman"/>
          <w:szCs w:val="28"/>
        </w:rPr>
        <w:t xml:space="preserve"> </w:t>
      </w:r>
      <w:r w:rsidRPr="004A689C">
        <w:rPr>
          <w:rFonts w:ascii="Times New Roman" w:hAnsi="Times New Roman"/>
          <w:szCs w:val="28"/>
        </w:rPr>
        <w:t xml:space="preserve">dovere la cui violazione è </w:t>
      </w:r>
      <w:r w:rsidR="004E199D" w:rsidRPr="004A689C">
        <w:rPr>
          <w:rFonts w:ascii="Times New Roman" w:hAnsi="Times New Roman"/>
          <w:szCs w:val="28"/>
        </w:rPr>
        <w:t xml:space="preserve">passibile di </w:t>
      </w:r>
      <w:r w:rsidRPr="004A689C">
        <w:rPr>
          <w:rFonts w:ascii="Times New Roman" w:hAnsi="Times New Roman"/>
          <w:szCs w:val="28"/>
        </w:rPr>
        <w:t>san</w:t>
      </w:r>
      <w:r w:rsidR="004E199D" w:rsidRPr="004A689C">
        <w:rPr>
          <w:rFonts w:ascii="Times New Roman" w:hAnsi="Times New Roman"/>
          <w:szCs w:val="28"/>
        </w:rPr>
        <w:t>zione disciplinar</w:t>
      </w:r>
      <w:r w:rsidRPr="004A689C">
        <w:rPr>
          <w:rFonts w:ascii="Times New Roman" w:hAnsi="Times New Roman"/>
          <w:szCs w:val="28"/>
        </w:rPr>
        <w:t>e</w:t>
      </w:r>
      <w:r w:rsidR="003C317C" w:rsidRPr="004A689C">
        <w:rPr>
          <w:rFonts w:ascii="Times New Roman" w:hAnsi="Times New Roman"/>
          <w:szCs w:val="28"/>
        </w:rPr>
        <w:t xml:space="preserve">, </w:t>
      </w:r>
      <w:r w:rsidR="00A36A0E" w:rsidRPr="004A689C">
        <w:rPr>
          <w:rFonts w:ascii="Times New Roman" w:hAnsi="Times New Roman"/>
          <w:szCs w:val="28"/>
        </w:rPr>
        <w:t>così come previsto dall’art</w:t>
      </w:r>
      <w:r w:rsidRPr="004A689C">
        <w:rPr>
          <w:rFonts w:ascii="Times New Roman" w:hAnsi="Times New Roman"/>
          <w:szCs w:val="28"/>
        </w:rPr>
        <w:t>.</w:t>
      </w:r>
      <w:r w:rsidR="00A36A0E" w:rsidRPr="004A689C">
        <w:rPr>
          <w:rFonts w:ascii="Times New Roman" w:hAnsi="Times New Roman"/>
          <w:szCs w:val="28"/>
        </w:rPr>
        <w:t>16 del citato D.P.R.</w:t>
      </w:r>
      <w:r w:rsidR="003C317C" w:rsidRPr="004A689C">
        <w:rPr>
          <w:rFonts w:ascii="Times New Roman" w:hAnsi="Times New Roman"/>
          <w:szCs w:val="28"/>
        </w:rPr>
        <w:t xml:space="preserve"> n. 62/2013</w:t>
      </w:r>
      <w:r w:rsidR="00A36A0E" w:rsidRPr="004A689C">
        <w:rPr>
          <w:rFonts w:ascii="Times New Roman" w:hAnsi="Times New Roman"/>
          <w:szCs w:val="28"/>
        </w:rPr>
        <w:t xml:space="preserve">. </w:t>
      </w:r>
    </w:p>
    <w:p w:rsidR="009575EA" w:rsidRPr="004A689C" w:rsidRDefault="003C317C" w:rsidP="009575EA">
      <w:pPr>
        <w:rPr>
          <w:rFonts w:ascii="Times New Roman" w:hAnsi="Times New Roman"/>
          <w:szCs w:val="28"/>
        </w:rPr>
      </w:pPr>
      <w:r w:rsidRPr="004A689C">
        <w:rPr>
          <w:rFonts w:ascii="Times New Roman" w:hAnsi="Times New Roman"/>
          <w:szCs w:val="28"/>
        </w:rPr>
        <w:t>È imprescindibile, dunque,</w:t>
      </w:r>
      <w:r w:rsidR="009575EA" w:rsidRPr="004A689C">
        <w:rPr>
          <w:rFonts w:ascii="Times New Roman" w:hAnsi="Times New Roman"/>
          <w:szCs w:val="28"/>
        </w:rPr>
        <w:t xml:space="preserve"> un fo</w:t>
      </w:r>
      <w:r w:rsidR="00765A73" w:rsidRPr="004A689C">
        <w:rPr>
          <w:rFonts w:ascii="Times New Roman" w:hAnsi="Times New Roman"/>
          <w:szCs w:val="28"/>
        </w:rPr>
        <w:t>rte coinvolgimento dell’intera S</w:t>
      </w:r>
      <w:r w:rsidR="009575EA" w:rsidRPr="004A689C">
        <w:rPr>
          <w:rFonts w:ascii="Times New Roman" w:hAnsi="Times New Roman"/>
          <w:szCs w:val="28"/>
        </w:rPr>
        <w:t xml:space="preserve">truttura in tutte le fasi di predisposizione e di attuazione delle misure anticorruzione. </w:t>
      </w:r>
    </w:p>
    <w:p w:rsidR="009575EA" w:rsidRPr="004A689C" w:rsidRDefault="009575EA" w:rsidP="009575EA">
      <w:pPr>
        <w:rPr>
          <w:rFonts w:ascii="Times New Roman" w:hAnsi="Times New Roman"/>
          <w:szCs w:val="28"/>
        </w:rPr>
      </w:pPr>
      <w:r w:rsidRPr="004A689C">
        <w:rPr>
          <w:rFonts w:ascii="Times New Roman" w:hAnsi="Times New Roman"/>
          <w:szCs w:val="28"/>
        </w:rPr>
        <w:t xml:space="preserve">L’U.C.I. invia mensilmente una </w:t>
      </w:r>
      <w:r w:rsidR="001D336C">
        <w:rPr>
          <w:rFonts w:ascii="Times New Roman" w:hAnsi="Times New Roman"/>
          <w:i/>
          <w:szCs w:val="28"/>
        </w:rPr>
        <w:t>Ne</w:t>
      </w:r>
      <w:r w:rsidRPr="004A689C">
        <w:rPr>
          <w:rFonts w:ascii="Times New Roman" w:hAnsi="Times New Roman"/>
          <w:i/>
          <w:szCs w:val="28"/>
        </w:rPr>
        <w:t>wsletter</w:t>
      </w:r>
      <w:r w:rsidRPr="004A689C">
        <w:rPr>
          <w:rFonts w:ascii="Times New Roman" w:hAnsi="Times New Roman"/>
          <w:szCs w:val="28"/>
        </w:rPr>
        <w:t xml:space="preserve"> ai </w:t>
      </w:r>
      <w:r w:rsidR="007E2CD5" w:rsidRPr="004A689C">
        <w:rPr>
          <w:rFonts w:ascii="Times New Roman" w:hAnsi="Times New Roman"/>
          <w:szCs w:val="28"/>
        </w:rPr>
        <w:t>R</w:t>
      </w:r>
      <w:r w:rsidRPr="004A689C">
        <w:rPr>
          <w:rFonts w:ascii="Times New Roman" w:hAnsi="Times New Roman"/>
          <w:szCs w:val="28"/>
        </w:rPr>
        <w:t>eferenti e ai Capi Struttura per informativa anche sulle iniziative in corso.</w:t>
      </w:r>
    </w:p>
    <w:p w:rsidR="002C3568" w:rsidRPr="004A689C" w:rsidRDefault="009575EA" w:rsidP="009575EA">
      <w:pPr>
        <w:rPr>
          <w:rFonts w:ascii="Times New Roman" w:hAnsi="Times New Roman"/>
          <w:szCs w:val="28"/>
        </w:rPr>
      </w:pPr>
      <w:r w:rsidRPr="004A689C">
        <w:rPr>
          <w:rFonts w:ascii="Times New Roman" w:hAnsi="Times New Roman"/>
          <w:szCs w:val="28"/>
        </w:rPr>
        <w:t xml:space="preserve">L’elenco dei </w:t>
      </w:r>
      <w:r w:rsidR="007E2CD5" w:rsidRPr="004A689C">
        <w:rPr>
          <w:rFonts w:ascii="Times New Roman" w:hAnsi="Times New Roman"/>
          <w:szCs w:val="28"/>
        </w:rPr>
        <w:t>R</w:t>
      </w:r>
      <w:r w:rsidRPr="004A689C">
        <w:rPr>
          <w:rFonts w:ascii="Times New Roman" w:hAnsi="Times New Roman"/>
          <w:szCs w:val="28"/>
        </w:rPr>
        <w:t xml:space="preserve">eferenti, salve le successive modifiche, è riportato in allegato al presente </w:t>
      </w:r>
      <w:r w:rsidR="00920B60" w:rsidRPr="004A689C">
        <w:rPr>
          <w:rFonts w:ascii="Times New Roman" w:hAnsi="Times New Roman"/>
          <w:szCs w:val="28"/>
        </w:rPr>
        <w:t>P.T.P.C.T.</w:t>
      </w:r>
      <w:r w:rsidR="009D240E" w:rsidRPr="004A689C">
        <w:rPr>
          <w:rFonts w:ascii="Times New Roman" w:hAnsi="Times New Roman"/>
          <w:szCs w:val="28"/>
        </w:rPr>
        <w:t xml:space="preserve"> (</w:t>
      </w:r>
      <w:r w:rsidR="001D336C">
        <w:rPr>
          <w:rFonts w:ascii="Times New Roman" w:hAnsi="Times New Roman"/>
          <w:szCs w:val="28"/>
        </w:rPr>
        <w:t>A</w:t>
      </w:r>
      <w:r w:rsidRPr="004A689C">
        <w:rPr>
          <w:rFonts w:ascii="Times New Roman" w:hAnsi="Times New Roman"/>
          <w:szCs w:val="28"/>
        </w:rPr>
        <w:t xml:space="preserve">llegato </w:t>
      </w:r>
      <w:r w:rsidR="00327DC2" w:rsidRPr="004A689C">
        <w:rPr>
          <w:rFonts w:ascii="Times New Roman" w:hAnsi="Times New Roman"/>
          <w:szCs w:val="28"/>
        </w:rPr>
        <w:t>1</w:t>
      </w:r>
      <w:r w:rsidRPr="004A689C">
        <w:rPr>
          <w:rFonts w:ascii="Times New Roman" w:hAnsi="Times New Roman"/>
          <w:szCs w:val="28"/>
        </w:rPr>
        <w:t>).</w:t>
      </w:r>
    </w:p>
    <w:p w:rsidR="00C83180" w:rsidRPr="004A689C" w:rsidRDefault="009575EA" w:rsidP="009575EA">
      <w:pPr>
        <w:rPr>
          <w:rFonts w:ascii="Times New Roman" w:hAnsi="Times New Roman"/>
          <w:szCs w:val="28"/>
        </w:rPr>
      </w:pPr>
      <w:r w:rsidRPr="004A689C">
        <w:rPr>
          <w:rFonts w:ascii="Times New Roman" w:hAnsi="Times New Roman"/>
          <w:szCs w:val="28"/>
        </w:rPr>
        <w:t xml:space="preserve"> </w:t>
      </w:r>
      <w:r w:rsidR="00D6571B" w:rsidRPr="004A689C">
        <w:rPr>
          <w:rFonts w:ascii="Times New Roman" w:hAnsi="Times New Roman"/>
          <w:szCs w:val="28"/>
        </w:rPr>
        <w:t xml:space="preserve">Ogni Struttura deve provvedere tempestivamente a nominare un Referente </w:t>
      </w:r>
      <w:r w:rsidR="00031E0F" w:rsidRPr="004A689C">
        <w:rPr>
          <w:rFonts w:ascii="Times New Roman" w:hAnsi="Times New Roman"/>
          <w:szCs w:val="28"/>
        </w:rPr>
        <w:t>a</w:t>
      </w:r>
      <w:r w:rsidR="00D6571B" w:rsidRPr="004A689C">
        <w:rPr>
          <w:rFonts w:ascii="Times New Roman" w:hAnsi="Times New Roman"/>
          <w:szCs w:val="28"/>
        </w:rPr>
        <w:t>nticorruzione in caso di cessazione dall’incarico del dirigente preposto o in caso di sua sostituzione, dandone contestuale informativa al R.P.C.T.</w:t>
      </w:r>
    </w:p>
    <w:p w:rsidR="009575EA" w:rsidRPr="004A689C" w:rsidRDefault="009575EA" w:rsidP="009575EA">
      <w:pPr>
        <w:rPr>
          <w:rFonts w:ascii="Times New Roman" w:hAnsi="Times New Roman"/>
          <w:szCs w:val="28"/>
        </w:rPr>
      </w:pPr>
      <w:r w:rsidRPr="004A689C">
        <w:rPr>
          <w:rFonts w:ascii="Times New Roman" w:hAnsi="Times New Roman"/>
          <w:szCs w:val="28"/>
        </w:rPr>
        <w:t xml:space="preserve">I dirigenti rispondono tempestivamente alle richieste istruttorie del Responsabile e collaborano ai fini dei monitoraggi. </w:t>
      </w:r>
      <w:r w:rsidR="00ED1737" w:rsidRPr="004A689C">
        <w:rPr>
          <w:rFonts w:ascii="Times New Roman" w:hAnsi="Times New Roman"/>
          <w:szCs w:val="28"/>
        </w:rPr>
        <w:t xml:space="preserve">In particolare, in fase di </w:t>
      </w:r>
      <w:r w:rsidRPr="004A689C">
        <w:rPr>
          <w:rFonts w:ascii="Times New Roman" w:hAnsi="Times New Roman"/>
          <w:szCs w:val="28"/>
        </w:rPr>
        <w:t xml:space="preserve">predisposizione del </w:t>
      </w:r>
      <w:r w:rsidR="00920B60" w:rsidRPr="004A689C">
        <w:rPr>
          <w:rFonts w:ascii="Times New Roman" w:hAnsi="Times New Roman"/>
          <w:szCs w:val="28"/>
        </w:rPr>
        <w:t>P.T.P.C.T.</w:t>
      </w:r>
      <w:r w:rsidRPr="004A689C">
        <w:rPr>
          <w:rFonts w:ascii="Times New Roman" w:hAnsi="Times New Roman"/>
          <w:szCs w:val="28"/>
        </w:rPr>
        <w:t xml:space="preserve"> l’U.C.I., il DI.P., il D.S.S. e l’U.B.R.R.A.C. forniscono le necessarie informazioni.</w:t>
      </w:r>
    </w:p>
    <w:p w:rsidR="00A1640F" w:rsidRPr="0077316E" w:rsidRDefault="00A1640F" w:rsidP="0077316E">
      <w:pPr>
        <w:pStyle w:val="Titolo1"/>
        <w:ind w:left="716"/>
        <w:rPr>
          <w:rFonts w:ascii="Times New Roman" w:hAnsi="Times New Roman"/>
          <w:szCs w:val="28"/>
        </w:rPr>
      </w:pPr>
      <w:bookmarkStart w:id="18" w:name="_Toc66721205"/>
      <w:r w:rsidRPr="0077316E">
        <w:rPr>
          <w:rFonts w:ascii="Times New Roman" w:hAnsi="Times New Roman"/>
          <w:szCs w:val="28"/>
        </w:rPr>
        <w:t>La valutazione del rischio di corruzione</w:t>
      </w:r>
      <w:bookmarkEnd w:id="18"/>
      <w:r w:rsidRPr="0077316E">
        <w:rPr>
          <w:rFonts w:ascii="Times New Roman" w:hAnsi="Times New Roman"/>
          <w:szCs w:val="28"/>
        </w:rPr>
        <w:t xml:space="preserve">                             </w:t>
      </w:r>
    </w:p>
    <w:p w:rsidR="00A818C2" w:rsidRPr="004A689C" w:rsidRDefault="00A818C2" w:rsidP="00A818C2">
      <w:pPr>
        <w:rPr>
          <w:rFonts w:ascii="Times New Roman" w:hAnsi="Times New Roman"/>
          <w:szCs w:val="28"/>
        </w:rPr>
      </w:pPr>
      <w:r w:rsidRPr="004A689C">
        <w:rPr>
          <w:rFonts w:ascii="Times New Roman" w:hAnsi="Times New Roman"/>
          <w:szCs w:val="28"/>
        </w:rPr>
        <w:t xml:space="preserve">La metodologia di gestione del rischio scelta dalla P.C.M. applica i principi dello </w:t>
      </w:r>
      <w:r w:rsidRPr="004A689C">
        <w:rPr>
          <w:rFonts w:ascii="Times New Roman" w:hAnsi="Times New Roman"/>
          <w:i/>
          <w:szCs w:val="28"/>
        </w:rPr>
        <w:t>standard</w:t>
      </w:r>
      <w:r w:rsidRPr="004A689C">
        <w:rPr>
          <w:rFonts w:ascii="Times New Roman" w:hAnsi="Times New Roman"/>
          <w:szCs w:val="28"/>
        </w:rPr>
        <w:t xml:space="preserve"> ISO 31000 e conferma, anche per il triennio oggetto del presente Piano, l’impostazione alla base del primo P.T.P.C. della P.C.M., approvato con Decreto del Presidente del Consiglio dei ministri 31 gennaio 2014, in cui l’identificazione dei processi a rischio corruttivo parte dall’analisi dell’insieme delle linee di attività utilizzato nell’ambito della contabilità analitica.</w:t>
      </w:r>
    </w:p>
    <w:p w:rsidR="00A818C2" w:rsidRPr="004A689C" w:rsidRDefault="00A818C2" w:rsidP="00A818C2">
      <w:pPr>
        <w:rPr>
          <w:rFonts w:ascii="Times New Roman" w:hAnsi="Times New Roman"/>
          <w:szCs w:val="28"/>
        </w:rPr>
      </w:pPr>
      <w:r w:rsidRPr="004A689C">
        <w:rPr>
          <w:rFonts w:ascii="Times New Roman" w:hAnsi="Times New Roman"/>
          <w:szCs w:val="28"/>
        </w:rPr>
        <w:t>La P.C.M. ha impostato la rilevazione dei processi corruttivi seguendo in prima istanza le indicazioni fornite da A.N.AC. con il P.N.A. 2015 e i s</w:t>
      </w:r>
      <w:r w:rsidR="00482777" w:rsidRPr="004A689C">
        <w:rPr>
          <w:rFonts w:ascii="Times New Roman" w:hAnsi="Times New Roman"/>
          <w:szCs w:val="28"/>
        </w:rPr>
        <w:t>uccessivi</w:t>
      </w:r>
      <w:r w:rsidR="00624BB7" w:rsidRPr="004A689C">
        <w:rPr>
          <w:rFonts w:ascii="Times New Roman" w:hAnsi="Times New Roman"/>
          <w:szCs w:val="28"/>
        </w:rPr>
        <w:t xml:space="preserve"> </w:t>
      </w:r>
      <w:r w:rsidRPr="004A689C">
        <w:rPr>
          <w:rFonts w:ascii="Times New Roman" w:hAnsi="Times New Roman"/>
          <w:szCs w:val="28"/>
        </w:rPr>
        <w:t>aggiornamenti, per cui i processi a rischio corruttivo sono stati rilevati nelle “aree di rischio generali” e nelle “aree di rischio specifiche”.</w:t>
      </w:r>
    </w:p>
    <w:p w:rsidR="00A818C2" w:rsidRPr="004A689C" w:rsidRDefault="00A818C2" w:rsidP="00A818C2">
      <w:pPr>
        <w:rPr>
          <w:rFonts w:ascii="Times New Roman" w:hAnsi="Times New Roman"/>
          <w:szCs w:val="28"/>
        </w:rPr>
      </w:pPr>
      <w:r w:rsidRPr="004A689C">
        <w:rPr>
          <w:rFonts w:ascii="Times New Roman" w:hAnsi="Times New Roman"/>
          <w:szCs w:val="28"/>
        </w:rPr>
        <w:t xml:space="preserve">Da un punto di vista strettamente tecnico, a partire dal 2016, prima in via sperimentale e poi a regime, la P.C.M. svolge l’attività di rilevazione e valutazione del rischio utilizzando un </w:t>
      </w:r>
      <w:r w:rsidRPr="004A689C">
        <w:rPr>
          <w:rFonts w:ascii="Times New Roman" w:hAnsi="Times New Roman"/>
          <w:i/>
          <w:szCs w:val="28"/>
        </w:rPr>
        <w:t>software</w:t>
      </w:r>
      <w:r w:rsidRPr="004A689C">
        <w:rPr>
          <w:rFonts w:ascii="Times New Roman" w:hAnsi="Times New Roman"/>
          <w:szCs w:val="28"/>
        </w:rPr>
        <w:t xml:space="preserve"> proprietario e dedicato Pre.Cor. (prevenzione corruzione), realizzato </w:t>
      </w:r>
      <w:r w:rsidRPr="004A689C">
        <w:rPr>
          <w:rFonts w:ascii="Times New Roman" w:hAnsi="Times New Roman"/>
          <w:i/>
          <w:szCs w:val="28"/>
        </w:rPr>
        <w:t>in house</w:t>
      </w:r>
      <w:r w:rsidRPr="004A689C">
        <w:rPr>
          <w:rFonts w:ascii="Times New Roman" w:hAnsi="Times New Roman"/>
          <w:szCs w:val="28"/>
        </w:rPr>
        <w:t xml:space="preserve"> nel 2015 come risultato della collaborazione tra l’U.S.G., il D.S.S.-U.I.T., il Responsabile e lo </w:t>
      </w:r>
      <w:r w:rsidRPr="004A689C">
        <w:rPr>
          <w:rFonts w:ascii="Times New Roman" w:hAnsi="Times New Roman"/>
          <w:i/>
          <w:szCs w:val="28"/>
        </w:rPr>
        <w:t>Staff</w:t>
      </w:r>
      <w:r w:rsidRPr="004A689C">
        <w:rPr>
          <w:rFonts w:ascii="Times New Roman" w:hAnsi="Times New Roman"/>
          <w:szCs w:val="28"/>
        </w:rPr>
        <w:t xml:space="preserve"> anticorruzione. </w:t>
      </w:r>
    </w:p>
    <w:p w:rsidR="00A818C2" w:rsidRPr="004A689C" w:rsidRDefault="00A818C2" w:rsidP="00A818C2">
      <w:pPr>
        <w:rPr>
          <w:rFonts w:ascii="Times New Roman" w:hAnsi="Times New Roman"/>
          <w:szCs w:val="28"/>
        </w:rPr>
      </w:pPr>
      <w:r w:rsidRPr="004A689C">
        <w:rPr>
          <w:rFonts w:ascii="Times New Roman" w:hAnsi="Times New Roman"/>
          <w:szCs w:val="28"/>
        </w:rPr>
        <w:t>L’applicativo consente la rilevazione dei processi e la valutazione del potenziale rischio corruttivo attraverso un questionario che, nelle impostazioni dei quesiti per la misura della vulnerabilità alla corruzione e di esposizione al rischio, si presenta oggi coerente rispetto ai precetti del P.N.A. 2019, ultimo pubblicato da A.N.AC.</w:t>
      </w:r>
    </w:p>
    <w:p w:rsidR="00A818C2" w:rsidRPr="004A689C" w:rsidRDefault="00A818C2" w:rsidP="00A818C2">
      <w:pPr>
        <w:rPr>
          <w:rFonts w:ascii="Times New Roman" w:hAnsi="Times New Roman"/>
          <w:szCs w:val="28"/>
        </w:rPr>
      </w:pPr>
      <w:r w:rsidRPr="004A689C">
        <w:rPr>
          <w:rFonts w:ascii="Times New Roman" w:hAnsi="Times New Roman"/>
          <w:szCs w:val="28"/>
        </w:rPr>
        <w:t>Nella metodologia in uso, la probabilità che un tentativo corruttivo vada a buon fine è calcolata concentrandosi sulle vulnerabilità e sui ‘fattori abilitanti’ la corruzione, caratteristici del processo considerato.</w:t>
      </w:r>
    </w:p>
    <w:p w:rsidR="00A818C2" w:rsidRPr="004A689C" w:rsidRDefault="00A818C2" w:rsidP="00A818C2">
      <w:pPr>
        <w:rPr>
          <w:rFonts w:ascii="Times New Roman" w:hAnsi="Times New Roman"/>
          <w:szCs w:val="28"/>
        </w:rPr>
      </w:pPr>
      <w:r w:rsidRPr="004A689C">
        <w:rPr>
          <w:rFonts w:ascii="Times New Roman" w:hAnsi="Times New Roman"/>
          <w:szCs w:val="28"/>
        </w:rPr>
        <w:t>L’impatto di un evento corruttivo è, a sua volta, valutato a partire dalla ‘esposizione’ dei beni caratteristica dei singoli processi, stimando l’effetto che tale evento corruttivo andrebbe a generare come danno per l’Amministrazione.</w:t>
      </w:r>
    </w:p>
    <w:p w:rsidR="003E6E66" w:rsidRPr="004A689C" w:rsidRDefault="00A818C2" w:rsidP="00A818C2">
      <w:pPr>
        <w:rPr>
          <w:rFonts w:ascii="Times New Roman" w:hAnsi="Times New Roman"/>
          <w:szCs w:val="28"/>
        </w:rPr>
      </w:pPr>
      <w:r w:rsidRPr="004A689C">
        <w:rPr>
          <w:rFonts w:ascii="Times New Roman" w:hAnsi="Times New Roman"/>
          <w:szCs w:val="28"/>
        </w:rPr>
        <w:t xml:space="preserve">Il calcolo del livello di rischio viene condotto attraverso un apposito algoritmo integrato nel sistema che combina, considerando gli indicatori statistici di media aritmetica e deviazione </w:t>
      </w:r>
      <w:r w:rsidRPr="004A689C">
        <w:rPr>
          <w:rFonts w:ascii="Times New Roman" w:hAnsi="Times New Roman"/>
          <w:i/>
          <w:szCs w:val="28"/>
        </w:rPr>
        <w:t>standard</w:t>
      </w:r>
      <w:r w:rsidRPr="004A689C">
        <w:rPr>
          <w:rFonts w:ascii="Times New Roman" w:hAnsi="Times New Roman"/>
          <w:szCs w:val="28"/>
        </w:rPr>
        <w:t>, i valori di probabilità e impatto rilevati attraverso il questionario.</w:t>
      </w:r>
    </w:p>
    <w:p w:rsidR="00A818C2" w:rsidRPr="004A689C" w:rsidRDefault="00A818C2" w:rsidP="00A818C2">
      <w:pPr>
        <w:rPr>
          <w:rFonts w:ascii="Times New Roman" w:hAnsi="Times New Roman"/>
          <w:szCs w:val="28"/>
        </w:rPr>
      </w:pPr>
      <w:r w:rsidRPr="004A689C">
        <w:rPr>
          <w:rFonts w:ascii="Times New Roman" w:hAnsi="Times New Roman"/>
          <w:szCs w:val="28"/>
        </w:rPr>
        <w:t xml:space="preserve">Il questionario e l’algoritmo di calcolo determinano la graduazione del livello di rischio compresa tra 0, come assenza di rischio, a 25, per i processi in cui la probabilità di rischio e l’impatto dell’evento vengono considerati dalle Strutture entrambi di livello massimo. </w:t>
      </w:r>
    </w:p>
    <w:p w:rsidR="00A818C2" w:rsidRPr="004A689C" w:rsidRDefault="00A818C2" w:rsidP="00A818C2">
      <w:pPr>
        <w:rPr>
          <w:rFonts w:ascii="Times New Roman" w:hAnsi="Times New Roman"/>
          <w:szCs w:val="28"/>
        </w:rPr>
      </w:pPr>
      <w:r w:rsidRPr="004A689C">
        <w:rPr>
          <w:rFonts w:ascii="Times New Roman" w:hAnsi="Times New Roman"/>
          <w:szCs w:val="28"/>
        </w:rPr>
        <w:t>Ai fini dell’analisi della prevenzione della corruzione, come suggerito nell’allegato 1 al P.N.A. 2019 – “</w:t>
      </w:r>
      <w:r w:rsidRPr="004A689C">
        <w:rPr>
          <w:rFonts w:ascii="Times New Roman" w:hAnsi="Times New Roman"/>
          <w:i/>
          <w:szCs w:val="28"/>
        </w:rPr>
        <w:t>Indicazioni metodologiche per la gestione dei rischi corruttivi</w:t>
      </w:r>
      <w:r w:rsidRPr="004A689C">
        <w:rPr>
          <w:rFonts w:ascii="Times New Roman" w:hAnsi="Times New Roman"/>
          <w:szCs w:val="28"/>
        </w:rPr>
        <w:t>” è possibile utilizzare una valutazione “qualitativa” dei rischi. In quest’ottica, a partire dal P.T.P.C.T. 2020-2021 il Registro dei rischi allegato al Piano indica per ciascun evento potenzialmente rischioso non il rischio in termini numerici ma un “livello di esposizione al rischio” ottenuto applicando al risultato dell’algoritmo di calcolo la scala di conversione sotto riportata.</w:t>
      </w:r>
    </w:p>
    <w:p w:rsidR="00A818C2" w:rsidRPr="004A689C" w:rsidRDefault="00A818C2" w:rsidP="00A818C2">
      <w:pPr>
        <w:rPr>
          <w:rFonts w:ascii="Times New Roman" w:hAnsi="Times New Roman"/>
          <w:szCs w:val="28"/>
        </w:rPr>
      </w:pPr>
      <w:r w:rsidRPr="004A689C">
        <w:rPr>
          <w:rFonts w:ascii="Times New Roman" w:hAnsi="Times New Roman"/>
          <w:noProof/>
          <w:szCs w:val="28"/>
        </w:rPr>
        <w:drawing>
          <wp:inline distT="0" distB="0" distL="0" distR="0" wp14:anchorId="385E80CF" wp14:editId="1C804EEE">
            <wp:extent cx="5324475" cy="1031818"/>
            <wp:effectExtent l="0" t="0" r="0" b="0"/>
            <wp:docPr id="2" name="Immagine 2" descr="cid:image002.jpg@01D6FAE8.B006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FAE8.B006F15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4812" t="67264" r="6100" b="8170"/>
                    <a:stretch/>
                  </pic:blipFill>
                  <pic:spPr bwMode="auto">
                    <a:xfrm>
                      <a:off x="0" y="0"/>
                      <a:ext cx="5673516" cy="1099458"/>
                    </a:xfrm>
                    <a:prstGeom prst="rect">
                      <a:avLst/>
                    </a:prstGeom>
                    <a:noFill/>
                    <a:ln>
                      <a:noFill/>
                    </a:ln>
                    <a:extLst>
                      <a:ext uri="{53640926-AAD7-44D8-BBD7-CCE9431645EC}">
                        <a14:shadowObscured xmlns:a14="http://schemas.microsoft.com/office/drawing/2010/main"/>
                      </a:ext>
                    </a:extLst>
                  </pic:spPr>
                </pic:pic>
              </a:graphicData>
            </a:graphic>
          </wp:inline>
        </w:drawing>
      </w:r>
      <w:r w:rsidRPr="004A689C">
        <w:rPr>
          <w:rFonts w:ascii="Times New Roman" w:hAnsi="Times New Roman"/>
          <w:szCs w:val="28"/>
        </w:rPr>
        <w:t xml:space="preserve"> </w:t>
      </w:r>
    </w:p>
    <w:p w:rsidR="00A818C2" w:rsidRPr="004A689C" w:rsidRDefault="00A818C2" w:rsidP="00A818C2">
      <w:pPr>
        <w:rPr>
          <w:rFonts w:ascii="Times New Roman" w:hAnsi="Times New Roman"/>
          <w:szCs w:val="28"/>
        </w:rPr>
      </w:pPr>
      <w:r w:rsidRPr="004A689C">
        <w:rPr>
          <w:rFonts w:ascii="Times New Roman" w:hAnsi="Times New Roman"/>
          <w:szCs w:val="28"/>
        </w:rPr>
        <w:t xml:space="preserve">Periodicamente il R.P.C.T. dispone l’apertura della </w:t>
      </w:r>
      <w:r w:rsidRPr="004A689C">
        <w:rPr>
          <w:rFonts w:ascii="Times New Roman" w:hAnsi="Times New Roman"/>
          <w:i/>
          <w:szCs w:val="28"/>
        </w:rPr>
        <w:t xml:space="preserve">campagna </w:t>
      </w:r>
      <w:r w:rsidRPr="004A689C">
        <w:rPr>
          <w:rFonts w:ascii="Times New Roman" w:hAnsi="Times New Roman"/>
          <w:szCs w:val="28"/>
        </w:rPr>
        <w:t xml:space="preserve">Pre.Cor.: un </w:t>
      </w:r>
      <w:r w:rsidR="00624BB7" w:rsidRPr="004A689C">
        <w:rPr>
          <w:rFonts w:ascii="Times New Roman" w:hAnsi="Times New Roman"/>
          <w:szCs w:val="28"/>
        </w:rPr>
        <w:t>arco</w:t>
      </w:r>
      <w:r w:rsidRPr="004A689C">
        <w:rPr>
          <w:rFonts w:ascii="Times New Roman" w:hAnsi="Times New Roman"/>
          <w:szCs w:val="28"/>
        </w:rPr>
        <w:t xml:space="preserve"> di tempo durante il quale le Strutture devono individuare e/o aggiornare i processi a rischio di competenza e rilevare o aggiornare il personale ad essi associato con il supporto del </w:t>
      </w:r>
      <w:r w:rsidRPr="004A689C">
        <w:rPr>
          <w:rFonts w:ascii="Times New Roman" w:hAnsi="Times New Roman"/>
          <w:i/>
          <w:szCs w:val="28"/>
        </w:rPr>
        <w:t>software.</w:t>
      </w:r>
      <w:r w:rsidRPr="004A689C">
        <w:rPr>
          <w:rFonts w:ascii="Times New Roman" w:hAnsi="Times New Roman"/>
          <w:szCs w:val="28"/>
        </w:rPr>
        <w:t xml:space="preserve"> </w:t>
      </w:r>
    </w:p>
    <w:p w:rsidR="00A818C2" w:rsidRPr="004A689C" w:rsidRDefault="00A818C2" w:rsidP="00A818C2">
      <w:pPr>
        <w:rPr>
          <w:rFonts w:ascii="Times New Roman" w:hAnsi="Times New Roman"/>
          <w:i/>
          <w:szCs w:val="28"/>
        </w:rPr>
      </w:pPr>
      <w:r w:rsidRPr="004A689C">
        <w:rPr>
          <w:rFonts w:ascii="Times New Roman" w:hAnsi="Times New Roman"/>
          <w:szCs w:val="28"/>
        </w:rPr>
        <w:t xml:space="preserve">Lo </w:t>
      </w:r>
      <w:r w:rsidRPr="004A689C">
        <w:rPr>
          <w:rFonts w:ascii="Times New Roman" w:hAnsi="Times New Roman"/>
          <w:i/>
          <w:szCs w:val="28"/>
        </w:rPr>
        <w:t>Staff</w:t>
      </w:r>
      <w:r w:rsidRPr="004A689C">
        <w:rPr>
          <w:rFonts w:ascii="Times New Roman" w:hAnsi="Times New Roman"/>
          <w:szCs w:val="28"/>
        </w:rPr>
        <w:t xml:space="preserve"> anticorruzione e U.I.T. operano in qualità di </w:t>
      </w:r>
      <w:r w:rsidRPr="004A689C">
        <w:rPr>
          <w:rFonts w:ascii="Times New Roman" w:hAnsi="Times New Roman"/>
          <w:i/>
          <w:szCs w:val="28"/>
        </w:rPr>
        <w:t>amministratori di sistema.</w:t>
      </w:r>
    </w:p>
    <w:p w:rsidR="00A818C2" w:rsidRPr="004A689C" w:rsidRDefault="00A818C2" w:rsidP="00A818C2">
      <w:pPr>
        <w:rPr>
          <w:rFonts w:ascii="Times New Roman" w:hAnsi="Times New Roman"/>
          <w:szCs w:val="28"/>
        </w:rPr>
      </w:pPr>
      <w:r w:rsidRPr="004A689C">
        <w:rPr>
          <w:rFonts w:ascii="Times New Roman" w:hAnsi="Times New Roman"/>
          <w:szCs w:val="28"/>
        </w:rPr>
        <w:t xml:space="preserve">Lo </w:t>
      </w:r>
      <w:r w:rsidRPr="004A689C">
        <w:rPr>
          <w:rFonts w:ascii="Times New Roman" w:hAnsi="Times New Roman"/>
          <w:i/>
          <w:szCs w:val="28"/>
        </w:rPr>
        <w:t>Staff</w:t>
      </w:r>
      <w:r w:rsidRPr="004A689C">
        <w:rPr>
          <w:rFonts w:ascii="Times New Roman" w:hAnsi="Times New Roman"/>
          <w:szCs w:val="28"/>
        </w:rPr>
        <w:t xml:space="preserve"> anticorruzione presta i servizi di </w:t>
      </w:r>
      <w:r w:rsidRPr="004A689C">
        <w:rPr>
          <w:rFonts w:ascii="Times New Roman" w:hAnsi="Times New Roman"/>
          <w:i/>
          <w:szCs w:val="28"/>
        </w:rPr>
        <w:t xml:space="preserve">backoffice, </w:t>
      </w:r>
      <w:r w:rsidRPr="004A689C">
        <w:rPr>
          <w:rFonts w:ascii="Times New Roman" w:hAnsi="Times New Roman"/>
          <w:szCs w:val="28"/>
        </w:rPr>
        <w:t xml:space="preserve">che vanno dal supporto agli utilizzatori in fase di raccolta dati, fino alla estrazione dei </w:t>
      </w:r>
      <w:r w:rsidRPr="004A689C">
        <w:rPr>
          <w:rFonts w:ascii="Times New Roman" w:hAnsi="Times New Roman"/>
          <w:i/>
          <w:szCs w:val="28"/>
        </w:rPr>
        <w:t>database</w:t>
      </w:r>
      <w:r w:rsidRPr="004A689C">
        <w:rPr>
          <w:rFonts w:ascii="Times New Roman" w:hAnsi="Times New Roman"/>
          <w:szCs w:val="28"/>
        </w:rPr>
        <w:t xml:space="preserve"> e successiva elaborazione in tabelle di sintesi, di più semplice funzione, per l’analisi delle dinamiche di esposizione al rischio della P.C.M. L’U.I.T. presta un servizio di assistenza di secondo livello, in caso di problemi tecnici non risolvibili dal personale amministrativo.</w:t>
      </w:r>
    </w:p>
    <w:p w:rsidR="00A818C2" w:rsidRPr="004A689C" w:rsidRDefault="00A818C2" w:rsidP="00A818C2">
      <w:pPr>
        <w:rPr>
          <w:rFonts w:ascii="Times New Roman" w:hAnsi="Times New Roman"/>
          <w:szCs w:val="28"/>
        </w:rPr>
      </w:pPr>
      <w:r w:rsidRPr="004A689C">
        <w:rPr>
          <w:rFonts w:ascii="Times New Roman" w:hAnsi="Times New Roman"/>
          <w:szCs w:val="28"/>
        </w:rPr>
        <w:t xml:space="preserve">Dal </w:t>
      </w:r>
      <w:r w:rsidRPr="004A689C">
        <w:rPr>
          <w:rFonts w:ascii="Times New Roman" w:hAnsi="Times New Roman"/>
          <w:i/>
          <w:szCs w:val="28"/>
        </w:rPr>
        <w:t>data base</w:t>
      </w:r>
      <w:r w:rsidRPr="004A689C">
        <w:rPr>
          <w:rFonts w:ascii="Times New Roman" w:hAnsi="Times New Roman"/>
          <w:szCs w:val="28"/>
        </w:rPr>
        <w:t xml:space="preserve"> dei processi viene estratto il Registro dei rischi, allegato al Piano, che rappresenta l’insieme dei processi della P.C.M. con potenziale rischio corruttivo maggiore di zero.</w:t>
      </w:r>
    </w:p>
    <w:p w:rsidR="00A818C2" w:rsidRPr="004A689C" w:rsidRDefault="00A818C2" w:rsidP="00A818C2">
      <w:pPr>
        <w:rPr>
          <w:rFonts w:ascii="Times New Roman" w:hAnsi="Times New Roman"/>
          <w:szCs w:val="28"/>
        </w:rPr>
      </w:pPr>
      <w:r w:rsidRPr="004A689C">
        <w:rPr>
          <w:rFonts w:ascii="Times New Roman" w:hAnsi="Times New Roman"/>
          <w:szCs w:val="28"/>
        </w:rPr>
        <w:t xml:space="preserve">Il Registro dei rischi vigente, allegato al presente P.T.P.C.T., è stato raccolto all’esito della Campagna Pre.Cor. conclusasi il 4 dicembre 2019. La mappatura dei rischi è stata effettuata per 30 Strutture con esclusione delle Strutture di nuova istituzione. </w:t>
      </w:r>
      <w:r w:rsidR="00A67A2F" w:rsidRPr="004A689C">
        <w:rPr>
          <w:rFonts w:ascii="Times New Roman" w:hAnsi="Times New Roman"/>
          <w:szCs w:val="28"/>
        </w:rPr>
        <w:t>È</w:t>
      </w:r>
      <w:r w:rsidR="00A96DC3">
        <w:rPr>
          <w:rFonts w:ascii="Times New Roman" w:hAnsi="Times New Roman"/>
          <w:szCs w:val="28"/>
        </w:rPr>
        <w:t xml:space="preserve"> </w:t>
      </w:r>
      <w:r w:rsidRPr="004A689C">
        <w:rPr>
          <w:rFonts w:ascii="Times New Roman" w:hAnsi="Times New Roman"/>
          <w:szCs w:val="28"/>
        </w:rPr>
        <w:t>stato trattato un ammontare complessivo di quasi 3000 processi, di cui circa 1500 risultati a rischio corruttivo. I processi a rischio sono riferiti a circa 370, delle oltre 2000 linee di attività oggetto di analisi.</w:t>
      </w:r>
    </w:p>
    <w:p w:rsidR="00A818C2" w:rsidRPr="004A689C" w:rsidRDefault="00A818C2" w:rsidP="00A818C2">
      <w:pPr>
        <w:rPr>
          <w:rFonts w:ascii="Times New Roman" w:hAnsi="Times New Roman"/>
          <w:szCs w:val="28"/>
        </w:rPr>
      </w:pPr>
      <w:r w:rsidRPr="004A689C">
        <w:rPr>
          <w:rFonts w:ascii="Times New Roman" w:hAnsi="Times New Roman"/>
          <w:szCs w:val="28"/>
        </w:rPr>
        <w:t>I processi sono stati rilevati, oltre che nell’area di rischio specifica per le attività del D.P.C., nelle aree di rischio generali:</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Acquisizione e progressione del personale;</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Contratti pubblici, già affidamento di lavori, servizi e forniture;</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Provvedimenti ampliativi della sfera giuridica dei destinatari con effetto economico diretto ed immediato per il destinatario;</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Provvedimenti ampliativi della sfera giuridica dei destinatari privi di effetto economico diretto ed immediato per il destinatario;</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Gestione delle entrate, delle spese e del patrimonio;</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Controlli, verifiche, ispezioni e sanzioni;</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Incarichi e nomine;</w:t>
      </w:r>
    </w:p>
    <w:p w:rsidR="00A818C2" w:rsidRPr="004A689C" w:rsidRDefault="00A818C2" w:rsidP="00A818C2">
      <w:pPr>
        <w:rPr>
          <w:rFonts w:ascii="Times New Roman" w:hAnsi="Times New Roman"/>
          <w:szCs w:val="28"/>
        </w:rPr>
      </w:pPr>
      <w:r w:rsidRPr="004A689C">
        <w:rPr>
          <w:rFonts w:ascii="Times New Roman" w:hAnsi="Times New Roman"/>
          <w:szCs w:val="28"/>
        </w:rPr>
        <w:t>-</w:t>
      </w:r>
      <w:r w:rsidRPr="004A689C">
        <w:rPr>
          <w:rFonts w:ascii="Times New Roman" w:hAnsi="Times New Roman"/>
          <w:szCs w:val="28"/>
        </w:rPr>
        <w:tab/>
        <w:t>Affari legali e contenzioso.</w:t>
      </w:r>
    </w:p>
    <w:p w:rsidR="00A818C2" w:rsidRPr="004A689C" w:rsidRDefault="00A818C2" w:rsidP="00A818C2">
      <w:pPr>
        <w:rPr>
          <w:rFonts w:ascii="Times New Roman" w:hAnsi="Times New Roman"/>
          <w:szCs w:val="28"/>
        </w:rPr>
      </w:pPr>
      <w:r w:rsidRPr="004A689C">
        <w:rPr>
          <w:rFonts w:ascii="Times New Roman" w:hAnsi="Times New Roman"/>
          <w:szCs w:val="28"/>
        </w:rPr>
        <w:t>Dal punto di vista qualitativo, le linee di attività a cui sono associati processi a rischio riguardano sia i rapporti con l’esterno sia la gestione interna. Per questo, nel Registro dei rischi, oltre a linee di attività notoriamente ritenute suscettibili di eventi corruttivi, quali quelle riferite ai contratti, alla gestione dell’emergenza, alla gestione delle intese e accordi, sono presenti con una certa frequenza rischi inerenti ad eventi corruttivi che riguardano la gestione del personale, l’elaborazione degli obiettivi, la valutazione della dirigenza, la gestione dei capitoli di bilancio, come pure la trasparenza, l’accesso agli atti, l’accesso civico.</w:t>
      </w:r>
    </w:p>
    <w:p w:rsidR="00A818C2" w:rsidRPr="004A689C" w:rsidRDefault="00A818C2" w:rsidP="00A818C2">
      <w:pPr>
        <w:rPr>
          <w:rFonts w:ascii="Times New Roman" w:hAnsi="Times New Roman"/>
          <w:szCs w:val="28"/>
        </w:rPr>
      </w:pPr>
      <w:r w:rsidRPr="004A689C">
        <w:rPr>
          <w:rFonts w:ascii="Times New Roman" w:hAnsi="Times New Roman"/>
          <w:szCs w:val="28"/>
        </w:rPr>
        <w:t>L’analisi dei dati conferma la distribuzione del livello di rischio già constatata negli anni passati, con preponderanza di processi a rischio bassissimo (30% circa) e basso (il 56%) a cui seguono l’11% di processi a rischio medio e il 3,4% di processi a rischio più elevato.</w:t>
      </w:r>
    </w:p>
    <w:p w:rsidR="003E6E66" w:rsidRPr="004A689C" w:rsidRDefault="003E6E66" w:rsidP="00A818C2">
      <w:pPr>
        <w:rPr>
          <w:rFonts w:ascii="Times New Roman" w:hAnsi="Times New Roman"/>
          <w:szCs w:val="28"/>
        </w:rPr>
      </w:pPr>
    </w:p>
    <w:p w:rsidR="00A818C2" w:rsidRPr="004A689C" w:rsidRDefault="00A818C2" w:rsidP="00A818C2">
      <w:pPr>
        <w:rPr>
          <w:rFonts w:ascii="Times New Roman" w:hAnsi="Times New Roman"/>
          <w:szCs w:val="28"/>
        </w:rPr>
      </w:pPr>
      <w:r w:rsidRPr="004A689C">
        <w:rPr>
          <w:rFonts w:ascii="Times New Roman" w:hAnsi="Times New Roman"/>
          <w:szCs w:val="28"/>
        </w:rPr>
        <w:t>Sui processi più critici per livello di rischio sono attive delle misure di controllo.</w:t>
      </w:r>
    </w:p>
    <w:p w:rsidR="00A818C2" w:rsidRPr="004A689C" w:rsidRDefault="00A818C2" w:rsidP="00A818C2">
      <w:pPr>
        <w:rPr>
          <w:rFonts w:ascii="Times New Roman" w:hAnsi="Times New Roman"/>
          <w:szCs w:val="28"/>
        </w:rPr>
      </w:pPr>
      <w:r w:rsidRPr="004A689C">
        <w:rPr>
          <w:rFonts w:ascii="Times New Roman" w:hAnsi="Times New Roman"/>
          <w:szCs w:val="28"/>
        </w:rPr>
        <w:t>I processi a rischio risultano più frequenti nell’area “Contratti” (23%), nell’area “Controlli verifiche ed ispezioni” (14%) e nelle aree specifiche (19%) che raccolgono, tra l’altro, le attività legate alla gestione delle emergenze e a tematiche connesse.</w:t>
      </w:r>
    </w:p>
    <w:p w:rsidR="00A818C2" w:rsidRPr="004A689C" w:rsidRDefault="00A818C2" w:rsidP="00A818C2">
      <w:pPr>
        <w:rPr>
          <w:rFonts w:ascii="Times New Roman" w:hAnsi="Times New Roman"/>
          <w:szCs w:val="28"/>
        </w:rPr>
      </w:pPr>
      <w:r w:rsidRPr="004A689C">
        <w:rPr>
          <w:rFonts w:ascii="Times New Roman" w:hAnsi="Times New Roman"/>
          <w:szCs w:val="28"/>
        </w:rPr>
        <w:t>L’analisi dei dati di rischio descrive la P.C.M. quale Amministrazione complessa, sfaccettata e variegata per tipologia di attività seguita, esposta agli eventi corruttivi, ma con intensità limitata e ad ogni modo controllata da opportune misure di mitigazione del rischio.</w:t>
      </w:r>
    </w:p>
    <w:p w:rsidR="00A1640F" w:rsidRPr="0014390F" w:rsidRDefault="00A1640F" w:rsidP="0014390F">
      <w:pPr>
        <w:pStyle w:val="Titolo2"/>
        <w:rPr>
          <w:rFonts w:ascii="Times New Roman" w:hAnsi="Times New Roman"/>
          <w:szCs w:val="28"/>
        </w:rPr>
      </w:pPr>
      <w:bookmarkStart w:id="19" w:name="_Toc66721206"/>
      <w:r w:rsidRPr="004A689C">
        <w:rPr>
          <w:rFonts w:ascii="Times New Roman" w:hAnsi="Times New Roman"/>
          <w:szCs w:val="28"/>
        </w:rPr>
        <w:t>La programmazione per il 2021</w:t>
      </w:r>
      <w:bookmarkEnd w:id="19"/>
      <w:r w:rsidRPr="004A689C">
        <w:rPr>
          <w:rFonts w:ascii="Times New Roman" w:hAnsi="Times New Roman"/>
          <w:szCs w:val="28"/>
        </w:rPr>
        <w:t xml:space="preserve">                                   </w:t>
      </w:r>
    </w:p>
    <w:p w:rsidR="00A1640F" w:rsidRPr="004A689C" w:rsidRDefault="00A1640F" w:rsidP="00A1640F">
      <w:pPr>
        <w:rPr>
          <w:rFonts w:ascii="Times New Roman" w:hAnsi="Times New Roman"/>
          <w:szCs w:val="28"/>
        </w:rPr>
      </w:pPr>
      <w:r w:rsidRPr="004A689C">
        <w:rPr>
          <w:rFonts w:ascii="Times New Roman" w:hAnsi="Times New Roman"/>
          <w:szCs w:val="28"/>
        </w:rPr>
        <w:t>Nel 2020, a seguito di difficoltà di ordine tecnico emerse in fase di estrazione</w:t>
      </w:r>
      <w:r w:rsidR="00624BB7" w:rsidRPr="004A689C">
        <w:rPr>
          <w:rFonts w:ascii="Times New Roman" w:hAnsi="Times New Roman"/>
          <w:szCs w:val="28"/>
        </w:rPr>
        <w:t xml:space="preserve"> dei</w:t>
      </w:r>
      <w:r w:rsidRPr="004A689C">
        <w:rPr>
          <w:rFonts w:ascii="Times New Roman" w:hAnsi="Times New Roman"/>
          <w:szCs w:val="28"/>
        </w:rPr>
        <w:t xml:space="preserve"> dati, il </w:t>
      </w:r>
      <w:r w:rsidRPr="004A689C">
        <w:rPr>
          <w:rFonts w:ascii="Times New Roman" w:hAnsi="Times New Roman"/>
          <w:i/>
          <w:szCs w:val="28"/>
        </w:rPr>
        <w:t>software</w:t>
      </w:r>
      <w:r w:rsidRPr="004A689C">
        <w:rPr>
          <w:rFonts w:ascii="Times New Roman" w:hAnsi="Times New Roman"/>
          <w:szCs w:val="28"/>
        </w:rPr>
        <w:t xml:space="preserve"> Pre.Cor. è stato sottoposto ad un intervento di manutenzione correttiva che si è concluso nel mese di ottobre. Ciò ha di fatto impedito un aggiornamento dei dati di rischio attraverso il sistema. L’esigenza di produrre il </w:t>
      </w:r>
      <w:r w:rsidRPr="004A689C">
        <w:rPr>
          <w:rFonts w:ascii="Times New Roman" w:hAnsi="Times New Roman"/>
          <w:i/>
          <w:szCs w:val="28"/>
        </w:rPr>
        <w:t>data base</w:t>
      </w:r>
      <w:r w:rsidRPr="004A689C">
        <w:rPr>
          <w:rFonts w:ascii="Times New Roman" w:hAnsi="Times New Roman"/>
          <w:szCs w:val="28"/>
        </w:rPr>
        <w:t xml:space="preserve"> aggiornato del personale associato al rischio è stata soddisfatta attraverso una rilevazione manuale.</w:t>
      </w:r>
    </w:p>
    <w:p w:rsidR="00A1640F" w:rsidRPr="004A689C" w:rsidRDefault="00A1640F" w:rsidP="00A1640F">
      <w:pPr>
        <w:rPr>
          <w:rFonts w:ascii="Times New Roman" w:hAnsi="Times New Roman"/>
          <w:szCs w:val="28"/>
        </w:rPr>
      </w:pPr>
      <w:r w:rsidRPr="004A689C">
        <w:rPr>
          <w:rFonts w:ascii="Times New Roman" w:hAnsi="Times New Roman"/>
          <w:szCs w:val="28"/>
        </w:rPr>
        <w:t>Pur confermando la bontà dell’impianto, l’analisi dei dati ha evidenziato aspetti di miglioramento, soprattutto per quanto attiene la classificazione dei dati alla base del processo di rilevazione del rischio facendo immaginare azioni e soluzioni che, se poste in essere, consentirebbero un significativo miglioramento nel patrimonio informativo connesso alla attività di prevenzione e della corruzione.</w:t>
      </w:r>
    </w:p>
    <w:p w:rsidR="00A1640F" w:rsidRPr="004A689C" w:rsidRDefault="00A1640F" w:rsidP="00A1640F">
      <w:pPr>
        <w:rPr>
          <w:rFonts w:ascii="Times New Roman" w:hAnsi="Times New Roman"/>
          <w:szCs w:val="28"/>
        </w:rPr>
      </w:pPr>
      <w:r w:rsidRPr="004A689C">
        <w:rPr>
          <w:rFonts w:ascii="Times New Roman" w:hAnsi="Times New Roman"/>
          <w:szCs w:val="28"/>
        </w:rPr>
        <w:t>Queste riflessioni hanno ispirato l’obiettivo per l’U.C.I. nell’ambito della Direttiva per l’azione amministrativa e la gestione del S.G. per l’anno 2020.</w:t>
      </w:r>
    </w:p>
    <w:p w:rsidR="00A1640F" w:rsidRPr="004A689C" w:rsidRDefault="00A1640F" w:rsidP="00A1640F">
      <w:pPr>
        <w:rPr>
          <w:rFonts w:ascii="Times New Roman" w:hAnsi="Times New Roman"/>
          <w:szCs w:val="28"/>
        </w:rPr>
      </w:pPr>
      <w:r w:rsidRPr="004A689C">
        <w:rPr>
          <w:rFonts w:ascii="Times New Roman" w:hAnsi="Times New Roman"/>
          <w:szCs w:val="28"/>
        </w:rPr>
        <w:t xml:space="preserve">Infatti il R.P.C.T., con il supporto dell’U.C.I., ha individuato delle azioni di semplificazione e digitalizzazione per arrivare a conseguire l’auspicato miglioramento del patrimonio informativo sui processi a cui si connette anche l’attività di prevenzione della corruzione. In proposito, nel corso del 2020, è stata già realizzata un’azione di semplificazione, mediante una razionalizzazione e una rilevante standardizzazione delle linee di attività di tutta la P.C.M. L’attività è sfociata nella definizione di un </w:t>
      </w:r>
      <w:r w:rsidRPr="004A689C">
        <w:rPr>
          <w:rFonts w:ascii="Times New Roman" w:hAnsi="Times New Roman"/>
          <w:i/>
          <w:szCs w:val="28"/>
        </w:rPr>
        <w:t>data base</w:t>
      </w:r>
      <w:r w:rsidRPr="004A689C">
        <w:rPr>
          <w:rFonts w:ascii="Times New Roman" w:hAnsi="Times New Roman"/>
          <w:szCs w:val="28"/>
        </w:rPr>
        <w:t xml:space="preserve"> contenente l’elenco delle linee di attività comuni a più Strutture e trasversali nell’ambito della stessa Struttura, in modo da formare una base omogenea e coerente di mappatura dei processi di supporto e comuni per le Strutture.</w:t>
      </w:r>
    </w:p>
    <w:p w:rsidR="00A1640F" w:rsidRPr="004A689C" w:rsidRDefault="00A1640F" w:rsidP="00A1640F">
      <w:pPr>
        <w:rPr>
          <w:rFonts w:ascii="Times New Roman" w:hAnsi="Times New Roman"/>
          <w:szCs w:val="28"/>
        </w:rPr>
      </w:pPr>
      <w:r w:rsidRPr="004A689C">
        <w:rPr>
          <w:rFonts w:ascii="Times New Roman" w:hAnsi="Times New Roman"/>
          <w:szCs w:val="28"/>
        </w:rPr>
        <w:t xml:space="preserve">Questa complessa operazione ha portato ad un risultato utile per tutte le funzioni che hanno a fondamento i processi dell’Amministrazione, come le elaborazioni di contabilità economico-analitica, il controllo di gestione, la valutazione della </w:t>
      </w:r>
      <w:r w:rsidRPr="004A689C">
        <w:rPr>
          <w:rFonts w:ascii="Times New Roman" w:hAnsi="Times New Roman"/>
          <w:i/>
          <w:szCs w:val="28"/>
        </w:rPr>
        <w:t>performance</w:t>
      </w:r>
      <w:r w:rsidRPr="004A689C">
        <w:rPr>
          <w:rFonts w:ascii="Times New Roman" w:hAnsi="Times New Roman"/>
          <w:szCs w:val="28"/>
        </w:rPr>
        <w:t xml:space="preserve"> ai fini del lavoro agile, il trattamento dei dati personali e l’attività di prevenzione della corruzione.</w:t>
      </w:r>
    </w:p>
    <w:p w:rsidR="00A1640F" w:rsidRPr="004A689C" w:rsidRDefault="00A1640F" w:rsidP="00A1640F">
      <w:pPr>
        <w:rPr>
          <w:rFonts w:ascii="Times New Roman" w:hAnsi="Times New Roman"/>
          <w:szCs w:val="28"/>
        </w:rPr>
      </w:pPr>
      <w:r w:rsidRPr="004A689C">
        <w:rPr>
          <w:rFonts w:ascii="Times New Roman" w:hAnsi="Times New Roman"/>
          <w:szCs w:val="28"/>
        </w:rPr>
        <w:t>Le linee di attività sono alla base del processo di analisi e valutazione del rischio corruttivo e la standardizzazione delle linee produrrà effetti positivi nel processo di valutazione del rischio, consentendo una analisi omogenea e trasversale</w:t>
      </w:r>
      <w:r w:rsidR="00624BB7" w:rsidRPr="004A689C">
        <w:rPr>
          <w:rFonts w:ascii="Times New Roman" w:hAnsi="Times New Roman"/>
          <w:szCs w:val="28"/>
        </w:rPr>
        <w:t>,</w:t>
      </w:r>
      <w:r w:rsidRPr="004A689C">
        <w:rPr>
          <w:rFonts w:ascii="Times New Roman" w:hAnsi="Times New Roman"/>
          <w:szCs w:val="28"/>
        </w:rPr>
        <w:t xml:space="preserve"> finalizzata all’emersione e identificazione dei rischi corruttivi comuni a più Strutture. </w:t>
      </w:r>
    </w:p>
    <w:p w:rsidR="00A1640F" w:rsidRPr="004A689C" w:rsidRDefault="00A1640F" w:rsidP="00A1640F">
      <w:pPr>
        <w:rPr>
          <w:rFonts w:ascii="Times New Roman" w:hAnsi="Times New Roman"/>
          <w:szCs w:val="28"/>
        </w:rPr>
      </w:pPr>
      <w:r w:rsidRPr="004A689C">
        <w:rPr>
          <w:rFonts w:ascii="Times New Roman" w:hAnsi="Times New Roman"/>
          <w:szCs w:val="28"/>
        </w:rPr>
        <w:t xml:space="preserve">Completato il processo di riorganizzazione della mappatura delle linee di attività, è necessario garantire l’inserimento del nuovo sistema di linee in Pre.Cor. e modificare il </w:t>
      </w:r>
      <w:r w:rsidRPr="004A689C">
        <w:rPr>
          <w:rFonts w:ascii="Times New Roman" w:hAnsi="Times New Roman"/>
          <w:i/>
          <w:szCs w:val="28"/>
        </w:rPr>
        <w:t>software</w:t>
      </w:r>
      <w:r w:rsidRPr="004A689C">
        <w:rPr>
          <w:rFonts w:ascii="Times New Roman" w:hAnsi="Times New Roman"/>
          <w:szCs w:val="28"/>
        </w:rPr>
        <w:t xml:space="preserve"> per consentire il recupero e la riclassificazione dei dati di rischio fino ad ora registrati.</w:t>
      </w:r>
    </w:p>
    <w:p w:rsidR="00A1640F" w:rsidRPr="004A689C" w:rsidRDefault="00A1640F" w:rsidP="00A1640F">
      <w:pPr>
        <w:rPr>
          <w:rFonts w:ascii="Times New Roman" w:hAnsi="Times New Roman"/>
          <w:color w:val="000000" w:themeColor="text1"/>
          <w:szCs w:val="28"/>
        </w:rPr>
      </w:pPr>
      <w:r w:rsidRPr="004A689C">
        <w:rPr>
          <w:rFonts w:ascii="Times New Roman" w:hAnsi="Times New Roman"/>
          <w:szCs w:val="28"/>
        </w:rPr>
        <w:t xml:space="preserve">Ciò premesso, si manifesta l’esigenza di </w:t>
      </w:r>
      <w:r w:rsidRPr="004A689C">
        <w:rPr>
          <w:rFonts w:ascii="Times New Roman" w:hAnsi="Times New Roman"/>
          <w:color w:val="000000" w:themeColor="text1"/>
          <w:szCs w:val="28"/>
        </w:rPr>
        <w:t>realizzare un intervento di manutenzione evolutiva dell’applicativo per aggiungere nuove funzionalità e migliorarne la logica di funzionamento (cfr.: par. 5.1.16 relativo ai progetti di informatizzazione e interconnessione tra gli applicativi della P.C.M.).</w:t>
      </w:r>
    </w:p>
    <w:p w:rsidR="00A1640F" w:rsidRPr="004A689C" w:rsidRDefault="00A1640F" w:rsidP="00A1640F">
      <w:pPr>
        <w:rPr>
          <w:rFonts w:ascii="Times New Roman" w:hAnsi="Times New Roman"/>
          <w:color w:val="000000" w:themeColor="text1"/>
          <w:szCs w:val="28"/>
        </w:rPr>
      </w:pPr>
      <w:r w:rsidRPr="004A689C">
        <w:rPr>
          <w:rFonts w:ascii="Times New Roman" w:hAnsi="Times New Roman"/>
          <w:color w:val="000000" w:themeColor="text1"/>
          <w:szCs w:val="28"/>
        </w:rPr>
        <w:t>Pertanto, viene programmata l’apertura di una nuova campagna di valutazione del rischio</w:t>
      </w:r>
      <w:r w:rsidR="00624BB7" w:rsidRPr="004A689C">
        <w:rPr>
          <w:rFonts w:ascii="Times New Roman" w:hAnsi="Times New Roman"/>
          <w:color w:val="000000" w:themeColor="text1"/>
          <w:szCs w:val="28"/>
        </w:rPr>
        <w:t>,</w:t>
      </w:r>
      <w:r w:rsidRPr="004A689C">
        <w:rPr>
          <w:rFonts w:ascii="Times New Roman" w:hAnsi="Times New Roman"/>
          <w:color w:val="000000" w:themeColor="text1"/>
          <w:szCs w:val="28"/>
        </w:rPr>
        <w:t xml:space="preserve"> al termine del collaudo degli interventi informatici di manutenzione evolutiva e delle operazioni di allineamento del </w:t>
      </w:r>
      <w:r w:rsidRPr="004A689C">
        <w:rPr>
          <w:rFonts w:ascii="Times New Roman" w:hAnsi="Times New Roman"/>
          <w:i/>
          <w:color w:val="000000" w:themeColor="text1"/>
          <w:szCs w:val="28"/>
        </w:rPr>
        <w:t>data base</w:t>
      </w:r>
      <w:r w:rsidR="00624BB7" w:rsidRPr="004A689C">
        <w:rPr>
          <w:rFonts w:ascii="Times New Roman" w:hAnsi="Times New Roman"/>
          <w:i/>
          <w:color w:val="000000" w:themeColor="text1"/>
          <w:szCs w:val="28"/>
        </w:rPr>
        <w:t>,</w:t>
      </w:r>
      <w:r w:rsidRPr="004A689C">
        <w:rPr>
          <w:rFonts w:ascii="Times New Roman" w:hAnsi="Times New Roman"/>
          <w:color w:val="000000" w:themeColor="text1"/>
          <w:szCs w:val="28"/>
        </w:rPr>
        <w:t xml:space="preserve"> rispetto alle modifiche apportate sulle mappature delle linee di attività delle Strutture della P.C.M. Compatibilmente con questi vincoli, la campagna Pre.Cor. verrà aperta entro il secondo semestre 2021 e riguarderà la valutazione del rischio da parte delle Strutture che ancora non sono state mappate nel Registro dei rischi (Dipartimento per la trasformazione digitale, Struttura Investitalia, Ufficio per le politiche di disabilità).</w:t>
      </w:r>
    </w:p>
    <w:p w:rsidR="00831BA1" w:rsidRPr="004A689C" w:rsidRDefault="00831BA1" w:rsidP="0077316E">
      <w:pPr>
        <w:pStyle w:val="Titolo1"/>
        <w:rPr>
          <w:rFonts w:ascii="Times New Roman" w:hAnsi="Times New Roman"/>
          <w:szCs w:val="28"/>
        </w:rPr>
      </w:pPr>
      <w:bookmarkStart w:id="20" w:name="_Toc226790523"/>
      <w:bookmarkStart w:id="21" w:name="_Toc355778759"/>
      <w:bookmarkStart w:id="22" w:name="_Toc66721207"/>
      <w:r w:rsidRPr="004A689C">
        <w:rPr>
          <w:rFonts w:ascii="Times New Roman" w:hAnsi="Times New Roman"/>
          <w:szCs w:val="28"/>
        </w:rPr>
        <w:t>L</w:t>
      </w:r>
      <w:r w:rsidR="00B1348D" w:rsidRPr="004A689C">
        <w:rPr>
          <w:rFonts w:ascii="Times New Roman" w:hAnsi="Times New Roman"/>
          <w:szCs w:val="28"/>
        </w:rPr>
        <w:t xml:space="preserve">e </w:t>
      </w:r>
      <w:bookmarkEnd w:id="20"/>
      <w:bookmarkEnd w:id="21"/>
      <w:r w:rsidR="00B1348D" w:rsidRPr="004A689C">
        <w:rPr>
          <w:rFonts w:ascii="Times New Roman" w:hAnsi="Times New Roman"/>
          <w:szCs w:val="28"/>
        </w:rPr>
        <w:t>misure di prevenzione della corruzione</w:t>
      </w:r>
      <w:bookmarkEnd w:id="22"/>
    </w:p>
    <w:p w:rsidR="00B67B02" w:rsidRPr="0072617C" w:rsidRDefault="00E42DA6" w:rsidP="0072617C">
      <w:pPr>
        <w:pStyle w:val="Titolo2"/>
        <w:rPr>
          <w:rFonts w:ascii="Times New Roman" w:hAnsi="Times New Roman"/>
        </w:rPr>
      </w:pPr>
      <w:r w:rsidRPr="0072617C">
        <w:rPr>
          <w:rFonts w:ascii="Times New Roman" w:hAnsi="Times New Roman"/>
        </w:rPr>
        <w:t xml:space="preserve"> </w:t>
      </w:r>
      <w:bookmarkStart w:id="23" w:name="_Toc66721208"/>
      <w:r w:rsidR="00B1348D" w:rsidRPr="0072617C">
        <w:rPr>
          <w:rFonts w:ascii="Times New Roman" w:hAnsi="Times New Roman"/>
        </w:rPr>
        <w:t xml:space="preserve">Le misure </w:t>
      </w:r>
      <w:r w:rsidR="00984AE0" w:rsidRPr="0072617C">
        <w:rPr>
          <w:rFonts w:ascii="Times New Roman" w:hAnsi="Times New Roman"/>
        </w:rPr>
        <w:t>generali</w:t>
      </w:r>
      <w:bookmarkEnd w:id="23"/>
      <w:r w:rsidR="004C4740" w:rsidRPr="0072617C">
        <w:rPr>
          <w:rFonts w:ascii="Times New Roman" w:hAnsi="Times New Roman"/>
        </w:rPr>
        <w:t xml:space="preserve"> </w:t>
      </w:r>
    </w:p>
    <w:p w:rsidR="000A0BEE" w:rsidRPr="004A689C" w:rsidRDefault="008C5C41" w:rsidP="00537746">
      <w:pPr>
        <w:pStyle w:val="Titolo3"/>
        <w:ind w:left="567" w:right="1013" w:hanging="567"/>
      </w:pPr>
      <w:r>
        <w:t xml:space="preserve"> </w:t>
      </w:r>
      <w:bookmarkStart w:id="24" w:name="_Toc66721209"/>
      <w:r w:rsidR="000A0BEE" w:rsidRPr="004A689C">
        <w:t>La tras</w:t>
      </w:r>
      <w:r w:rsidR="00816E60" w:rsidRPr="004A689C">
        <w:t>parenza</w:t>
      </w:r>
      <w:bookmarkEnd w:id="24"/>
      <w:r w:rsidR="00816E60" w:rsidRPr="004A689C">
        <w:t xml:space="preserve"> </w:t>
      </w:r>
    </w:p>
    <w:p w:rsidR="005110B1" w:rsidRPr="004A689C" w:rsidRDefault="005110B1" w:rsidP="005110B1">
      <w:pPr>
        <w:rPr>
          <w:rFonts w:ascii="Times New Roman" w:hAnsi="Times New Roman"/>
          <w:szCs w:val="28"/>
        </w:rPr>
      </w:pPr>
      <w:r w:rsidRPr="004A689C">
        <w:rPr>
          <w:rFonts w:ascii="Times New Roman" w:hAnsi="Times New Roman"/>
          <w:szCs w:val="28"/>
        </w:rPr>
        <w:t xml:space="preserve">Le funzioni di Responsabile della trasparenza sono affidate al Responsabile della prevenzione della corruzione. </w:t>
      </w:r>
    </w:p>
    <w:p w:rsidR="005110B1" w:rsidRPr="004A689C" w:rsidRDefault="00816E60" w:rsidP="005110B1">
      <w:pPr>
        <w:rPr>
          <w:rFonts w:ascii="Times New Roman" w:hAnsi="Times New Roman"/>
          <w:szCs w:val="28"/>
        </w:rPr>
      </w:pPr>
      <w:r w:rsidRPr="004A689C">
        <w:rPr>
          <w:rFonts w:ascii="Times New Roman" w:hAnsi="Times New Roman"/>
          <w:szCs w:val="28"/>
        </w:rPr>
        <w:t xml:space="preserve">Costituisce una apposita </w:t>
      </w:r>
      <w:r w:rsidR="007E2CD5" w:rsidRPr="004A689C">
        <w:rPr>
          <w:rFonts w:ascii="Times New Roman" w:hAnsi="Times New Roman"/>
          <w:szCs w:val="28"/>
        </w:rPr>
        <w:t>S</w:t>
      </w:r>
      <w:r w:rsidRPr="004A689C">
        <w:rPr>
          <w:rFonts w:ascii="Times New Roman" w:hAnsi="Times New Roman"/>
          <w:szCs w:val="28"/>
        </w:rPr>
        <w:t>ezione del presente Piano l’</w:t>
      </w:r>
      <w:r w:rsidRPr="004A689C">
        <w:rPr>
          <w:rFonts w:ascii="Times New Roman" w:hAnsi="Times New Roman"/>
          <w:i/>
          <w:szCs w:val="28"/>
        </w:rPr>
        <w:t>ex</w:t>
      </w:r>
      <w:r w:rsidRPr="004A689C">
        <w:rPr>
          <w:rFonts w:ascii="Times New Roman" w:hAnsi="Times New Roman"/>
          <w:szCs w:val="28"/>
        </w:rPr>
        <w:t xml:space="preserve"> P.T.T.I., che definisce le misure organizzative per l’attuazione effettiva degli obblighi di trasparenza</w:t>
      </w:r>
      <w:r w:rsidR="005110B1" w:rsidRPr="004A689C">
        <w:rPr>
          <w:rFonts w:ascii="Times New Roman" w:hAnsi="Times New Roman"/>
          <w:szCs w:val="28"/>
        </w:rPr>
        <w:t>.</w:t>
      </w:r>
    </w:p>
    <w:p w:rsidR="00AD3DC1" w:rsidRPr="004A689C" w:rsidRDefault="008C5C41" w:rsidP="008C5C41">
      <w:pPr>
        <w:pStyle w:val="Titolo3"/>
        <w:ind w:left="567" w:hanging="567"/>
      </w:pPr>
      <w:r>
        <w:t xml:space="preserve"> </w:t>
      </w:r>
      <w:bookmarkStart w:id="25" w:name="_Toc66721210"/>
      <w:r w:rsidR="00735671" w:rsidRPr="004A689C">
        <w:t>Rotazione</w:t>
      </w:r>
      <w:bookmarkEnd w:id="25"/>
      <w:r w:rsidR="00073AB0" w:rsidRPr="004A689C">
        <w:t xml:space="preserve"> </w:t>
      </w:r>
    </w:p>
    <w:p w:rsidR="00A97940" w:rsidRPr="004A689C" w:rsidRDefault="00624BB7" w:rsidP="00A97940">
      <w:pPr>
        <w:rPr>
          <w:rFonts w:ascii="Times New Roman" w:hAnsi="Times New Roman"/>
          <w:szCs w:val="28"/>
        </w:rPr>
      </w:pPr>
      <w:r w:rsidRPr="004A689C">
        <w:rPr>
          <w:rFonts w:ascii="Times New Roman" w:hAnsi="Times New Roman"/>
          <w:szCs w:val="28"/>
        </w:rPr>
        <w:t>L</w:t>
      </w:r>
      <w:r w:rsidR="00A97940" w:rsidRPr="004A689C">
        <w:rPr>
          <w:rFonts w:ascii="Times New Roman" w:hAnsi="Times New Roman"/>
          <w:szCs w:val="28"/>
        </w:rPr>
        <w:t>a</w:t>
      </w:r>
      <w:r w:rsidR="00DA6D2D" w:rsidRPr="004A689C">
        <w:rPr>
          <w:rFonts w:ascii="Times New Roman" w:hAnsi="Times New Roman"/>
          <w:szCs w:val="28"/>
        </w:rPr>
        <w:t xml:space="preserve"> L.</w:t>
      </w:r>
      <w:r w:rsidR="00A97940" w:rsidRPr="004A689C">
        <w:rPr>
          <w:rFonts w:ascii="Times New Roman" w:hAnsi="Times New Roman"/>
          <w:szCs w:val="28"/>
        </w:rPr>
        <w:t xml:space="preserve"> n. 190</w:t>
      </w:r>
      <w:r w:rsidR="008F7491" w:rsidRPr="004A689C">
        <w:rPr>
          <w:rFonts w:ascii="Times New Roman" w:hAnsi="Times New Roman"/>
          <w:szCs w:val="28"/>
        </w:rPr>
        <w:t xml:space="preserve"> del </w:t>
      </w:r>
      <w:r w:rsidR="00A97940" w:rsidRPr="004A689C">
        <w:rPr>
          <w:rFonts w:ascii="Times New Roman" w:hAnsi="Times New Roman"/>
          <w:szCs w:val="28"/>
        </w:rPr>
        <w:t xml:space="preserve">2012 si riferisce alla rotazione dei dirigenti e dei dipendenti in più punti, evidenziando l’importanza che essa riveste, quale strumento fondamentale per contrastare la corruzione. La rotazione risulta, infatti, una misura organizzativa preventiva finalizzata a limitare il consolidarsi di prassi e di relazioni che possono favorire impropri comportamenti nell’azione amministrativa. D’altro canto, la rotazione può costituire anche un criterio organizzativo da impiegare per un miglior uso delle risorse professionali, se inserito in un processo organizzativo che preveda, tra l’altro, percorsi di formazione del personale e valorizzazione delle competenze acquisite. </w:t>
      </w:r>
    </w:p>
    <w:p w:rsidR="00D439EF" w:rsidRPr="004A689C" w:rsidRDefault="00A97940" w:rsidP="00A97940">
      <w:pPr>
        <w:rPr>
          <w:rFonts w:ascii="Times New Roman" w:hAnsi="Times New Roman"/>
          <w:szCs w:val="28"/>
        </w:rPr>
      </w:pPr>
      <w:r w:rsidRPr="004A689C">
        <w:rPr>
          <w:rFonts w:ascii="Times New Roman" w:hAnsi="Times New Roman"/>
          <w:szCs w:val="28"/>
        </w:rPr>
        <w:t>La misura è stata originariamente prevista nel P.N.A. 2013 e poi fatta oggetto di d</w:t>
      </w:r>
      <w:r w:rsidR="00475E47" w:rsidRPr="004A689C">
        <w:rPr>
          <w:rFonts w:ascii="Times New Roman" w:hAnsi="Times New Roman"/>
          <w:szCs w:val="28"/>
        </w:rPr>
        <w:t>isciplina nei successivi P.N.A.</w:t>
      </w:r>
      <w:r w:rsidRPr="004A689C">
        <w:rPr>
          <w:rFonts w:ascii="Times New Roman" w:hAnsi="Times New Roman"/>
          <w:szCs w:val="28"/>
        </w:rPr>
        <w:t xml:space="preserve"> Nel P.N.A. 2019 (par. 3.1) l’Autorità ha rinnovato la raccomandazione di osservare una maggiore attenzione, sia nella programmazione della misura, sia nell’attuazione della stessa. </w:t>
      </w:r>
    </w:p>
    <w:p w:rsidR="00A97940" w:rsidRPr="004A689C" w:rsidRDefault="00A97940" w:rsidP="00A97940">
      <w:pPr>
        <w:rPr>
          <w:rFonts w:ascii="Times New Roman" w:hAnsi="Times New Roman"/>
          <w:szCs w:val="28"/>
        </w:rPr>
      </w:pPr>
      <w:r w:rsidRPr="004A689C">
        <w:rPr>
          <w:rFonts w:ascii="Times New Roman" w:hAnsi="Times New Roman"/>
          <w:szCs w:val="28"/>
        </w:rPr>
        <w:t xml:space="preserve"> Seguendo le </w:t>
      </w:r>
      <w:r w:rsidR="00624BB7" w:rsidRPr="004A689C">
        <w:rPr>
          <w:rFonts w:ascii="Times New Roman" w:hAnsi="Times New Roman"/>
          <w:szCs w:val="28"/>
        </w:rPr>
        <w:t>indicazioni</w:t>
      </w:r>
      <w:r w:rsidRPr="004A689C">
        <w:rPr>
          <w:rFonts w:ascii="Times New Roman" w:hAnsi="Times New Roman"/>
          <w:szCs w:val="28"/>
        </w:rPr>
        <w:t xml:space="preserve"> della </w:t>
      </w:r>
      <w:r w:rsidR="00DA6D2D" w:rsidRPr="004A689C">
        <w:rPr>
          <w:rFonts w:ascii="Times New Roman" w:hAnsi="Times New Roman"/>
          <w:szCs w:val="28"/>
        </w:rPr>
        <w:t>L.</w:t>
      </w:r>
      <w:r w:rsidRPr="004A689C">
        <w:rPr>
          <w:rFonts w:ascii="Times New Roman" w:hAnsi="Times New Roman"/>
          <w:szCs w:val="28"/>
        </w:rPr>
        <w:t xml:space="preserve"> </w:t>
      </w:r>
      <w:r w:rsidR="00C83599" w:rsidRPr="004A689C">
        <w:rPr>
          <w:rFonts w:ascii="Times New Roman" w:hAnsi="Times New Roman"/>
          <w:szCs w:val="28"/>
        </w:rPr>
        <w:t xml:space="preserve">n. </w:t>
      </w:r>
      <w:r w:rsidRPr="004A689C">
        <w:rPr>
          <w:rFonts w:ascii="Times New Roman" w:hAnsi="Times New Roman"/>
          <w:szCs w:val="28"/>
        </w:rPr>
        <w:t xml:space="preserve">190/2012 e del P.N.A. 2013, già durante il periodo di vigenza dei </w:t>
      </w:r>
      <w:r w:rsidR="00920B60" w:rsidRPr="004A689C">
        <w:rPr>
          <w:rFonts w:ascii="Times New Roman" w:hAnsi="Times New Roman"/>
          <w:szCs w:val="28"/>
        </w:rPr>
        <w:t>P.T.P.C.</w:t>
      </w:r>
      <w:r w:rsidR="00066780" w:rsidRPr="004A689C">
        <w:rPr>
          <w:rFonts w:ascii="Times New Roman" w:hAnsi="Times New Roman"/>
          <w:szCs w:val="28"/>
        </w:rPr>
        <w:t xml:space="preserve"> </w:t>
      </w:r>
      <w:r w:rsidRPr="004A689C">
        <w:rPr>
          <w:rFonts w:ascii="Times New Roman" w:hAnsi="Times New Roman"/>
          <w:szCs w:val="28"/>
        </w:rPr>
        <w:t xml:space="preserve">2014-2016 e 2015-2017, il R.P.C.T. </w:t>
      </w:r>
      <w:r w:rsidRPr="004A689C">
        <w:rPr>
          <w:rFonts w:ascii="Times New Roman" w:hAnsi="Times New Roman"/>
          <w:i/>
          <w:szCs w:val="28"/>
        </w:rPr>
        <w:t>pro tempore</w:t>
      </w:r>
      <w:r w:rsidRPr="004A689C">
        <w:rPr>
          <w:rFonts w:ascii="Times New Roman" w:hAnsi="Times New Roman"/>
          <w:szCs w:val="28"/>
        </w:rPr>
        <w:t xml:space="preserve"> aveva individuato le priorità per la rotazione del personale, tenendo in considerazione le implicazioni sulla gestione del personale ed evidenziando le forti criticità generate dall’attuazione della misura, dovendosi assicurare il buon andamento (continuità dell’azione amministrativa e qualità dei servizi) e la tutela della professionalità dei dirigenti.</w:t>
      </w:r>
    </w:p>
    <w:p w:rsidR="00A97940" w:rsidRPr="004A689C" w:rsidRDefault="00A97940" w:rsidP="00A97940">
      <w:pPr>
        <w:rPr>
          <w:rFonts w:ascii="Times New Roman" w:hAnsi="Times New Roman"/>
          <w:szCs w:val="28"/>
        </w:rPr>
      </w:pPr>
      <w:r w:rsidRPr="004A689C">
        <w:rPr>
          <w:rFonts w:ascii="Times New Roman" w:hAnsi="Times New Roman"/>
          <w:szCs w:val="28"/>
        </w:rPr>
        <w:t xml:space="preserve"> Il </w:t>
      </w:r>
      <w:r w:rsidR="00920B60" w:rsidRPr="004A689C">
        <w:rPr>
          <w:rFonts w:ascii="Times New Roman" w:hAnsi="Times New Roman"/>
          <w:szCs w:val="28"/>
        </w:rPr>
        <w:t>P.T.P.C.</w:t>
      </w:r>
      <w:r w:rsidRPr="004A689C">
        <w:rPr>
          <w:rFonts w:ascii="Times New Roman" w:hAnsi="Times New Roman"/>
          <w:szCs w:val="28"/>
        </w:rPr>
        <w:t xml:space="preserve"> 2017-2019 ha previsto che i vari profili di </w:t>
      </w:r>
      <w:r w:rsidR="00C83599" w:rsidRPr="004A689C">
        <w:rPr>
          <w:rFonts w:ascii="Times New Roman" w:hAnsi="Times New Roman"/>
          <w:szCs w:val="28"/>
        </w:rPr>
        <w:t xml:space="preserve">applicazione della rotazione in P.C.M. </w:t>
      </w:r>
      <w:r w:rsidRPr="004A689C">
        <w:rPr>
          <w:rFonts w:ascii="Times New Roman" w:hAnsi="Times New Roman"/>
          <w:szCs w:val="28"/>
        </w:rPr>
        <w:t>fossero esaminati da un Gruppo di lavoro interdipartimentale, su proposta del R.P.C.T. (par. 5.1.2). Ciò al fine di valutare le iniziative gestionali più opportune per applicare la misura contemperandola con le esigenze di buon andamento e di continuità dell’azione amministrativa, nonché di tutela e di sviluppo delle professionalità.</w:t>
      </w:r>
    </w:p>
    <w:p w:rsidR="00A97940" w:rsidRPr="004A689C" w:rsidRDefault="00A97940" w:rsidP="00A97940">
      <w:pPr>
        <w:rPr>
          <w:rFonts w:ascii="Times New Roman" w:hAnsi="Times New Roman"/>
          <w:szCs w:val="28"/>
        </w:rPr>
      </w:pPr>
      <w:r w:rsidRPr="004A689C">
        <w:rPr>
          <w:rFonts w:ascii="Times New Roman" w:hAnsi="Times New Roman"/>
          <w:szCs w:val="28"/>
        </w:rPr>
        <w:t xml:space="preserve">Il 30 novembre 2017 il Gruppo di lavoro, istituito con decreto del </w:t>
      </w:r>
      <w:r w:rsidR="00511F29" w:rsidRPr="004A689C">
        <w:rPr>
          <w:rFonts w:ascii="Times New Roman" w:hAnsi="Times New Roman"/>
          <w:szCs w:val="28"/>
        </w:rPr>
        <w:t>S.</w:t>
      </w:r>
      <w:r w:rsidRPr="004A689C">
        <w:rPr>
          <w:rFonts w:ascii="Times New Roman" w:hAnsi="Times New Roman"/>
          <w:szCs w:val="28"/>
        </w:rPr>
        <w:t>G</w:t>
      </w:r>
      <w:r w:rsidR="00511F29" w:rsidRPr="004A689C">
        <w:rPr>
          <w:rFonts w:ascii="Times New Roman" w:hAnsi="Times New Roman"/>
          <w:szCs w:val="28"/>
        </w:rPr>
        <w:t>.</w:t>
      </w:r>
      <w:r w:rsidRPr="004A689C">
        <w:rPr>
          <w:rFonts w:ascii="Times New Roman" w:hAnsi="Times New Roman"/>
          <w:szCs w:val="28"/>
        </w:rPr>
        <w:t xml:space="preserve"> del 19 luglio 2017, ha trasmesso al R.P.C.T. e al Capo del DI.P. un documento che individua modalità graduali di attuazione della misura, da riferire alle aree a maggior rischio corruttivo, considerando gli aspetti di fattibilità organizzativa e, ove necessario, possibili misure alternative.</w:t>
      </w:r>
    </w:p>
    <w:p w:rsidR="00A97940" w:rsidRPr="004A689C" w:rsidRDefault="00A97940" w:rsidP="00A97940">
      <w:pPr>
        <w:rPr>
          <w:rFonts w:ascii="Times New Roman" w:hAnsi="Times New Roman"/>
          <w:szCs w:val="28"/>
        </w:rPr>
      </w:pPr>
      <w:r w:rsidRPr="004A689C">
        <w:rPr>
          <w:rFonts w:ascii="Times New Roman" w:hAnsi="Times New Roman"/>
          <w:szCs w:val="28"/>
        </w:rPr>
        <w:t xml:space="preserve">Dall’analisi condotta </w:t>
      </w:r>
      <w:r w:rsidR="00624BB7" w:rsidRPr="004A689C">
        <w:rPr>
          <w:rFonts w:ascii="Times New Roman" w:hAnsi="Times New Roman"/>
          <w:szCs w:val="28"/>
        </w:rPr>
        <w:t>su</w:t>
      </w:r>
      <w:r w:rsidRPr="004A689C">
        <w:rPr>
          <w:rFonts w:ascii="Times New Roman" w:hAnsi="Times New Roman"/>
          <w:szCs w:val="28"/>
        </w:rPr>
        <w:t xml:space="preserve"> tale documento è emerso ch</w:t>
      </w:r>
      <w:r w:rsidR="00B02C9E" w:rsidRPr="004A689C">
        <w:rPr>
          <w:rFonts w:ascii="Times New Roman" w:hAnsi="Times New Roman"/>
          <w:szCs w:val="28"/>
        </w:rPr>
        <w:t>e l’applicazione della misura e</w:t>
      </w:r>
      <w:r w:rsidRPr="004A689C">
        <w:rPr>
          <w:rFonts w:ascii="Times New Roman" w:hAnsi="Times New Roman"/>
          <w:szCs w:val="28"/>
        </w:rPr>
        <w:t xml:space="preserve"> una sua ordinata gestione, necessitano di un rafforzamento degli applicativi informatici di recente introdotti in P.C.M. (Pre.Cor., Banca dati delle professionalità) e della riorganizzazione dei sistemi di raccolta dei dati già esi</w:t>
      </w:r>
      <w:r w:rsidR="002847D3" w:rsidRPr="004A689C">
        <w:rPr>
          <w:rFonts w:ascii="Times New Roman" w:hAnsi="Times New Roman"/>
          <w:szCs w:val="28"/>
        </w:rPr>
        <w:t>stenti da parte del DI.P.</w:t>
      </w:r>
      <w:r w:rsidR="00C83599" w:rsidRPr="004A689C">
        <w:rPr>
          <w:rFonts w:ascii="Times New Roman" w:hAnsi="Times New Roman"/>
          <w:szCs w:val="28"/>
        </w:rPr>
        <w:t xml:space="preserve"> </w:t>
      </w:r>
      <w:r w:rsidRPr="004A689C">
        <w:rPr>
          <w:rFonts w:ascii="Times New Roman" w:hAnsi="Times New Roman"/>
          <w:szCs w:val="28"/>
        </w:rPr>
        <w:t>(Banca dati personale, Banca dati del trattamento giuridico).</w:t>
      </w:r>
    </w:p>
    <w:p w:rsidR="00A97940" w:rsidRPr="004A689C" w:rsidRDefault="00A97940" w:rsidP="00A97940">
      <w:pPr>
        <w:rPr>
          <w:rFonts w:ascii="Times New Roman" w:hAnsi="Times New Roman"/>
          <w:szCs w:val="28"/>
        </w:rPr>
      </w:pPr>
      <w:r w:rsidRPr="004A689C">
        <w:rPr>
          <w:rFonts w:ascii="Times New Roman" w:hAnsi="Times New Roman"/>
          <w:szCs w:val="28"/>
        </w:rPr>
        <w:t>Inoltre, a</w:t>
      </w:r>
      <w:r w:rsidR="00B02C9E" w:rsidRPr="004A689C">
        <w:rPr>
          <w:rFonts w:ascii="Times New Roman" w:hAnsi="Times New Roman"/>
          <w:szCs w:val="28"/>
        </w:rPr>
        <w:t>l fine di individuare le aree e</w:t>
      </w:r>
      <w:r w:rsidRPr="004A689C">
        <w:rPr>
          <w:rFonts w:ascii="Times New Roman" w:hAnsi="Times New Roman"/>
          <w:szCs w:val="28"/>
        </w:rPr>
        <w:t xml:space="preserve"> i processi a maggior rischio corruttivo, presupposto per l’applicazione della rotazione, veniva previsto come essenziale il completamento del ciclo di rivalutazione del rischio. </w:t>
      </w:r>
    </w:p>
    <w:p w:rsidR="002847D3" w:rsidRPr="004A689C" w:rsidRDefault="002847D3" w:rsidP="002847D3">
      <w:pPr>
        <w:rPr>
          <w:rFonts w:ascii="Times New Roman" w:hAnsi="Times New Roman"/>
          <w:szCs w:val="28"/>
        </w:rPr>
      </w:pPr>
      <w:r w:rsidRPr="004A689C">
        <w:rPr>
          <w:rFonts w:ascii="Times New Roman" w:hAnsi="Times New Roman"/>
          <w:szCs w:val="28"/>
        </w:rPr>
        <w:t>Rispetto a tali evidenze, nel 2018 è stata rilasciata e resa operativa la banca dati delle professionalità per la mappatura delle competenze professionali della P.C.M. e la prima alimentazione del sistema, con l’inserimento dei dati curriculari del personale dirigenziale e non dirigenziale. Secondo le indicazioni di sistema, successivamente alla mappatura iniziale delle competenze professionali, ciascun dipendente può aggiornare periodicamente le informazioni che lo riguardano</w:t>
      </w:r>
      <w:r w:rsidR="00624BB7" w:rsidRPr="004A689C">
        <w:rPr>
          <w:rFonts w:ascii="Times New Roman" w:hAnsi="Times New Roman"/>
          <w:szCs w:val="28"/>
        </w:rPr>
        <w:t>,</w:t>
      </w:r>
      <w:r w:rsidRPr="004A689C">
        <w:rPr>
          <w:rFonts w:ascii="Times New Roman" w:hAnsi="Times New Roman"/>
          <w:szCs w:val="28"/>
        </w:rPr>
        <w:t xml:space="preserve"> in occasione delle campagne di aggiornamento dati che vengono programmate.</w:t>
      </w:r>
    </w:p>
    <w:p w:rsidR="00A97940" w:rsidRPr="004A689C" w:rsidRDefault="00A97940" w:rsidP="002847D3">
      <w:pPr>
        <w:rPr>
          <w:rFonts w:ascii="Times New Roman" w:hAnsi="Times New Roman"/>
          <w:szCs w:val="28"/>
        </w:rPr>
      </w:pPr>
      <w:r w:rsidRPr="004A689C">
        <w:rPr>
          <w:rFonts w:ascii="Times New Roman" w:hAnsi="Times New Roman"/>
          <w:szCs w:val="28"/>
        </w:rPr>
        <w:t>La banca dati consente la rilevazione delle competenze professionali di ciascun dipendente</w:t>
      </w:r>
      <w:r w:rsidR="00624BB7" w:rsidRPr="004A689C">
        <w:rPr>
          <w:rFonts w:ascii="Times New Roman" w:hAnsi="Times New Roman"/>
          <w:szCs w:val="28"/>
        </w:rPr>
        <w:t>,</w:t>
      </w:r>
      <w:r w:rsidRPr="004A689C">
        <w:rPr>
          <w:rFonts w:ascii="Times New Roman" w:hAnsi="Times New Roman"/>
          <w:szCs w:val="28"/>
        </w:rPr>
        <w:t xml:space="preserve"> dal punto di vista cognitivo e tecnico-professionale, cioè delle competenze che derivano dal percorso di istruzione e formazione e di quelle inerenti allo specifico contenuto tecnico dell’attività svolta.</w:t>
      </w:r>
    </w:p>
    <w:p w:rsidR="00D439EF" w:rsidRPr="004A689C" w:rsidRDefault="00A97940" w:rsidP="00A97940">
      <w:pPr>
        <w:rPr>
          <w:rFonts w:ascii="Times New Roman" w:hAnsi="Times New Roman"/>
          <w:szCs w:val="28"/>
        </w:rPr>
      </w:pPr>
      <w:r w:rsidRPr="004A689C">
        <w:rPr>
          <w:rFonts w:ascii="Times New Roman" w:hAnsi="Times New Roman"/>
          <w:szCs w:val="28"/>
        </w:rPr>
        <w:t>Nel corso del 2019</w:t>
      </w:r>
      <w:r w:rsidR="00624BB7" w:rsidRPr="004A689C">
        <w:rPr>
          <w:rFonts w:ascii="Times New Roman" w:hAnsi="Times New Roman"/>
          <w:szCs w:val="28"/>
        </w:rPr>
        <w:t>,</w:t>
      </w:r>
      <w:r w:rsidRPr="004A689C">
        <w:rPr>
          <w:rFonts w:ascii="Times New Roman" w:hAnsi="Times New Roman"/>
          <w:szCs w:val="28"/>
        </w:rPr>
        <w:t xml:space="preserve"> sono stat</w:t>
      </w:r>
      <w:r w:rsidR="00F5086F" w:rsidRPr="004A689C">
        <w:rPr>
          <w:rFonts w:ascii="Times New Roman" w:hAnsi="Times New Roman"/>
          <w:szCs w:val="28"/>
        </w:rPr>
        <w:t>i svolti dei confronti con il DI.</w:t>
      </w:r>
      <w:r w:rsidRPr="004A689C">
        <w:rPr>
          <w:rFonts w:ascii="Times New Roman" w:hAnsi="Times New Roman"/>
          <w:szCs w:val="28"/>
        </w:rPr>
        <w:t>P. e il D.S.S. per la valutazione dello st</w:t>
      </w:r>
      <w:r w:rsidR="002847D3" w:rsidRPr="004A689C">
        <w:rPr>
          <w:rFonts w:ascii="Times New Roman" w:hAnsi="Times New Roman"/>
          <w:szCs w:val="28"/>
        </w:rPr>
        <w:t xml:space="preserve">ato dell’arte dello sviluppo </w:t>
      </w:r>
      <w:r w:rsidRPr="004A689C">
        <w:rPr>
          <w:rFonts w:ascii="Times New Roman" w:hAnsi="Times New Roman"/>
          <w:szCs w:val="28"/>
        </w:rPr>
        <w:t>e l’implementazione dei sistemi.</w:t>
      </w:r>
    </w:p>
    <w:p w:rsidR="00B921C9" w:rsidRPr="004A689C" w:rsidRDefault="00D439EF" w:rsidP="00D439EF">
      <w:pPr>
        <w:ind w:firstLine="0"/>
        <w:rPr>
          <w:rFonts w:ascii="Times New Roman" w:hAnsi="Times New Roman"/>
          <w:szCs w:val="28"/>
        </w:rPr>
      </w:pPr>
      <w:r w:rsidRPr="004A689C">
        <w:rPr>
          <w:rFonts w:ascii="Times New Roman" w:hAnsi="Times New Roman"/>
          <w:szCs w:val="28"/>
        </w:rPr>
        <w:t xml:space="preserve">  </w:t>
      </w:r>
      <w:r w:rsidR="00A97940" w:rsidRPr="004A689C">
        <w:rPr>
          <w:rFonts w:ascii="Times New Roman" w:hAnsi="Times New Roman"/>
          <w:szCs w:val="28"/>
        </w:rPr>
        <w:t xml:space="preserve"> </w:t>
      </w:r>
      <w:r w:rsidR="00B921C9" w:rsidRPr="004A689C">
        <w:rPr>
          <w:rFonts w:ascii="Times New Roman" w:hAnsi="Times New Roman"/>
          <w:szCs w:val="28"/>
        </w:rPr>
        <w:t>Tali confronti sono proseguiti nel 2020</w:t>
      </w:r>
      <w:r w:rsidR="00624BB7" w:rsidRPr="004A689C">
        <w:rPr>
          <w:rFonts w:ascii="Times New Roman" w:hAnsi="Times New Roman"/>
          <w:szCs w:val="28"/>
        </w:rPr>
        <w:t>,</w:t>
      </w:r>
      <w:r w:rsidR="00B921C9" w:rsidRPr="004A689C">
        <w:rPr>
          <w:rFonts w:ascii="Times New Roman" w:hAnsi="Times New Roman"/>
          <w:szCs w:val="28"/>
        </w:rPr>
        <w:t xml:space="preserve"> </w:t>
      </w:r>
      <w:r w:rsidR="00A97940" w:rsidRPr="004A689C">
        <w:rPr>
          <w:rFonts w:ascii="Times New Roman" w:hAnsi="Times New Roman"/>
          <w:szCs w:val="28"/>
        </w:rPr>
        <w:t>al f</w:t>
      </w:r>
      <w:r w:rsidR="00B02C9E" w:rsidRPr="004A689C">
        <w:rPr>
          <w:rFonts w:ascii="Times New Roman" w:hAnsi="Times New Roman"/>
          <w:szCs w:val="28"/>
        </w:rPr>
        <w:t xml:space="preserve">ine di migliorare i </w:t>
      </w:r>
      <w:r w:rsidR="00B02C9E" w:rsidRPr="004A689C">
        <w:rPr>
          <w:rFonts w:ascii="Times New Roman" w:hAnsi="Times New Roman"/>
          <w:i/>
          <w:szCs w:val="28"/>
        </w:rPr>
        <w:t>data base</w:t>
      </w:r>
      <w:r w:rsidR="00B02C9E" w:rsidRPr="004A689C">
        <w:rPr>
          <w:rFonts w:ascii="Times New Roman" w:hAnsi="Times New Roman"/>
          <w:szCs w:val="28"/>
        </w:rPr>
        <w:t xml:space="preserve"> e</w:t>
      </w:r>
      <w:r w:rsidR="00A97940" w:rsidRPr="004A689C">
        <w:rPr>
          <w:rFonts w:ascii="Times New Roman" w:hAnsi="Times New Roman"/>
          <w:szCs w:val="28"/>
        </w:rPr>
        <w:t xml:space="preserve"> i </w:t>
      </w:r>
      <w:r w:rsidR="00A97940" w:rsidRPr="004A689C">
        <w:rPr>
          <w:rFonts w:ascii="Times New Roman" w:hAnsi="Times New Roman"/>
          <w:i/>
          <w:szCs w:val="28"/>
        </w:rPr>
        <w:t>software</w:t>
      </w:r>
      <w:r w:rsidR="00A97940" w:rsidRPr="004A689C">
        <w:rPr>
          <w:rFonts w:ascii="Times New Roman" w:hAnsi="Times New Roman"/>
          <w:szCs w:val="28"/>
        </w:rPr>
        <w:t xml:space="preserve"> e rendere così più agevole l’applicazione della rotazione una volta messa a regime</w:t>
      </w:r>
      <w:r w:rsidR="00B921C9" w:rsidRPr="004A689C">
        <w:rPr>
          <w:rFonts w:ascii="Times New Roman" w:hAnsi="Times New Roman"/>
          <w:szCs w:val="28"/>
        </w:rPr>
        <w:t xml:space="preserve">; in particolare, nel mese di giugno 2020, </w:t>
      </w:r>
      <w:r w:rsidR="00E0612E" w:rsidRPr="004A689C">
        <w:rPr>
          <w:rFonts w:ascii="Times New Roman" w:hAnsi="Times New Roman"/>
          <w:szCs w:val="28"/>
        </w:rPr>
        <w:t>i</w:t>
      </w:r>
      <w:r w:rsidR="00B921C9" w:rsidRPr="004A689C">
        <w:rPr>
          <w:rFonts w:ascii="Times New Roman" w:hAnsi="Times New Roman"/>
          <w:szCs w:val="28"/>
        </w:rPr>
        <w:t xml:space="preserve">l D.S.S. ha comunicato il completamento dell’attività di </w:t>
      </w:r>
      <w:r w:rsidR="00513163" w:rsidRPr="004A689C">
        <w:rPr>
          <w:rFonts w:ascii="Times New Roman" w:hAnsi="Times New Roman"/>
          <w:szCs w:val="28"/>
        </w:rPr>
        <w:t>r</w:t>
      </w:r>
      <w:r w:rsidR="00B921C9" w:rsidRPr="004A689C">
        <w:rPr>
          <w:rFonts w:ascii="Times New Roman" w:hAnsi="Times New Roman"/>
          <w:szCs w:val="28"/>
        </w:rPr>
        <w:t xml:space="preserve">eingegnerizzazione tecnologica della Banca </w:t>
      </w:r>
      <w:r w:rsidR="00513163" w:rsidRPr="004A689C">
        <w:rPr>
          <w:rFonts w:ascii="Times New Roman" w:hAnsi="Times New Roman"/>
          <w:szCs w:val="28"/>
        </w:rPr>
        <w:t>d</w:t>
      </w:r>
      <w:r w:rsidR="00B921C9" w:rsidRPr="004A689C">
        <w:rPr>
          <w:rFonts w:ascii="Times New Roman" w:hAnsi="Times New Roman"/>
          <w:szCs w:val="28"/>
        </w:rPr>
        <w:t xml:space="preserve">ati </w:t>
      </w:r>
      <w:r w:rsidR="00513163" w:rsidRPr="004A689C">
        <w:rPr>
          <w:rFonts w:ascii="Times New Roman" w:hAnsi="Times New Roman"/>
          <w:szCs w:val="28"/>
        </w:rPr>
        <w:t>g</w:t>
      </w:r>
      <w:r w:rsidR="00B921C9" w:rsidRPr="004A689C">
        <w:rPr>
          <w:rFonts w:ascii="Times New Roman" w:hAnsi="Times New Roman"/>
          <w:szCs w:val="28"/>
        </w:rPr>
        <w:t xml:space="preserve">iuridica del </w:t>
      </w:r>
      <w:r w:rsidR="00513163" w:rsidRPr="004A689C">
        <w:rPr>
          <w:rFonts w:ascii="Times New Roman" w:hAnsi="Times New Roman"/>
          <w:szCs w:val="28"/>
        </w:rPr>
        <w:t>p</w:t>
      </w:r>
      <w:r w:rsidR="00B921C9" w:rsidRPr="004A689C">
        <w:rPr>
          <w:rFonts w:ascii="Times New Roman" w:hAnsi="Times New Roman"/>
          <w:szCs w:val="28"/>
        </w:rPr>
        <w:t xml:space="preserve">ersonale e del relativo applicativo denominato </w:t>
      </w:r>
      <w:r w:rsidR="00B921C9" w:rsidRPr="004A689C">
        <w:rPr>
          <w:rFonts w:ascii="Times New Roman" w:hAnsi="Times New Roman"/>
          <w:i/>
          <w:szCs w:val="28"/>
        </w:rPr>
        <w:t>NewPers</w:t>
      </w:r>
      <w:r w:rsidR="00B921C9" w:rsidRPr="004A689C">
        <w:rPr>
          <w:rFonts w:ascii="Times New Roman" w:hAnsi="Times New Roman"/>
          <w:szCs w:val="28"/>
        </w:rPr>
        <w:t xml:space="preserve"> e l’avvio dei </w:t>
      </w:r>
      <w:r w:rsidR="00B921C9" w:rsidRPr="004A689C">
        <w:rPr>
          <w:rFonts w:ascii="Times New Roman" w:hAnsi="Times New Roman"/>
          <w:i/>
          <w:szCs w:val="28"/>
        </w:rPr>
        <w:t xml:space="preserve">test </w:t>
      </w:r>
      <w:r w:rsidR="00B921C9" w:rsidRPr="004A689C">
        <w:rPr>
          <w:rFonts w:ascii="Times New Roman" w:hAnsi="Times New Roman"/>
          <w:szCs w:val="28"/>
        </w:rPr>
        <w:t xml:space="preserve">su tale applicativo. </w:t>
      </w:r>
    </w:p>
    <w:p w:rsidR="00A97940" w:rsidRPr="004A689C" w:rsidRDefault="00A97940" w:rsidP="00A97940">
      <w:pPr>
        <w:rPr>
          <w:rFonts w:ascii="Times New Roman" w:hAnsi="Times New Roman"/>
          <w:szCs w:val="28"/>
        </w:rPr>
      </w:pPr>
      <w:r w:rsidRPr="004A689C">
        <w:rPr>
          <w:rFonts w:ascii="Times New Roman" w:hAnsi="Times New Roman"/>
          <w:szCs w:val="28"/>
        </w:rPr>
        <w:t xml:space="preserve">Per quanto concerne il completamento della rivalutazione del rischio, nel dicembre 2017 si è conclusa la relativa campagna attraverso l’utilizzo dell’applicativo Pre.Cor.; le risultanze della valutazione svolta dalle Strutture sono confluite nel Registro dei rischi allegato al </w:t>
      </w:r>
      <w:r w:rsidR="00920B60" w:rsidRPr="004A689C">
        <w:rPr>
          <w:rFonts w:ascii="Times New Roman" w:hAnsi="Times New Roman"/>
          <w:szCs w:val="28"/>
        </w:rPr>
        <w:t>P.T.P.C.T.</w:t>
      </w:r>
      <w:r w:rsidRPr="004A689C">
        <w:rPr>
          <w:rFonts w:ascii="Times New Roman" w:hAnsi="Times New Roman"/>
          <w:szCs w:val="28"/>
        </w:rPr>
        <w:t xml:space="preserve"> 2018-2020 e pubblicato sul sito istituzionale. Il processo di valutazione del rischio 2017 ha seguito il cronoprogramma, coinvolgendo tutte le Strutture della P.C.M. eccetto il D.P.C. e la Segreteria della C.A.I. (cfr.: par. 4.1).</w:t>
      </w:r>
    </w:p>
    <w:p w:rsidR="00D439EF" w:rsidRPr="004A689C" w:rsidRDefault="00A97940" w:rsidP="00A97940">
      <w:pPr>
        <w:rPr>
          <w:rFonts w:ascii="Times New Roman" w:hAnsi="Times New Roman"/>
          <w:szCs w:val="28"/>
        </w:rPr>
      </w:pPr>
      <w:r w:rsidRPr="004A689C">
        <w:rPr>
          <w:rFonts w:ascii="Times New Roman" w:hAnsi="Times New Roman"/>
          <w:szCs w:val="28"/>
        </w:rPr>
        <w:t xml:space="preserve">Nel corso del 2018 è stato avviato il processo di mappatura per queste due Strutture, che ha comportato lo svolgimento di una complessa istruttoria per la definizione della </w:t>
      </w:r>
      <w:r w:rsidR="00513163" w:rsidRPr="004A689C">
        <w:rPr>
          <w:rFonts w:ascii="Times New Roman" w:hAnsi="Times New Roman"/>
          <w:szCs w:val="28"/>
        </w:rPr>
        <w:t>m</w:t>
      </w:r>
      <w:r w:rsidRPr="004A689C">
        <w:rPr>
          <w:rFonts w:ascii="Times New Roman" w:hAnsi="Times New Roman"/>
          <w:szCs w:val="28"/>
        </w:rPr>
        <w:t xml:space="preserve">appatura delle </w:t>
      </w:r>
      <w:r w:rsidR="00513163" w:rsidRPr="004A689C">
        <w:rPr>
          <w:rFonts w:ascii="Times New Roman" w:hAnsi="Times New Roman"/>
          <w:szCs w:val="28"/>
        </w:rPr>
        <w:t>l</w:t>
      </w:r>
      <w:r w:rsidRPr="004A689C">
        <w:rPr>
          <w:rFonts w:ascii="Times New Roman" w:hAnsi="Times New Roman"/>
          <w:szCs w:val="28"/>
        </w:rPr>
        <w:t xml:space="preserve">inee di attività (per un totale di 193 linee e altrettanti indicatori di sottoprodotto). L’avvenuto perfezionamento della </w:t>
      </w:r>
      <w:r w:rsidR="00513163" w:rsidRPr="004A689C">
        <w:rPr>
          <w:rFonts w:ascii="Times New Roman" w:hAnsi="Times New Roman"/>
          <w:szCs w:val="28"/>
        </w:rPr>
        <w:t>m</w:t>
      </w:r>
      <w:r w:rsidRPr="004A689C">
        <w:rPr>
          <w:rFonts w:ascii="Times New Roman" w:hAnsi="Times New Roman"/>
          <w:szCs w:val="28"/>
        </w:rPr>
        <w:t xml:space="preserve">appatura delle </w:t>
      </w:r>
      <w:r w:rsidR="00513163" w:rsidRPr="004A689C">
        <w:rPr>
          <w:rFonts w:ascii="Times New Roman" w:hAnsi="Times New Roman"/>
          <w:szCs w:val="28"/>
        </w:rPr>
        <w:t>l</w:t>
      </w:r>
      <w:r w:rsidRPr="004A689C">
        <w:rPr>
          <w:rFonts w:ascii="Times New Roman" w:hAnsi="Times New Roman"/>
          <w:szCs w:val="28"/>
        </w:rPr>
        <w:t>inee di attività ha consentito di effettuare, nel corso del 2019, la valutazione del rischio di corruzione pure per queste Strutture (e per il D</w:t>
      </w:r>
      <w:r w:rsidR="00511F29" w:rsidRPr="004A689C">
        <w:rPr>
          <w:rFonts w:ascii="Times New Roman" w:hAnsi="Times New Roman"/>
          <w:szCs w:val="28"/>
        </w:rPr>
        <w:t>.</w:t>
      </w:r>
      <w:r w:rsidRPr="004A689C">
        <w:rPr>
          <w:rFonts w:ascii="Times New Roman" w:hAnsi="Times New Roman"/>
          <w:szCs w:val="28"/>
        </w:rPr>
        <w:t>C</w:t>
      </w:r>
      <w:r w:rsidR="00511F29" w:rsidRPr="004A689C">
        <w:rPr>
          <w:rFonts w:ascii="Times New Roman" w:hAnsi="Times New Roman"/>
          <w:szCs w:val="28"/>
        </w:rPr>
        <w:t>.</w:t>
      </w:r>
      <w:r w:rsidRPr="004A689C">
        <w:rPr>
          <w:rFonts w:ascii="Times New Roman" w:hAnsi="Times New Roman"/>
          <w:szCs w:val="28"/>
        </w:rPr>
        <w:t>I</w:t>
      </w:r>
      <w:r w:rsidR="00511F29" w:rsidRPr="004A689C">
        <w:rPr>
          <w:rFonts w:ascii="Times New Roman" w:hAnsi="Times New Roman"/>
          <w:szCs w:val="28"/>
        </w:rPr>
        <w:t>.</w:t>
      </w:r>
      <w:r w:rsidRPr="004A689C">
        <w:rPr>
          <w:rFonts w:ascii="Times New Roman" w:hAnsi="Times New Roman"/>
          <w:szCs w:val="28"/>
        </w:rPr>
        <w:t xml:space="preserve"> </w:t>
      </w:r>
      <w:r w:rsidR="00F5086F" w:rsidRPr="004A689C">
        <w:rPr>
          <w:rFonts w:ascii="Times New Roman" w:hAnsi="Times New Roman"/>
          <w:szCs w:val="28"/>
        </w:rPr>
        <w:t>isti</w:t>
      </w:r>
      <w:r w:rsidRPr="004A689C">
        <w:rPr>
          <w:rFonts w:ascii="Times New Roman" w:hAnsi="Times New Roman"/>
          <w:szCs w:val="28"/>
        </w:rPr>
        <w:t xml:space="preserve">tuito con </w:t>
      </w:r>
      <w:r w:rsidR="008444A3" w:rsidRPr="004A689C">
        <w:rPr>
          <w:rFonts w:ascii="Times New Roman" w:hAnsi="Times New Roman"/>
          <w:szCs w:val="28"/>
        </w:rPr>
        <w:t>D.P.C.M.</w:t>
      </w:r>
      <w:r w:rsidRPr="004A689C">
        <w:rPr>
          <w:rFonts w:ascii="Times New Roman" w:hAnsi="Times New Roman"/>
          <w:szCs w:val="28"/>
        </w:rPr>
        <w:t xml:space="preserve"> del 3 luglio 2017).</w:t>
      </w:r>
    </w:p>
    <w:p w:rsidR="00A97940" w:rsidRPr="004A689C" w:rsidRDefault="00A97940" w:rsidP="00A97940">
      <w:pPr>
        <w:rPr>
          <w:rFonts w:ascii="Times New Roman" w:hAnsi="Times New Roman"/>
          <w:szCs w:val="28"/>
        </w:rPr>
      </w:pPr>
      <w:r w:rsidRPr="004A689C">
        <w:rPr>
          <w:rFonts w:ascii="Times New Roman" w:hAnsi="Times New Roman"/>
          <w:szCs w:val="28"/>
        </w:rPr>
        <w:t xml:space="preserve"> </w:t>
      </w:r>
      <w:r w:rsidR="00B921C9" w:rsidRPr="004A689C">
        <w:rPr>
          <w:rFonts w:ascii="Times New Roman" w:hAnsi="Times New Roman"/>
          <w:szCs w:val="28"/>
        </w:rPr>
        <w:t xml:space="preserve">Inoltre, </w:t>
      </w:r>
      <w:r w:rsidRPr="004A689C">
        <w:rPr>
          <w:rFonts w:ascii="Times New Roman" w:hAnsi="Times New Roman"/>
          <w:szCs w:val="28"/>
        </w:rPr>
        <w:t>nel secondo semestre 2019 il R.P.C.T. ha lanciato una campagna Pre.Cor., finalizzata all’eventuale revisione dei processi a rischio e all’aggiornamento dei nominativi del personale associato a tali proce</w:t>
      </w:r>
      <w:r w:rsidR="002847D3" w:rsidRPr="004A689C">
        <w:rPr>
          <w:rFonts w:ascii="Times New Roman" w:hAnsi="Times New Roman"/>
          <w:szCs w:val="28"/>
        </w:rPr>
        <w:t xml:space="preserve">ssi. Tutte le Strutture hanno, quindi, </w:t>
      </w:r>
      <w:r w:rsidRPr="004A689C">
        <w:rPr>
          <w:rFonts w:ascii="Times New Roman" w:hAnsi="Times New Roman"/>
          <w:szCs w:val="28"/>
        </w:rPr>
        <w:t xml:space="preserve">verificato ed eventualmente modificato i dati relativi ai processi a rischio corruttivo e ai sopraggiunti spostamenti, nuovi ingressi e cessazione di personale associato a detti processi. </w:t>
      </w:r>
    </w:p>
    <w:p w:rsidR="00A97940" w:rsidRPr="004A689C" w:rsidRDefault="00F51C1C" w:rsidP="00F51C1C">
      <w:pPr>
        <w:rPr>
          <w:rFonts w:ascii="Times New Roman" w:hAnsi="Times New Roman"/>
          <w:szCs w:val="28"/>
        </w:rPr>
      </w:pPr>
      <w:r w:rsidRPr="004A689C">
        <w:rPr>
          <w:rFonts w:ascii="Times New Roman" w:hAnsi="Times New Roman"/>
          <w:szCs w:val="28"/>
        </w:rPr>
        <w:t>D</w:t>
      </w:r>
      <w:r w:rsidR="00A97940" w:rsidRPr="004A689C">
        <w:rPr>
          <w:rFonts w:ascii="Times New Roman" w:hAnsi="Times New Roman"/>
          <w:szCs w:val="28"/>
        </w:rPr>
        <w:t xml:space="preserve">urante il 2020 il R.P.C.T. </w:t>
      </w:r>
      <w:r w:rsidRPr="004A689C">
        <w:rPr>
          <w:rFonts w:ascii="Times New Roman" w:hAnsi="Times New Roman"/>
          <w:szCs w:val="28"/>
        </w:rPr>
        <w:t xml:space="preserve">ha </w:t>
      </w:r>
      <w:r w:rsidR="00E0612E" w:rsidRPr="004A689C">
        <w:rPr>
          <w:rFonts w:ascii="Times New Roman" w:hAnsi="Times New Roman"/>
          <w:szCs w:val="28"/>
        </w:rPr>
        <w:t>ritenuto</w:t>
      </w:r>
      <w:r w:rsidRPr="004A689C">
        <w:rPr>
          <w:rFonts w:ascii="Times New Roman" w:hAnsi="Times New Roman"/>
          <w:szCs w:val="28"/>
        </w:rPr>
        <w:t xml:space="preserve"> opportuno promuovere una nuova sessione di lavoro del Gruppo interdipartimentale. Con decreto del S</w:t>
      </w:r>
      <w:r w:rsidR="00485EDE" w:rsidRPr="004A689C">
        <w:rPr>
          <w:rFonts w:ascii="Times New Roman" w:hAnsi="Times New Roman"/>
          <w:szCs w:val="28"/>
        </w:rPr>
        <w:t>.G.</w:t>
      </w:r>
      <w:r w:rsidRPr="004A689C">
        <w:rPr>
          <w:rFonts w:ascii="Times New Roman" w:hAnsi="Times New Roman"/>
          <w:szCs w:val="28"/>
        </w:rPr>
        <w:t xml:space="preserve"> del 28 dicembre 2020 è stato ricostituito tale Gruppo di lavoro interdipartimentale</w:t>
      </w:r>
      <w:r w:rsidR="00E0612E" w:rsidRPr="004A689C">
        <w:rPr>
          <w:rFonts w:ascii="Times New Roman" w:hAnsi="Times New Roman"/>
          <w:szCs w:val="28"/>
        </w:rPr>
        <w:t>,</w:t>
      </w:r>
      <w:r w:rsidRPr="004A689C">
        <w:rPr>
          <w:rFonts w:ascii="Times New Roman" w:hAnsi="Times New Roman"/>
          <w:szCs w:val="28"/>
        </w:rPr>
        <w:t xml:space="preserve"> con il compito </w:t>
      </w:r>
      <w:r w:rsidR="00E0612E" w:rsidRPr="004A689C">
        <w:rPr>
          <w:rFonts w:ascii="Times New Roman" w:hAnsi="Times New Roman"/>
          <w:szCs w:val="28"/>
        </w:rPr>
        <w:t xml:space="preserve">di </w:t>
      </w:r>
      <w:r w:rsidRPr="004A689C">
        <w:rPr>
          <w:rFonts w:ascii="Times New Roman" w:hAnsi="Times New Roman"/>
          <w:szCs w:val="28"/>
        </w:rPr>
        <w:t>elaborare proposte per l'attuazione della misura della rotazione del personale, in particolare formulando una proposta di atto di indirizzo</w:t>
      </w:r>
      <w:r w:rsidR="00E0612E" w:rsidRPr="004A689C">
        <w:rPr>
          <w:rFonts w:ascii="Times New Roman" w:hAnsi="Times New Roman"/>
          <w:szCs w:val="28"/>
        </w:rPr>
        <w:t>,</w:t>
      </w:r>
      <w:r w:rsidRPr="004A689C">
        <w:rPr>
          <w:rFonts w:ascii="Times New Roman" w:hAnsi="Times New Roman"/>
          <w:szCs w:val="28"/>
        </w:rPr>
        <w:t xml:space="preserve"> concernente la rotazione ordinaria per il personale dirigenziale di prima e seconda fascia</w:t>
      </w:r>
      <w:r w:rsidR="00E0612E" w:rsidRPr="004A689C">
        <w:rPr>
          <w:rFonts w:ascii="Times New Roman" w:hAnsi="Times New Roman"/>
          <w:szCs w:val="28"/>
        </w:rPr>
        <w:t>,</w:t>
      </w:r>
      <w:r w:rsidRPr="004A689C">
        <w:rPr>
          <w:rFonts w:ascii="Times New Roman" w:hAnsi="Times New Roman"/>
          <w:szCs w:val="28"/>
        </w:rPr>
        <w:t xml:space="preserve"> associato ai processi a rischio.</w:t>
      </w:r>
    </w:p>
    <w:p w:rsidR="00A97940" w:rsidRPr="004A689C" w:rsidRDefault="00A97940" w:rsidP="00A97940">
      <w:pPr>
        <w:rPr>
          <w:rFonts w:ascii="Times New Roman" w:hAnsi="Times New Roman"/>
          <w:szCs w:val="28"/>
        </w:rPr>
      </w:pPr>
      <w:r w:rsidRPr="004A689C">
        <w:rPr>
          <w:rFonts w:ascii="Times New Roman" w:hAnsi="Times New Roman"/>
          <w:szCs w:val="28"/>
        </w:rPr>
        <w:t>Tale atto riguarderà il personale dirigenziale di prima fascia e di seconda fascia associato ai processi a rischio e conterrà, in una logica di complementarietà con le altre misure di prevenzione della corruzione e nel rispetto della disponibilità numerica del personale dirigenziale, nonché dei principi generali di buon andamento, efficacia e continuità dell’azione amministrativa, criteri e modalità atti ad assicurare la rotazione del personale dirigenziale con particolare riferimento alla maggiore esposizione al rischio di corruzione sulla base dei seguenti indirizzi:</w:t>
      </w:r>
    </w:p>
    <w:p w:rsidR="00A97940" w:rsidRPr="004A689C" w:rsidRDefault="00A97940" w:rsidP="00D4217A">
      <w:pPr>
        <w:numPr>
          <w:ilvl w:val="0"/>
          <w:numId w:val="5"/>
        </w:numPr>
        <w:contextualSpacing/>
        <w:rPr>
          <w:rFonts w:ascii="Times New Roman" w:hAnsi="Times New Roman"/>
          <w:szCs w:val="28"/>
        </w:rPr>
      </w:pPr>
      <w:r w:rsidRPr="004A689C">
        <w:rPr>
          <w:rFonts w:ascii="Times New Roman" w:hAnsi="Times New Roman"/>
          <w:szCs w:val="28"/>
        </w:rPr>
        <w:t>per gli incarichi dirigenziali conferiti a partire dal 1° gennaio 2021, inserire la previsione della rotazione, a prescindere dalla valutazione ottenuta dal dirigente, dopo un periodo di 3 anni rinnovabile una sola volta (massimo 6 anni), previa adeguata motivazione anche in relazione agli aspetti di prevenzione della corruzione, senza far ricorso alle procedure di interpello,  in conformità con quanto previsto dalla direttiva 12 aprile 2019 relativa al  conferimento degli incarichi dirigenziali;</w:t>
      </w:r>
    </w:p>
    <w:p w:rsidR="00A97940" w:rsidRPr="004A689C" w:rsidRDefault="00A97940" w:rsidP="00D4217A">
      <w:pPr>
        <w:numPr>
          <w:ilvl w:val="0"/>
          <w:numId w:val="5"/>
        </w:numPr>
        <w:contextualSpacing/>
        <w:rPr>
          <w:rFonts w:ascii="Times New Roman" w:hAnsi="Times New Roman"/>
          <w:szCs w:val="28"/>
        </w:rPr>
      </w:pPr>
      <w:r w:rsidRPr="004A689C">
        <w:rPr>
          <w:rFonts w:ascii="Times New Roman" w:hAnsi="Times New Roman"/>
          <w:szCs w:val="28"/>
        </w:rPr>
        <w:t>trascorso il periodo di 6 anni di permanenza nello stesso incarico, prevedere la possibilità di una richiesta di deroga, previo ricorso alle procedure di interpello, esclusivamente per particolari esigenze organizzative e funzionali, come quelle connesse al reperimento di particolari professionalità, in settori caratterizzati da alta complessità tecnico-amministrativa, oppure nel caso di infungibilità del dirigente medesimo per carenza d</w:t>
      </w:r>
      <w:r w:rsidR="002847D3" w:rsidRPr="004A689C">
        <w:rPr>
          <w:rFonts w:ascii="Times New Roman" w:hAnsi="Times New Roman"/>
          <w:szCs w:val="28"/>
        </w:rPr>
        <w:t xml:space="preserve">ella specifica professionalità </w:t>
      </w:r>
      <w:r w:rsidRPr="004A689C">
        <w:rPr>
          <w:rFonts w:ascii="Times New Roman" w:hAnsi="Times New Roman"/>
          <w:szCs w:val="28"/>
        </w:rPr>
        <w:t xml:space="preserve">in organico. In tal caso, il vertice dell’Autorità amministrativa dovrà presentare al </w:t>
      </w:r>
      <w:r w:rsidR="00485EDE" w:rsidRPr="004A689C">
        <w:rPr>
          <w:rFonts w:ascii="Times New Roman" w:hAnsi="Times New Roman"/>
          <w:szCs w:val="28"/>
        </w:rPr>
        <w:t>S.G.</w:t>
      </w:r>
      <w:r w:rsidRPr="004A689C">
        <w:rPr>
          <w:rFonts w:ascii="Times New Roman" w:hAnsi="Times New Roman"/>
          <w:szCs w:val="28"/>
        </w:rPr>
        <w:t xml:space="preserve"> e al R.P.C.T. motivata e dettagliata richiesta, nonché la proposta di adeguate misure di prevenzione alternative alla rotazione. </w:t>
      </w:r>
    </w:p>
    <w:p w:rsidR="00A97940" w:rsidRPr="004A689C" w:rsidRDefault="00A97940" w:rsidP="00A97940">
      <w:pPr>
        <w:rPr>
          <w:rFonts w:ascii="Times New Roman" w:hAnsi="Times New Roman"/>
          <w:szCs w:val="28"/>
        </w:rPr>
      </w:pPr>
      <w:r w:rsidRPr="004A689C">
        <w:rPr>
          <w:rFonts w:ascii="Times New Roman" w:hAnsi="Times New Roman"/>
          <w:szCs w:val="28"/>
        </w:rPr>
        <w:t>Anche prima della diramazione di tale atto, comunque, tutti i Capi Struttura saranno invitati a compiere una valutazione circa la permanenza del proprio personale sui processi a rischio e, se del caso, ad adottare in autonomia la rotazione del personale tra gli Uffici e i Servizi, considerando con attenzione i provvedimenti di rinnovo degli incarichi dirigenziali e le assegnazioni del personale delle categorie, nonché la rotazione nell’assegnazione delle pratiche in alternativa o in aggiunta alla rotazione del personale.</w:t>
      </w:r>
      <w:r w:rsidR="00513163" w:rsidRPr="004A689C">
        <w:rPr>
          <w:rFonts w:ascii="Times New Roman" w:hAnsi="Times New Roman"/>
          <w:szCs w:val="28"/>
        </w:rPr>
        <w:t xml:space="preserve"> </w:t>
      </w:r>
    </w:p>
    <w:p w:rsidR="00A97940" w:rsidRPr="004A689C" w:rsidRDefault="00A97940" w:rsidP="00A97940">
      <w:pPr>
        <w:rPr>
          <w:rFonts w:ascii="Times New Roman" w:hAnsi="Times New Roman"/>
          <w:szCs w:val="28"/>
        </w:rPr>
      </w:pPr>
      <w:r w:rsidRPr="004A689C">
        <w:rPr>
          <w:rFonts w:ascii="Times New Roman" w:hAnsi="Times New Roman"/>
          <w:szCs w:val="28"/>
        </w:rPr>
        <w:t>Rimane ferma l’applicazione della rotazione straordinaria nei casi di avvio di procedimenti penali o disciplinari per condotte di natura corruttiva secondo la disciplina prevista nell’art. 16, comma 1, lett. l-</w:t>
      </w:r>
      <w:r w:rsidRPr="004A689C">
        <w:rPr>
          <w:rFonts w:ascii="Times New Roman" w:hAnsi="Times New Roman"/>
          <w:i/>
          <w:szCs w:val="28"/>
        </w:rPr>
        <w:t>quater</w:t>
      </w:r>
      <w:r w:rsidRPr="004A689C">
        <w:rPr>
          <w:rFonts w:ascii="Times New Roman" w:hAnsi="Times New Roman"/>
          <w:szCs w:val="28"/>
        </w:rPr>
        <w:t xml:space="preserve">) del D.Lgs. </w:t>
      </w:r>
      <w:r w:rsidR="00DA6D2D" w:rsidRPr="004A689C">
        <w:rPr>
          <w:rFonts w:ascii="Times New Roman" w:hAnsi="Times New Roman"/>
          <w:szCs w:val="28"/>
        </w:rPr>
        <w:t>n. 165</w:t>
      </w:r>
      <w:r w:rsidR="00513163" w:rsidRPr="004A689C">
        <w:rPr>
          <w:rFonts w:ascii="Times New Roman" w:hAnsi="Times New Roman"/>
          <w:szCs w:val="28"/>
        </w:rPr>
        <w:t xml:space="preserve"> del </w:t>
      </w:r>
      <w:r w:rsidRPr="004A689C">
        <w:rPr>
          <w:rFonts w:ascii="Times New Roman" w:hAnsi="Times New Roman"/>
          <w:szCs w:val="28"/>
        </w:rPr>
        <w:t xml:space="preserve">2001.  </w:t>
      </w:r>
    </w:p>
    <w:p w:rsidR="00A97940" w:rsidRPr="004A689C" w:rsidRDefault="00A97940" w:rsidP="00EA4DA2">
      <w:pPr>
        <w:rPr>
          <w:rFonts w:ascii="Times New Roman" w:hAnsi="Times New Roman"/>
          <w:szCs w:val="28"/>
        </w:rPr>
      </w:pPr>
    </w:p>
    <w:p w:rsidR="007E163E" w:rsidRPr="00E42DA6" w:rsidRDefault="00650BDC" w:rsidP="0023648D">
      <w:pPr>
        <w:pStyle w:val="Titolo3"/>
        <w:ind w:left="709" w:hanging="709"/>
      </w:pPr>
      <w:bookmarkStart w:id="26" w:name="_Toc66721211"/>
      <w:r w:rsidRPr="00E42DA6">
        <w:t>Codice di comportamento</w:t>
      </w:r>
      <w:bookmarkEnd w:id="26"/>
      <w:r w:rsidR="00073AB0" w:rsidRPr="00E42DA6">
        <w:t xml:space="preserve"> </w:t>
      </w:r>
    </w:p>
    <w:p w:rsidR="00426193" w:rsidRPr="004A689C" w:rsidRDefault="00426193" w:rsidP="00426193">
      <w:pPr>
        <w:rPr>
          <w:rFonts w:ascii="Times New Roman" w:hAnsi="Times New Roman"/>
          <w:szCs w:val="28"/>
        </w:rPr>
      </w:pPr>
      <w:r w:rsidRPr="004A689C">
        <w:rPr>
          <w:rFonts w:ascii="Times New Roman" w:hAnsi="Times New Roman"/>
          <w:szCs w:val="28"/>
        </w:rPr>
        <w:t xml:space="preserve">Il Codice di comportamento e di tutela della dignità e dell'etica dei dirigenti e dei dipendenti della Presidenza del Consiglio dei ministri è stato adottato con decreto del Presidente del Consiglio dei ministri 16 settembre 2014 ed è pubblicato nella rete </w:t>
      </w:r>
      <w:r w:rsidRPr="004A689C">
        <w:rPr>
          <w:rFonts w:ascii="Times New Roman" w:hAnsi="Times New Roman"/>
          <w:i/>
          <w:szCs w:val="28"/>
        </w:rPr>
        <w:t>Intranet</w:t>
      </w:r>
      <w:r w:rsidRPr="004A689C">
        <w:rPr>
          <w:rFonts w:ascii="Times New Roman" w:hAnsi="Times New Roman"/>
          <w:szCs w:val="28"/>
        </w:rPr>
        <w:t xml:space="preserve"> della P.C.M. – Sezione Anticorruzione e trasparenza - e nel sito istituzionale del Governo.</w:t>
      </w:r>
    </w:p>
    <w:p w:rsidR="00D439EF" w:rsidRPr="004A689C" w:rsidRDefault="00426193" w:rsidP="00426193">
      <w:pPr>
        <w:rPr>
          <w:rFonts w:ascii="Times New Roman" w:hAnsi="Times New Roman"/>
          <w:szCs w:val="28"/>
        </w:rPr>
      </w:pPr>
      <w:r w:rsidRPr="004A689C">
        <w:rPr>
          <w:rFonts w:ascii="Times New Roman" w:hAnsi="Times New Roman"/>
          <w:szCs w:val="28"/>
        </w:rPr>
        <w:t>Il Codice di comportamento rappresenta il principale strumento di regolazione delle condotte dei dipendenti, pertanto, tutti i dirigenti, i dipendenti e i collaboratori della P.C.M. sono tenuti ad applicare le disposizioni contenute nel Codice P.C.M., nonché quelle contenute nel Codice generale, approvato con D.P.R. n. 62</w:t>
      </w:r>
      <w:r w:rsidR="00513163" w:rsidRPr="004A689C">
        <w:rPr>
          <w:rFonts w:ascii="Times New Roman" w:hAnsi="Times New Roman"/>
          <w:szCs w:val="28"/>
        </w:rPr>
        <w:t xml:space="preserve"> del </w:t>
      </w:r>
      <w:r w:rsidRPr="004A689C">
        <w:rPr>
          <w:rFonts w:ascii="Times New Roman" w:hAnsi="Times New Roman"/>
          <w:szCs w:val="28"/>
        </w:rPr>
        <w:t>2013.</w:t>
      </w:r>
    </w:p>
    <w:p w:rsidR="00426193" w:rsidRPr="004A689C" w:rsidRDefault="00426193" w:rsidP="00426193">
      <w:pPr>
        <w:rPr>
          <w:rFonts w:ascii="Times New Roman" w:hAnsi="Times New Roman"/>
          <w:szCs w:val="28"/>
        </w:rPr>
      </w:pPr>
      <w:r w:rsidRPr="004A689C">
        <w:rPr>
          <w:rFonts w:ascii="Times New Roman" w:hAnsi="Times New Roman"/>
          <w:szCs w:val="28"/>
        </w:rPr>
        <w:t xml:space="preserve"> I dirigenti sono tenuti a verificare l’osservanza da parte dei collaboratori dei menzionati Codici; inoltre, gli stessi dirigenti e la Commissione per i procedimenti disciplinari sono tenuti ad avviare i procedimenti disciplinari in caso di violazione. </w:t>
      </w:r>
    </w:p>
    <w:p w:rsidR="00426193" w:rsidRPr="004A689C" w:rsidRDefault="00426193" w:rsidP="00426193">
      <w:pPr>
        <w:rPr>
          <w:rFonts w:ascii="Times New Roman" w:hAnsi="Times New Roman"/>
          <w:szCs w:val="28"/>
        </w:rPr>
      </w:pPr>
      <w:r w:rsidRPr="004A689C">
        <w:rPr>
          <w:rFonts w:ascii="Times New Roman" w:hAnsi="Times New Roman"/>
          <w:szCs w:val="28"/>
        </w:rPr>
        <w:t xml:space="preserve">Gli organi competenti tengono conto dell’avvenuta irrogazione di sanzioni disciplinari in sede di valutazione della performance individuale. </w:t>
      </w:r>
    </w:p>
    <w:p w:rsidR="00426193" w:rsidRPr="004A689C" w:rsidRDefault="00426193" w:rsidP="00426193">
      <w:pPr>
        <w:rPr>
          <w:rFonts w:ascii="Times New Roman" w:hAnsi="Times New Roman"/>
          <w:szCs w:val="28"/>
        </w:rPr>
      </w:pPr>
      <w:r w:rsidRPr="004A689C">
        <w:rPr>
          <w:rFonts w:ascii="Times New Roman" w:hAnsi="Times New Roman"/>
          <w:szCs w:val="28"/>
        </w:rPr>
        <w:t xml:space="preserve">I dirigenti competenti curano che siano inserite, negli atti di incarico, nei disciplinari di gara o nei contratti di acquisizione delle collaborazioni, delle consulenze o dei servizi, apposite disposizioni o clausole di estensione delle disposizioni di detti Codici e di risoluzione o decadenza del rapporto in caso di violazione di specifici obblighi derivanti dagli stessi (cfr. art. 2, comma 2, Codice P.C.M. e art. 2, comma 3, Codice generale). Le convenzioni stipulate con gli enti </w:t>
      </w:r>
      <w:r w:rsidRPr="004A689C">
        <w:rPr>
          <w:rFonts w:ascii="Times New Roman" w:hAnsi="Times New Roman"/>
          <w:i/>
          <w:szCs w:val="28"/>
        </w:rPr>
        <w:t>in house</w:t>
      </w:r>
      <w:r w:rsidRPr="004A689C">
        <w:rPr>
          <w:rFonts w:ascii="Times New Roman" w:hAnsi="Times New Roman"/>
          <w:szCs w:val="28"/>
        </w:rPr>
        <w:t xml:space="preserve"> debbono, inoltre prevedere che, nel caso di affidamenti a terzi di una quota della commessa da parte dell’ente </w:t>
      </w:r>
      <w:r w:rsidRPr="004A689C">
        <w:rPr>
          <w:rFonts w:ascii="Times New Roman" w:hAnsi="Times New Roman"/>
          <w:i/>
          <w:szCs w:val="28"/>
        </w:rPr>
        <w:t>in house</w:t>
      </w:r>
      <w:r w:rsidRPr="004A689C">
        <w:rPr>
          <w:rFonts w:ascii="Times New Roman" w:hAnsi="Times New Roman"/>
          <w:szCs w:val="28"/>
        </w:rPr>
        <w:t xml:space="preserve">, sia resa palese, mediante la sottoscrizione di apposite dichiarazioni, l’assenza di conflitto di interesse, anche rispetto all’ente </w:t>
      </w:r>
      <w:r w:rsidRPr="004A689C">
        <w:rPr>
          <w:rFonts w:ascii="Times New Roman" w:hAnsi="Times New Roman"/>
          <w:i/>
          <w:szCs w:val="28"/>
        </w:rPr>
        <w:t>in house</w:t>
      </w:r>
      <w:r w:rsidRPr="004A689C">
        <w:rPr>
          <w:rFonts w:ascii="Times New Roman" w:hAnsi="Times New Roman"/>
          <w:szCs w:val="28"/>
        </w:rPr>
        <w:t xml:space="preserve"> e alla Struttura della P.C.M. committente, da parte dei collaboratori a qualsiasi titolo di tali terzi. </w:t>
      </w:r>
    </w:p>
    <w:p w:rsidR="00426193" w:rsidRPr="004A689C" w:rsidRDefault="00426193" w:rsidP="00426193">
      <w:pPr>
        <w:rPr>
          <w:rFonts w:ascii="Times New Roman" w:hAnsi="Times New Roman"/>
          <w:szCs w:val="28"/>
        </w:rPr>
      </w:pPr>
      <w:r w:rsidRPr="004A689C">
        <w:rPr>
          <w:rFonts w:ascii="Times New Roman" w:hAnsi="Times New Roman"/>
          <w:szCs w:val="28"/>
        </w:rPr>
        <w:t>Oltre che ricordare le norme che prevedono situazioni di illecito che possono dar luogo ad ipotesi corruttive, si richiama l’attenzione sul dovere da parte di tutti i dipendenti di utilizzare in modo proprio ed efficiente i beni e le risorse assegnate per motivi di servizio, nonché la stretta osservanza delle disposizioni sulla presenza in servizio e sui casi di assenza, in particolare si richiama l’attenzione dei dirigenti sul dovere di vigilanza.</w:t>
      </w:r>
    </w:p>
    <w:p w:rsidR="00426193" w:rsidRPr="004A689C" w:rsidRDefault="00426193" w:rsidP="00426193">
      <w:pPr>
        <w:rPr>
          <w:rFonts w:ascii="Times New Roman" w:hAnsi="Times New Roman"/>
          <w:szCs w:val="28"/>
        </w:rPr>
      </w:pPr>
      <w:r w:rsidRPr="004A689C">
        <w:rPr>
          <w:rFonts w:ascii="Times New Roman" w:hAnsi="Times New Roman"/>
          <w:szCs w:val="28"/>
        </w:rPr>
        <w:t xml:space="preserve">I dipendenti dell’Amministrazione che erogano le proprie prestazioni lavorative in modalità agile, sono tenuti ad attenersi alle disposizioni impartite dalla </w:t>
      </w:r>
      <w:r w:rsidR="00485EDE" w:rsidRPr="004A689C">
        <w:rPr>
          <w:rFonts w:ascii="Times New Roman" w:hAnsi="Times New Roman"/>
          <w:szCs w:val="28"/>
        </w:rPr>
        <w:t>P.C.M.</w:t>
      </w:r>
      <w:r w:rsidRPr="004A689C">
        <w:rPr>
          <w:rFonts w:ascii="Times New Roman" w:hAnsi="Times New Roman"/>
          <w:szCs w:val="28"/>
        </w:rPr>
        <w:t xml:space="preserve"> e ad utilizzare gli strumenti tecnologici ed informatici forniti dall’Amministrazione per l’esercizio esclusivo dell’attività lavorativa. </w:t>
      </w:r>
    </w:p>
    <w:p w:rsidR="00426193" w:rsidRPr="004A689C" w:rsidRDefault="00426193" w:rsidP="00426193">
      <w:pPr>
        <w:rPr>
          <w:rFonts w:ascii="Times New Roman" w:hAnsi="Times New Roman"/>
          <w:szCs w:val="28"/>
        </w:rPr>
      </w:pPr>
      <w:r w:rsidRPr="004A689C">
        <w:rPr>
          <w:rFonts w:ascii="Times New Roman" w:hAnsi="Times New Roman"/>
          <w:szCs w:val="28"/>
        </w:rPr>
        <w:t>Si richiamano, inoltre, tutti i dipendenti e dirigenti all’osservanza di quanto prescritto dall’ art. 4 “</w:t>
      </w:r>
      <w:r w:rsidRPr="004A689C">
        <w:rPr>
          <w:rFonts w:ascii="Times New Roman" w:hAnsi="Times New Roman"/>
          <w:i/>
          <w:szCs w:val="28"/>
        </w:rPr>
        <w:t>Regali compensi e altre utilità</w:t>
      </w:r>
      <w:r w:rsidRPr="004A689C">
        <w:rPr>
          <w:rFonts w:ascii="Times New Roman" w:hAnsi="Times New Roman"/>
          <w:szCs w:val="28"/>
        </w:rPr>
        <w:t>” del menzionato Codice di comportamento P.C.M. In particolare, il comma 5 del suddetto articolo precisa che “</w:t>
      </w:r>
      <w:r w:rsidRPr="004A689C">
        <w:rPr>
          <w:rFonts w:ascii="Times New Roman" w:hAnsi="Times New Roman"/>
          <w:i/>
          <w:szCs w:val="28"/>
        </w:rPr>
        <w:t>I doni ricevuti al di fuori dei casi consentiti, se trattasi di oggetti materiali, sono immediatamente messi a disposizione dal Dipartimento competente in materia di risorse strumentali a cura del dipendente, al fine della loro tempestiva restituzione o devoluzione a fini istituzionali ovvero ad associazioni di volontariato o beneficenza</w:t>
      </w:r>
      <w:r w:rsidRPr="004A689C">
        <w:rPr>
          <w:rFonts w:ascii="Times New Roman" w:hAnsi="Times New Roman"/>
          <w:szCs w:val="28"/>
        </w:rPr>
        <w:t>”.</w:t>
      </w:r>
    </w:p>
    <w:p w:rsidR="00426193" w:rsidRPr="004A689C" w:rsidRDefault="00426193" w:rsidP="00426193">
      <w:pPr>
        <w:rPr>
          <w:rFonts w:ascii="Times New Roman" w:hAnsi="Times New Roman"/>
          <w:szCs w:val="28"/>
        </w:rPr>
      </w:pPr>
      <w:r w:rsidRPr="004A689C">
        <w:rPr>
          <w:rFonts w:ascii="Times New Roman" w:hAnsi="Times New Roman"/>
          <w:szCs w:val="28"/>
        </w:rPr>
        <w:t xml:space="preserve">Il D.S.S. ha diramato in data 5 luglio 2017, prot. </w:t>
      </w:r>
      <w:r w:rsidR="00A6381A">
        <w:rPr>
          <w:rFonts w:ascii="Times New Roman" w:hAnsi="Times New Roman"/>
          <w:szCs w:val="28"/>
        </w:rPr>
        <w:t xml:space="preserve">n. </w:t>
      </w:r>
      <w:r w:rsidRPr="004A689C">
        <w:rPr>
          <w:rFonts w:ascii="Times New Roman" w:hAnsi="Times New Roman"/>
          <w:szCs w:val="28"/>
        </w:rPr>
        <w:t>D</w:t>
      </w:r>
      <w:r w:rsidR="005474AA" w:rsidRPr="004A689C">
        <w:rPr>
          <w:rFonts w:ascii="Times New Roman" w:hAnsi="Times New Roman"/>
          <w:szCs w:val="28"/>
        </w:rPr>
        <w:t>.</w:t>
      </w:r>
      <w:r w:rsidRPr="004A689C">
        <w:rPr>
          <w:rFonts w:ascii="Times New Roman" w:hAnsi="Times New Roman"/>
          <w:szCs w:val="28"/>
        </w:rPr>
        <w:t>S</w:t>
      </w:r>
      <w:r w:rsidR="005474AA" w:rsidRPr="004A689C">
        <w:rPr>
          <w:rFonts w:ascii="Times New Roman" w:hAnsi="Times New Roman"/>
          <w:szCs w:val="28"/>
        </w:rPr>
        <w:t>.</w:t>
      </w:r>
      <w:r w:rsidRPr="004A689C">
        <w:rPr>
          <w:rFonts w:ascii="Times New Roman" w:hAnsi="Times New Roman"/>
          <w:szCs w:val="28"/>
        </w:rPr>
        <w:t>S</w:t>
      </w:r>
      <w:r w:rsidR="005474AA" w:rsidRPr="004A689C">
        <w:rPr>
          <w:rFonts w:ascii="Times New Roman" w:hAnsi="Times New Roman"/>
          <w:szCs w:val="28"/>
        </w:rPr>
        <w:t>.</w:t>
      </w:r>
      <w:r w:rsidRPr="004A689C">
        <w:rPr>
          <w:rFonts w:ascii="Times New Roman" w:hAnsi="Times New Roman"/>
          <w:szCs w:val="28"/>
        </w:rPr>
        <w:t xml:space="preserve"> 5709, una circolare esplicativa recante le specifiche modalità procedurali, attraverso le quali i soggetti che hanno ricevuto i doni</w:t>
      </w:r>
      <w:r w:rsidR="00E0612E" w:rsidRPr="004A689C">
        <w:rPr>
          <w:rFonts w:ascii="Times New Roman" w:hAnsi="Times New Roman"/>
          <w:szCs w:val="28"/>
        </w:rPr>
        <w:t>,</w:t>
      </w:r>
      <w:r w:rsidRPr="004A689C">
        <w:rPr>
          <w:rFonts w:ascii="Times New Roman" w:hAnsi="Times New Roman"/>
          <w:szCs w:val="28"/>
        </w:rPr>
        <w:t xml:space="preserve"> devono procedere alla consegna degli stessi all’Amministrazione.</w:t>
      </w:r>
    </w:p>
    <w:p w:rsidR="00426193" w:rsidRPr="004A689C" w:rsidRDefault="000078E3" w:rsidP="00426193">
      <w:pPr>
        <w:rPr>
          <w:rFonts w:ascii="Times New Roman" w:hAnsi="Times New Roman"/>
          <w:szCs w:val="28"/>
        </w:rPr>
      </w:pPr>
      <w:r w:rsidRPr="004A689C">
        <w:rPr>
          <w:rFonts w:ascii="Times New Roman" w:hAnsi="Times New Roman"/>
          <w:szCs w:val="28"/>
        </w:rPr>
        <w:t xml:space="preserve">Nel corso dell’anno </w:t>
      </w:r>
      <w:r w:rsidR="00426193" w:rsidRPr="004A689C">
        <w:rPr>
          <w:rFonts w:ascii="Times New Roman" w:hAnsi="Times New Roman"/>
          <w:szCs w:val="28"/>
        </w:rPr>
        <w:t>il D</w:t>
      </w:r>
      <w:r w:rsidR="005474AA" w:rsidRPr="004A689C">
        <w:rPr>
          <w:rFonts w:ascii="Times New Roman" w:hAnsi="Times New Roman"/>
          <w:szCs w:val="28"/>
        </w:rPr>
        <w:t>I</w:t>
      </w:r>
      <w:r w:rsidR="00426193" w:rsidRPr="004A689C">
        <w:rPr>
          <w:rFonts w:ascii="Times New Roman" w:hAnsi="Times New Roman"/>
          <w:szCs w:val="28"/>
        </w:rPr>
        <w:t>.P. organizzerà, d’intesa con il R</w:t>
      </w:r>
      <w:r w:rsidR="005474AA" w:rsidRPr="004A689C">
        <w:rPr>
          <w:rFonts w:ascii="Times New Roman" w:hAnsi="Times New Roman"/>
          <w:szCs w:val="28"/>
        </w:rPr>
        <w:t>.</w:t>
      </w:r>
      <w:r w:rsidR="00426193" w:rsidRPr="004A689C">
        <w:rPr>
          <w:rFonts w:ascii="Times New Roman" w:hAnsi="Times New Roman"/>
          <w:szCs w:val="28"/>
        </w:rPr>
        <w:t>P</w:t>
      </w:r>
      <w:r w:rsidR="005474AA" w:rsidRPr="004A689C">
        <w:rPr>
          <w:rFonts w:ascii="Times New Roman" w:hAnsi="Times New Roman"/>
          <w:szCs w:val="28"/>
        </w:rPr>
        <w:t>.</w:t>
      </w:r>
      <w:r w:rsidR="00426193" w:rsidRPr="004A689C">
        <w:rPr>
          <w:rFonts w:ascii="Times New Roman" w:hAnsi="Times New Roman"/>
          <w:szCs w:val="28"/>
        </w:rPr>
        <w:t>C</w:t>
      </w:r>
      <w:r w:rsidR="005474AA" w:rsidRPr="004A689C">
        <w:rPr>
          <w:rFonts w:ascii="Times New Roman" w:hAnsi="Times New Roman"/>
          <w:szCs w:val="28"/>
        </w:rPr>
        <w:t>.</w:t>
      </w:r>
      <w:r w:rsidR="00426193" w:rsidRPr="004A689C">
        <w:rPr>
          <w:rFonts w:ascii="Times New Roman" w:hAnsi="Times New Roman"/>
          <w:szCs w:val="28"/>
        </w:rPr>
        <w:t>T</w:t>
      </w:r>
      <w:r w:rsidR="005474AA" w:rsidRPr="004A689C">
        <w:rPr>
          <w:rFonts w:ascii="Times New Roman" w:hAnsi="Times New Roman"/>
          <w:szCs w:val="28"/>
        </w:rPr>
        <w:t>.</w:t>
      </w:r>
      <w:r w:rsidR="00426193" w:rsidRPr="004A689C">
        <w:rPr>
          <w:rFonts w:ascii="Times New Roman" w:hAnsi="Times New Roman"/>
          <w:szCs w:val="28"/>
        </w:rPr>
        <w:t xml:space="preserve">, specifici corsi di formazione sui contenuti del Codice e del presente Piano, da svolgere </w:t>
      </w:r>
      <w:r w:rsidR="00426193" w:rsidRPr="004A689C">
        <w:rPr>
          <w:rFonts w:ascii="Times New Roman" w:hAnsi="Times New Roman"/>
          <w:i/>
          <w:szCs w:val="28"/>
        </w:rPr>
        <w:t>in house</w:t>
      </w:r>
      <w:r w:rsidR="00426193" w:rsidRPr="004A689C">
        <w:rPr>
          <w:rFonts w:ascii="Times New Roman" w:hAnsi="Times New Roman"/>
          <w:szCs w:val="28"/>
        </w:rPr>
        <w:t xml:space="preserve"> anche in modalità</w:t>
      </w:r>
      <w:r w:rsidR="0036133D" w:rsidRPr="004A689C">
        <w:rPr>
          <w:rFonts w:ascii="Times New Roman" w:hAnsi="Times New Roman"/>
          <w:szCs w:val="28"/>
        </w:rPr>
        <w:t xml:space="preserve"> </w:t>
      </w:r>
      <w:r w:rsidR="00426193" w:rsidRPr="004A689C">
        <w:rPr>
          <w:rFonts w:ascii="Times New Roman" w:hAnsi="Times New Roman"/>
          <w:i/>
          <w:szCs w:val="28"/>
        </w:rPr>
        <w:t>e-learning</w:t>
      </w:r>
      <w:r w:rsidR="00426193" w:rsidRPr="004A689C">
        <w:rPr>
          <w:rFonts w:ascii="Times New Roman" w:hAnsi="Times New Roman"/>
          <w:szCs w:val="28"/>
        </w:rPr>
        <w:t>, rivolti specificatamente</w:t>
      </w:r>
      <w:r w:rsidR="0036133D" w:rsidRPr="004A689C">
        <w:rPr>
          <w:rFonts w:ascii="Times New Roman" w:hAnsi="Times New Roman"/>
          <w:szCs w:val="28"/>
        </w:rPr>
        <w:t xml:space="preserve"> </w:t>
      </w:r>
      <w:r w:rsidR="00426193" w:rsidRPr="004A689C">
        <w:rPr>
          <w:rFonts w:ascii="Times New Roman" w:hAnsi="Times New Roman"/>
          <w:szCs w:val="28"/>
        </w:rPr>
        <w:t>al personale di nuova assegnazione presso la P</w:t>
      </w:r>
      <w:r w:rsidR="005474AA" w:rsidRPr="004A689C">
        <w:rPr>
          <w:rFonts w:ascii="Times New Roman" w:hAnsi="Times New Roman"/>
          <w:szCs w:val="28"/>
        </w:rPr>
        <w:t>.</w:t>
      </w:r>
      <w:r w:rsidR="00426193" w:rsidRPr="004A689C">
        <w:rPr>
          <w:rFonts w:ascii="Times New Roman" w:hAnsi="Times New Roman"/>
          <w:szCs w:val="28"/>
        </w:rPr>
        <w:t>C</w:t>
      </w:r>
      <w:r w:rsidR="005474AA" w:rsidRPr="004A689C">
        <w:rPr>
          <w:rFonts w:ascii="Times New Roman" w:hAnsi="Times New Roman"/>
          <w:szCs w:val="28"/>
        </w:rPr>
        <w:t>.</w:t>
      </w:r>
      <w:r w:rsidR="00426193" w:rsidRPr="004A689C">
        <w:rPr>
          <w:rFonts w:ascii="Times New Roman" w:hAnsi="Times New Roman"/>
          <w:szCs w:val="28"/>
        </w:rPr>
        <w:t>M</w:t>
      </w:r>
      <w:r w:rsidR="005474AA" w:rsidRPr="004A689C">
        <w:rPr>
          <w:rFonts w:ascii="Times New Roman" w:hAnsi="Times New Roman"/>
          <w:szCs w:val="28"/>
        </w:rPr>
        <w:t>.</w:t>
      </w:r>
      <w:r w:rsidR="00426193" w:rsidRPr="004A689C">
        <w:rPr>
          <w:rFonts w:ascii="Times New Roman" w:hAnsi="Times New Roman"/>
          <w:szCs w:val="28"/>
        </w:rPr>
        <w:t xml:space="preserve"> come, ad esempio, neo assunti, comandati, personale dirigenziale ex articolo 19, comma 5-</w:t>
      </w:r>
      <w:r w:rsidR="00426193" w:rsidRPr="00A6381A">
        <w:rPr>
          <w:rFonts w:ascii="Times New Roman" w:hAnsi="Times New Roman"/>
          <w:i/>
          <w:szCs w:val="28"/>
        </w:rPr>
        <w:t xml:space="preserve">bis </w:t>
      </w:r>
      <w:r w:rsidR="00426193" w:rsidRPr="004A689C">
        <w:rPr>
          <w:rFonts w:ascii="Times New Roman" w:hAnsi="Times New Roman"/>
          <w:szCs w:val="28"/>
        </w:rPr>
        <w:t>e 6</w:t>
      </w:r>
      <w:r w:rsidR="0036133D" w:rsidRPr="004A689C">
        <w:rPr>
          <w:rFonts w:ascii="Times New Roman" w:hAnsi="Times New Roman"/>
          <w:szCs w:val="28"/>
        </w:rPr>
        <w:t>,</w:t>
      </w:r>
      <w:r w:rsidR="00426193" w:rsidRPr="004A689C">
        <w:rPr>
          <w:rFonts w:ascii="Times New Roman" w:hAnsi="Times New Roman"/>
          <w:szCs w:val="28"/>
        </w:rPr>
        <w:t xml:space="preserve"> del D.</w:t>
      </w:r>
      <w:r w:rsidR="005474AA" w:rsidRPr="004A689C">
        <w:rPr>
          <w:rFonts w:ascii="Times New Roman" w:hAnsi="Times New Roman"/>
          <w:szCs w:val="28"/>
        </w:rPr>
        <w:t>L</w:t>
      </w:r>
      <w:r w:rsidR="00426193" w:rsidRPr="004A689C">
        <w:rPr>
          <w:rFonts w:ascii="Times New Roman" w:hAnsi="Times New Roman"/>
          <w:szCs w:val="28"/>
        </w:rPr>
        <w:t>gs</w:t>
      </w:r>
      <w:r w:rsidR="005474AA" w:rsidRPr="004A689C">
        <w:rPr>
          <w:rFonts w:ascii="Times New Roman" w:hAnsi="Times New Roman"/>
          <w:szCs w:val="28"/>
        </w:rPr>
        <w:t>.</w:t>
      </w:r>
      <w:r w:rsidR="00426193" w:rsidRPr="004A689C">
        <w:rPr>
          <w:rFonts w:ascii="Times New Roman" w:hAnsi="Times New Roman"/>
          <w:szCs w:val="28"/>
        </w:rPr>
        <w:t xml:space="preserve"> n. 165</w:t>
      </w:r>
      <w:r w:rsidR="0036133D" w:rsidRPr="004A689C">
        <w:rPr>
          <w:rFonts w:ascii="Times New Roman" w:hAnsi="Times New Roman"/>
          <w:szCs w:val="28"/>
        </w:rPr>
        <w:t xml:space="preserve"> del </w:t>
      </w:r>
      <w:r w:rsidR="00426193" w:rsidRPr="004A689C">
        <w:rPr>
          <w:rFonts w:ascii="Times New Roman" w:hAnsi="Times New Roman"/>
          <w:szCs w:val="28"/>
        </w:rPr>
        <w:t>2001, personale inserito negli uffici di diretta collaborazione delle autorità politiche.</w:t>
      </w:r>
    </w:p>
    <w:p w:rsidR="00426193" w:rsidRPr="004A689C" w:rsidRDefault="00426193" w:rsidP="00426193">
      <w:pPr>
        <w:rPr>
          <w:rFonts w:ascii="Times New Roman" w:hAnsi="Times New Roman"/>
          <w:bCs/>
          <w:szCs w:val="28"/>
        </w:rPr>
      </w:pPr>
      <w:r w:rsidRPr="004A689C">
        <w:rPr>
          <w:rFonts w:ascii="Times New Roman" w:hAnsi="Times New Roman"/>
          <w:bCs/>
          <w:szCs w:val="28"/>
        </w:rPr>
        <w:t>Con delibera n. 177 del 19 febbraio 2020</w:t>
      </w:r>
      <w:r w:rsidR="005474AA" w:rsidRPr="004A689C">
        <w:rPr>
          <w:rFonts w:ascii="Times New Roman" w:hAnsi="Times New Roman"/>
          <w:bCs/>
          <w:szCs w:val="28"/>
        </w:rPr>
        <w:t>,</w:t>
      </w:r>
      <w:r w:rsidRPr="004A689C">
        <w:rPr>
          <w:rFonts w:ascii="Times New Roman" w:hAnsi="Times New Roman"/>
          <w:bCs/>
          <w:szCs w:val="28"/>
        </w:rPr>
        <w:t xml:space="preserve"> depositata il 3 marzo successivo, l’A</w:t>
      </w:r>
      <w:r w:rsidR="0036133D" w:rsidRPr="004A689C">
        <w:rPr>
          <w:rFonts w:ascii="Times New Roman" w:hAnsi="Times New Roman"/>
          <w:bCs/>
          <w:szCs w:val="28"/>
        </w:rPr>
        <w:t>.N.A.C.</w:t>
      </w:r>
      <w:r w:rsidRPr="004A689C">
        <w:rPr>
          <w:rFonts w:ascii="Times New Roman" w:hAnsi="Times New Roman"/>
          <w:bCs/>
          <w:szCs w:val="28"/>
        </w:rPr>
        <w:t xml:space="preserve"> ha adottato le “</w:t>
      </w:r>
      <w:r w:rsidRPr="004A689C">
        <w:rPr>
          <w:rFonts w:ascii="Times New Roman" w:hAnsi="Times New Roman"/>
          <w:bCs/>
          <w:i/>
          <w:szCs w:val="28"/>
        </w:rPr>
        <w:t>Linee guida in materia di Codici di comportamento delle amministrazioni pubbliche</w:t>
      </w:r>
      <w:r w:rsidRPr="004A689C">
        <w:rPr>
          <w:rFonts w:ascii="Times New Roman" w:hAnsi="Times New Roman"/>
          <w:bCs/>
          <w:szCs w:val="28"/>
        </w:rPr>
        <w:t>”.</w:t>
      </w:r>
    </w:p>
    <w:p w:rsidR="00426193" w:rsidRPr="004A689C" w:rsidRDefault="00426193" w:rsidP="00426193">
      <w:pPr>
        <w:rPr>
          <w:rFonts w:ascii="Times New Roman" w:hAnsi="Times New Roman"/>
          <w:bCs/>
          <w:szCs w:val="28"/>
        </w:rPr>
      </w:pPr>
      <w:r w:rsidRPr="004A689C">
        <w:rPr>
          <w:rFonts w:ascii="Times New Roman" w:hAnsi="Times New Roman"/>
          <w:bCs/>
          <w:szCs w:val="28"/>
        </w:rPr>
        <w:t>A seguito dell’emanazione delle predette Linee guida, il R</w:t>
      </w:r>
      <w:r w:rsidR="005474AA" w:rsidRPr="004A689C">
        <w:rPr>
          <w:rFonts w:ascii="Times New Roman" w:hAnsi="Times New Roman"/>
          <w:bCs/>
          <w:szCs w:val="28"/>
        </w:rPr>
        <w:t>.</w:t>
      </w:r>
      <w:r w:rsidRPr="004A689C">
        <w:rPr>
          <w:rFonts w:ascii="Times New Roman" w:hAnsi="Times New Roman"/>
          <w:bCs/>
          <w:szCs w:val="28"/>
        </w:rPr>
        <w:t>P</w:t>
      </w:r>
      <w:r w:rsidR="005474AA" w:rsidRPr="004A689C">
        <w:rPr>
          <w:rFonts w:ascii="Times New Roman" w:hAnsi="Times New Roman"/>
          <w:bCs/>
          <w:szCs w:val="28"/>
        </w:rPr>
        <w:t>.</w:t>
      </w:r>
      <w:r w:rsidRPr="004A689C">
        <w:rPr>
          <w:rFonts w:ascii="Times New Roman" w:hAnsi="Times New Roman"/>
          <w:bCs/>
          <w:szCs w:val="28"/>
        </w:rPr>
        <w:t>C</w:t>
      </w:r>
      <w:r w:rsidR="005474AA" w:rsidRPr="004A689C">
        <w:rPr>
          <w:rFonts w:ascii="Times New Roman" w:hAnsi="Times New Roman"/>
          <w:bCs/>
          <w:szCs w:val="28"/>
        </w:rPr>
        <w:t>.</w:t>
      </w:r>
      <w:r w:rsidRPr="004A689C">
        <w:rPr>
          <w:rFonts w:ascii="Times New Roman" w:hAnsi="Times New Roman"/>
          <w:bCs/>
          <w:szCs w:val="28"/>
        </w:rPr>
        <w:t>T</w:t>
      </w:r>
      <w:r w:rsidR="005474AA" w:rsidRPr="004A689C">
        <w:rPr>
          <w:rFonts w:ascii="Times New Roman" w:hAnsi="Times New Roman"/>
          <w:bCs/>
          <w:szCs w:val="28"/>
        </w:rPr>
        <w:t>.</w:t>
      </w:r>
      <w:r w:rsidRPr="004A689C">
        <w:rPr>
          <w:rFonts w:ascii="Times New Roman" w:hAnsi="Times New Roman"/>
          <w:bCs/>
          <w:szCs w:val="28"/>
        </w:rPr>
        <w:t xml:space="preserve"> ha proceduto nel corso del 2020 a riattivare il Gruppo di lavoro interdipartimentale che era stato già istituito con decreto del S</w:t>
      </w:r>
      <w:r w:rsidR="0036133D" w:rsidRPr="004A689C">
        <w:rPr>
          <w:rFonts w:ascii="Times New Roman" w:hAnsi="Times New Roman"/>
          <w:bCs/>
          <w:szCs w:val="28"/>
        </w:rPr>
        <w:t>.G.</w:t>
      </w:r>
      <w:r w:rsidRPr="004A689C">
        <w:rPr>
          <w:rFonts w:ascii="Times New Roman" w:hAnsi="Times New Roman"/>
          <w:bCs/>
          <w:szCs w:val="28"/>
        </w:rPr>
        <w:t xml:space="preserve"> 5 novembre 2018</w:t>
      </w:r>
      <w:r w:rsidR="005A1DE3" w:rsidRPr="004A689C">
        <w:rPr>
          <w:rFonts w:ascii="Times New Roman" w:hAnsi="Times New Roman"/>
          <w:bCs/>
          <w:szCs w:val="28"/>
        </w:rPr>
        <w:t>,</w:t>
      </w:r>
      <w:r w:rsidRPr="004A689C">
        <w:rPr>
          <w:rFonts w:ascii="Times New Roman" w:hAnsi="Times New Roman"/>
          <w:bCs/>
          <w:szCs w:val="28"/>
        </w:rPr>
        <w:t xml:space="preserve"> per elaborare una proposta definitiva di revisione del Codice, alla luce degli indirizzi diramati dall’Autorità. All’esito dei lavori del Gruppo interdipartimentale, il R</w:t>
      </w:r>
      <w:r w:rsidR="005474AA" w:rsidRPr="004A689C">
        <w:rPr>
          <w:rFonts w:ascii="Times New Roman" w:hAnsi="Times New Roman"/>
          <w:bCs/>
          <w:szCs w:val="28"/>
        </w:rPr>
        <w:t>.</w:t>
      </w:r>
      <w:r w:rsidRPr="004A689C">
        <w:rPr>
          <w:rFonts w:ascii="Times New Roman" w:hAnsi="Times New Roman"/>
          <w:bCs/>
          <w:szCs w:val="28"/>
        </w:rPr>
        <w:t>P</w:t>
      </w:r>
      <w:r w:rsidR="005474AA" w:rsidRPr="004A689C">
        <w:rPr>
          <w:rFonts w:ascii="Times New Roman" w:hAnsi="Times New Roman"/>
          <w:bCs/>
          <w:szCs w:val="28"/>
        </w:rPr>
        <w:t>.</w:t>
      </w:r>
      <w:r w:rsidRPr="004A689C">
        <w:rPr>
          <w:rFonts w:ascii="Times New Roman" w:hAnsi="Times New Roman"/>
          <w:bCs/>
          <w:szCs w:val="28"/>
        </w:rPr>
        <w:t>C</w:t>
      </w:r>
      <w:r w:rsidR="005474AA" w:rsidRPr="004A689C">
        <w:rPr>
          <w:rFonts w:ascii="Times New Roman" w:hAnsi="Times New Roman"/>
          <w:bCs/>
          <w:szCs w:val="28"/>
        </w:rPr>
        <w:t>.</w:t>
      </w:r>
      <w:r w:rsidRPr="004A689C">
        <w:rPr>
          <w:rFonts w:ascii="Times New Roman" w:hAnsi="Times New Roman"/>
          <w:bCs/>
          <w:szCs w:val="28"/>
        </w:rPr>
        <w:t>T</w:t>
      </w:r>
      <w:r w:rsidR="005474AA" w:rsidRPr="004A689C">
        <w:rPr>
          <w:rFonts w:ascii="Times New Roman" w:hAnsi="Times New Roman"/>
          <w:bCs/>
          <w:szCs w:val="28"/>
        </w:rPr>
        <w:t>.</w:t>
      </w:r>
      <w:r w:rsidRPr="004A689C">
        <w:rPr>
          <w:rFonts w:ascii="Times New Roman" w:hAnsi="Times New Roman"/>
          <w:bCs/>
          <w:szCs w:val="28"/>
        </w:rPr>
        <w:t xml:space="preserve"> avvierà i passaggi finalizzati alla conclusiva definizione del Codice,</w:t>
      </w:r>
      <w:r w:rsidRPr="004A689C">
        <w:rPr>
          <w:rFonts w:ascii="Times New Roman" w:hAnsi="Times New Roman"/>
          <w:bCs/>
          <w:i/>
          <w:szCs w:val="28"/>
        </w:rPr>
        <w:t xml:space="preserve"> </w:t>
      </w:r>
      <w:r w:rsidRPr="004A689C">
        <w:rPr>
          <w:rFonts w:ascii="Times New Roman" w:hAnsi="Times New Roman"/>
          <w:bCs/>
          <w:szCs w:val="28"/>
        </w:rPr>
        <w:t>tenendo anche conto delle indicazioni</w:t>
      </w:r>
      <w:r w:rsidRPr="004A689C">
        <w:rPr>
          <w:rFonts w:ascii="Times New Roman" w:hAnsi="Times New Roman"/>
          <w:bCs/>
          <w:i/>
          <w:szCs w:val="28"/>
        </w:rPr>
        <w:t xml:space="preserve"> </w:t>
      </w:r>
      <w:r w:rsidRPr="004A689C">
        <w:rPr>
          <w:rFonts w:ascii="Times New Roman" w:hAnsi="Times New Roman"/>
          <w:bCs/>
          <w:szCs w:val="28"/>
        </w:rPr>
        <w:t xml:space="preserve">di cui al par. 11 delle </w:t>
      </w:r>
      <w:r w:rsidRPr="004A689C">
        <w:rPr>
          <w:rFonts w:ascii="Times New Roman" w:hAnsi="Times New Roman"/>
          <w:bCs/>
          <w:i/>
          <w:szCs w:val="28"/>
        </w:rPr>
        <w:t>Linee guida A</w:t>
      </w:r>
      <w:r w:rsidR="005474AA" w:rsidRPr="004A689C">
        <w:rPr>
          <w:rFonts w:ascii="Times New Roman" w:hAnsi="Times New Roman"/>
          <w:bCs/>
          <w:i/>
          <w:szCs w:val="28"/>
        </w:rPr>
        <w:t>.</w:t>
      </w:r>
      <w:r w:rsidRPr="004A689C">
        <w:rPr>
          <w:rFonts w:ascii="Times New Roman" w:hAnsi="Times New Roman"/>
          <w:bCs/>
          <w:i/>
          <w:szCs w:val="28"/>
        </w:rPr>
        <w:t>N</w:t>
      </w:r>
      <w:r w:rsidR="005474AA" w:rsidRPr="004A689C">
        <w:rPr>
          <w:rFonts w:ascii="Times New Roman" w:hAnsi="Times New Roman"/>
          <w:bCs/>
          <w:i/>
          <w:szCs w:val="28"/>
        </w:rPr>
        <w:t>.</w:t>
      </w:r>
      <w:r w:rsidRPr="004A689C">
        <w:rPr>
          <w:rFonts w:ascii="Times New Roman" w:hAnsi="Times New Roman"/>
          <w:bCs/>
          <w:i/>
          <w:szCs w:val="28"/>
        </w:rPr>
        <w:t>AC</w:t>
      </w:r>
      <w:r w:rsidR="005474AA" w:rsidRPr="004A689C">
        <w:rPr>
          <w:rFonts w:ascii="Times New Roman" w:hAnsi="Times New Roman"/>
          <w:bCs/>
          <w:i/>
          <w:szCs w:val="28"/>
        </w:rPr>
        <w:t>.</w:t>
      </w:r>
      <w:r w:rsidRPr="004A689C">
        <w:rPr>
          <w:rFonts w:ascii="Times New Roman" w:hAnsi="Times New Roman"/>
          <w:bCs/>
          <w:i/>
          <w:szCs w:val="28"/>
        </w:rPr>
        <w:t xml:space="preserve"> n</w:t>
      </w:r>
      <w:r w:rsidR="005474AA" w:rsidRPr="004A689C">
        <w:rPr>
          <w:rFonts w:ascii="Times New Roman" w:hAnsi="Times New Roman"/>
          <w:bCs/>
          <w:i/>
          <w:szCs w:val="28"/>
        </w:rPr>
        <w:t>.</w:t>
      </w:r>
      <w:r w:rsidRPr="004A689C">
        <w:rPr>
          <w:rFonts w:ascii="Times New Roman" w:hAnsi="Times New Roman"/>
          <w:bCs/>
          <w:i/>
          <w:szCs w:val="28"/>
        </w:rPr>
        <w:t xml:space="preserve"> </w:t>
      </w:r>
      <w:r w:rsidRPr="004A689C">
        <w:rPr>
          <w:rFonts w:ascii="Times New Roman" w:hAnsi="Times New Roman"/>
          <w:bCs/>
          <w:szCs w:val="28"/>
        </w:rPr>
        <w:t>177 del 19 febbraio 2020</w:t>
      </w:r>
      <w:r w:rsidR="005A1DE3" w:rsidRPr="004A689C">
        <w:rPr>
          <w:rFonts w:ascii="Times New Roman" w:hAnsi="Times New Roman"/>
          <w:bCs/>
          <w:szCs w:val="28"/>
        </w:rPr>
        <w:t>,</w:t>
      </w:r>
      <w:r w:rsidRPr="004A689C">
        <w:rPr>
          <w:rFonts w:ascii="Times New Roman" w:hAnsi="Times New Roman"/>
          <w:bCs/>
          <w:szCs w:val="28"/>
        </w:rPr>
        <w:t xml:space="preserve"> nell’ottica di valorizzare una costruzione progressiva del codice aperta alla più ampia partecipazione.</w:t>
      </w:r>
    </w:p>
    <w:p w:rsidR="00AB221A" w:rsidRPr="00E42DA6" w:rsidRDefault="006948D3" w:rsidP="004320B4">
      <w:pPr>
        <w:pStyle w:val="Titolo3"/>
        <w:ind w:left="709" w:hanging="709"/>
      </w:pPr>
      <w:bookmarkStart w:id="27" w:name="_Toc66721212"/>
      <w:r w:rsidRPr="00E42DA6">
        <w:t>Comunicazioni sugli interessi e obbligo di astensione</w:t>
      </w:r>
      <w:bookmarkEnd w:id="27"/>
      <w:r w:rsidR="00ED1737" w:rsidRPr="00E42DA6">
        <w:t xml:space="preserve"> </w:t>
      </w:r>
    </w:p>
    <w:p w:rsidR="00546CA7" w:rsidRPr="00DE7C40" w:rsidRDefault="00546CA7" w:rsidP="00BD1B13">
      <w:pPr>
        <w:rPr>
          <w:rFonts w:ascii="Times New Roman" w:hAnsi="Times New Roman"/>
          <w:szCs w:val="28"/>
        </w:rPr>
      </w:pPr>
      <w:r w:rsidRPr="004A689C">
        <w:rPr>
          <w:rFonts w:ascii="Times New Roman" w:hAnsi="Times New Roman"/>
          <w:szCs w:val="28"/>
        </w:rPr>
        <w:t>Tutti i dipendenti curano le comunicazioni al dirigente relative alla partecipazione ad associazioni e organizzazioni (art. 5 Codice generale; art. 6 Codice P.C.M.) e ai rapporti di collaborazione con soggetti privati in qualunque modo retribuiti che lo stesso abbia o abbia avuto negli ultimi tre anni (art. 6 Codice generale; art. 7 Codice P.C.M.). Il dirigente, prima di assumere le funzioni, comunica al dirigente sovraordinato le partecipazioni azionarie e gli altri interessi finanziari che possano porlo in conflitto di interess</w:t>
      </w:r>
      <w:r w:rsidR="0036133D" w:rsidRPr="004A689C">
        <w:rPr>
          <w:rFonts w:ascii="Times New Roman" w:hAnsi="Times New Roman"/>
          <w:szCs w:val="28"/>
        </w:rPr>
        <w:t>i</w:t>
      </w:r>
      <w:r w:rsidRPr="004A689C">
        <w:rPr>
          <w:rFonts w:ascii="Times New Roman" w:hAnsi="Times New Roman"/>
          <w:szCs w:val="28"/>
        </w:rPr>
        <w:t xml:space="preserve"> con la funzione pubblica che svolge e dichiara se ha parenti e affini entro il secondo grado, coniuge o convivente che esercitano attività politiche, professionali o economiche che li pongano in contatti frequenti con l'</w:t>
      </w:r>
      <w:r w:rsidR="0036133D" w:rsidRPr="004A689C">
        <w:rPr>
          <w:rFonts w:ascii="Times New Roman" w:hAnsi="Times New Roman"/>
          <w:szCs w:val="28"/>
        </w:rPr>
        <w:t>U</w:t>
      </w:r>
      <w:r w:rsidRPr="004A689C">
        <w:rPr>
          <w:rFonts w:ascii="Times New Roman" w:hAnsi="Times New Roman"/>
          <w:szCs w:val="28"/>
        </w:rPr>
        <w:t xml:space="preserve">fficio che dovrà dirigere o che siano coinvolti nelle decisioni o nelle attività inerenti all'ufficio (art. 13 Codice generale; art. 17 Codice P.C.M.). Il dipendente è tenuto ad osservare l’obbligo di astensione in caso di conflitto di interesse ai sensi dell’art. 8 del Codice P.C.M. e dell’art. 7 del Codice </w:t>
      </w:r>
      <w:r w:rsidRPr="00DE7C40">
        <w:rPr>
          <w:rFonts w:ascii="Times New Roman" w:hAnsi="Times New Roman"/>
          <w:szCs w:val="28"/>
        </w:rPr>
        <w:t>generale. Si veda in materia la circolare DI.P.R.U.S. n. 20822 del 7 maggio 2015 a firma del S</w:t>
      </w:r>
      <w:r w:rsidR="00BD1B13" w:rsidRPr="00DE7C40">
        <w:rPr>
          <w:rFonts w:ascii="Times New Roman" w:hAnsi="Times New Roman"/>
          <w:szCs w:val="28"/>
        </w:rPr>
        <w:t>.G.</w:t>
      </w:r>
      <w:r w:rsidRPr="00DE7C40">
        <w:rPr>
          <w:rFonts w:ascii="Times New Roman" w:hAnsi="Times New Roman"/>
          <w:szCs w:val="28"/>
        </w:rPr>
        <w:t xml:space="preserve"> </w:t>
      </w:r>
    </w:p>
    <w:p w:rsidR="00D439EF" w:rsidRPr="004A689C" w:rsidRDefault="00546CA7" w:rsidP="00BD1B13">
      <w:pPr>
        <w:rPr>
          <w:rFonts w:ascii="Times New Roman" w:hAnsi="Times New Roman"/>
          <w:szCs w:val="28"/>
        </w:rPr>
      </w:pPr>
      <w:r w:rsidRPr="00DE7C40">
        <w:rPr>
          <w:rFonts w:ascii="Times New Roman" w:hAnsi="Times New Roman"/>
          <w:szCs w:val="28"/>
        </w:rPr>
        <w:t>Per quanto concerne il conferimento di incarichi a consulenti</w:t>
      </w:r>
      <w:r w:rsidR="005A1DE3" w:rsidRPr="00DE7C40">
        <w:rPr>
          <w:rFonts w:ascii="Times New Roman" w:hAnsi="Times New Roman"/>
          <w:szCs w:val="28"/>
        </w:rPr>
        <w:t>,</w:t>
      </w:r>
      <w:r w:rsidRPr="00DE7C40">
        <w:rPr>
          <w:rFonts w:ascii="Times New Roman" w:hAnsi="Times New Roman"/>
          <w:szCs w:val="28"/>
        </w:rPr>
        <w:t xml:space="preserve"> si rammenta che l’art. 53 del </w:t>
      </w:r>
      <w:r w:rsidR="005474AA" w:rsidRPr="00DE7C40">
        <w:rPr>
          <w:rFonts w:ascii="Times New Roman" w:hAnsi="Times New Roman"/>
          <w:szCs w:val="28"/>
        </w:rPr>
        <w:t>D</w:t>
      </w:r>
      <w:r w:rsidRPr="00DE7C40">
        <w:rPr>
          <w:rFonts w:ascii="Times New Roman" w:hAnsi="Times New Roman"/>
          <w:szCs w:val="28"/>
        </w:rPr>
        <w:t>.</w:t>
      </w:r>
      <w:r w:rsidR="005474AA" w:rsidRPr="00DE7C40">
        <w:rPr>
          <w:rFonts w:ascii="Times New Roman" w:hAnsi="Times New Roman"/>
          <w:szCs w:val="28"/>
        </w:rPr>
        <w:t>L</w:t>
      </w:r>
      <w:r w:rsidRPr="00DE7C40">
        <w:rPr>
          <w:rFonts w:ascii="Times New Roman" w:hAnsi="Times New Roman"/>
          <w:szCs w:val="28"/>
        </w:rPr>
        <w:t xml:space="preserve">gs. </w:t>
      </w:r>
      <w:r w:rsidR="00485EDE" w:rsidRPr="00DE7C40">
        <w:rPr>
          <w:rFonts w:ascii="Times New Roman" w:hAnsi="Times New Roman"/>
          <w:szCs w:val="28"/>
        </w:rPr>
        <w:t xml:space="preserve">n. </w:t>
      </w:r>
      <w:r w:rsidRPr="00DE7C40">
        <w:rPr>
          <w:rFonts w:ascii="Times New Roman" w:hAnsi="Times New Roman"/>
          <w:szCs w:val="28"/>
        </w:rPr>
        <w:t>165</w:t>
      </w:r>
      <w:r w:rsidR="0036133D" w:rsidRPr="00DE7C40">
        <w:rPr>
          <w:rFonts w:ascii="Times New Roman" w:hAnsi="Times New Roman"/>
          <w:szCs w:val="28"/>
        </w:rPr>
        <w:t xml:space="preserve"> del </w:t>
      </w:r>
      <w:r w:rsidRPr="00DE7C40">
        <w:rPr>
          <w:rFonts w:ascii="Times New Roman" w:hAnsi="Times New Roman"/>
          <w:szCs w:val="28"/>
        </w:rPr>
        <w:t xml:space="preserve">2001, come modificato dalla </w:t>
      </w:r>
      <w:r w:rsidR="005474AA" w:rsidRPr="00DE7C40">
        <w:rPr>
          <w:rFonts w:ascii="Times New Roman" w:hAnsi="Times New Roman"/>
          <w:szCs w:val="28"/>
        </w:rPr>
        <w:t>L</w:t>
      </w:r>
      <w:r w:rsidRPr="00DE7C40">
        <w:rPr>
          <w:rFonts w:ascii="Times New Roman" w:hAnsi="Times New Roman"/>
          <w:szCs w:val="28"/>
        </w:rPr>
        <w:t xml:space="preserve">. </w:t>
      </w:r>
      <w:r w:rsidR="005474AA" w:rsidRPr="00DE7C40">
        <w:rPr>
          <w:rFonts w:ascii="Times New Roman" w:hAnsi="Times New Roman"/>
          <w:szCs w:val="28"/>
        </w:rPr>
        <w:t>n.</w:t>
      </w:r>
      <w:r w:rsidRPr="00DE7C40">
        <w:rPr>
          <w:rFonts w:ascii="Times New Roman" w:hAnsi="Times New Roman"/>
          <w:szCs w:val="28"/>
        </w:rPr>
        <w:t>190 del 2012, impone espressamente all’Amministrazione conferente di effettuare una previa verifica dell’insussistenza</w:t>
      </w:r>
      <w:r w:rsidRPr="004A689C">
        <w:rPr>
          <w:rFonts w:ascii="Times New Roman" w:hAnsi="Times New Roman"/>
          <w:szCs w:val="28"/>
        </w:rPr>
        <w:t xml:space="preserve"> di situazioni, anche potenziali, di conflitto di interessi.</w:t>
      </w:r>
    </w:p>
    <w:p w:rsidR="003B6715" w:rsidRPr="004A689C" w:rsidRDefault="00546CA7" w:rsidP="00BD1B13">
      <w:pPr>
        <w:ind w:firstLine="426"/>
        <w:rPr>
          <w:rFonts w:ascii="Times New Roman" w:hAnsi="Times New Roman"/>
          <w:szCs w:val="28"/>
        </w:rPr>
      </w:pPr>
      <w:r w:rsidRPr="004A689C">
        <w:rPr>
          <w:rFonts w:ascii="Times New Roman" w:hAnsi="Times New Roman"/>
          <w:szCs w:val="28"/>
        </w:rPr>
        <w:t xml:space="preserve"> A tale riguardo, appare opportuno richiamare anche l’attenzione sul contenuto dell’art. 15 del </w:t>
      </w:r>
      <w:r w:rsidR="005474AA" w:rsidRPr="004A689C">
        <w:rPr>
          <w:rFonts w:ascii="Times New Roman" w:hAnsi="Times New Roman"/>
          <w:szCs w:val="28"/>
        </w:rPr>
        <w:t>D</w:t>
      </w:r>
      <w:r w:rsidRPr="004A689C">
        <w:rPr>
          <w:rFonts w:ascii="Times New Roman" w:hAnsi="Times New Roman"/>
          <w:szCs w:val="28"/>
        </w:rPr>
        <w:t>.</w:t>
      </w:r>
      <w:r w:rsidR="005474AA" w:rsidRPr="004A689C">
        <w:rPr>
          <w:rFonts w:ascii="Times New Roman" w:hAnsi="Times New Roman"/>
          <w:szCs w:val="28"/>
        </w:rPr>
        <w:t>L</w:t>
      </w:r>
      <w:r w:rsidRPr="004A689C">
        <w:rPr>
          <w:rFonts w:ascii="Times New Roman" w:hAnsi="Times New Roman"/>
          <w:szCs w:val="28"/>
        </w:rPr>
        <w:t xml:space="preserve">gs. </w:t>
      </w:r>
      <w:r w:rsidR="00485EDE" w:rsidRPr="004A689C">
        <w:rPr>
          <w:rFonts w:ascii="Times New Roman" w:hAnsi="Times New Roman"/>
          <w:szCs w:val="28"/>
        </w:rPr>
        <w:t xml:space="preserve">n. </w:t>
      </w:r>
      <w:r w:rsidRPr="004A689C">
        <w:rPr>
          <w:rFonts w:ascii="Times New Roman" w:hAnsi="Times New Roman"/>
          <w:szCs w:val="28"/>
        </w:rPr>
        <w:t>33</w:t>
      </w:r>
      <w:r w:rsidR="0036133D" w:rsidRPr="004A689C">
        <w:rPr>
          <w:rFonts w:ascii="Times New Roman" w:hAnsi="Times New Roman"/>
          <w:szCs w:val="28"/>
        </w:rPr>
        <w:t xml:space="preserve"> del </w:t>
      </w:r>
      <w:r w:rsidRPr="004A689C">
        <w:rPr>
          <w:rFonts w:ascii="Times New Roman" w:hAnsi="Times New Roman"/>
          <w:szCs w:val="28"/>
        </w:rPr>
        <w:t xml:space="preserve">2013, che, con riferimento agli incarichi di collaborazione e di consulenza, prevede espressamente l’obbligo di pubblicazione dei dati concernenti gli estremi dell’atto di conferimento dell’incarico, il </w:t>
      </w:r>
      <w:r w:rsidRPr="004A689C">
        <w:rPr>
          <w:rFonts w:ascii="Times New Roman" w:hAnsi="Times New Roman"/>
          <w:i/>
          <w:szCs w:val="28"/>
        </w:rPr>
        <w:t>curriculum vitae</w:t>
      </w:r>
      <w:r w:rsidRPr="004A689C">
        <w:rPr>
          <w:rFonts w:ascii="Times New Roman" w:hAnsi="Times New Roman"/>
          <w:szCs w:val="28"/>
        </w:rPr>
        <w:t>, i dati relativi allo svolgimento di incarichi o la titolarità di cariche in enti di diritto privato regolati o finanziati dalla pubblica amministrazione o lo svolgimento di attività professionali; i compensi, comunque denominati, relativi al rapporto di consulenza o di collaborazione.</w:t>
      </w:r>
    </w:p>
    <w:p w:rsidR="00BE17E9" w:rsidRPr="00E42DA6" w:rsidRDefault="00EF697E" w:rsidP="00BD1B13">
      <w:pPr>
        <w:pStyle w:val="Titolo3"/>
        <w:ind w:left="709" w:hanging="709"/>
      </w:pPr>
      <w:bookmarkStart w:id="28" w:name="_Toc66721213"/>
      <w:r w:rsidRPr="00E42DA6">
        <w:t xml:space="preserve">Svolgimento di </w:t>
      </w:r>
      <w:r w:rsidR="003D3384" w:rsidRPr="00E42DA6">
        <w:t>i</w:t>
      </w:r>
      <w:r w:rsidRPr="00E42DA6">
        <w:t>ncarichi d’ufficio ed extra</w:t>
      </w:r>
      <w:r w:rsidR="00B9194A" w:rsidRPr="00E42DA6">
        <w:t>-</w:t>
      </w:r>
      <w:r w:rsidRPr="00E42DA6">
        <w:t>istituzionali</w:t>
      </w:r>
      <w:bookmarkEnd w:id="28"/>
      <w:r w:rsidR="004F7F76" w:rsidRPr="00E42DA6">
        <w:t xml:space="preserve"> </w:t>
      </w:r>
    </w:p>
    <w:p w:rsidR="007B2271" w:rsidRPr="004A689C" w:rsidRDefault="007B2271" w:rsidP="007B2271">
      <w:pPr>
        <w:rPr>
          <w:rFonts w:ascii="Times New Roman" w:hAnsi="Times New Roman"/>
          <w:szCs w:val="28"/>
        </w:rPr>
      </w:pPr>
      <w:bookmarkStart w:id="29" w:name="_Toc468718368"/>
      <w:r w:rsidRPr="004A689C">
        <w:rPr>
          <w:rFonts w:ascii="Times New Roman" w:hAnsi="Times New Roman"/>
          <w:szCs w:val="28"/>
        </w:rPr>
        <w:t xml:space="preserve">Il conferimento di incarichi d’ufficio e l’autorizzazione allo svolgimento di incarichi extra-istituzionali può avvenire solo a favore di soggetti che non versano in situazioni di incompatibilità e/o di conflitto d’interesse, anche potenziale. </w:t>
      </w:r>
    </w:p>
    <w:p w:rsidR="007B2271" w:rsidRPr="004A689C" w:rsidRDefault="007B2271" w:rsidP="007B2271">
      <w:pPr>
        <w:rPr>
          <w:rFonts w:ascii="Times New Roman" w:hAnsi="Times New Roman"/>
          <w:szCs w:val="28"/>
        </w:rPr>
      </w:pPr>
      <w:r w:rsidRPr="004A689C">
        <w:rPr>
          <w:rFonts w:ascii="Times New Roman" w:hAnsi="Times New Roman"/>
          <w:szCs w:val="28"/>
        </w:rPr>
        <w:t xml:space="preserve">Il DI.P. comunica annualmente al Responsabile, entro la data del 30 novembre, i dinieghi agli incarichi con le rispettive motivazioni, nonché gli incarichi svolti in assenza della prescritta autorizzazione, emersi a seguito delle comunicazioni dei compensi trasmesse in base all’art. 53, comma 11, del D.Lgs. </w:t>
      </w:r>
      <w:r w:rsidR="00485EDE" w:rsidRPr="004A689C">
        <w:rPr>
          <w:rFonts w:ascii="Times New Roman" w:hAnsi="Times New Roman"/>
          <w:szCs w:val="28"/>
        </w:rPr>
        <w:t>n. 165</w:t>
      </w:r>
      <w:r w:rsidR="0036133D" w:rsidRPr="004A689C">
        <w:rPr>
          <w:rFonts w:ascii="Times New Roman" w:hAnsi="Times New Roman"/>
          <w:szCs w:val="28"/>
        </w:rPr>
        <w:t xml:space="preserve"> del </w:t>
      </w:r>
      <w:r w:rsidRPr="004A689C">
        <w:rPr>
          <w:rFonts w:ascii="Times New Roman" w:hAnsi="Times New Roman"/>
          <w:szCs w:val="28"/>
        </w:rPr>
        <w:t xml:space="preserve">2001 e di eventuali segnalazioni pervenute. </w:t>
      </w:r>
    </w:p>
    <w:p w:rsidR="005474AA" w:rsidRPr="004A689C" w:rsidRDefault="007B2271" w:rsidP="005474AA">
      <w:pPr>
        <w:rPr>
          <w:rFonts w:ascii="Times New Roman" w:hAnsi="Times New Roman"/>
          <w:szCs w:val="28"/>
        </w:rPr>
      </w:pPr>
      <w:r w:rsidRPr="004A689C">
        <w:rPr>
          <w:rFonts w:ascii="Times New Roman" w:hAnsi="Times New Roman"/>
          <w:szCs w:val="28"/>
        </w:rPr>
        <w:t>Nelle more dell’adozione dell’atto contenente i criteri oggettivi e predeterminati di cui all’art. 53, comma 5, del richiamato D.Lgs. n. 165</w:t>
      </w:r>
      <w:r w:rsidR="0036133D" w:rsidRPr="004A689C">
        <w:rPr>
          <w:rFonts w:ascii="Times New Roman" w:hAnsi="Times New Roman"/>
          <w:szCs w:val="28"/>
        </w:rPr>
        <w:t xml:space="preserve"> del </w:t>
      </w:r>
      <w:r w:rsidRPr="004A689C">
        <w:rPr>
          <w:rFonts w:ascii="Times New Roman" w:hAnsi="Times New Roman"/>
          <w:szCs w:val="28"/>
        </w:rPr>
        <w:t>2001, ai fini del conferimento e dell’autorizzazione allo svolgimento di incarichi si applicano i “</w:t>
      </w:r>
      <w:r w:rsidRPr="004A689C">
        <w:rPr>
          <w:rFonts w:ascii="Times New Roman" w:hAnsi="Times New Roman"/>
          <w:i/>
          <w:szCs w:val="28"/>
        </w:rPr>
        <w:t>Criteri generali in materia di incarichi vietati ai dipendenti delle amministrazioni pubbliche</w:t>
      </w:r>
      <w:r w:rsidRPr="004A689C">
        <w:rPr>
          <w:rFonts w:ascii="Times New Roman" w:hAnsi="Times New Roman"/>
          <w:szCs w:val="28"/>
        </w:rPr>
        <w:t>” contenuti nel documento elaborato nell'ambito del tavolo tecnico previsto dall'Intesa sancita in Conferenza unificata il 24 luglio 2013, mediante confronto tra i rappresentanti del D.F.P., delle Regioni e degli Enti locali</w:t>
      </w:r>
      <w:r w:rsidR="008D6707">
        <w:rPr>
          <w:rFonts w:ascii="Times New Roman" w:hAnsi="Times New Roman"/>
          <w:szCs w:val="28"/>
        </w:rPr>
        <w:t xml:space="preserve"> </w:t>
      </w:r>
      <w:hyperlink r:id="rId13" w:history="1">
        <w:r w:rsidR="005474AA" w:rsidRPr="004A689C">
          <w:rPr>
            <w:rStyle w:val="Collegamentoipertestuale"/>
            <w:rFonts w:ascii="Times New Roman" w:hAnsi="Times New Roman"/>
            <w:i/>
            <w:szCs w:val="28"/>
          </w:rPr>
          <w:t>http://www.funzionepubblica.gov.it/lavoro-pubblico-e-organizzazione-pa/rapporto-di-lavoro-pubblico/incompatibilita-cumulo-di-impieghi-e</w:t>
        </w:r>
      </w:hyperlink>
      <w:r w:rsidR="005474AA" w:rsidRPr="004A689C">
        <w:rPr>
          <w:rFonts w:ascii="Times New Roman" w:hAnsi="Times New Roman"/>
          <w:szCs w:val="28"/>
        </w:rPr>
        <w:t xml:space="preserve">). </w:t>
      </w:r>
    </w:p>
    <w:p w:rsidR="007B2271" w:rsidRPr="004A689C" w:rsidRDefault="007B2271" w:rsidP="007B2271">
      <w:pPr>
        <w:rPr>
          <w:rFonts w:ascii="Times New Roman" w:hAnsi="Times New Roman"/>
          <w:szCs w:val="28"/>
        </w:rPr>
      </w:pPr>
      <w:r w:rsidRPr="004A689C">
        <w:rPr>
          <w:rFonts w:ascii="Times New Roman" w:hAnsi="Times New Roman"/>
          <w:szCs w:val="28"/>
        </w:rPr>
        <w:t>In linea con le previsioni del P.N.A. 2013, restano comunque fermi i casi di deroga di cui all’art. 53, comma 6, lett. da a) a f-</w:t>
      </w:r>
      <w:r w:rsidRPr="004A689C">
        <w:rPr>
          <w:rFonts w:ascii="Times New Roman" w:hAnsi="Times New Roman"/>
          <w:i/>
          <w:szCs w:val="28"/>
        </w:rPr>
        <w:t>bis</w:t>
      </w:r>
      <w:r w:rsidRPr="004A689C">
        <w:rPr>
          <w:rFonts w:ascii="Times New Roman" w:hAnsi="Times New Roman"/>
          <w:szCs w:val="28"/>
        </w:rPr>
        <w:t xml:space="preserve">), per i quali la legge non prevede il rilascio di autorizzazione né un obbligo di comunicazione per il dipendente. </w:t>
      </w:r>
    </w:p>
    <w:p w:rsidR="003B6EEE" w:rsidRPr="004A689C" w:rsidRDefault="007B2271" w:rsidP="007B2271">
      <w:pPr>
        <w:rPr>
          <w:rFonts w:ascii="Times New Roman" w:hAnsi="Times New Roman"/>
          <w:szCs w:val="28"/>
        </w:rPr>
      </w:pPr>
      <w:r w:rsidRPr="004A689C">
        <w:rPr>
          <w:rFonts w:ascii="Times New Roman" w:hAnsi="Times New Roman"/>
          <w:szCs w:val="28"/>
        </w:rPr>
        <w:t>Il dipendente è tenuto a comunicare formalmente all’Amministrazione anche l’attribuzione di incarichi gratuiti ai quali è esteso l’obbligo per le Amministrazioni di comunicazione al Dipartimento della funzione pubblica (art. 53, comma 1</w:t>
      </w:r>
      <w:r w:rsidR="0036133D" w:rsidRPr="004A689C">
        <w:rPr>
          <w:rFonts w:ascii="Times New Roman" w:hAnsi="Times New Roman"/>
          <w:szCs w:val="28"/>
        </w:rPr>
        <w:t>4,</w:t>
      </w:r>
      <w:r w:rsidR="00581883" w:rsidRPr="004A689C">
        <w:rPr>
          <w:rFonts w:ascii="Times New Roman" w:hAnsi="Times New Roman"/>
          <w:szCs w:val="28"/>
        </w:rPr>
        <w:t xml:space="preserve"> </w:t>
      </w:r>
      <w:r w:rsidR="0036133D" w:rsidRPr="004A689C">
        <w:rPr>
          <w:rFonts w:ascii="Times New Roman" w:hAnsi="Times New Roman"/>
          <w:szCs w:val="28"/>
        </w:rPr>
        <w:t xml:space="preserve">del </w:t>
      </w:r>
      <w:r w:rsidR="00581883" w:rsidRPr="004A689C">
        <w:rPr>
          <w:rFonts w:ascii="Times New Roman" w:hAnsi="Times New Roman"/>
          <w:szCs w:val="28"/>
        </w:rPr>
        <w:t>D.Lgs. n. 165</w:t>
      </w:r>
      <w:r w:rsidR="0036133D" w:rsidRPr="004A689C">
        <w:rPr>
          <w:rFonts w:ascii="Times New Roman" w:hAnsi="Times New Roman"/>
          <w:szCs w:val="28"/>
        </w:rPr>
        <w:t xml:space="preserve"> del </w:t>
      </w:r>
      <w:r w:rsidR="00581883" w:rsidRPr="004A689C">
        <w:rPr>
          <w:rFonts w:ascii="Times New Roman" w:hAnsi="Times New Roman"/>
          <w:szCs w:val="28"/>
        </w:rPr>
        <w:t>2001</w:t>
      </w:r>
      <w:r w:rsidRPr="004A689C">
        <w:rPr>
          <w:rFonts w:ascii="Times New Roman" w:hAnsi="Times New Roman"/>
          <w:szCs w:val="28"/>
        </w:rPr>
        <w:t>).</w:t>
      </w:r>
    </w:p>
    <w:p w:rsidR="00E25B6E" w:rsidRPr="00E42DA6" w:rsidRDefault="00C75E3F" w:rsidP="00C75E3F">
      <w:pPr>
        <w:pStyle w:val="Titolo3"/>
        <w:ind w:left="567" w:hanging="567"/>
      </w:pPr>
      <w:r>
        <w:t xml:space="preserve"> </w:t>
      </w:r>
      <w:bookmarkStart w:id="30" w:name="_Toc66721214"/>
      <w:r w:rsidR="0027265C">
        <w:t>R</w:t>
      </w:r>
      <w:r w:rsidR="00556FFB" w:rsidRPr="00E42DA6">
        <w:t xml:space="preserve">egime </w:t>
      </w:r>
      <w:r w:rsidR="00BE7AB8" w:rsidRPr="00E42DA6">
        <w:t>di inc</w:t>
      </w:r>
      <w:r w:rsidR="00B02C9E" w:rsidRPr="00E42DA6">
        <w:t>onferibilità e</w:t>
      </w:r>
      <w:r w:rsidR="00E25B6E" w:rsidRPr="00E42DA6">
        <w:t xml:space="preserve"> incompatibilità</w:t>
      </w:r>
      <w:r w:rsidR="00556FFB" w:rsidRPr="00E42DA6">
        <w:t xml:space="preserve"> per gli incarichi </w:t>
      </w:r>
      <w:bookmarkEnd w:id="29"/>
      <w:r w:rsidR="000703F9" w:rsidRPr="00E42DA6">
        <w:t>dirigenziali</w:t>
      </w:r>
      <w:bookmarkEnd w:id="30"/>
      <w:r w:rsidR="00EE4587" w:rsidRPr="00E42DA6">
        <w:t xml:space="preserve"> </w:t>
      </w:r>
    </w:p>
    <w:p w:rsidR="00595DB5" w:rsidRPr="004A689C" w:rsidRDefault="00595DB5" w:rsidP="00595DB5">
      <w:pPr>
        <w:rPr>
          <w:rFonts w:ascii="Times New Roman" w:hAnsi="Times New Roman"/>
          <w:szCs w:val="28"/>
        </w:rPr>
      </w:pPr>
      <w:r w:rsidRPr="004A689C">
        <w:rPr>
          <w:rFonts w:ascii="Times New Roman" w:hAnsi="Times New Roman"/>
          <w:szCs w:val="28"/>
        </w:rPr>
        <w:t>Gli interpelli per il conferimento di incarichi dirigenziali devono tener conto del regime introdotto dal Decreto legislativo 8 aprile 2013, n. 39, “</w:t>
      </w:r>
      <w:r w:rsidRPr="004A689C">
        <w:rPr>
          <w:rFonts w:ascii="Times New Roman" w:hAnsi="Times New Roman"/>
          <w:i/>
          <w:szCs w:val="28"/>
        </w:rPr>
        <w:t>Disposizioni in materia di inconferibilità e incompatibilità di incarichi presso le pubbliche amministrazioni e presso gli enti privati in controllo pubblico, a norma dell'articolo 1, commi 49 e 50, della legge 6 novembre 2012, n. 190</w:t>
      </w:r>
      <w:r w:rsidRPr="004A689C">
        <w:rPr>
          <w:rFonts w:ascii="Times New Roman" w:hAnsi="Times New Roman"/>
          <w:szCs w:val="28"/>
        </w:rPr>
        <w:t>.”.</w:t>
      </w:r>
    </w:p>
    <w:p w:rsidR="00595DB5" w:rsidRPr="004A689C" w:rsidRDefault="00595DB5" w:rsidP="00595DB5">
      <w:pPr>
        <w:rPr>
          <w:rFonts w:ascii="Times New Roman" w:hAnsi="Times New Roman"/>
          <w:szCs w:val="28"/>
        </w:rPr>
      </w:pPr>
      <w:r w:rsidRPr="004A689C">
        <w:rPr>
          <w:rFonts w:ascii="Times New Roman" w:hAnsi="Times New Roman"/>
          <w:szCs w:val="28"/>
        </w:rPr>
        <w:t xml:space="preserve">I dirigenti interessati all'attribuzione dell'incarico oggetto di interpello inviano apposita manifestazione di interesse e disponibilità, secondo le modalità indicate nell’atto di interpello, dichiarando l’insussistenza di eventuali cause di inconferibilità e incompatibilità, nonché possibili situazioni di conflitto di interesse, ovvero la disponibilità a rimuovere le eventuali cause di incompatibilità, in ottemperanza a quanto prescritto nella direttiva 12 aprile 2019 del Presidente del Consiglio dei ministri, recante i criteri e le modalità per il conferimento degli incarichi dirigenziali. Inoltre, i candidati redigono apposita dichiarazione sostitutiva di atto notorio contenente l’elenco degli incarichi d’ufficio ed extra-istituzionali svolti nell’ultimo biennio, gli incarichi in corso, nonché le eventuali condanne penali riportate. </w:t>
      </w:r>
    </w:p>
    <w:p w:rsidR="00595DB5" w:rsidRPr="004A689C" w:rsidRDefault="00595DB5" w:rsidP="00595DB5">
      <w:pPr>
        <w:rPr>
          <w:rFonts w:ascii="Times New Roman" w:hAnsi="Times New Roman"/>
          <w:szCs w:val="28"/>
        </w:rPr>
      </w:pPr>
      <w:r w:rsidRPr="004A689C">
        <w:rPr>
          <w:rFonts w:ascii="Times New Roman" w:hAnsi="Times New Roman"/>
          <w:szCs w:val="28"/>
        </w:rPr>
        <w:t xml:space="preserve">Ai fini del conferimento dell’incarico dirigenziale, i Responsabili delle Strutture verificano l’insussistenza di cause di inconferibilità e di incompatibilità e dell’assenza di situazioni di conflitto di interesse rispetto all’incarico oggetto dell’interpello sulla base delle dichiarazioni ricevute. I dirigenti sovraordinati, ove vengano a conoscenza di situazioni di inconferibilità, anche nel corso del rapporto, o di incompatibilità, ne danno tempestiva comunicazione al DI.P. e al Responsabile per la contestazione all’interessato. </w:t>
      </w:r>
    </w:p>
    <w:p w:rsidR="00595DB5" w:rsidRPr="004A689C" w:rsidRDefault="00595DB5" w:rsidP="00595DB5">
      <w:pPr>
        <w:rPr>
          <w:rFonts w:ascii="Times New Roman" w:hAnsi="Times New Roman"/>
          <w:szCs w:val="28"/>
        </w:rPr>
      </w:pPr>
      <w:r w:rsidRPr="004A689C">
        <w:rPr>
          <w:rFonts w:ascii="Times New Roman" w:hAnsi="Times New Roman"/>
          <w:szCs w:val="28"/>
        </w:rPr>
        <w:t>Ai sensi dell’art. 71 del decreto del Presidente della Repubblica 28 dicembre 2000, n. 445, “</w:t>
      </w:r>
      <w:r w:rsidRPr="004A689C">
        <w:rPr>
          <w:rFonts w:ascii="Times New Roman" w:hAnsi="Times New Roman"/>
          <w:i/>
          <w:szCs w:val="28"/>
        </w:rPr>
        <w:t>Testo unico delle disposizioni legislative e regolamentari in materia di documentazione amministrativa</w:t>
      </w:r>
      <w:r w:rsidRPr="004A689C">
        <w:rPr>
          <w:rFonts w:ascii="Times New Roman" w:hAnsi="Times New Roman"/>
          <w:szCs w:val="28"/>
        </w:rPr>
        <w:t>”</w:t>
      </w:r>
      <w:r w:rsidR="005A1DE3" w:rsidRPr="004A689C">
        <w:rPr>
          <w:rFonts w:ascii="Times New Roman" w:hAnsi="Times New Roman"/>
          <w:szCs w:val="28"/>
        </w:rPr>
        <w:t>,</w:t>
      </w:r>
      <w:r w:rsidRPr="004A689C">
        <w:rPr>
          <w:rFonts w:ascii="Times New Roman" w:hAnsi="Times New Roman"/>
          <w:szCs w:val="28"/>
        </w:rPr>
        <w:t xml:space="preserve"> il DI.P. effettua idonei controlli, anche a campione, sulla veridicità delle dichiarazioni sostitutive in merito all’assenza di cause di inconferibilità e incompatibilità rese in connessione all’incarico. Il controllo è effettuato almeno una volta all’anno sulla base di modalità assentite dal S.G.</w:t>
      </w:r>
    </w:p>
    <w:p w:rsidR="00595DB5" w:rsidRPr="004A689C" w:rsidRDefault="00595DB5" w:rsidP="00595DB5">
      <w:pPr>
        <w:rPr>
          <w:rFonts w:ascii="Times New Roman" w:hAnsi="Times New Roman"/>
          <w:szCs w:val="28"/>
        </w:rPr>
      </w:pPr>
      <w:r w:rsidRPr="004A689C">
        <w:rPr>
          <w:rFonts w:ascii="Times New Roman" w:hAnsi="Times New Roman"/>
          <w:szCs w:val="28"/>
        </w:rPr>
        <w:t xml:space="preserve"> Nell’ambito della relazione di monitoraggio annuale di cui al successivo par. 6, il DI.P. comunica al R.P.C.T. gli esiti dei controlli a campione effettuati. </w:t>
      </w:r>
    </w:p>
    <w:p w:rsidR="00595DB5" w:rsidRPr="004A689C" w:rsidRDefault="00595DB5" w:rsidP="00595DB5">
      <w:pPr>
        <w:rPr>
          <w:rFonts w:ascii="Times New Roman" w:hAnsi="Times New Roman"/>
          <w:szCs w:val="28"/>
        </w:rPr>
      </w:pPr>
      <w:r w:rsidRPr="004A689C">
        <w:rPr>
          <w:rFonts w:ascii="Times New Roman" w:hAnsi="Times New Roman"/>
          <w:szCs w:val="28"/>
        </w:rPr>
        <w:t xml:space="preserve">Le misure che le Strutture devono applicare in fase preventiva al conferimento dell’incarico, nonché le misure che il DI.P. dovrà applicare in sede di verifica annuale </w:t>
      </w:r>
      <w:r w:rsidRPr="00DE7C40">
        <w:rPr>
          <w:rFonts w:ascii="Times New Roman" w:hAnsi="Times New Roman"/>
          <w:szCs w:val="28"/>
        </w:rPr>
        <w:t>sono dettagliate nell</w:t>
      </w:r>
      <w:r w:rsidR="00EF0475" w:rsidRPr="00DE7C40">
        <w:rPr>
          <w:rFonts w:ascii="Times New Roman" w:hAnsi="Times New Roman"/>
          <w:szCs w:val="28"/>
        </w:rPr>
        <w:t>a</w:t>
      </w:r>
      <w:r w:rsidRPr="00DE7C40">
        <w:rPr>
          <w:rFonts w:ascii="Times New Roman" w:hAnsi="Times New Roman"/>
          <w:szCs w:val="28"/>
        </w:rPr>
        <w:t xml:space="preserve"> circolare</w:t>
      </w:r>
      <w:r w:rsidRPr="004A689C">
        <w:rPr>
          <w:rFonts w:ascii="Times New Roman" w:hAnsi="Times New Roman"/>
          <w:szCs w:val="28"/>
        </w:rPr>
        <w:t xml:space="preserve"> prot. U.C.I. n. 2245 del 6 novembre 2017 a firma del S.G., “</w:t>
      </w:r>
      <w:r w:rsidRPr="004A689C">
        <w:rPr>
          <w:rFonts w:ascii="Times New Roman" w:hAnsi="Times New Roman"/>
          <w:i/>
          <w:szCs w:val="28"/>
        </w:rPr>
        <w:t>Dichiarazioni di inconferibilità e di incompatibilità ai sensi del D.Lgs. n. 39/2013 – verifiche alla luce delle linee guida A.N.AC. 3 agosto 2016, n. 833</w:t>
      </w:r>
      <w:r w:rsidRPr="004A689C">
        <w:rPr>
          <w:rFonts w:ascii="Times New Roman" w:hAnsi="Times New Roman"/>
          <w:szCs w:val="28"/>
        </w:rPr>
        <w:t xml:space="preserve">”. </w:t>
      </w:r>
    </w:p>
    <w:p w:rsidR="00595DB5" w:rsidRPr="004A689C" w:rsidRDefault="00595DB5" w:rsidP="00595DB5">
      <w:pPr>
        <w:rPr>
          <w:rFonts w:ascii="Times New Roman" w:hAnsi="Times New Roman"/>
          <w:szCs w:val="28"/>
        </w:rPr>
      </w:pPr>
      <w:r w:rsidRPr="004A689C">
        <w:rPr>
          <w:rFonts w:ascii="Times New Roman" w:hAnsi="Times New Roman"/>
          <w:szCs w:val="28"/>
        </w:rPr>
        <w:t>Al fine di aggiornare gli indirizzi rispetto alla delibera A.N.AC. n. 1201 del 18 dicembre 2019, “</w:t>
      </w:r>
      <w:r w:rsidRPr="004A689C">
        <w:rPr>
          <w:rFonts w:ascii="Times New Roman" w:hAnsi="Times New Roman"/>
          <w:i/>
          <w:szCs w:val="28"/>
        </w:rPr>
        <w:t>Indicazioni per l’applicazione della disciplina delle inconferibilità di incarichi presso le pubbliche amministrazioni e presso gli enti privati in controllo pubblico in caso di condanna per reati contro la pubblica amministrazione – art. 3 D.lgs. n. 39/2013 e art. 35 bis d.lgs. n. 165/2001</w:t>
      </w:r>
      <w:r w:rsidRPr="004A689C">
        <w:rPr>
          <w:rFonts w:ascii="Times New Roman" w:hAnsi="Times New Roman"/>
          <w:szCs w:val="28"/>
        </w:rPr>
        <w:t xml:space="preserve">" e di coordinare gli adempimenti e le verifiche anche rispetto al regime relativo alla formazione di commissioni e assegnazioni agli Uffici di cui all’art. 35 </w:t>
      </w:r>
      <w:r w:rsidRPr="004A689C">
        <w:rPr>
          <w:rFonts w:ascii="Times New Roman" w:hAnsi="Times New Roman"/>
          <w:i/>
          <w:szCs w:val="28"/>
        </w:rPr>
        <w:t>bis</w:t>
      </w:r>
      <w:r w:rsidRPr="004A689C">
        <w:rPr>
          <w:rFonts w:ascii="Times New Roman" w:hAnsi="Times New Roman"/>
          <w:szCs w:val="28"/>
        </w:rPr>
        <w:t xml:space="preserve"> del D.lgs. n. 165/2001, entro il primo semestre del 2021 il R.P.C.T., in collaborazione con il DI.P. e il D.S.S., predispone una circolare finalizzata a fornire ulteriori indicazioni alle Strutture. </w:t>
      </w:r>
    </w:p>
    <w:p w:rsidR="00B91481" w:rsidRPr="00E42DA6" w:rsidRDefault="00B91481" w:rsidP="00162FEC">
      <w:pPr>
        <w:pStyle w:val="Titolo3"/>
        <w:ind w:left="567" w:hanging="567"/>
      </w:pPr>
      <w:bookmarkStart w:id="31" w:name="_Toc468718369"/>
      <w:bookmarkStart w:id="32" w:name="_Toc66721215"/>
      <w:r w:rsidRPr="00E42DA6">
        <w:t>Incarichi affidati nell’ambito degli Uffici di diretta collaborazione</w:t>
      </w:r>
      <w:bookmarkEnd w:id="31"/>
      <w:bookmarkEnd w:id="32"/>
      <w:r w:rsidR="00EE4587" w:rsidRPr="00E42DA6">
        <w:t xml:space="preserve"> </w:t>
      </w:r>
    </w:p>
    <w:p w:rsidR="007B2271" w:rsidRPr="004A689C" w:rsidRDefault="007B2271" w:rsidP="007B2271">
      <w:pPr>
        <w:rPr>
          <w:rFonts w:ascii="Times New Roman" w:hAnsi="Times New Roman"/>
          <w:szCs w:val="28"/>
        </w:rPr>
      </w:pPr>
      <w:r w:rsidRPr="004A689C">
        <w:rPr>
          <w:rFonts w:ascii="Times New Roman" w:hAnsi="Times New Roman"/>
          <w:szCs w:val="28"/>
        </w:rPr>
        <w:t xml:space="preserve">All’atto del conferimento di incarichi di funzione dirigenziale nell’ambito degli Uffici di diretta collaborazione, la Struttura competente deve acquisire apposita dichiarazione di insussistenza di cause di inconferibilità e incompatibilità ai sensi del D.Lgs. </w:t>
      </w:r>
      <w:r w:rsidR="00485EDE" w:rsidRPr="004A689C">
        <w:rPr>
          <w:rFonts w:ascii="Times New Roman" w:hAnsi="Times New Roman"/>
          <w:szCs w:val="28"/>
        </w:rPr>
        <w:t>n. 39</w:t>
      </w:r>
      <w:r w:rsidR="000B666D" w:rsidRPr="004A689C">
        <w:rPr>
          <w:rFonts w:ascii="Times New Roman" w:hAnsi="Times New Roman"/>
          <w:szCs w:val="28"/>
        </w:rPr>
        <w:t xml:space="preserve"> del </w:t>
      </w:r>
      <w:r w:rsidRPr="004A689C">
        <w:rPr>
          <w:rFonts w:ascii="Times New Roman" w:hAnsi="Times New Roman"/>
          <w:szCs w:val="28"/>
        </w:rPr>
        <w:t xml:space="preserve">2013, anche in relazione alle possibili situazioni di conflitto di interesse oppure la disponibilità a rimuovere le eventuali cause di incompatibilità. Inoltre, gli interessati devono elencare, anche attraverso il rinvio al </w:t>
      </w:r>
      <w:r w:rsidRPr="004A689C">
        <w:rPr>
          <w:rFonts w:ascii="Times New Roman" w:hAnsi="Times New Roman"/>
          <w:i/>
          <w:szCs w:val="28"/>
        </w:rPr>
        <w:t>curriculum</w:t>
      </w:r>
      <w:r w:rsidRPr="004A689C">
        <w:rPr>
          <w:rFonts w:ascii="Times New Roman" w:hAnsi="Times New Roman"/>
          <w:szCs w:val="28"/>
        </w:rPr>
        <w:t xml:space="preserve">, gli incarichi d’ufficio ed extra-istituzionali svolti nell’ultimo biennio, gli incarichi in corso, nonché le eventuali condanne penali riportate. </w:t>
      </w:r>
    </w:p>
    <w:p w:rsidR="005673B9" w:rsidRPr="004A689C" w:rsidRDefault="007B2271" w:rsidP="007B2271">
      <w:pPr>
        <w:rPr>
          <w:rFonts w:ascii="Times New Roman" w:hAnsi="Times New Roman"/>
          <w:szCs w:val="28"/>
        </w:rPr>
      </w:pPr>
      <w:r w:rsidRPr="004A689C">
        <w:rPr>
          <w:rFonts w:ascii="Times New Roman" w:hAnsi="Times New Roman"/>
          <w:szCs w:val="28"/>
        </w:rPr>
        <w:t xml:space="preserve">I titolari di incarico e di contratto nell’ambito degli Uffici di diretta collaborazione sono tenuti all’osservanza delle norme contenute nel Codice generale e nel Codice P.C.M. </w:t>
      </w:r>
    </w:p>
    <w:p w:rsidR="00C91EAF" w:rsidRPr="00E42DA6" w:rsidRDefault="00C3372F" w:rsidP="00A52D8C">
      <w:pPr>
        <w:pStyle w:val="Titolo3"/>
        <w:ind w:left="567" w:hanging="567"/>
      </w:pPr>
      <w:bookmarkStart w:id="33" w:name="_Toc66721216"/>
      <w:bookmarkStart w:id="34" w:name="_Toc468718370"/>
      <w:r>
        <w:t xml:space="preserve"> </w:t>
      </w:r>
      <w:r w:rsidR="00C91EAF" w:rsidRPr="00E42DA6">
        <w:t>Formazione di commissioni e assegnazioni agli Uffici</w:t>
      </w:r>
      <w:bookmarkEnd w:id="33"/>
      <w:r w:rsidR="00C91EAF" w:rsidRPr="00E42DA6">
        <w:t xml:space="preserve"> </w:t>
      </w:r>
    </w:p>
    <w:p w:rsidR="00C91EAF" w:rsidRPr="004A689C" w:rsidRDefault="00C91EAF" w:rsidP="00C91EAF">
      <w:pPr>
        <w:rPr>
          <w:rFonts w:ascii="Times New Roman" w:hAnsi="Times New Roman"/>
          <w:bCs/>
          <w:szCs w:val="28"/>
        </w:rPr>
      </w:pPr>
      <w:r w:rsidRPr="004A689C">
        <w:rPr>
          <w:rFonts w:ascii="Times New Roman" w:hAnsi="Times New Roman"/>
          <w:bCs/>
          <w:szCs w:val="28"/>
        </w:rPr>
        <w:t>Ciascuna Struttura cura l’osservanza delle misure prescritte dall’art. 35-</w:t>
      </w:r>
      <w:r w:rsidRPr="004A689C">
        <w:rPr>
          <w:rFonts w:ascii="Times New Roman" w:hAnsi="Times New Roman"/>
          <w:bCs/>
          <w:i/>
          <w:szCs w:val="28"/>
        </w:rPr>
        <w:t>bis</w:t>
      </w:r>
      <w:r w:rsidRPr="004A689C">
        <w:rPr>
          <w:rFonts w:ascii="Times New Roman" w:hAnsi="Times New Roman"/>
          <w:bCs/>
          <w:szCs w:val="28"/>
        </w:rPr>
        <w:t xml:space="preserve"> del D.Lgs. n. 165/2001. In particolare, nel caso di condanna, anche non definitiva, per uno dei reati previsti nel capo I del titolo II del libro II del Codice penale, non è consentito:</w:t>
      </w:r>
    </w:p>
    <w:p w:rsidR="00C91EAF" w:rsidRPr="004A689C" w:rsidRDefault="00C91EAF" w:rsidP="00D4217A">
      <w:pPr>
        <w:numPr>
          <w:ilvl w:val="0"/>
          <w:numId w:val="6"/>
        </w:numPr>
        <w:rPr>
          <w:rFonts w:ascii="Times New Roman" w:hAnsi="Times New Roman"/>
          <w:szCs w:val="28"/>
        </w:rPr>
      </w:pPr>
      <w:r w:rsidRPr="004A689C">
        <w:rPr>
          <w:rFonts w:ascii="Times New Roman" w:hAnsi="Times New Roman"/>
          <w:szCs w:val="28"/>
        </w:rPr>
        <w:t>far parte, anche con compiti di segreteria, di commissioni per l’accesso o la selezione a pubblici impieghi;</w:t>
      </w:r>
    </w:p>
    <w:p w:rsidR="00C91EAF" w:rsidRPr="004A689C" w:rsidRDefault="00C91EAF" w:rsidP="00D4217A">
      <w:pPr>
        <w:numPr>
          <w:ilvl w:val="0"/>
          <w:numId w:val="6"/>
        </w:numPr>
        <w:rPr>
          <w:rFonts w:ascii="Times New Roman" w:hAnsi="Times New Roman"/>
          <w:szCs w:val="28"/>
        </w:rPr>
      </w:pPr>
      <w:r w:rsidRPr="004A689C">
        <w:rPr>
          <w:rFonts w:ascii="Times New Roman" w:hAnsi="Times New Roman"/>
          <w:szCs w:val="28"/>
        </w:rPr>
        <w:t>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C91EAF" w:rsidRPr="004A689C" w:rsidRDefault="00C91EAF" w:rsidP="00D4217A">
      <w:pPr>
        <w:numPr>
          <w:ilvl w:val="0"/>
          <w:numId w:val="6"/>
        </w:numPr>
        <w:rPr>
          <w:rFonts w:ascii="Times New Roman" w:hAnsi="Times New Roman"/>
          <w:szCs w:val="28"/>
        </w:rPr>
      </w:pPr>
      <w:r w:rsidRPr="004A689C">
        <w:rPr>
          <w:rFonts w:ascii="Times New Roman" w:hAnsi="Times New Roman"/>
          <w:szCs w:val="28"/>
        </w:rPr>
        <w:t>far parte di commissioni di gara per l’affidamento di lavori, servizi e forniture, per la concessione o l'erogazione di sovvenzioni, contributi, sussidi, ausili finanziari, nonché per l'attribuzione di vantaggi economici di qualunque genere.</w:t>
      </w:r>
    </w:p>
    <w:p w:rsidR="00C91EAF" w:rsidRPr="004A689C" w:rsidRDefault="00C91EAF" w:rsidP="00C91EAF">
      <w:pPr>
        <w:rPr>
          <w:rFonts w:ascii="Times New Roman" w:hAnsi="Times New Roman"/>
          <w:szCs w:val="28"/>
        </w:rPr>
      </w:pPr>
      <w:r w:rsidRPr="004A689C">
        <w:rPr>
          <w:rFonts w:ascii="Times New Roman" w:hAnsi="Times New Roman"/>
          <w:szCs w:val="28"/>
        </w:rPr>
        <w:t xml:space="preserve">Si richiamano in questa sede le direttive contenute nella circolare DI.P.R.U.S. n. 57241 del 5 dicembre 2014 a firma del S.G. </w:t>
      </w:r>
      <w:r w:rsidRPr="004A689C">
        <w:rPr>
          <w:rFonts w:ascii="Times New Roman" w:hAnsi="Times New Roman"/>
          <w:i/>
          <w:szCs w:val="28"/>
        </w:rPr>
        <w:t>pro-tempore</w:t>
      </w:r>
      <w:r w:rsidRPr="004A689C">
        <w:rPr>
          <w:rFonts w:ascii="Times New Roman" w:hAnsi="Times New Roman"/>
          <w:szCs w:val="28"/>
        </w:rPr>
        <w:t xml:space="preserve"> che ha indicato i criteri per la composizione delle commissioni di gara, precisando che i componenti devono essere nominati nel rispetto dei principi generali di competenza professionale, rotazione, assenza di situazioni di incompatibilità e inconferibilità e terzietà.</w:t>
      </w:r>
    </w:p>
    <w:p w:rsidR="00C91EAF" w:rsidRPr="004A689C" w:rsidRDefault="00C91EAF" w:rsidP="00C91EAF">
      <w:pPr>
        <w:rPr>
          <w:rFonts w:ascii="Times New Roman" w:hAnsi="Times New Roman"/>
          <w:bCs/>
          <w:szCs w:val="28"/>
        </w:rPr>
      </w:pPr>
      <w:r w:rsidRPr="004A689C">
        <w:rPr>
          <w:rFonts w:ascii="Times New Roman" w:hAnsi="Times New Roman"/>
          <w:szCs w:val="28"/>
        </w:rPr>
        <w:t>Al fine di diramare indirizzi aggiornati rispetto alla delibera A.N.AC. n. 1201 del 18 dicembre 2019, “</w:t>
      </w:r>
      <w:r w:rsidRPr="004A689C">
        <w:rPr>
          <w:rFonts w:ascii="Times New Roman" w:hAnsi="Times New Roman"/>
          <w:i/>
          <w:szCs w:val="28"/>
        </w:rPr>
        <w:t>Indicazioni per l’applicazione della disciplina delle inconferibilità di incarichi presso le pubbliche amministrazioni e presso gli enti privati in controllo pubblico in caso di condanna per reati contro la pubblica amministrazione – art. 3 D.lgs. n. 39/2013 e art. 35 bis d.lgs. n. 165/2001</w:t>
      </w:r>
      <w:r w:rsidRPr="004A689C">
        <w:rPr>
          <w:rFonts w:ascii="Times New Roman" w:hAnsi="Times New Roman"/>
          <w:szCs w:val="28"/>
        </w:rPr>
        <w:t xml:space="preserve">" e di coordinare gli adempimenti e le verifiche anche rispetto al regime relativo alle inconferibilità e incompatibilità di cui all’art. 3 del D.lgs. n. 39/2013, entro il primo semestre del 2021 il R.P.C.T., in collaborazione con il DI.P. e il D.S.S., predispone una circolare finalizzata a fornire indicazioni alle Strutture (c.f.r.: par. </w:t>
      </w:r>
      <w:r w:rsidR="00B350F8" w:rsidRPr="004A689C">
        <w:rPr>
          <w:rFonts w:ascii="Times New Roman" w:hAnsi="Times New Roman"/>
          <w:szCs w:val="28"/>
        </w:rPr>
        <w:t>4.1.6</w:t>
      </w:r>
      <w:r w:rsidRPr="004A689C">
        <w:rPr>
          <w:rFonts w:ascii="Times New Roman" w:hAnsi="Times New Roman"/>
          <w:szCs w:val="28"/>
        </w:rPr>
        <w:t>)</w:t>
      </w:r>
    </w:p>
    <w:p w:rsidR="00606B20" w:rsidRPr="00E42DA6" w:rsidRDefault="004151D6" w:rsidP="004151D6">
      <w:pPr>
        <w:pStyle w:val="Titolo3"/>
        <w:ind w:left="709" w:hanging="709"/>
      </w:pPr>
      <w:bookmarkStart w:id="35" w:name="_Toc66721217"/>
      <w:r>
        <w:t>A</w:t>
      </w:r>
      <w:r w:rsidR="00BE7AB8" w:rsidRPr="00E42DA6">
        <w:t xml:space="preserve">ttività successive alla cessazione dal rapporto di lavoro </w:t>
      </w:r>
      <w:r w:rsidR="00606B20" w:rsidRPr="00E42DA6">
        <w:t>(</w:t>
      </w:r>
      <w:r w:rsidR="00606B20" w:rsidRPr="00E42DA6">
        <w:rPr>
          <w:i/>
        </w:rPr>
        <w:t>pantouflage – revolving doors</w:t>
      </w:r>
      <w:r w:rsidR="00606B20" w:rsidRPr="00E42DA6">
        <w:t>)</w:t>
      </w:r>
      <w:bookmarkEnd w:id="34"/>
      <w:bookmarkEnd w:id="35"/>
    </w:p>
    <w:p w:rsidR="00630911" w:rsidRPr="004A689C" w:rsidRDefault="00630911" w:rsidP="00630911">
      <w:pPr>
        <w:rPr>
          <w:rFonts w:ascii="Times New Roman" w:hAnsi="Times New Roman"/>
          <w:szCs w:val="28"/>
        </w:rPr>
      </w:pPr>
      <w:r w:rsidRPr="004A689C">
        <w:rPr>
          <w:rFonts w:ascii="Times New Roman" w:hAnsi="Times New Roman"/>
          <w:szCs w:val="28"/>
        </w:rPr>
        <w:t>L’art. 53, comma 16-</w:t>
      </w:r>
      <w:r w:rsidRPr="004A689C">
        <w:rPr>
          <w:rFonts w:ascii="Times New Roman" w:hAnsi="Times New Roman"/>
          <w:i/>
          <w:szCs w:val="28"/>
        </w:rPr>
        <w:t>bis</w:t>
      </w:r>
      <w:r w:rsidRPr="004A689C">
        <w:rPr>
          <w:rFonts w:ascii="Times New Roman" w:hAnsi="Times New Roman"/>
          <w:szCs w:val="28"/>
        </w:rPr>
        <w:t>, del D.Lgs. n. 165</w:t>
      </w:r>
      <w:r w:rsidR="000B666D" w:rsidRPr="004A689C">
        <w:rPr>
          <w:rFonts w:ascii="Times New Roman" w:hAnsi="Times New Roman"/>
          <w:szCs w:val="28"/>
        </w:rPr>
        <w:t xml:space="preserve"> del </w:t>
      </w:r>
      <w:r w:rsidRPr="004A689C">
        <w:rPr>
          <w:rFonts w:ascii="Times New Roman" w:hAnsi="Times New Roman"/>
          <w:szCs w:val="28"/>
        </w:rPr>
        <w:t xml:space="preserve">2001, c.d. </w:t>
      </w:r>
      <w:r w:rsidRPr="004A689C">
        <w:rPr>
          <w:rFonts w:ascii="Times New Roman" w:hAnsi="Times New Roman"/>
          <w:i/>
          <w:szCs w:val="28"/>
        </w:rPr>
        <w:t>pantouflage - revolving doors</w:t>
      </w:r>
      <w:r w:rsidRPr="004A689C">
        <w:rPr>
          <w:rFonts w:ascii="Times New Roman" w:hAnsi="Times New Roman"/>
          <w:szCs w:val="28"/>
        </w:rPr>
        <w:t xml:space="preserve">, prevede l’attivazione di misure atte a prevenire eventuali accordi fraudolenti tra funzionari e soggetti privati nei cui confronti gli stessi dipendenti abbiano esercitato poteri autoritativi o negoziali nel corso dei tre anni antecedenti la cessazione del rapporto di lavoro. </w:t>
      </w:r>
    </w:p>
    <w:p w:rsidR="00630911" w:rsidRPr="004A689C" w:rsidRDefault="00630911" w:rsidP="00630911">
      <w:pPr>
        <w:rPr>
          <w:rFonts w:ascii="Times New Roman" w:hAnsi="Times New Roman"/>
          <w:szCs w:val="28"/>
        </w:rPr>
      </w:pPr>
      <w:r w:rsidRPr="004A689C">
        <w:rPr>
          <w:rFonts w:ascii="Times New Roman" w:hAnsi="Times New Roman"/>
          <w:szCs w:val="28"/>
        </w:rPr>
        <w:t>La violazione della norma comporta delle pesanti sanzioni consistenti nella nullità del contratto eventualmente stipulato e il divieto, per il soggetto privato, di contrarre con la Pubblica amministrazione per il periodo di tre anni nel caso che abbia contravvenuto alle prescrizioni normative.</w:t>
      </w:r>
    </w:p>
    <w:p w:rsidR="00630911" w:rsidRPr="004A689C" w:rsidRDefault="00630911" w:rsidP="00630911">
      <w:pPr>
        <w:rPr>
          <w:rFonts w:ascii="Times New Roman" w:hAnsi="Times New Roman"/>
          <w:szCs w:val="28"/>
        </w:rPr>
      </w:pPr>
      <w:r w:rsidRPr="004A689C">
        <w:rPr>
          <w:rFonts w:ascii="Times New Roman" w:hAnsi="Times New Roman"/>
          <w:szCs w:val="28"/>
        </w:rPr>
        <w:t xml:space="preserve">Al fine di agevolare e tracciare informaticamente il processo di controllo sull’applicazione della misura del </w:t>
      </w:r>
      <w:r w:rsidRPr="004A689C">
        <w:rPr>
          <w:rFonts w:ascii="Times New Roman" w:hAnsi="Times New Roman"/>
          <w:i/>
          <w:szCs w:val="28"/>
        </w:rPr>
        <w:t xml:space="preserve">pantouflage </w:t>
      </w:r>
      <w:r w:rsidRPr="004A689C">
        <w:rPr>
          <w:rFonts w:ascii="Times New Roman" w:hAnsi="Times New Roman"/>
          <w:szCs w:val="28"/>
        </w:rPr>
        <w:t xml:space="preserve">o </w:t>
      </w:r>
      <w:r w:rsidRPr="004A689C">
        <w:rPr>
          <w:rFonts w:ascii="Times New Roman" w:hAnsi="Times New Roman"/>
          <w:i/>
          <w:szCs w:val="28"/>
        </w:rPr>
        <w:t>revolving doors</w:t>
      </w:r>
      <w:r w:rsidRPr="004A689C">
        <w:rPr>
          <w:rFonts w:ascii="Times New Roman" w:hAnsi="Times New Roman"/>
          <w:szCs w:val="28"/>
        </w:rPr>
        <w:t>, disciplinato dal comma 16-</w:t>
      </w:r>
      <w:r w:rsidRPr="004A689C">
        <w:rPr>
          <w:rFonts w:ascii="Times New Roman" w:hAnsi="Times New Roman"/>
          <w:i/>
          <w:szCs w:val="28"/>
        </w:rPr>
        <w:t>bis</w:t>
      </w:r>
      <w:r w:rsidRPr="004A689C">
        <w:rPr>
          <w:rFonts w:ascii="Times New Roman" w:hAnsi="Times New Roman"/>
          <w:szCs w:val="28"/>
        </w:rPr>
        <w:t xml:space="preserve"> dell’art. 53 del D.Lgs. </w:t>
      </w:r>
      <w:r w:rsidR="00485EDE" w:rsidRPr="004A689C">
        <w:rPr>
          <w:rFonts w:ascii="Times New Roman" w:hAnsi="Times New Roman"/>
          <w:szCs w:val="28"/>
        </w:rPr>
        <w:t>n. 165</w:t>
      </w:r>
      <w:r w:rsidR="000B666D" w:rsidRPr="004A689C">
        <w:rPr>
          <w:rFonts w:ascii="Times New Roman" w:hAnsi="Times New Roman"/>
          <w:szCs w:val="28"/>
        </w:rPr>
        <w:t xml:space="preserve"> del </w:t>
      </w:r>
      <w:r w:rsidRPr="004A689C">
        <w:rPr>
          <w:rFonts w:ascii="Times New Roman" w:hAnsi="Times New Roman"/>
          <w:szCs w:val="28"/>
        </w:rPr>
        <w:t>2001, è stata realizzata una specifica piattaforma informatica, elaborata dall’U</w:t>
      </w:r>
      <w:r w:rsidR="00581883" w:rsidRPr="004A689C">
        <w:rPr>
          <w:rFonts w:ascii="Times New Roman" w:hAnsi="Times New Roman"/>
          <w:szCs w:val="28"/>
        </w:rPr>
        <w:t xml:space="preserve">.I.T. </w:t>
      </w:r>
      <w:r w:rsidRPr="004A689C">
        <w:rPr>
          <w:rFonts w:ascii="Times New Roman" w:hAnsi="Times New Roman"/>
          <w:szCs w:val="28"/>
        </w:rPr>
        <w:t xml:space="preserve">del </w:t>
      </w:r>
      <w:r w:rsidR="00581883" w:rsidRPr="004A689C">
        <w:rPr>
          <w:rFonts w:ascii="Times New Roman" w:hAnsi="Times New Roman"/>
          <w:szCs w:val="28"/>
        </w:rPr>
        <w:t>D.S.S.</w:t>
      </w:r>
      <w:r w:rsidRPr="004A689C">
        <w:rPr>
          <w:rFonts w:ascii="Times New Roman" w:hAnsi="Times New Roman"/>
          <w:szCs w:val="28"/>
        </w:rPr>
        <w:t xml:space="preserve"> che consente alle Strutture, attraverso l’accreditamento di un proprio Referente, l’aggiornamento dei dati. Tale applicativo è entrato a regime a partire dal 1° gennaio 2020, data dalla quale ciascuna Struttura dovrà provvedere autonomamente ad aggiornare in maniera tempestiva i dati di propria competenza.</w:t>
      </w:r>
    </w:p>
    <w:p w:rsidR="00FD55B1" w:rsidRPr="004A689C" w:rsidRDefault="00630911" w:rsidP="00630911">
      <w:pPr>
        <w:rPr>
          <w:rFonts w:ascii="Times New Roman" w:hAnsi="Times New Roman"/>
          <w:szCs w:val="28"/>
        </w:rPr>
      </w:pPr>
      <w:r w:rsidRPr="004A689C">
        <w:rPr>
          <w:rFonts w:ascii="Times New Roman" w:hAnsi="Times New Roman"/>
          <w:szCs w:val="28"/>
        </w:rPr>
        <w:t>In data 30 giugno 2020 è partita una formale ricognizione presso tutte le Strutture, come previsto dal paragrafo 5.18 del P</w:t>
      </w:r>
      <w:r w:rsidR="00581883" w:rsidRPr="004A689C">
        <w:rPr>
          <w:rFonts w:ascii="Times New Roman" w:hAnsi="Times New Roman"/>
          <w:szCs w:val="28"/>
        </w:rPr>
        <w:t>.</w:t>
      </w:r>
      <w:r w:rsidRPr="004A689C">
        <w:rPr>
          <w:rFonts w:ascii="Times New Roman" w:hAnsi="Times New Roman"/>
          <w:szCs w:val="28"/>
        </w:rPr>
        <w:t>T</w:t>
      </w:r>
      <w:r w:rsidR="00581883" w:rsidRPr="004A689C">
        <w:rPr>
          <w:rFonts w:ascii="Times New Roman" w:hAnsi="Times New Roman"/>
          <w:szCs w:val="28"/>
        </w:rPr>
        <w:t>.</w:t>
      </w:r>
      <w:r w:rsidRPr="004A689C">
        <w:rPr>
          <w:rFonts w:ascii="Times New Roman" w:hAnsi="Times New Roman"/>
          <w:szCs w:val="28"/>
        </w:rPr>
        <w:t>P</w:t>
      </w:r>
      <w:r w:rsidR="00581883" w:rsidRPr="004A689C">
        <w:rPr>
          <w:rFonts w:ascii="Times New Roman" w:hAnsi="Times New Roman"/>
          <w:szCs w:val="28"/>
        </w:rPr>
        <w:t>.</w:t>
      </w:r>
      <w:r w:rsidRPr="004A689C">
        <w:rPr>
          <w:rFonts w:ascii="Times New Roman" w:hAnsi="Times New Roman"/>
          <w:szCs w:val="28"/>
        </w:rPr>
        <w:t>C</w:t>
      </w:r>
      <w:r w:rsidR="00581883" w:rsidRPr="004A689C">
        <w:rPr>
          <w:rFonts w:ascii="Times New Roman" w:hAnsi="Times New Roman"/>
          <w:szCs w:val="28"/>
        </w:rPr>
        <w:t>.</w:t>
      </w:r>
      <w:r w:rsidRPr="004A689C">
        <w:rPr>
          <w:rFonts w:ascii="Times New Roman" w:hAnsi="Times New Roman"/>
          <w:szCs w:val="28"/>
        </w:rPr>
        <w:t>T</w:t>
      </w:r>
      <w:r w:rsidR="00581883" w:rsidRPr="004A689C">
        <w:rPr>
          <w:rFonts w:ascii="Times New Roman" w:hAnsi="Times New Roman"/>
          <w:szCs w:val="28"/>
        </w:rPr>
        <w:t>.</w:t>
      </w:r>
      <w:r w:rsidRPr="004A689C">
        <w:rPr>
          <w:rFonts w:ascii="Times New Roman" w:hAnsi="Times New Roman"/>
          <w:szCs w:val="28"/>
        </w:rPr>
        <w:t xml:space="preserve"> in cui le stesse hanno aggiornato l’elenco dei dirigenti e dei funzionari che hanno esercitato poteri autoritativi inserendo i dati nell’apposito applicativo.</w:t>
      </w:r>
    </w:p>
    <w:p w:rsidR="00531C1C" w:rsidRPr="004A689C" w:rsidRDefault="00630911" w:rsidP="00531C1C">
      <w:pPr>
        <w:rPr>
          <w:rFonts w:ascii="Times New Roman" w:hAnsi="Times New Roman"/>
          <w:szCs w:val="28"/>
        </w:rPr>
      </w:pPr>
      <w:r w:rsidRPr="004A689C">
        <w:rPr>
          <w:rFonts w:ascii="Times New Roman" w:hAnsi="Times New Roman"/>
          <w:szCs w:val="28"/>
        </w:rPr>
        <w:t>Inoltre, in linea con quanto previsto dal P.T.P.C.</w:t>
      </w:r>
      <w:r w:rsidR="00485EDE" w:rsidRPr="004A689C">
        <w:rPr>
          <w:rFonts w:ascii="Times New Roman" w:hAnsi="Times New Roman"/>
          <w:szCs w:val="28"/>
        </w:rPr>
        <w:t>T.</w:t>
      </w:r>
      <w:r w:rsidRPr="004A689C">
        <w:rPr>
          <w:rFonts w:ascii="Times New Roman" w:hAnsi="Times New Roman"/>
          <w:szCs w:val="28"/>
        </w:rPr>
        <w:t xml:space="preserve"> 2019-2021, il </w:t>
      </w:r>
      <w:r w:rsidR="00485EDE" w:rsidRPr="004A689C">
        <w:rPr>
          <w:rFonts w:ascii="Times New Roman" w:hAnsi="Times New Roman"/>
          <w:szCs w:val="28"/>
        </w:rPr>
        <w:t>DI.P.</w:t>
      </w:r>
      <w:r w:rsidRPr="004A689C">
        <w:rPr>
          <w:rFonts w:ascii="Times New Roman" w:hAnsi="Times New Roman"/>
          <w:szCs w:val="28"/>
        </w:rPr>
        <w:t xml:space="preserve"> ha realizzato in condivisione con il R.P.C.T. un</w:t>
      </w:r>
      <w:r w:rsidRPr="004A689C">
        <w:rPr>
          <w:rFonts w:ascii="Times New Roman" w:hAnsi="Times New Roman"/>
          <w:i/>
          <w:szCs w:val="28"/>
        </w:rPr>
        <w:t xml:space="preserve"> format</w:t>
      </w:r>
      <w:r w:rsidRPr="004A689C">
        <w:rPr>
          <w:rFonts w:ascii="Times New Roman" w:hAnsi="Times New Roman"/>
          <w:szCs w:val="28"/>
        </w:rPr>
        <w:t xml:space="preserve"> per la sottoscrizione da parte dei dipendenti di una “Dichiarazione di impegno al rispetto del divieto di “</w:t>
      </w:r>
      <w:r w:rsidRPr="004A689C">
        <w:rPr>
          <w:rFonts w:ascii="Times New Roman" w:hAnsi="Times New Roman"/>
          <w:i/>
          <w:szCs w:val="28"/>
        </w:rPr>
        <w:t>pantouflage</w:t>
      </w:r>
      <w:r w:rsidRPr="004A689C">
        <w:rPr>
          <w:rFonts w:ascii="Times New Roman" w:hAnsi="Times New Roman"/>
          <w:szCs w:val="28"/>
        </w:rPr>
        <w:t>”, utilizzata a decorrere dal secondo semestre 2019 e conservata agli atti del DI.P.</w:t>
      </w:r>
      <w:r w:rsidR="000B666D" w:rsidRPr="004A689C">
        <w:rPr>
          <w:rFonts w:ascii="Times New Roman" w:hAnsi="Times New Roman"/>
          <w:szCs w:val="28"/>
        </w:rPr>
        <w:t xml:space="preserve"> </w:t>
      </w:r>
      <w:r w:rsidR="00531C1C" w:rsidRPr="004A689C">
        <w:rPr>
          <w:rFonts w:ascii="Times New Roman" w:hAnsi="Times New Roman"/>
          <w:szCs w:val="28"/>
        </w:rPr>
        <w:t>Tale dichiarazione viene acquisita dal trattamento giuridico al momento del pensionamento.</w:t>
      </w:r>
    </w:p>
    <w:p w:rsidR="0067201F" w:rsidRPr="00E42DA6" w:rsidRDefault="00C3372F" w:rsidP="00BE5F27">
      <w:pPr>
        <w:pStyle w:val="Titolo3"/>
        <w:ind w:left="426" w:hanging="426"/>
      </w:pPr>
      <w:bookmarkStart w:id="36" w:name="_Toc409978646"/>
      <w:bookmarkStart w:id="37" w:name="_Toc66721218"/>
      <w:r>
        <w:t xml:space="preserve">  </w:t>
      </w:r>
      <w:r w:rsidR="0067201F" w:rsidRPr="00E42DA6">
        <w:t>Ricorso all’arbitrato</w:t>
      </w:r>
      <w:r w:rsidR="00580FC5" w:rsidRPr="00E42DA6">
        <w:t xml:space="preserve"> con modalità che ne assicurino </w:t>
      </w:r>
      <w:r w:rsidR="0067201F" w:rsidRPr="00E42DA6">
        <w:t>la pubblicità e la rotazione degli incarichi</w:t>
      </w:r>
      <w:bookmarkEnd w:id="36"/>
      <w:bookmarkEnd w:id="37"/>
      <w:r w:rsidR="00EE4587" w:rsidRPr="00E42DA6">
        <w:t xml:space="preserve"> </w:t>
      </w:r>
    </w:p>
    <w:p w:rsidR="00413FEE" w:rsidRPr="004A689C" w:rsidRDefault="00413FEE" w:rsidP="00413FEE">
      <w:pPr>
        <w:rPr>
          <w:rFonts w:ascii="Times New Roman" w:hAnsi="Times New Roman"/>
          <w:szCs w:val="28"/>
        </w:rPr>
      </w:pPr>
      <w:r w:rsidRPr="004A689C">
        <w:rPr>
          <w:rFonts w:ascii="Times New Roman" w:hAnsi="Times New Roman"/>
          <w:szCs w:val="28"/>
        </w:rPr>
        <w:t>Gli Uffici che svolgono attività nell’ambito dell’area di rischio “contratti pubblici”, qualora inseriscano negli atti di gara di loro competenza clausole arbitrali, sono tenuti al rispetto dei principi generali di pubblicità e rotazione nella nomina degli arbitri. Nel mese di novembre tutte le Strutture sono tenute a comunicare al Responsabile</w:t>
      </w:r>
      <w:r w:rsidR="00F94A7F" w:rsidRPr="004A689C">
        <w:rPr>
          <w:rFonts w:ascii="Times New Roman" w:hAnsi="Times New Roman"/>
          <w:szCs w:val="28"/>
        </w:rPr>
        <w:t xml:space="preserve"> nell’ambito della relazione finale dei Capi delle Strutture sullo stato di attuazione delle misure di prevenzione di cui al successivo paragrafo 6</w:t>
      </w:r>
      <w:r w:rsidRPr="004A689C">
        <w:rPr>
          <w:rFonts w:ascii="Times New Roman" w:hAnsi="Times New Roman"/>
          <w:szCs w:val="28"/>
        </w:rPr>
        <w:t>:</w:t>
      </w:r>
    </w:p>
    <w:p w:rsidR="00413FEE" w:rsidRPr="004A689C" w:rsidRDefault="00413FEE" w:rsidP="00413FEE">
      <w:pPr>
        <w:rPr>
          <w:rFonts w:ascii="Times New Roman" w:hAnsi="Times New Roman"/>
          <w:szCs w:val="28"/>
        </w:rPr>
      </w:pPr>
      <w:r w:rsidRPr="004A689C">
        <w:rPr>
          <w:rFonts w:ascii="Times New Roman" w:hAnsi="Times New Roman"/>
          <w:szCs w:val="28"/>
        </w:rPr>
        <w:t>1)</w:t>
      </w:r>
      <w:r w:rsidRPr="004A689C">
        <w:rPr>
          <w:rFonts w:ascii="Times New Roman" w:hAnsi="Times New Roman"/>
          <w:szCs w:val="28"/>
        </w:rPr>
        <w:tab/>
        <w:t>se sono state inserite clausole arbitrali nei contratti stipulati nell’anno in corso;</w:t>
      </w:r>
    </w:p>
    <w:p w:rsidR="00842A60" w:rsidRPr="004A689C" w:rsidRDefault="00413FEE" w:rsidP="00842A60">
      <w:pPr>
        <w:rPr>
          <w:rFonts w:ascii="Times New Roman" w:hAnsi="Times New Roman"/>
          <w:szCs w:val="28"/>
        </w:rPr>
      </w:pPr>
      <w:r w:rsidRPr="004A689C">
        <w:rPr>
          <w:rFonts w:ascii="Times New Roman" w:hAnsi="Times New Roman"/>
          <w:szCs w:val="28"/>
        </w:rPr>
        <w:t>2)</w:t>
      </w:r>
      <w:r w:rsidRPr="004A689C">
        <w:rPr>
          <w:rFonts w:ascii="Times New Roman" w:hAnsi="Times New Roman"/>
          <w:szCs w:val="28"/>
        </w:rPr>
        <w:tab/>
        <w:t>se sono stati nominati arbitri e se tali arbitri sono stati nominati tra dirigenti pubblici o estranei all’Amministrazione;</w:t>
      </w:r>
    </w:p>
    <w:p w:rsidR="00212DB1" w:rsidRPr="004A689C" w:rsidRDefault="00413FEE" w:rsidP="00842A60">
      <w:pPr>
        <w:rPr>
          <w:rFonts w:ascii="Times New Roman" w:hAnsi="Times New Roman"/>
          <w:szCs w:val="28"/>
        </w:rPr>
      </w:pPr>
      <w:r w:rsidRPr="004A689C">
        <w:rPr>
          <w:rFonts w:ascii="Times New Roman" w:hAnsi="Times New Roman"/>
          <w:szCs w:val="28"/>
        </w:rPr>
        <w:t>3)</w:t>
      </w:r>
      <w:r w:rsidRPr="004A689C">
        <w:rPr>
          <w:rFonts w:ascii="Times New Roman" w:hAnsi="Times New Roman"/>
          <w:szCs w:val="28"/>
        </w:rPr>
        <w:tab/>
        <w:t>se per gli incarichi di arbitrato affidati è stata effettuata la rotazione e se tale rotazione è avvenuta secondo criteri di pubblicità.</w:t>
      </w:r>
      <w:r w:rsidR="00212DB1" w:rsidRPr="004A689C">
        <w:rPr>
          <w:rFonts w:ascii="Times New Roman" w:hAnsi="Times New Roman"/>
          <w:szCs w:val="28"/>
        </w:rPr>
        <w:t xml:space="preserve"> </w:t>
      </w:r>
    </w:p>
    <w:p w:rsidR="007A0BF4" w:rsidRPr="00E42DA6" w:rsidRDefault="00C54855" w:rsidP="00BE5F27">
      <w:pPr>
        <w:pStyle w:val="Titolo3"/>
        <w:ind w:left="1418" w:hanging="992"/>
      </w:pPr>
      <w:bookmarkStart w:id="38" w:name="_Toc66721219"/>
      <w:r w:rsidRPr="00E42DA6">
        <w:t>Il rispetto dei termini procedimentali</w:t>
      </w:r>
      <w:bookmarkEnd w:id="38"/>
      <w:r w:rsidRPr="00E42DA6">
        <w:t xml:space="preserve"> </w:t>
      </w:r>
    </w:p>
    <w:p w:rsidR="007A1A57" w:rsidRPr="004A689C" w:rsidRDefault="00FD55B1" w:rsidP="007A1A57">
      <w:pPr>
        <w:rPr>
          <w:rFonts w:ascii="Times New Roman" w:hAnsi="Times New Roman"/>
          <w:szCs w:val="28"/>
        </w:rPr>
      </w:pPr>
      <w:r w:rsidRPr="004A689C">
        <w:rPr>
          <w:rFonts w:ascii="Times New Roman" w:hAnsi="Times New Roman"/>
          <w:szCs w:val="28"/>
        </w:rPr>
        <w:t>L</w:t>
      </w:r>
      <w:r w:rsidR="007A1A57" w:rsidRPr="004A689C">
        <w:rPr>
          <w:rFonts w:ascii="Times New Roman" w:hAnsi="Times New Roman"/>
          <w:szCs w:val="28"/>
        </w:rPr>
        <w:t xml:space="preserve">a disciplina generale dei termini di conclusione del procedimento trova il suo fondamento normativo negli artt. 1 e 2 della </w:t>
      </w:r>
      <w:r w:rsidR="007A1A57" w:rsidRPr="004A689C">
        <w:rPr>
          <w:rFonts w:ascii="Times New Roman" w:hAnsi="Times New Roman"/>
          <w:bCs/>
          <w:szCs w:val="28"/>
        </w:rPr>
        <w:t xml:space="preserve">legge 7 agosto 1990, n. 241, </w:t>
      </w:r>
      <w:r w:rsidR="007A1A57" w:rsidRPr="004A689C">
        <w:rPr>
          <w:rFonts w:ascii="Times New Roman" w:hAnsi="Times New Roman"/>
          <w:bCs/>
          <w:i/>
          <w:szCs w:val="28"/>
        </w:rPr>
        <w:t xml:space="preserve">(Nuove norme in materia di procedimento amministrativo e di diritto di accesso ai documenti amministrativi). </w:t>
      </w:r>
      <w:r w:rsidR="007A1A57" w:rsidRPr="004A689C">
        <w:rPr>
          <w:rFonts w:ascii="Times New Roman" w:hAnsi="Times New Roman"/>
          <w:bCs/>
          <w:szCs w:val="28"/>
        </w:rPr>
        <w:t xml:space="preserve">L’art. 2, in particolare, esplicita </w:t>
      </w:r>
      <w:r w:rsidR="007A1A57" w:rsidRPr="004A689C">
        <w:rPr>
          <w:rFonts w:ascii="Times New Roman" w:hAnsi="Times New Roman"/>
          <w:szCs w:val="28"/>
        </w:rPr>
        <w:t>il fondamentale principio della certezza del tempo dell’azione amministrativa.</w:t>
      </w:r>
    </w:p>
    <w:p w:rsidR="007A1A57" w:rsidRPr="004A689C" w:rsidRDefault="007A1A57" w:rsidP="007A1A57">
      <w:pPr>
        <w:rPr>
          <w:rFonts w:ascii="Times New Roman" w:hAnsi="Times New Roman"/>
          <w:szCs w:val="28"/>
        </w:rPr>
      </w:pPr>
      <w:r w:rsidRPr="004A689C">
        <w:rPr>
          <w:rFonts w:ascii="Times New Roman" w:hAnsi="Times New Roman"/>
          <w:szCs w:val="28"/>
        </w:rPr>
        <w:t>Con tale disposizione si impone un termine certo per la conclusione dei procedimenti e si prevede che ciascuna amministrazione regoli i procedimenti di propria competenza</w:t>
      </w:r>
      <w:r w:rsidR="005A1DE3" w:rsidRPr="004A689C">
        <w:rPr>
          <w:rFonts w:ascii="Times New Roman" w:hAnsi="Times New Roman"/>
          <w:szCs w:val="28"/>
        </w:rPr>
        <w:t>,</w:t>
      </w:r>
      <w:r w:rsidRPr="004A689C">
        <w:rPr>
          <w:rFonts w:ascii="Times New Roman" w:hAnsi="Times New Roman"/>
          <w:szCs w:val="28"/>
        </w:rPr>
        <w:t xml:space="preserve"> con norme di carattere secondario. In mancanza, si applica il termine di 30 giorni stabilito direttamente dalla legge.</w:t>
      </w:r>
    </w:p>
    <w:p w:rsidR="007A1A57" w:rsidRPr="00DE7C40" w:rsidRDefault="007A1A57" w:rsidP="007A1A57">
      <w:pPr>
        <w:autoSpaceDE w:val="0"/>
        <w:autoSpaceDN w:val="0"/>
        <w:adjustRightInd w:val="0"/>
        <w:rPr>
          <w:rFonts w:ascii="Times New Roman" w:eastAsiaTheme="minorHAnsi" w:hAnsi="Times New Roman"/>
          <w:szCs w:val="28"/>
          <w:lang w:eastAsia="en-US"/>
        </w:rPr>
      </w:pPr>
      <w:r w:rsidRPr="004A689C">
        <w:rPr>
          <w:rFonts w:ascii="Times New Roman" w:eastAsiaTheme="minorHAnsi" w:hAnsi="Times New Roman"/>
          <w:szCs w:val="28"/>
          <w:lang w:eastAsia="en-US"/>
        </w:rPr>
        <w:t xml:space="preserve">Il rispetto dei tempi di conclusione dei procedimenti deve essere monitorato in maniera continuativa e, qualora emergessero delle criticità, occorre un intervento tempestivo; esso rappresenta </w:t>
      </w:r>
      <w:r w:rsidRPr="00DE7C40">
        <w:rPr>
          <w:rFonts w:ascii="Times New Roman" w:eastAsiaTheme="minorHAnsi" w:hAnsi="Times New Roman"/>
          <w:szCs w:val="28"/>
          <w:lang w:eastAsia="en-US"/>
        </w:rPr>
        <w:t>una misura di prevenzione della corruzione e discende dall’art. 1, comma 28, della L</w:t>
      </w:r>
      <w:r w:rsidR="009867B5" w:rsidRPr="00DE7C40">
        <w:rPr>
          <w:rFonts w:ascii="Times New Roman" w:eastAsiaTheme="minorHAnsi" w:hAnsi="Times New Roman"/>
          <w:szCs w:val="28"/>
          <w:lang w:eastAsia="en-US"/>
        </w:rPr>
        <w:t>.</w:t>
      </w:r>
      <w:r w:rsidRPr="00DE7C40">
        <w:rPr>
          <w:rFonts w:ascii="Times New Roman" w:eastAsiaTheme="minorHAnsi" w:hAnsi="Times New Roman"/>
          <w:szCs w:val="28"/>
          <w:lang w:eastAsia="en-US"/>
        </w:rPr>
        <w:t xml:space="preserve"> n. 190/2012, il quale al primo periodo stabilisce che “</w:t>
      </w:r>
      <w:r w:rsidRPr="00DE7C40">
        <w:rPr>
          <w:rFonts w:ascii="Times New Roman" w:eastAsiaTheme="minorHAnsi" w:hAnsi="Times New Roman"/>
          <w:i/>
          <w:szCs w:val="28"/>
          <w:lang w:eastAsia="en-US"/>
        </w:rPr>
        <w:t>Le amministrazioni provvedono altresì al monitoraggio periodico del rispetto dei tempi procedimentali attraverso la tempestiva eliminazione delle anomalie.”</w:t>
      </w:r>
      <w:r w:rsidRPr="00DE7C40">
        <w:rPr>
          <w:rFonts w:ascii="Times New Roman" w:eastAsiaTheme="minorHAnsi" w:hAnsi="Times New Roman"/>
          <w:szCs w:val="28"/>
          <w:lang w:eastAsia="en-US"/>
        </w:rPr>
        <w:t xml:space="preserve">. </w:t>
      </w:r>
    </w:p>
    <w:p w:rsidR="007A1A57" w:rsidRPr="00DE7C40" w:rsidRDefault="007A1A57" w:rsidP="007A1A57">
      <w:pPr>
        <w:autoSpaceDE w:val="0"/>
        <w:autoSpaceDN w:val="0"/>
        <w:adjustRightInd w:val="0"/>
        <w:rPr>
          <w:rFonts w:ascii="Times New Roman" w:eastAsiaTheme="minorHAnsi" w:hAnsi="Times New Roman"/>
          <w:szCs w:val="28"/>
          <w:lang w:eastAsia="en-US"/>
        </w:rPr>
      </w:pPr>
      <w:r w:rsidRPr="00DE7C40">
        <w:rPr>
          <w:rFonts w:ascii="Times New Roman" w:eastAsiaTheme="minorHAnsi" w:hAnsi="Times New Roman"/>
          <w:szCs w:val="28"/>
          <w:lang w:eastAsia="en-US"/>
        </w:rPr>
        <w:t>Sempre dalla medesima disposizione discende l’obbligo di pubblicare gli esiti del monitoraggio. In proposito, l’abrogazione dell’art. 24 del D</w:t>
      </w:r>
      <w:r w:rsidRPr="00DE7C40">
        <w:rPr>
          <w:rFonts w:ascii="Times New Roman" w:hAnsi="Times New Roman"/>
          <w:szCs w:val="28"/>
        </w:rPr>
        <w:t xml:space="preserve">.Lgs. </w:t>
      </w:r>
      <w:r w:rsidR="005A1DE3" w:rsidRPr="00DE7C40">
        <w:rPr>
          <w:rFonts w:ascii="Times New Roman" w:hAnsi="Times New Roman"/>
          <w:szCs w:val="28"/>
        </w:rPr>
        <w:t xml:space="preserve">n. </w:t>
      </w:r>
      <w:r w:rsidRPr="00DE7C40">
        <w:rPr>
          <w:rFonts w:ascii="Times New Roman" w:hAnsi="Times New Roman"/>
          <w:szCs w:val="28"/>
        </w:rPr>
        <w:t>33/2013</w:t>
      </w:r>
      <w:r w:rsidR="005A1DE3" w:rsidRPr="00DE7C40">
        <w:rPr>
          <w:rFonts w:ascii="Times New Roman" w:hAnsi="Times New Roman"/>
          <w:szCs w:val="28"/>
        </w:rPr>
        <w:t>,</w:t>
      </w:r>
      <w:r w:rsidRPr="00DE7C40">
        <w:rPr>
          <w:rFonts w:ascii="Times New Roman" w:hAnsi="Times New Roman"/>
          <w:szCs w:val="28"/>
        </w:rPr>
        <w:t xml:space="preserve"> da parte dell’art. 43 del D.Lgs. </w:t>
      </w:r>
      <w:r w:rsidR="005A1DE3" w:rsidRPr="00DE7C40">
        <w:rPr>
          <w:rFonts w:ascii="Times New Roman" w:hAnsi="Times New Roman"/>
          <w:szCs w:val="28"/>
        </w:rPr>
        <w:t xml:space="preserve">n. </w:t>
      </w:r>
      <w:r w:rsidRPr="00DE7C40">
        <w:rPr>
          <w:rFonts w:ascii="Times New Roman" w:hAnsi="Times New Roman"/>
          <w:szCs w:val="28"/>
        </w:rPr>
        <w:t>97/2016</w:t>
      </w:r>
      <w:r w:rsidR="005A1DE3" w:rsidRPr="00DE7C40">
        <w:rPr>
          <w:rFonts w:ascii="Times New Roman" w:hAnsi="Times New Roman"/>
          <w:szCs w:val="28"/>
        </w:rPr>
        <w:t>,</w:t>
      </w:r>
      <w:r w:rsidRPr="00DE7C40">
        <w:rPr>
          <w:rFonts w:ascii="Times New Roman" w:hAnsi="Times New Roman"/>
          <w:szCs w:val="28"/>
        </w:rPr>
        <w:t xml:space="preserve"> non sopprime l’obbligo di pubblicazione in </w:t>
      </w:r>
      <w:r w:rsidRPr="00DE7C40">
        <w:rPr>
          <w:rFonts w:ascii="Times New Roman" w:eastAsiaTheme="minorHAnsi" w:hAnsi="Times New Roman"/>
          <w:szCs w:val="28"/>
          <w:lang w:eastAsia="en-US"/>
        </w:rPr>
        <w:t>quanto lo stesso tra</w:t>
      </w:r>
      <w:r w:rsidR="009260C5" w:rsidRPr="00DE7C40">
        <w:rPr>
          <w:rFonts w:ascii="Times New Roman" w:eastAsiaTheme="minorHAnsi" w:hAnsi="Times New Roman"/>
          <w:szCs w:val="28"/>
          <w:lang w:eastAsia="en-US"/>
        </w:rPr>
        <w:t>e</w:t>
      </w:r>
      <w:r w:rsidRPr="00DE7C40">
        <w:rPr>
          <w:rFonts w:ascii="Times New Roman" w:eastAsiaTheme="minorHAnsi" w:hAnsi="Times New Roman"/>
          <w:szCs w:val="28"/>
          <w:lang w:eastAsia="en-US"/>
        </w:rPr>
        <w:t xml:space="preserve"> origine proprio dalla precedente L. n. 190. Infatti, il già richiamato art. 1, comma 28, al secondo periodo stabilisce che “</w:t>
      </w:r>
      <w:r w:rsidRPr="00DE7C40">
        <w:rPr>
          <w:rFonts w:ascii="Times New Roman" w:eastAsiaTheme="minorHAnsi" w:hAnsi="Times New Roman"/>
          <w:i/>
          <w:szCs w:val="28"/>
          <w:lang w:eastAsia="en-US"/>
        </w:rPr>
        <w:t>I risultati del monitoraggio sono consultabili nel sito web istituzionale di ciascuna amministrazione</w:t>
      </w:r>
      <w:r w:rsidRPr="00DE7C40">
        <w:rPr>
          <w:rFonts w:ascii="Times New Roman" w:eastAsiaTheme="minorHAnsi" w:hAnsi="Times New Roman"/>
          <w:szCs w:val="28"/>
          <w:lang w:eastAsia="en-US"/>
        </w:rPr>
        <w:t xml:space="preserve">.”.   </w:t>
      </w:r>
    </w:p>
    <w:p w:rsidR="007A1A57" w:rsidRPr="00DE7C40" w:rsidRDefault="007A1A57" w:rsidP="007A1A57">
      <w:pPr>
        <w:rPr>
          <w:rFonts w:ascii="Times New Roman" w:hAnsi="Times New Roman"/>
          <w:szCs w:val="28"/>
        </w:rPr>
      </w:pPr>
      <w:r w:rsidRPr="00DE7C40">
        <w:rPr>
          <w:rFonts w:ascii="Times New Roman" w:hAnsi="Times New Roman"/>
          <w:szCs w:val="28"/>
        </w:rPr>
        <w:t>Pertanto, ciascuna Struttura deve provvedere al monitoraggio periodico del rispetto dei tempi procedimentali di propria competenza e procedere alla tempestiva eliminazione delle anomalie.</w:t>
      </w:r>
      <w:r w:rsidRPr="00DE7C40">
        <w:rPr>
          <w:rFonts w:ascii="Times New Roman" w:hAnsi="Times New Roman"/>
          <w:color w:val="FF0000"/>
          <w:szCs w:val="28"/>
        </w:rPr>
        <w:t xml:space="preserve"> </w:t>
      </w:r>
      <w:r w:rsidRPr="00DE7C40">
        <w:rPr>
          <w:rFonts w:ascii="Times New Roman" w:hAnsi="Times New Roman"/>
          <w:szCs w:val="28"/>
        </w:rPr>
        <w:t xml:space="preserve">Fermo restando che i responsabili dei singoli procedimenti e i titolari del potere sostitutivo nell’ambito delle </w:t>
      </w:r>
      <w:r w:rsidR="003F2C78" w:rsidRPr="00DE7C40">
        <w:rPr>
          <w:rFonts w:ascii="Times New Roman" w:hAnsi="Times New Roman"/>
          <w:szCs w:val="28"/>
        </w:rPr>
        <w:t>S</w:t>
      </w:r>
      <w:r w:rsidRPr="00DE7C40">
        <w:rPr>
          <w:rFonts w:ascii="Times New Roman" w:hAnsi="Times New Roman"/>
          <w:szCs w:val="28"/>
        </w:rPr>
        <w:t>trutture della P.C.M sono stati individuati con il D.P.C.M. 8 giugno 2015 (“</w:t>
      </w:r>
      <w:r w:rsidRPr="00DE7C40">
        <w:rPr>
          <w:rFonts w:ascii="Times New Roman" w:hAnsi="Times New Roman"/>
          <w:i/>
          <w:szCs w:val="28"/>
        </w:rPr>
        <w:t>Regolamento riguardante l'individuazione del responsabile del procedimento amministrativo e del titolare del potere sostitutivo, ai sensi dell'articolo 4 e dell'articolo 2, comma 9-bis, della legge 7 agosto 1990, n. 241, per i procedimenti amministrativi di competenza della Presidenza del Consiglio dei ministri</w:t>
      </w:r>
      <w:r w:rsidRPr="00DE7C40">
        <w:rPr>
          <w:rFonts w:ascii="Times New Roman" w:hAnsi="Times New Roman"/>
          <w:szCs w:val="28"/>
        </w:rPr>
        <w:t xml:space="preserve">”), pubblicato nella G.U. 24 novembre 2015, n. 274, il monitoraggio deve essere effettuato con cadenza semestrale o, nel caso di procedimenti con termine di conclusione a 180 giorni, con cadenza annuale. </w:t>
      </w:r>
    </w:p>
    <w:p w:rsidR="007A1A57" w:rsidRPr="00DE7C40" w:rsidRDefault="007A1A57" w:rsidP="007A1A57">
      <w:pPr>
        <w:autoSpaceDE w:val="0"/>
        <w:autoSpaceDN w:val="0"/>
        <w:adjustRightInd w:val="0"/>
        <w:rPr>
          <w:rFonts w:ascii="Times New Roman" w:eastAsiaTheme="minorHAnsi" w:hAnsi="Times New Roman"/>
          <w:i/>
          <w:iCs/>
          <w:szCs w:val="28"/>
          <w:lang w:eastAsia="en-US"/>
        </w:rPr>
      </w:pPr>
      <w:r w:rsidRPr="00DE7C40">
        <w:rPr>
          <w:rFonts w:ascii="Times New Roman" w:hAnsi="Times New Roman"/>
          <w:szCs w:val="28"/>
        </w:rPr>
        <w:t>I risultati del monitoraggio debbono essere pubblicati in Amministrazione trasparente – sezione “Altri contenuti” con cadenza semestrale.</w:t>
      </w:r>
      <w:r w:rsidRPr="00DE7C40">
        <w:rPr>
          <w:rFonts w:ascii="Times New Roman" w:eastAsiaTheme="minorHAnsi" w:hAnsi="Times New Roman"/>
          <w:i/>
          <w:iCs/>
          <w:szCs w:val="28"/>
          <w:lang w:eastAsia="en-US"/>
        </w:rPr>
        <w:t xml:space="preserve"> </w:t>
      </w:r>
    </w:p>
    <w:p w:rsidR="007A1A57" w:rsidRPr="00DE7C40" w:rsidRDefault="007A1A57" w:rsidP="007A1A57">
      <w:pPr>
        <w:rPr>
          <w:rFonts w:ascii="Times New Roman" w:hAnsi="Times New Roman"/>
          <w:szCs w:val="28"/>
        </w:rPr>
      </w:pPr>
      <w:r w:rsidRPr="00DE7C40">
        <w:rPr>
          <w:rFonts w:ascii="Times New Roman" w:hAnsi="Times New Roman"/>
          <w:szCs w:val="28"/>
        </w:rPr>
        <w:t xml:space="preserve">Nell’ambito dei provvedimenti emergenziali finalizzati al rilancio dell’economia, il Decreto Legge 16 luglio 2020, n. 76, </w:t>
      </w:r>
      <w:r w:rsidRPr="00DE7C40">
        <w:rPr>
          <w:rFonts w:ascii="Times New Roman" w:hAnsi="Times New Roman"/>
          <w:i/>
          <w:szCs w:val="28"/>
        </w:rPr>
        <w:t xml:space="preserve">(Misure urgenti per la semplificazione e l'innovazione digitale), </w:t>
      </w:r>
      <w:r w:rsidRPr="00DE7C40">
        <w:rPr>
          <w:rFonts w:ascii="Times New Roman" w:hAnsi="Times New Roman"/>
          <w:szCs w:val="28"/>
        </w:rPr>
        <w:t xml:space="preserve">convertito </w:t>
      </w:r>
      <w:r w:rsidR="00DD3983" w:rsidRPr="00DE7C40">
        <w:rPr>
          <w:rFonts w:ascii="Times New Roman" w:hAnsi="Times New Roman"/>
          <w:szCs w:val="28"/>
        </w:rPr>
        <w:t xml:space="preserve">con modificazioni </w:t>
      </w:r>
      <w:r w:rsidRPr="00DE7C40">
        <w:rPr>
          <w:rFonts w:ascii="Times New Roman" w:hAnsi="Times New Roman"/>
          <w:szCs w:val="28"/>
        </w:rPr>
        <w:t>in Legge 11 settembre 2020, n. 120, è intervenuto recentemente apportando alcune modifiche anche alla legge generale sul procedimento amministrativo in funzione di semplificazione e accelerazione dell’azione amministrativa.</w:t>
      </w:r>
    </w:p>
    <w:p w:rsidR="007A1A57" w:rsidRPr="00DE7C40" w:rsidRDefault="005A1DE3" w:rsidP="007A1A57">
      <w:pPr>
        <w:rPr>
          <w:rFonts w:ascii="Times New Roman" w:hAnsi="Times New Roman"/>
          <w:szCs w:val="28"/>
        </w:rPr>
      </w:pPr>
      <w:r w:rsidRPr="00DE7C40">
        <w:rPr>
          <w:rFonts w:ascii="Times New Roman" w:hAnsi="Times New Roman"/>
          <w:szCs w:val="28"/>
        </w:rPr>
        <w:t>L’</w:t>
      </w:r>
      <w:r w:rsidR="007A1A57" w:rsidRPr="00DE7C40">
        <w:rPr>
          <w:rFonts w:ascii="Times New Roman" w:hAnsi="Times New Roman"/>
          <w:szCs w:val="28"/>
        </w:rPr>
        <w:t xml:space="preserve"> art. 12, con il comma 1, lett. b), ha introdotto nell’art. 2 in questione il comma 8 </w:t>
      </w:r>
      <w:r w:rsidR="007A1A57" w:rsidRPr="00DE7C40">
        <w:rPr>
          <w:rFonts w:ascii="Times New Roman" w:hAnsi="Times New Roman"/>
          <w:i/>
          <w:szCs w:val="28"/>
        </w:rPr>
        <w:t>bis</w:t>
      </w:r>
      <w:r w:rsidR="007A1A57" w:rsidRPr="00DE7C40">
        <w:rPr>
          <w:rFonts w:ascii="Times New Roman" w:hAnsi="Times New Roman"/>
          <w:szCs w:val="28"/>
        </w:rPr>
        <w:t>, finalizzato a rafforzare l’obbligo di osservanza dei termini di conclusione del procedimento</w:t>
      </w:r>
      <w:r w:rsidRPr="00DE7C40">
        <w:rPr>
          <w:rFonts w:ascii="Times New Roman" w:hAnsi="Times New Roman"/>
          <w:szCs w:val="28"/>
        </w:rPr>
        <w:t>,</w:t>
      </w:r>
      <w:r w:rsidR="007A1A57" w:rsidRPr="00DE7C40">
        <w:rPr>
          <w:rFonts w:ascii="Times New Roman" w:hAnsi="Times New Roman"/>
          <w:szCs w:val="28"/>
        </w:rPr>
        <w:t xml:space="preserve"> mediante la previsione dell’inefficacia delle determinazioni adottate dopo la scadenza dei termini prescritti nei casi di conferenza dei servizi (art. 14 </w:t>
      </w:r>
      <w:r w:rsidR="007A1A57" w:rsidRPr="00DE7C40">
        <w:rPr>
          <w:rFonts w:ascii="Times New Roman" w:hAnsi="Times New Roman"/>
          <w:i/>
          <w:szCs w:val="28"/>
        </w:rPr>
        <w:t>bis</w:t>
      </w:r>
      <w:r w:rsidR="007A1A57" w:rsidRPr="00DE7C40">
        <w:rPr>
          <w:rFonts w:ascii="Times New Roman" w:hAnsi="Times New Roman"/>
          <w:szCs w:val="28"/>
        </w:rPr>
        <w:t>, comma 2, lett. c</w:t>
      </w:r>
      <w:r w:rsidR="003F2C78" w:rsidRPr="00DE7C40">
        <w:rPr>
          <w:rFonts w:ascii="Times New Roman" w:hAnsi="Times New Roman"/>
          <w:szCs w:val="28"/>
        </w:rPr>
        <w:t>)</w:t>
      </w:r>
      <w:r w:rsidR="007A1A57" w:rsidRPr="00DE7C40">
        <w:rPr>
          <w:rFonts w:ascii="Times New Roman" w:hAnsi="Times New Roman"/>
          <w:szCs w:val="28"/>
        </w:rPr>
        <w:t xml:space="preserve">; art. 14 </w:t>
      </w:r>
      <w:r w:rsidR="007A1A57" w:rsidRPr="00DE7C40">
        <w:rPr>
          <w:rFonts w:ascii="Times New Roman" w:hAnsi="Times New Roman"/>
          <w:i/>
          <w:szCs w:val="28"/>
        </w:rPr>
        <w:t>ter</w:t>
      </w:r>
      <w:r w:rsidR="007A1A57" w:rsidRPr="00DE7C40">
        <w:rPr>
          <w:rFonts w:ascii="Times New Roman" w:hAnsi="Times New Roman"/>
          <w:szCs w:val="28"/>
        </w:rPr>
        <w:t xml:space="preserve">, comma 7), nelle ipotesi in cui per l'adozione di provvedimenti normativi e amministrativi è prevista l'acquisizione di assensi, concerti o nulla osta (art. 17 </w:t>
      </w:r>
      <w:r w:rsidR="007A1A57" w:rsidRPr="00DE7C40">
        <w:rPr>
          <w:rFonts w:ascii="Times New Roman" w:hAnsi="Times New Roman"/>
          <w:i/>
          <w:szCs w:val="28"/>
        </w:rPr>
        <w:t>bis</w:t>
      </w:r>
      <w:r w:rsidR="007A1A57" w:rsidRPr="00DE7C40">
        <w:rPr>
          <w:rFonts w:ascii="Times New Roman" w:hAnsi="Times New Roman"/>
          <w:szCs w:val="28"/>
        </w:rPr>
        <w:t xml:space="preserve">, commi 1 e 3) e nei casi di segnalazione certificata di inizio attività (art. 19, commi 3 e 6 </w:t>
      </w:r>
      <w:r w:rsidR="007A1A57" w:rsidRPr="00DE7C40">
        <w:rPr>
          <w:rFonts w:ascii="Times New Roman" w:hAnsi="Times New Roman"/>
          <w:i/>
          <w:szCs w:val="28"/>
        </w:rPr>
        <w:t>bis</w:t>
      </w:r>
      <w:r w:rsidR="007A1A57" w:rsidRPr="00DE7C40">
        <w:rPr>
          <w:rFonts w:ascii="Times New Roman" w:hAnsi="Times New Roman"/>
          <w:szCs w:val="28"/>
        </w:rPr>
        <w:t>).</w:t>
      </w:r>
    </w:p>
    <w:p w:rsidR="007A1A57" w:rsidRPr="00DE7C40" w:rsidRDefault="007A1A57" w:rsidP="007A1A57">
      <w:pPr>
        <w:rPr>
          <w:rFonts w:ascii="Times New Roman" w:hAnsi="Times New Roman"/>
          <w:i/>
          <w:szCs w:val="28"/>
        </w:rPr>
      </w:pPr>
      <w:r w:rsidRPr="00DE7C40">
        <w:rPr>
          <w:rFonts w:ascii="Times New Roman" w:hAnsi="Times New Roman"/>
          <w:szCs w:val="28"/>
        </w:rPr>
        <w:t>Tale disposizione infatti prevede che “</w:t>
      </w:r>
      <w:r w:rsidRPr="00DE7C40">
        <w:rPr>
          <w:rFonts w:ascii="Times New Roman" w:hAnsi="Times New Roman"/>
          <w:i/>
          <w:szCs w:val="28"/>
        </w:rPr>
        <w:t>Le determinazioni relative ai provvedimenti, alle autorizzazioni, ai pareri, ai nulla osta e agli atti di assenso comunque denominati, adottate dopo la scadenza dei termini di cui agli articoli 14-bis, comma 2, lettera c), 17-bis, commi 1 e 3, 20, comma 1, ovvero successivamente all'ultima riunione di cui all'articolo 14-ter, comma 7, nonché i provvedimenti di divieto di prosecuzione dell'attività e di rimozione degli eventuali effetti, di cui all'articolo 19, commi 3 e 6-bis, primo periodo, adottati dopo la scadenza dei termini ivi previsti, sono inefficaci, fermo restando quanto previsto dall'articolo 21-nonies, ove ne ricorrano i presupposti e le condizioni.</w:t>
      </w:r>
      <w:r w:rsidR="009867B5" w:rsidRPr="00DE7C40">
        <w:rPr>
          <w:rFonts w:ascii="Times New Roman" w:hAnsi="Times New Roman"/>
          <w:i/>
          <w:szCs w:val="28"/>
        </w:rPr>
        <w:t>”</w:t>
      </w:r>
    </w:p>
    <w:p w:rsidR="007A1A57" w:rsidRPr="00DE7C40" w:rsidRDefault="007A1A57" w:rsidP="007A1A57">
      <w:pPr>
        <w:rPr>
          <w:rFonts w:ascii="Times New Roman" w:hAnsi="Times New Roman"/>
          <w:szCs w:val="28"/>
        </w:rPr>
      </w:pPr>
      <w:r w:rsidRPr="00DE7C40">
        <w:rPr>
          <w:rFonts w:ascii="Times New Roman" w:hAnsi="Times New Roman"/>
          <w:szCs w:val="28"/>
        </w:rPr>
        <w:t>Nel quadro delle iniziative acceleratorie finalizzate ad un’azione amministrativa più efficiente, il comma 2 del medesimo art. 12 prevede poi la rideterminazione in riduzione dei termini di conclusione, stabilendo che “</w:t>
      </w:r>
      <w:r w:rsidRPr="00DE7C40">
        <w:rPr>
          <w:rFonts w:ascii="Times New Roman" w:hAnsi="Times New Roman"/>
          <w:i/>
          <w:szCs w:val="28"/>
        </w:rPr>
        <w:t>Entro il 31 dicembre 2020 le amministrazioni e gli enti pubblici statali provvedono a verificare e a rideterminare, in riduzione, i termini di durata dei procedimenti di loro competenza ai sensi dell'articolo 2 della legge 7 agosto 1990, n. 241</w:t>
      </w:r>
      <w:r w:rsidRPr="00DE7C40">
        <w:rPr>
          <w:rFonts w:ascii="Times New Roman" w:hAnsi="Times New Roman"/>
          <w:szCs w:val="28"/>
        </w:rPr>
        <w:t>.”.</w:t>
      </w:r>
    </w:p>
    <w:p w:rsidR="00DD3983" w:rsidRPr="00DE7C40" w:rsidRDefault="00DD3983" w:rsidP="007A1A57">
      <w:pPr>
        <w:rPr>
          <w:rFonts w:ascii="Times New Roman" w:hAnsi="Times New Roman"/>
          <w:szCs w:val="28"/>
        </w:rPr>
      </w:pPr>
      <w:r w:rsidRPr="00DE7C40">
        <w:rPr>
          <w:rFonts w:ascii="Times New Roman" w:hAnsi="Times New Roman"/>
          <w:szCs w:val="28"/>
        </w:rPr>
        <w:t xml:space="preserve">Nel corso del 2021 </w:t>
      </w:r>
      <w:r w:rsidR="001A63AD" w:rsidRPr="00DE7C40">
        <w:rPr>
          <w:rFonts w:ascii="Times New Roman" w:hAnsi="Times New Roman"/>
          <w:szCs w:val="28"/>
        </w:rPr>
        <w:t>sarà dato</w:t>
      </w:r>
      <w:r w:rsidRPr="00DE7C40">
        <w:rPr>
          <w:rFonts w:ascii="Times New Roman" w:hAnsi="Times New Roman"/>
          <w:szCs w:val="28"/>
        </w:rPr>
        <w:t xml:space="preserve"> seguito ad apposite iniziative volte alla riduzione dei tempi dei procedimenti previo loro monitoraggio</w:t>
      </w:r>
      <w:r w:rsidR="001A63AD" w:rsidRPr="00DE7C40">
        <w:rPr>
          <w:rFonts w:ascii="Times New Roman" w:hAnsi="Times New Roman"/>
          <w:szCs w:val="28"/>
        </w:rPr>
        <w:t>, con il coinvolgimento delle competenti Strutture</w:t>
      </w:r>
      <w:r w:rsidR="00E42DA6" w:rsidRPr="00DE7C40">
        <w:rPr>
          <w:rFonts w:ascii="Times New Roman" w:hAnsi="Times New Roman"/>
          <w:szCs w:val="28"/>
        </w:rPr>
        <w:t xml:space="preserve"> (D.I.C.A-D.F.P.)</w:t>
      </w:r>
      <w:r w:rsidRPr="00DE7C40">
        <w:rPr>
          <w:rFonts w:ascii="Times New Roman" w:hAnsi="Times New Roman"/>
          <w:szCs w:val="28"/>
        </w:rPr>
        <w:t>.</w:t>
      </w:r>
    </w:p>
    <w:p w:rsidR="007A1A57" w:rsidRPr="004A689C" w:rsidRDefault="00DD3983" w:rsidP="007A1A57">
      <w:pPr>
        <w:rPr>
          <w:rFonts w:ascii="Times New Roman" w:hAnsi="Times New Roman"/>
          <w:szCs w:val="28"/>
        </w:rPr>
      </w:pPr>
      <w:r w:rsidRPr="00DE7C40">
        <w:rPr>
          <w:rFonts w:ascii="Times New Roman" w:hAnsi="Times New Roman"/>
          <w:bCs/>
          <w:szCs w:val="28"/>
        </w:rPr>
        <w:t>S</w:t>
      </w:r>
      <w:r w:rsidR="007A1A57" w:rsidRPr="00DE7C40">
        <w:rPr>
          <w:rFonts w:ascii="Times New Roman" w:hAnsi="Times New Roman"/>
          <w:bCs/>
          <w:szCs w:val="28"/>
        </w:rPr>
        <w:t>ull’esito del monitoraggio</w:t>
      </w:r>
      <w:r w:rsidR="007A1A57" w:rsidRPr="00DE7C40">
        <w:rPr>
          <w:rFonts w:ascii="Times New Roman" w:hAnsi="Times New Roman"/>
          <w:szCs w:val="28"/>
        </w:rPr>
        <w:t xml:space="preserve"> ciascuna Struttura riferisce</w:t>
      </w:r>
      <w:r w:rsidR="007A1A57" w:rsidRPr="004A689C">
        <w:rPr>
          <w:rFonts w:ascii="Times New Roman" w:hAnsi="Times New Roman"/>
          <w:szCs w:val="28"/>
        </w:rPr>
        <w:t xml:space="preserve"> annualmente entro il 30 novembre nell’ambito della Relazione al R.P.C.T. </w:t>
      </w:r>
    </w:p>
    <w:p w:rsidR="007A1A57" w:rsidRPr="004A689C" w:rsidRDefault="007A1A57" w:rsidP="007A1A57">
      <w:pPr>
        <w:contextualSpacing/>
        <w:rPr>
          <w:rFonts w:ascii="Times New Roman" w:hAnsi="Times New Roman"/>
          <w:szCs w:val="28"/>
        </w:rPr>
      </w:pPr>
      <w:r w:rsidRPr="004A689C">
        <w:rPr>
          <w:rFonts w:ascii="Times New Roman" w:hAnsi="Times New Roman"/>
          <w:szCs w:val="28"/>
        </w:rPr>
        <w:t>Si rammenta che ai sensi dell’art. 2, comma 9, della citata legge n. 241, “</w:t>
      </w:r>
      <w:r w:rsidRPr="004A689C">
        <w:rPr>
          <w:rFonts w:ascii="Times New Roman" w:hAnsi="Times New Roman"/>
          <w:i/>
          <w:szCs w:val="28"/>
        </w:rPr>
        <w:t>La mancata o tardiva emanazione del provvedimento costituisce elemento di valutazione della performance individuale, nonché di responsabilità disciplinare e amministrativo-contabile del dirigente e del funzionario inadempiente</w:t>
      </w:r>
      <w:r w:rsidRPr="004A689C">
        <w:rPr>
          <w:rFonts w:ascii="Times New Roman" w:hAnsi="Times New Roman"/>
          <w:szCs w:val="28"/>
        </w:rPr>
        <w:t>.”.</w:t>
      </w:r>
    </w:p>
    <w:p w:rsidR="006F0FC6" w:rsidRPr="00BE5F27" w:rsidRDefault="00C3372F" w:rsidP="00D4217A">
      <w:pPr>
        <w:pStyle w:val="Titolo3"/>
        <w:ind w:left="1855"/>
      </w:pPr>
      <w:bookmarkStart w:id="39" w:name="_Toc66721220"/>
      <w:r>
        <w:t xml:space="preserve"> </w:t>
      </w:r>
      <w:r w:rsidR="006F0FC6" w:rsidRPr="00BE5F27">
        <w:t>Tempi di pagamento</w:t>
      </w:r>
      <w:bookmarkEnd w:id="39"/>
      <w:r w:rsidR="00EE0672" w:rsidRPr="00BE5F27">
        <w:t xml:space="preserve">                                                   </w:t>
      </w:r>
    </w:p>
    <w:p w:rsidR="00EE0672" w:rsidRPr="004A689C" w:rsidRDefault="00EE0672" w:rsidP="00EE0672">
      <w:pPr>
        <w:rPr>
          <w:rFonts w:ascii="Times New Roman" w:hAnsi="Times New Roman"/>
          <w:szCs w:val="28"/>
        </w:rPr>
      </w:pPr>
      <w:r w:rsidRPr="004A689C">
        <w:rPr>
          <w:rFonts w:ascii="Times New Roman" w:hAnsi="Times New Roman"/>
          <w:szCs w:val="28"/>
        </w:rPr>
        <w:t xml:space="preserve">I dirigenti debbono osservare i termini di pagamento per la pubblica amministrazione, monitorarne l’andamento e adottare iniziative per la tempestiva eliminazione delle eventuali anomalie. </w:t>
      </w:r>
    </w:p>
    <w:p w:rsidR="00EE0672" w:rsidRPr="004A689C" w:rsidRDefault="00EE0672" w:rsidP="00EE0672">
      <w:pPr>
        <w:rPr>
          <w:rFonts w:ascii="Times New Roman" w:hAnsi="Times New Roman"/>
          <w:szCs w:val="28"/>
        </w:rPr>
      </w:pPr>
      <w:r w:rsidRPr="004A689C">
        <w:rPr>
          <w:rFonts w:ascii="Times New Roman" w:hAnsi="Times New Roman"/>
          <w:szCs w:val="28"/>
        </w:rPr>
        <w:t>Anche nel corso del 2021</w:t>
      </w:r>
      <w:r w:rsidR="001A63AD" w:rsidRPr="004A689C">
        <w:rPr>
          <w:rFonts w:ascii="Times New Roman" w:hAnsi="Times New Roman"/>
          <w:szCs w:val="28"/>
        </w:rPr>
        <w:t xml:space="preserve">, </w:t>
      </w:r>
      <w:r w:rsidRPr="004A689C">
        <w:rPr>
          <w:rFonts w:ascii="Times New Roman" w:hAnsi="Times New Roman"/>
          <w:szCs w:val="28"/>
        </w:rPr>
        <w:t>l’U.B.R.R.A.C., quale Struttura titolare nell’ambito della P.C.M. dei compiti in materia di controllo di regolarità amministrativo-contabile, fornirà indicazioni alle Strutture in merito all’attuazione della normativa di cui all’articolo 41, comma 1, del Decreto legge 24 aprile 2014, n. 66, (“</w:t>
      </w:r>
      <w:r w:rsidRPr="004A689C">
        <w:rPr>
          <w:rFonts w:ascii="Times New Roman" w:hAnsi="Times New Roman"/>
          <w:i/>
          <w:szCs w:val="28"/>
        </w:rPr>
        <w:t>Misure urgenti per la competitività e la giustizia sociale</w:t>
      </w:r>
      <w:r w:rsidRPr="004A689C">
        <w:rPr>
          <w:rFonts w:ascii="Times New Roman" w:hAnsi="Times New Roman"/>
          <w:szCs w:val="28"/>
        </w:rPr>
        <w:t>”), convertito con modificazioni, nella Legge 23 giugno 2014, n. 89, (</w:t>
      </w:r>
      <w:r w:rsidRPr="004A689C">
        <w:rPr>
          <w:rFonts w:ascii="Times New Roman" w:hAnsi="Times New Roman"/>
          <w:i/>
          <w:szCs w:val="28"/>
        </w:rPr>
        <w:t>Conversione in legge, con modificazioni, del </w:t>
      </w:r>
      <w:hyperlink r:id="rId14" w:anchor="id=10LX0000798625ART0,__m=document" w:history="1">
        <w:r w:rsidRPr="004A689C">
          <w:rPr>
            <w:rFonts w:ascii="Times New Roman" w:hAnsi="Times New Roman"/>
            <w:i/>
            <w:szCs w:val="28"/>
          </w:rPr>
          <w:t>decreto-legge 24 aprile 2014, n. 66</w:t>
        </w:r>
      </w:hyperlink>
      <w:r w:rsidRPr="004A689C">
        <w:rPr>
          <w:rFonts w:ascii="Times New Roman" w:hAnsi="Times New Roman"/>
          <w:i/>
          <w:szCs w:val="28"/>
        </w:rPr>
        <w:t>, recante misure urgenti per la competitività e la giustizia sociale. Deleghe al Governo per il completamento della revisione della struttura del bilancio dello Stato, per il riordino della disciplina per la gestione del bilancio e il potenziamento della funzione del bilancio di cassa, nonché per l'adozione di un testo unico in materia di contabilità di Stato e di tesoreria)</w:t>
      </w:r>
      <w:r w:rsidRPr="004A689C">
        <w:rPr>
          <w:rFonts w:ascii="Times New Roman" w:hAnsi="Times New Roman"/>
          <w:szCs w:val="28"/>
        </w:rPr>
        <w:t xml:space="preserve"> in materia di pagamenti relativi a transazioni commerciali. </w:t>
      </w:r>
    </w:p>
    <w:p w:rsidR="00735671" w:rsidRPr="00BE5F27" w:rsidRDefault="00C82884" w:rsidP="00D4217A">
      <w:pPr>
        <w:pStyle w:val="Titolo3"/>
        <w:ind w:left="1855"/>
      </w:pPr>
      <w:r w:rsidRPr="00BE5F27">
        <w:t xml:space="preserve"> </w:t>
      </w:r>
      <w:bookmarkStart w:id="40" w:name="_Toc66721221"/>
      <w:r w:rsidR="00735671" w:rsidRPr="00BE5F27">
        <w:t>Patti d’integrità</w:t>
      </w:r>
      <w:bookmarkEnd w:id="40"/>
    </w:p>
    <w:p w:rsidR="007B2271" w:rsidRPr="004A689C" w:rsidRDefault="000E4DB2" w:rsidP="007B2271">
      <w:pPr>
        <w:rPr>
          <w:rFonts w:ascii="Times New Roman" w:hAnsi="Times New Roman"/>
          <w:szCs w:val="28"/>
        </w:rPr>
      </w:pPr>
      <w:r w:rsidRPr="004A689C">
        <w:rPr>
          <w:rFonts w:ascii="Times New Roman" w:hAnsi="Times New Roman"/>
          <w:szCs w:val="28"/>
        </w:rPr>
        <w:t>L</w:t>
      </w:r>
      <w:r w:rsidR="007B2271" w:rsidRPr="004A689C">
        <w:rPr>
          <w:rFonts w:ascii="Times New Roman" w:hAnsi="Times New Roman"/>
          <w:szCs w:val="28"/>
        </w:rPr>
        <w:t>’art. 1, co</w:t>
      </w:r>
      <w:r w:rsidR="003F2C78">
        <w:rPr>
          <w:rFonts w:ascii="Times New Roman" w:hAnsi="Times New Roman"/>
          <w:szCs w:val="28"/>
        </w:rPr>
        <w:t>mma</w:t>
      </w:r>
      <w:r w:rsidR="007B2271" w:rsidRPr="004A689C">
        <w:rPr>
          <w:rFonts w:ascii="Times New Roman" w:hAnsi="Times New Roman"/>
          <w:szCs w:val="28"/>
        </w:rPr>
        <w:t xml:space="preserve"> 17, della </w:t>
      </w:r>
      <w:r w:rsidR="00581883" w:rsidRPr="004A689C">
        <w:rPr>
          <w:rFonts w:ascii="Times New Roman" w:hAnsi="Times New Roman"/>
          <w:szCs w:val="28"/>
        </w:rPr>
        <w:t>L</w:t>
      </w:r>
      <w:r w:rsidR="007B2271" w:rsidRPr="004A689C">
        <w:rPr>
          <w:rFonts w:ascii="Times New Roman" w:hAnsi="Times New Roman"/>
          <w:szCs w:val="28"/>
        </w:rPr>
        <w:t>.</w:t>
      </w:r>
      <w:r w:rsidR="00581883" w:rsidRPr="004A689C">
        <w:rPr>
          <w:rFonts w:ascii="Times New Roman" w:hAnsi="Times New Roman"/>
          <w:szCs w:val="28"/>
        </w:rPr>
        <w:t xml:space="preserve"> n.</w:t>
      </w:r>
      <w:r w:rsidR="007B2271" w:rsidRPr="004A689C">
        <w:rPr>
          <w:rFonts w:ascii="Times New Roman" w:hAnsi="Times New Roman"/>
          <w:szCs w:val="28"/>
        </w:rPr>
        <w:t xml:space="preserve"> 190/2012</w:t>
      </w:r>
      <w:r w:rsidR="005A1DE3" w:rsidRPr="004A689C">
        <w:rPr>
          <w:rFonts w:ascii="Times New Roman" w:hAnsi="Times New Roman"/>
          <w:szCs w:val="28"/>
        </w:rPr>
        <w:t>,</w:t>
      </w:r>
      <w:r w:rsidR="007B2271" w:rsidRPr="004A689C">
        <w:rPr>
          <w:rFonts w:ascii="Times New Roman" w:hAnsi="Times New Roman"/>
          <w:szCs w:val="28"/>
        </w:rPr>
        <w:t xml:space="preserve"> riporta che le stazioni appaltanti possono prevedere negli avvisi, bandi di gara o lettere di invito che il mancato rispetto delle clausole contenute nei protocolli di legalità o nei patti di integrità costituisce causa di esclusione dalla gara.</w:t>
      </w:r>
    </w:p>
    <w:p w:rsidR="00DD3983" w:rsidRPr="004A689C" w:rsidRDefault="007B2271" w:rsidP="007B2271">
      <w:pPr>
        <w:rPr>
          <w:rFonts w:ascii="Times New Roman" w:hAnsi="Times New Roman"/>
          <w:szCs w:val="28"/>
        </w:rPr>
      </w:pPr>
      <w:r w:rsidRPr="004A689C">
        <w:rPr>
          <w:rFonts w:ascii="Times New Roman" w:hAnsi="Times New Roman"/>
          <w:szCs w:val="28"/>
        </w:rPr>
        <w:t>In linea con quanto già stabilito nei precedenti P</w:t>
      </w:r>
      <w:r w:rsidR="003F2C78">
        <w:rPr>
          <w:rFonts w:ascii="Times New Roman" w:hAnsi="Times New Roman"/>
          <w:szCs w:val="28"/>
        </w:rPr>
        <w:t>.T.PC.T.</w:t>
      </w:r>
      <w:r w:rsidRPr="004A689C">
        <w:rPr>
          <w:rFonts w:ascii="Times New Roman" w:hAnsi="Times New Roman"/>
          <w:szCs w:val="28"/>
        </w:rPr>
        <w:t xml:space="preserve">, gli Uffici competenti devono chiedere ai partecipanti alle procedure indette per l’acquisizione di beni e servizi la </w:t>
      </w:r>
      <w:r w:rsidR="00DD3983" w:rsidRPr="004A689C">
        <w:rPr>
          <w:rFonts w:ascii="Times New Roman" w:hAnsi="Times New Roman"/>
          <w:szCs w:val="28"/>
        </w:rPr>
        <w:t>sottoscrizione di Patti d’integrità.</w:t>
      </w:r>
    </w:p>
    <w:p w:rsidR="007B2271" w:rsidRPr="004A689C" w:rsidRDefault="007B2271" w:rsidP="007B2271">
      <w:pPr>
        <w:rPr>
          <w:rFonts w:ascii="Times New Roman" w:hAnsi="Times New Roman"/>
          <w:szCs w:val="28"/>
        </w:rPr>
      </w:pPr>
      <w:r w:rsidRPr="003F2C78">
        <w:rPr>
          <w:rFonts w:ascii="Times New Roman" w:hAnsi="Times New Roman"/>
          <w:b/>
          <w:color w:val="0070C0"/>
          <w:szCs w:val="28"/>
        </w:rPr>
        <w:t xml:space="preserve"> </w:t>
      </w:r>
      <w:r w:rsidRPr="003F2C78">
        <w:rPr>
          <w:rFonts w:ascii="Times New Roman" w:hAnsi="Times New Roman"/>
          <w:szCs w:val="28"/>
        </w:rPr>
        <w:t>C</w:t>
      </w:r>
      <w:r w:rsidRPr="004A689C">
        <w:rPr>
          <w:rFonts w:ascii="Times New Roman" w:hAnsi="Times New Roman"/>
          <w:szCs w:val="28"/>
        </w:rPr>
        <w:t>ome previsto dal P</w:t>
      </w:r>
      <w:r w:rsidR="00581883" w:rsidRPr="004A689C">
        <w:rPr>
          <w:rFonts w:ascii="Times New Roman" w:hAnsi="Times New Roman"/>
          <w:szCs w:val="28"/>
        </w:rPr>
        <w:t>.</w:t>
      </w:r>
      <w:r w:rsidRPr="004A689C">
        <w:rPr>
          <w:rFonts w:ascii="Times New Roman" w:hAnsi="Times New Roman"/>
          <w:szCs w:val="28"/>
        </w:rPr>
        <w:t>T</w:t>
      </w:r>
      <w:r w:rsidR="00581883" w:rsidRPr="004A689C">
        <w:rPr>
          <w:rFonts w:ascii="Times New Roman" w:hAnsi="Times New Roman"/>
          <w:szCs w:val="28"/>
        </w:rPr>
        <w:t>.</w:t>
      </w:r>
      <w:r w:rsidRPr="004A689C">
        <w:rPr>
          <w:rFonts w:ascii="Times New Roman" w:hAnsi="Times New Roman"/>
          <w:szCs w:val="28"/>
        </w:rPr>
        <w:t>P</w:t>
      </w:r>
      <w:r w:rsidR="00581883" w:rsidRPr="004A689C">
        <w:rPr>
          <w:rFonts w:ascii="Times New Roman" w:hAnsi="Times New Roman"/>
          <w:szCs w:val="28"/>
        </w:rPr>
        <w:t>.</w:t>
      </w:r>
      <w:r w:rsidRPr="004A689C">
        <w:rPr>
          <w:rFonts w:ascii="Times New Roman" w:hAnsi="Times New Roman"/>
          <w:szCs w:val="28"/>
        </w:rPr>
        <w:t>C</w:t>
      </w:r>
      <w:r w:rsidR="00581883" w:rsidRPr="004A689C">
        <w:rPr>
          <w:rFonts w:ascii="Times New Roman" w:hAnsi="Times New Roman"/>
          <w:szCs w:val="28"/>
        </w:rPr>
        <w:t>.T.</w:t>
      </w:r>
      <w:r w:rsidRPr="004A689C">
        <w:rPr>
          <w:rFonts w:ascii="Times New Roman" w:hAnsi="Times New Roman"/>
          <w:szCs w:val="28"/>
        </w:rPr>
        <w:t xml:space="preserve"> 2020-2022</w:t>
      </w:r>
      <w:r w:rsidR="003B75DF" w:rsidRPr="004A689C">
        <w:rPr>
          <w:rFonts w:ascii="Times New Roman" w:hAnsi="Times New Roman"/>
          <w:szCs w:val="28"/>
        </w:rPr>
        <w:t>,</w:t>
      </w:r>
      <w:r w:rsidRPr="004A689C">
        <w:rPr>
          <w:rFonts w:ascii="Times New Roman" w:hAnsi="Times New Roman"/>
          <w:szCs w:val="28"/>
        </w:rPr>
        <w:t xml:space="preserve"> Par</w:t>
      </w:r>
      <w:r w:rsidR="00581883" w:rsidRPr="004A689C">
        <w:rPr>
          <w:rFonts w:ascii="Times New Roman" w:hAnsi="Times New Roman"/>
          <w:szCs w:val="28"/>
        </w:rPr>
        <w:t>.</w:t>
      </w:r>
      <w:r w:rsidRPr="004A689C">
        <w:rPr>
          <w:rFonts w:ascii="Times New Roman" w:hAnsi="Times New Roman"/>
          <w:szCs w:val="28"/>
        </w:rPr>
        <w:t xml:space="preserve"> 5.1.12 “Patti d’integrità”</w:t>
      </w:r>
      <w:r w:rsidR="003B75DF" w:rsidRPr="004A689C">
        <w:rPr>
          <w:rFonts w:ascii="Times New Roman" w:hAnsi="Times New Roman"/>
          <w:szCs w:val="28"/>
        </w:rPr>
        <w:t>,</w:t>
      </w:r>
      <w:r w:rsidRPr="004A689C">
        <w:rPr>
          <w:rFonts w:ascii="Times New Roman" w:hAnsi="Times New Roman"/>
          <w:szCs w:val="28"/>
        </w:rPr>
        <w:t xml:space="preserve"> il D.S.S., con circolare prot. n. 7976 del 16 novembre 2020 a firma del </w:t>
      </w:r>
      <w:r w:rsidR="00581883" w:rsidRPr="004A689C">
        <w:rPr>
          <w:rFonts w:ascii="Times New Roman" w:hAnsi="Times New Roman"/>
          <w:szCs w:val="28"/>
        </w:rPr>
        <w:t>S.G.</w:t>
      </w:r>
      <w:r w:rsidRPr="004A689C">
        <w:rPr>
          <w:rFonts w:ascii="Times New Roman" w:hAnsi="Times New Roman"/>
          <w:szCs w:val="28"/>
        </w:rPr>
        <w:t xml:space="preserve">, ha proceduto ad aggiornare il </w:t>
      </w:r>
      <w:r w:rsidRPr="004A689C">
        <w:rPr>
          <w:rFonts w:ascii="Times New Roman" w:hAnsi="Times New Roman"/>
          <w:i/>
          <w:szCs w:val="28"/>
        </w:rPr>
        <w:t>fac-simile</w:t>
      </w:r>
      <w:r w:rsidRPr="004A689C">
        <w:rPr>
          <w:rFonts w:ascii="Times New Roman" w:hAnsi="Times New Roman"/>
          <w:szCs w:val="28"/>
        </w:rPr>
        <w:t xml:space="preserve"> del Patto d’integrità allegato alla precedente circolare DI.P.R.U.S. </w:t>
      </w:r>
      <w:r w:rsidR="003B75DF" w:rsidRPr="004A689C">
        <w:rPr>
          <w:rFonts w:ascii="Times New Roman" w:hAnsi="Times New Roman"/>
          <w:szCs w:val="28"/>
        </w:rPr>
        <w:t xml:space="preserve">prot. n. </w:t>
      </w:r>
      <w:r w:rsidRPr="004A689C">
        <w:rPr>
          <w:rFonts w:ascii="Times New Roman" w:hAnsi="Times New Roman"/>
          <w:szCs w:val="28"/>
        </w:rPr>
        <w:t xml:space="preserve">57325 del 5 dicembre 2014, ribadendo che il Patto di integrità deve essere obbligatoriamente acquisito, a pena di esclusione, tra la documentazione di partecipazione alle procedure di affidamento (cfr. pag. 2). </w:t>
      </w:r>
    </w:p>
    <w:p w:rsidR="00DD3983" w:rsidRPr="004A689C" w:rsidRDefault="007B2271" w:rsidP="007B2271">
      <w:pPr>
        <w:rPr>
          <w:rFonts w:ascii="Times New Roman" w:hAnsi="Times New Roman"/>
          <w:szCs w:val="28"/>
        </w:rPr>
      </w:pPr>
      <w:r w:rsidRPr="004A689C">
        <w:rPr>
          <w:rFonts w:ascii="Times New Roman" w:hAnsi="Times New Roman"/>
          <w:szCs w:val="28"/>
        </w:rPr>
        <w:t>Entro il mese di novembre, tutte le Strutture interessate sono tenute a comunicare al Responsabile, nell’ambito della relazione finale dei Capi delle Strutture sullo stato di attuazione delle misure di prevenzione di cui al successivo paragrafo 6</w:t>
      </w:r>
      <w:r w:rsidR="003F2C78">
        <w:rPr>
          <w:rFonts w:ascii="Times New Roman" w:hAnsi="Times New Roman"/>
          <w:szCs w:val="28"/>
        </w:rPr>
        <w:t>, nella Sezione dedicata</w:t>
      </w:r>
      <w:r w:rsidR="008D166C">
        <w:rPr>
          <w:rFonts w:ascii="Times New Roman" w:hAnsi="Times New Roman"/>
          <w:szCs w:val="28"/>
        </w:rPr>
        <w:t xml:space="preserve"> all’affidamento delle Commesse</w:t>
      </w:r>
      <w:r w:rsidR="003F2C78">
        <w:rPr>
          <w:rFonts w:ascii="Times New Roman" w:hAnsi="Times New Roman"/>
          <w:szCs w:val="28"/>
        </w:rPr>
        <w:t xml:space="preserve">, </w:t>
      </w:r>
      <w:r w:rsidR="008D166C">
        <w:rPr>
          <w:rFonts w:ascii="Times New Roman" w:hAnsi="Times New Roman"/>
          <w:szCs w:val="28"/>
        </w:rPr>
        <w:t>notizie in merito al</w:t>
      </w:r>
      <w:r w:rsidRPr="004A689C">
        <w:rPr>
          <w:rFonts w:ascii="Times New Roman" w:hAnsi="Times New Roman"/>
          <w:szCs w:val="28"/>
        </w:rPr>
        <w:t>l’attuazione di tale misura e se siano state attivate azioni a tutela dell’Amministra</w:t>
      </w:r>
      <w:r w:rsidR="00682865" w:rsidRPr="004A689C">
        <w:rPr>
          <w:rFonts w:ascii="Times New Roman" w:hAnsi="Times New Roman"/>
          <w:szCs w:val="28"/>
        </w:rPr>
        <w:t xml:space="preserve">zione per violazione del Patto. </w:t>
      </w:r>
    </w:p>
    <w:p w:rsidR="00E24CB8" w:rsidRPr="00BE5F27" w:rsidRDefault="004F0361" w:rsidP="004F0361">
      <w:pPr>
        <w:pStyle w:val="Titolo3"/>
        <w:ind w:left="567" w:hanging="567"/>
      </w:pPr>
      <w:bookmarkStart w:id="41" w:name="_Toc442270973"/>
      <w:r>
        <w:t xml:space="preserve"> </w:t>
      </w:r>
      <w:bookmarkStart w:id="42" w:name="_Toc66721222"/>
      <w:r w:rsidR="00C3372F">
        <w:t xml:space="preserve"> </w:t>
      </w:r>
      <w:r w:rsidR="00E24CB8" w:rsidRPr="00BE5F27">
        <w:t>Vigilanza sugli enti pubblici e privati</w:t>
      </w:r>
      <w:bookmarkEnd w:id="41"/>
      <w:bookmarkEnd w:id="42"/>
      <w:r w:rsidR="00232A58" w:rsidRPr="00BE5F27">
        <w:t xml:space="preserve"> </w:t>
      </w:r>
    </w:p>
    <w:p w:rsidR="009D4920" w:rsidRPr="004A689C" w:rsidRDefault="009D4920" w:rsidP="009D4920">
      <w:pPr>
        <w:rPr>
          <w:rFonts w:ascii="Times New Roman" w:hAnsi="Times New Roman"/>
          <w:szCs w:val="28"/>
        </w:rPr>
      </w:pPr>
      <w:r w:rsidRPr="004A689C">
        <w:rPr>
          <w:rFonts w:ascii="Times New Roman" w:hAnsi="Times New Roman"/>
          <w:szCs w:val="28"/>
        </w:rPr>
        <w:t>Le Strutture che esercitano la vigilanza sugli enti pubblici e privati debbono vigilare affinché nei predetti enti sia curata la nomina de</w:t>
      </w:r>
      <w:r w:rsidR="00B02C9E" w:rsidRPr="004A689C">
        <w:rPr>
          <w:rFonts w:ascii="Times New Roman" w:hAnsi="Times New Roman"/>
          <w:szCs w:val="28"/>
        </w:rPr>
        <w:t>l Responsabile e sia adottato e</w:t>
      </w:r>
      <w:r w:rsidRPr="004A689C">
        <w:rPr>
          <w:rFonts w:ascii="Times New Roman" w:hAnsi="Times New Roman"/>
          <w:szCs w:val="28"/>
        </w:rPr>
        <w:t xml:space="preserve"> aggiornato il </w:t>
      </w:r>
      <w:r w:rsidR="00920B60" w:rsidRPr="004A689C">
        <w:rPr>
          <w:rFonts w:ascii="Times New Roman" w:hAnsi="Times New Roman"/>
          <w:szCs w:val="28"/>
        </w:rPr>
        <w:t>P.T.P.C.T.</w:t>
      </w:r>
      <w:r w:rsidRPr="004A689C">
        <w:rPr>
          <w:rFonts w:ascii="Times New Roman" w:hAnsi="Times New Roman"/>
          <w:szCs w:val="28"/>
        </w:rPr>
        <w:t xml:space="preserve"> </w:t>
      </w:r>
    </w:p>
    <w:p w:rsidR="009D4920" w:rsidRPr="004A689C" w:rsidRDefault="009D4920" w:rsidP="009D4920">
      <w:pPr>
        <w:rPr>
          <w:rFonts w:ascii="Times New Roman" w:hAnsi="Times New Roman"/>
          <w:szCs w:val="28"/>
        </w:rPr>
      </w:pPr>
      <w:r w:rsidRPr="004A689C">
        <w:rPr>
          <w:rFonts w:ascii="Times New Roman" w:hAnsi="Times New Roman"/>
          <w:szCs w:val="28"/>
        </w:rPr>
        <w:t xml:space="preserve">Le medesime Strutture debbono verificare che presso gli enti sia stato istituito un sistema di monitoraggio sull’implementazione delle misure di prevenzione e di trasparenza. </w:t>
      </w:r>
    </w:p>
    <w:p w:rsidR="009D4920" w:rsidRPr="004A689C" w:rsidRDefault="009D4920" w:rsidP="009D4920">
      <w:pPr>
        <w:rPr>
          <w:rFonts w:ascii="Times New Roman" w:hAnsi="Times New Roman"/>
          <w:szCs w:val="28"/>
        </w:rPr>
      </w:pPr>
      <w:r w:rsidRPr="004A689C">
        <w:rPr>
          <w:rFonts w:ascii="Times New Roman" w:hAnsi="Times New Roman"/>
          <w:szCs w:val="28"/>
        </w:rPr>
        <w:t>Nel mese di novembre le Strutture riferiscono al Responsabile l’esito delle verifiche effettuate e le direttive impartite.</w:t>
      </w:r>
    </w:p>
    <w:p w:rsidR="009D4920" w:rsidRPr="004A689C" w:rsidRDefault="009D4920" w:rsidP="009D4920">
      <w:pPr>
        <w:rPr>
          <w:rFonts w:ascii="Times New Roman" w:hAnsi="Times New Roman"/>
          <w:szCs w:val="28"/>
        </w:rPr>
      </w:pPr>
      <w:r w:rsidRPr="004A689C">
        <w:rPr>
          <w:rFonts w:ascii="Times New Roman" w:hAnsi="Times New Roman"/>
          <w:szCs w:val="28"/>
        </w:rPr>
        <w:t>Si ram</w:t>
      </w:r>
      <w:r w:rsidR="00D97370" w:rsidRPr="004A689C">
        <w:rPr>
          <w:rFonts w:ascii="Times New Roman" w:hAnsi="Times New Roman"/>
          <w:szCs w:val="28"/>
        </w:rPr>
        <w:t>menta l’attualità delle “</w:t>
      </w:r>
      <w:r w:rsidR="00D97370" w:rsidRPr="004A689C">
        <w:rPr>
          <w:rFonts w:ascii="Times New Roman" w:hAnsi="Times New Roman"/>
          <w:i/>
          <w:szCs w:val="28"/>
        </w:rPr>
        <w:t>Linee G</w:t>
      </w:r>
      <w:r w:rsidRPr="004A689C">
        <w:rPr>
          <w:rFonts w:ascii="Times New Roman" w:hAnsi="Times New Roman"/>
          <w:i/>
          <w:szCs w:val="28"/>
        </w:rPr>
        <w:t>uida per l’attuazione della normativa in materia di prevenzione della corruzione e trasparenza da parte delle società e degli enti di diritto privato controllati e partecipati dalle pubbliche amministrazioni e degli enti pubblici economici</w:t>
      </w:r>
      <w:r w:rsidRPr="004A689C">
        <w:rPr>
          <w:rFonts w:ascii="Times New Roman" w:hAnsi="Times New Roman"/>
          <w:szCs w:val="28"/>
        </w:rPr>
        <w:t>”, adottate dall’A.N.AC. con Delibera n.</w:t>
      </w:r>
      <w:r w:rsidR="00D564F3" w:rsidRPr="004A689C">
        <w:rPr>
          <w:rFonts w:ascii="Times New Roman" w:hAnsi="Times New Roman"/>
          <w:szCs w:val="28"/>
        </w:rPr>
        <w:t xml:space="preserve"> </w:t>
      </w:r>
      <w:r w:rsidRPr="004A689C">
        <w:rPr>
          <w:rFonts w:ascii="Times New Roman" w:hAnsi="Times New Roman"/>
          <w:szCs w:val="28"/>
        </w:rPr>
        <w:t>1134 dell’8 novembre 2017, pubblicate sul sito dell’Autorità, e richiamate nel P.N.A</w:t>
      </w:r>
      <w:r w:rsidR="003B15D9" w:rsidRPr="004A689C">
        <w:rPr>
          <w:rFonts w:ascii="Times New Roman" w:hAnsi="Times New Roman"/>
          <w:szCs w:val="28"/>
        </w:rPr>
        <w:t>.</w:t>
      </w:r>
      <w:r w:rsidRPr="004A689C">
        <w:rPr>
          <w:rFonts w:ascii="Times New Roman" w:hAnsi="Times New Roman"/>
          <w:szCs w:val="28"/>
        </w:rPr>
        <w:t xml:space="preserve"> 2018 (par. 2). </w:t>
      </w:r>
    </w:p>
    <w:p w:rsidR="009D4920" w:rsidRPr="004A689C" w:rsidRDefault="00D97370" w:rsidP="009D4920">
      <w:pPr>
        <w:rPr>
          <w:rFonts w:ascii="Times New Roman" w:hAnsi="Times New Roman"/>
          <w:szCs w:val="28"/>
        </w:rPr>
      </w:pPr>
      <w:r w:rsidRPr="004A689C">
        <w:rPr>
          <w:rFonts w:ascii="Times New Roman" w:hAnsi="Times New Roman"/>
          <w:szCs w:val="28"/>
        </w:rPr>
        <w:t>Tali Linee G</w:t>
      </w:r>
      <w:r w:rsidR="009D4920" w:rsidRPr="004A689C">
        <w:rPr>
          <w:rFonts w:ascii="Times New Roman" w:hAnsi="Times New Roman"/>
          <w:szCs w:val="28"/>
        </w:rPr>
        <w:t>uida riguardano sia le iniziative che debbono essere assunte dalle società e dagli enti di diritto privato controllati e partecipati</w:t>
      </w:r>
      <w:r w:rsidR="005A1DE3" w:rsidRPr="004A689C">
        <w:rPr>
          <w:rFonts w:ascii="Times New Roman" w:hAnsi="Times New Roman"/>
          <w:szCs w:val="28"/>
        </w:rPr>
        <w:t>,</w:t>
      </w:r>
      <w:r w:rsidR="009D4920" w:rsidRPr="004A689C">
        <w:rPr>
          <w:rFonts w:ascii="Times New Roman" w:hAnsi="Times New Roman"/>
          <w:szCs w:val="28"/>
        </w:rPr>
        <w:t xml:space="preserve"> sia le attività che debbono essere curate dalle amministrazioni vigilanti. Si richiama in particolare l’attenzione delle Strutture vigilanti sul contenuto dei paragrafi 4.1. e 4.2. del documento, in cui sono fornite indicazioni circa gli adempimenti per la “</w:t>
      </w:r>
      <w:r w:rsidR="009D4920" w:rsidRPr="004A689C">
        <w:rPr>
          <w:rFonts w:ascii="Times New Roman" w:hAnsi="Times New Roman"/>
          <w:i/>
          <w:szCs w:val="28"/>
        </w:rPr>
        <w:t>Pubblicità relativamente al complesso degli enti controllati o partecipati dalle amministrazioni</w:t>
      </w:r>
      <w:r w:rsidR="009D4920" w:rsidRPr="004A689C">
        <w:rPr>
          <w:rFonts w:ascii="Times New Roman" w:hAnsi="Times New Roman"/>
          <w:szCs w:val="28"/>
        </w:rPr>
        <w:t>” (par. 4.1.) e la “</w:t>
      </w:r>
      <w:r w:rsidR="009D4920" w:rsidRPr="004A689C">
        <w:rPr>
          <w:rFonts w:ascii="Times New Roman" w:hAnsi="Times New Roman"/>
          <w:i/>
          <w:szCs w:val="28"/>
        </w:rPr>
        <w:t>Vigilanza sull’adozione di misure di prevenzione della corruzione e di trasparenza e promozione dell’adozione delle misure</w:t>
      </w:r>
      <w:r w:rsidR="009D4920" w:rsidRPr="004A689C">
        <w:rPr>
          <w:rFonts w:ascii="Times New Roman" w:hAnsi="Times New Roman"/>
          <w:szCs w:val="28"/>
        </w:rPr>
        <w:t xml:space="preserve">” (4.2.). </w:t>
      </w:r>
    </w:p>
    <w:p w:rsidR="009D4920" w:rsidRPr="004A689C" w:rsidRDefault="009D4920" w:rsidP="009D4920">
      <w:pPr>
        <w:rPr>
          <w:rFonts w:ascii="Times New Roman" w:hAnsi="Times New Roman"/>
          <w:szCs w:val="28"/>
        </w:rPr>
      </w:pPr>
      <w:r w:rsidRPr="004A689C">
        <w:rPr>
          <w:rFonts w:ascii="Times New Roman" w:hAnsi="Times New Roman"/>
          <w:szCs w:val="28"/>
        </w:rPr>
        <w:t xml:space="preserve"> L’A.N.AC., peraltro, ha ritenuto necessario approfondire il tema con la delibera n. 859 del 25 settembre 2019.</w:t>
      </w:r>
    </w:p>
    <w:p w:rsidR="009D4920" w:rsidRDefault="009D4920" w:rsidP="009D4920">
      <w:pPr>
        <w:rPr>
          <w:rFonts w:ascii="Times New Roman" w:hAnsi="Times New Roman"/>
          <w:szCs w:val="28"/>
        </w:rPr>
      </w:pPr>
      <w:r w:rsidRPr="004A689C">
        <w:rPr>
          <w:rFonts w:ascii="Times New Roman" w:hAnsi="Times New Roman"/>
          <w:szCs w:val="28"/>
        </w:rPr>
        <w:t xml:space="preserve">In tale delibera è stata sottolineata la </w:t>
      </w:r>
      <w:r w:rsidRPr="004A689C">
        <w:rPr>
          <w:rFonts w:ascii="Times New Roman" w:hAnsi="Times New Roman"/>
          <w:i/>
          <w:szCs w:val="28"/>
        </w:rPr>
        <w:t>ratio</w:t>
      </w:r>
      <w:r w:rsidRPr="004A689C">
        <w:rPr>
          <w:rFonts w:ascii="Times New Roman" w:hAnsi="Times New Roman"/>
          <w:szCs w:val="28"/>
        </w:rPr>
        <w:t xml:space="preserve"> della normativa di prevenzione della corruzione che attiene all’esercizio imparz</w:t>
      </w:r>
      <w:r w:rsidR="00B02C9E" w:rsidRPr="004A689C">
        <w:rPr>
          <w:rFonts w:ascii="Times New Roman" w:hAnsi="Times New Roman"/>
          <w:szCs w:val="28"/>
        </w:rPr>
        <w:t xml:space="preserve">iale di funzioni e di attività </w:t>
      </w:r>
      <w:r w:rsidRPr="004A689C">
        <w:rPr>
          <w:rFonts w:ascii="Times New Roman" w:hAnsi="Times New Roman"/>
          <w:szCs w:val="28"/>
        </w:rPr>
        <w:t>volte al perseguimento di interessi pubblici, all’esigenza di assicurare il buon andamento di attività inerenti alla gestione di servizi pubblici e al corretto utilizzo delle risorse pubbliche.</w:t>
      </w:r>
      <w:r w:rsidR="00D564F3" w:rsidRPr="004A689C">
        <w:rPr>
          <w:rFonts w:ascii="Times New Roman" w:hAnsi="Times New Roman"/>
          <w:szCs w:val="28"/>
        </w:rPr>
        <w:t xml:space="preserve"> </w:t>
      </w:r>
    </w:p>
    <w:p w:rsidR="00E91901" w:rsidRPr="004A689C" w:rsidRDefault="00E91901" w:rsidP="00E91901">
      <w:pPr>
        <w:rPr>
          <w:rFonts w:ascii="Times New Roman" w:hAnsi="Times New Roman"/>
          <w:szCs w:val="28"/>
        </w:rPr>
      </w:pPr>
      <w:r w:rsidRPr="004A689C">
        <w:rPr>
          <w:rFonts w:ascii="Times New Roman" w:hAnsi="Times New Roman"/>
          <w:szCs w:val="28"/>
        </w:rPr>
        <w:t>Si raccomanda, pertanto, l’osservanza di quanto contenuto nella richiamata delibera.</w:t>
      </w:r>
    </w:p>
    <w:p w:rsidR="00606B20" w:rsidRPr="00BE5F27" w:rsidRDefault="00606B20" w:rsidP="00AE3EBD">
      <w:pPr>
        <w:pStyle w:val="Titolo3"/>
        <w:ind w:left="851" w:hanging="851"/>
      </w:pPr>
      <w:bookmarkStart w:id="43" w:name="_Toc66721223"/>
      <w:r w:rsidRPr="00BE5F27">
        <w:t xml:space="preserve">Tutela del dipendente che effettua segnalazioni di illecito (c.d. </w:t>
      </w:r>
      <w:r w:rsidRPr="00BE5F27">
        <w:rPr>
          <w:i/>
        </w:rPr>
        <w:t>whistleblower</w:t>
      </w:r>
      <w:r w:rsidR="00AF4388" w:rsidRPr="00BE5F27">
        <w:t>)</w:t>
      </w:r>
      <w:bookmarkEnd w:id="43"/>
      <w:r w:rsidR="00232A58" w:rsidRPr="00BE5F27">
        <w:t xml:space="preserve"> </w:t>
      </w:r>
    </w:p>
    <w:p w:rsidR="00DD3983" w:rsidRPr="004A689C" w:rsidRDefault="007B2271" w:rsidP="007B2271">
      <w:pPr>
        <w:shd w:val="clear" w:color="auto" w:fill="FFFFFF" w:themeFill="background1"/>
        <w:textAlignment w:val="baseline"/>
        <w:rPr>
          <w:rFonts w:ascii="Times New Roman" w:hAnsi="Times New Roman"/>
          <w:bCs/>
          <w:szCs w:val="28"/>
        </w:rPr>
      </w:pPr>
      <w:r w:rsidRPr="004A689C">
        <w:rPr>
          <w:rFonts w:ascii="Times New Roman" w:hAnsi="Times New Roman"/>
          <w:bCs/>
          <w:szCs w:val="28"/>
        </w:rPr>
        <w:t>Al fine di agevolare le segnalazioni di illecito o di irregolarità nel rispetto della riservatezza secondo le prescrizioni di legge, la P.C.M. ha realizzato un applicativo che consente l’invio di segnalazioni</w:t>
      </w:r>
      <w:r w:rsidR="005A1DE3" w:rsidRPr="004A689C">
        <w:rPr>
          <w:rFonts w:ascii="Times New Roman" w:hAnsi="Times New Roman"/>
          <w:bCs/>
          <w:szCs w:val="28"/>
        </w:rPr>
        <w:t>,</w:t>
      </w:r>
      <w:r w:rsidRPr="004A689C">
        <w:rPr>
          <w:rFonts w:ascii="Times New Roman" w:hAnsi="Times New Roman"/>
          <w:bCs/>
          <w:szCs w:val="28"/>
        </w:rPr>
        <w:t xml:space="preserve"> mediante una procedura informatizzata che assicura la riservatezza del flusso di dati, in modo che l’identità del segnalante sia conoscibile solo dal R.P.C.T. o, in sua assenza o impedimento, dal funzionario appositamente autorizzato.</w:t>
      </w:r>
    </w:p>
    <w:p w:rsidR="007B2271" w:rsidRPr="004A689C" w:rsidRDefault="007B2271" w:rsidP="007B2271">
      <w:pPr>
        <w:shd w:val="clear" w:color="auto" w:fill="FFFFFF" w:themeFill="background1"/>
        <w:textAlignment w:val="baseline"/>
        <w:rPr>
          <w:rFonts w:ascii="Times New Roman" w:hAnsi="Times New Roman"/>
          <w:bCs/>
          <w:szCs w:val="28"/>
        </w:rPr>
      </w:pPr>
      <w:r w:rsidRPr="004A689C">
        <w:rPr>
          <w:rFonts w:ascii="Times New Roman" w:hAnsi="Times New Roman"/>
          <w:bCs/>
          <w:szCs w:val="28"/>
        </w:rPr>
        <w:t xml:space="preserve"> Tale procedura informatizzata è operativa sulla rete </w:t>
      </w:r>
      <w:r w:rsidR="008D166C">
        <w:rPr>
          <w:rFonts w:ascii="Times New Roman" w:hAnsi="Times New Roman"/>
          <w:bCs/>
          <w:i/>
          <w:szCs w:val="28"/>
        </w:rPr>
        <w:t>i</w:t>
      </w:r>
      <w:r w:rsidRPr="004A689C">
        <w:rPr>
          <w:rFonts w:ascii="Times New Roman" w:hAnsi="Times New Roman"/>
          <w:bCs/>
          <w:i/>
          <w:szCs w:val="28"/>
        </w:rPr>
        <w:t>ntranet</w:t>
      </w:r>
      <w:r w:rsidRPr="004A689C">
        <w:rPr>
          <w:rFonts w:ascii="Times New Roman" w:hAnsi="Times New Roman"/>
          <w:bCs/>
          <w:szCs w:val="28"/>
        </w:rPr>
        <w:t xml:space="preserve"> della P.C.M. (</w:t>
      </w:r>
      <w:r w:rsidRPr="004A689C">
        <w:rPr>
          <w:rFonts w:ascii="Times New Roman" w:hAnsi="Times New Roman"/>
          <w:bCs/>
          <w:i/>
          <w:szCs w:val="28"/>
        </w:rPr>
        <w:t>Home page</w:t>
      </w:r>
      <w:r w:rsidRPr="004A689C">
        <w:rPr>
          <w:rFonts w:ascii="Times New Roman" w:hAnsi="Times New Roman"/>
          <w:bCs/>
          <w:szCs w:val="28"/>
        </w:rPr>
        <w:t xml:space="preserve"> – Sezione Anticorruzione e Trasparenza - </w:t>
      </w:r>
      <w:r w:rsidRPr="004A689C">
        <w:rPr>
          <w:rFonts w:ascii="Times New Roman" w:hAnsi="Times New Roman"/>
          <w:bCs/>
          <w:i/>
          <w:szCs w:val="28"/>
        </w:rPr>
        <w:t>link Whistleblower</w:t>
      </w:r>
      <w:r w:rsidRPr="004A689C">
        <w:rPr>
          <w:rFonts w:ascii="Times New Roman" w:hAnsi="Times New Roman"/>
          <w:bCs/>
          <w:szCs w:val="28"/>
        </w:rPr>
        <w:t>) da agosto 2014 ed è stata regolata con decreto del S</w:t>
      </w:r>
      <w:r w:rsidR="000449B2" w:rsidRPr="004A689C">
        <w:rPr>
          <w:rFonts w:ascii="Times New Roman" w:hAnsi="Times New Roman"/>
          <w:bCs/>
          <w:szCs w:val="28"/>
        </w:rPr>
        <w:t>.G.</w:t>
      </w:r>
      <w:r w:rsidRPr="004A689C">
        <w:rPr>
          <w:rFonts w:ascii="Times New Roman" w:hAnsi="Times New Roman"/>
          <w:bCs/>
          <w:szCs w:val="28"/>
        </w:rPr>
        <w:t xml:space="preserve"> del 9 luglio 2014 “</w:t>
      </w:r>
      <w:r w:rsidRPr="004A689C">
        <w:rPr>
          <w:rFonts w:ascii="Times New Roman" w:hAnsi="Times New Roman"/>
          <w:bCs/>
          <w:i/>
          <w:szCs w:val="28"/>
        </w:rPr>
        <w:t>Procedura di segnalazione di illeciti o di irregolarità. disciplina della tutela del dipendente pubblico che segnala illeciti</w:t>
      </w:r>
      <w:r w:rsidRPr="004A689C">
        <w:rPr>
          <w:rFonts w:ascii="Times New Roman" w:hAnsi="Times New Roman"/>
          <w:bCs/>
          <w:szCs w:val="28"/>
        </w:rPr>
        <w:t>" (c.d.</w:t>
      </w:r>
      <w:r w:rsidRPr="004A689C">
        <w:rPr>
          <w:rFonts w:ascii="Times New Roman" w:hAnsi="Times New Roman"/>
          <w:bCs/>
          <w:i/>
          <w:szCs w:val="28"/>
        </w:rPr>
        <w:t xml:space="preserve"> whistleblower</w:t>
      </w:r>
      <w:r w:rsidRPr="004A689C">
        <w:rPr>
          <w:rFonts w:ascii="Times New Roman" w:hAnsi="Times New Roman"/>
          <w:bCs/>
          <w:szCs w:val="28"/>
        </w:rPr>
        <w:t>).</w:t>
      </w:r>
    </w:p>
    <w:p w:rsidR="007B2271" w:rsidRPr="004A689C" w:rsidRDefault="007B2271" w:rsidP="007B2271">
      <w:pPr>
        <w:shd w:val="clear" w:color="auto" w:fill="FFFFFF" w:themeFill="background1"/>
        <w:textAlignment w:val="baseline"/>
        <w:rPr>
          <w:rFonts w:ascii="Times New Roman" w:hAnsi="Times New Roman"/>
          <w:bCs/>
          <w:szCs w:val="28"/>
        </w:rPr>
      </w:pPr>
      <w:r w:rsidRPr="004A689C">
        <w:rPr>
          <w:rFonts w:ascii="Times New Roman" w:hAnsi="Times New Roman"/>
          <w:bCs/>
          <w:szCs w:val="28"/>
        </w:rPr>
        <w:t>A seguito della pubblicazione della determinazione A</w:t>
      </w:r>
      <w:r w:rsidR="00581883" w:rsidRPr="004A689C">
        <w:rPr>
          <w:rFonts w:ascii="Times New Roman" w:hAnsi="Times New Roman"/>
          <w:bCs/>
          <w:szCs w:val="28"/>
        </w:rPr>
        <w:t>.</w:t>
      </w:r>
      <w:r w:rsidRPr="004A689C">
        <w:rPr>
          <w:rFonts w:ascii="Times New Roman" w:hAnsi="Times New Roman"/>
          <w:bCs/>
          <w:szCs w:val="28"/>
        </w:rPr>
        <w:t>N</w:t>
      </w:r>
      <w:r w:rsidR="00581883" w:rsidRPr="004A689C">
        <w:rPr>
          <w:rFonts w:ascii="Times New Roman" w:hAnsi="Times New Roman"/>
          <w:bCs/>
          <w:szCs w:val="28"/>
        </w:rPr>
        <w:t>.</w:t>
      </w:r>
      <w:r w:rsidRPr="004A689C">
        <w:rPr>
          <w:rFonts w:ascii="Times New Roman" w:hAnsi="Times New Roman"/>
          <w:bCs/>
          <w:szCs w:val="28"/>
        </w:rPr>
        <w:t>AC</w:t>
      </w:r>
      <w:r w:rsidR="00581883" w:rsidRPr="004A689C">
        <w:rPr>
          <w:rFonts w:ascii="Times New Roman" w:hAnsi="Times New Roman"/>
          <w:bCs/>
          <w:szCs w:val="28"/>
        </w:rPr>
        <w:t>.</w:t>
      </w:r>
      <w:r w:rsidRPr="004A689C">
        <w:rPr>
          <w:rFonts w:ascii="Times New Roman" w:hAnsi="Times New Roman"/>
          <w:bCs/>
          <w:szCs w:val="28"/>
        </w:rPr>
        <w:t xml:space="preserve"> n. 6 del 28 aprile 2015, recante “</w:t>
      </w:r>
      <w:r w:rsidRPr="004A689C">
        <w:rPr>
          <w:rFonts w:ascii="Times New Roman" w:hAnsi="Times New Roman"/>
          <w:bCs/>
          <w:i/>
          <w:szCs w:val="28"/>
        </w:rPr>
        <w:t>Linee guida in materia di tutela del dipendente pubblico che segnala illeciti (c.d. whistleblower)”,</w:t>
      </w:r>
      <w:r w:rsidRPr="004A689C">
        <w:rPr>
          <w:rFonts w:ascii="Times New Roman" w:hAnsi="Times New Roman"/>
          <w:bCs/>
          <w:szCs w:val="28"/>
        </w:rPr>
        <w:t xml:space="preserve"> nel corso del 2016</w:t>
      </w:r>
      <w:r w:rsidR="005A1DE3" w:rsidRPr="004A689C">
        <w:rPr>
          <w:rFonts w:ascii="Times New Roman" w:hAnsi="Times New Roman"/>
          <w:bCs/>
          <w:szCs w:val="28"/>
        </w:rPr>
        <w:t>,</w:t>
      </w:r>
      <w:r w:rsidRPr="004A689C">
        <w:rPr>
          <w:rFonts w:ascii="Times New Roman" w:hAnsi="Times New Roman"/>
          <w:bCs/>
          <w:szCs w:val="28"/>
        </w:rPr>
        <w:t xml:space="preserve"> sono state apportate alcune modifiche alla procedura e al sistema informatico per tracciare lo sviluppo dell’istruttoria e dare la possibilità al segnalante di seguire lo stato della propria segnalazione.</w:t>
      </w:r>
    </w:p>
    <w:p w:rsidR="007B2271" w:rsidRPr="004A689C" w:rsidRDefault="007B2271" w:rsidP="007B2271">
      <w:pPr>
        <w:shd w:val="clear" w:color="auto" w:fill="FFFFFF" w:themeFill="background1"/>
        <w:textAlignment w:val="baseline"/>
        <w:rPr>
          <w:rFonts w:ascii="Times New Roman" w:hAnsi="Times New Roman"/>
          <w:bCs/>
          <w:szCs w:val="28"/>
        </w:rPr>
      </w:pPr>
      <w:r w:rsidRPr="004A689C">
        <w:rPr>
          <w:rFonts w:ascii="Times New Roman" w:hAnsi="Times New Roman"/>
          <w:bCs/>
          <w:szCs w:val="28"/>
        </w:rPr>
        <w:t>Disposizioni per la tutela del dipendente che segnala illeciti</w:t>
      </w:r>
      <w:r w:rsidR="005A1DE3" w:rsidRPr="004A689C">
        <w:rPr>
          <w:rFonts w:ascii="Times New Roman" w:hAnsi="Times New Roman"/>
          <w:bCs/>
          <w:szCs w:val="28"/>
        </w:rPr>
        <w:t>,</w:t>
      </w:r>
      <w:r w:rsidRPr="004A689C">
        <w:rPr>
          <w:rFonts w:ascii="Times New Roman" w:hAnsi="Times New Roman"/>
          <w:bCs/>
          <w:szCs w:val="28"/>
        </w:rPr>
        <w:t xml:space="preserve"> sono inserite negli artt. 9 e 17 del Codice di comportamento della P.C.M.</w:t>
      </w:r>
      <w:r w:rsidR="005A1DE3" w:rsidRPr="004A689C">
        <w:rPr>
          <w:rFonts w:ascii="Times New Roman" w:hAnsi="Times New Roman"/>
          <w:bCs/>
          <w:szCs w:val="28"/>
        </w:rPr>
        <w:t>,</w:t>
      </w:r>
      <w:r w:rsidRPr="004A689C">
        <w:rPr>
          <w:rFonts w:ascii="Times New Roman" w:hAnsi="Times New Roman"/>
          <w:bCs/>
          <w:szCs w:val="28"/>
        </w:rPr>
        <w:t xml:space="preserve"> adottato con D.P.C.M. 16 settembre 2014.</w:t>
      </w:r>
    </w:p>
    <w:p w:rsidR="00DD3983" w:rsidRPr="004A689C" w:rsidRDefault="007B2271" w:rsidP="00DD3983">
      <w:pPr>
        <w:shd w:val="clear" w:color="auto" w:fill="FFFFFF" w:themeFill="background1"/>
        <w:textAlignment w:val="baseline"/>
        <w:rPr>
          <w:rFonts w:ascii="Times New Roman" w:hAnsi="Times New Roman"/>
          <w:bCs/>
          <w:szCs w:val="28"/>
        </w:rPr>
      </w:pPr>
      <w:r w:rsidRPr="004A689C">
        <w:rPr>
          <w:rFonts w:ascii="Times New Roman" w:hAnsi="Times New Roman"/>
          <w:bCs/>
          <w:szCs w:val="28"/>
        </w:rPr>
        <w:t xml:space="preserve">La disciplina della presente misura di prevenzione della corruzione è stata oggetto di modifica normativa ad opera della </w:t>
      </w:r>
      <w:r w:rsidR="009B1235" w:rsidRPr="004A689C">
        <w:rPr>
          <w:rFonts w:ascii="Times New Roman" w:hAnsi="Times New Roman"/>
          <w:bCs/>
          <w:szCs w:val="28"/>
        </w:rPr>
        <w:t>L</w:t>
      </w:r>
      <w:r w:rsidRPr="004A689C">
        <w:rPr>
          <w:rFonts w:ascii="Times New Roman" w:hAnsi="Times New Roman"/>
          <w:bCs/>
          <w:szCs w:val="28"/>
        </w:rPr>
        <w:t>egge n. 179 del 30 novembre 2017, “</w:t>
      </w:r>
      <w:r w:rsidRPr="004A689C">
        <w:rPr>
          <w:rFonts w:ascii="Times New Roman" w:hAnsi="Times New Roman"/>
          <w:bCs/>
          <w:i/>
          <w:szCs w:val="28"/>
        </w:rPr>
        <w:t>Disposizioni per la tutela degli autori di segnalazioni di reati o irregolarità di cui siano venuti a conoscenza nell'ambito di un rapporto di lavoro pubblico o privato</w:t>
      </w:r>
      <w:r w:rsidRPr="004A689C">
        <w:rPr>
          <w:rFonts w:ascii="Times New Roman" w:hAnsi="Times New Roman"/>
          <w:bCs/>
          <w:szCs w:val="28"/>
        </w:rPr>
        <w:t xml:space="preserve">” che, tra l’altro, all’art. 1, comma 5, ha previsto l’emanazione da parte dell’A.N.AC. di apposite Linee </w:t>
      </w:r>
      <w:r w:rsidR="000449B2" w:rsidRPr="004A689C">
        <w:rPr>
          <w:rFonts w:ascii="Times New Roman" w:hAnsi="Times New Roman"/>
          <w:bCs/>
          <w:szCs w:val="28"/>
        </w:rPr>
        <w:t>g</w:t>
      </w:r>
      <w:r w:rsidRPr="004A689C">
        <w:rPr>
          <w:rFonts w:ascii="Times New Roman" w:hAnsi="Times New Roman"/>
          <w:bCs/>
          <w:szCs w:val="28"/>
        </w:rPr>
        <w:t>uida, non ancora adottate</w:t>
      </w:r>
      <w:r w:rsidR="003E6E66" w:rsidRPr="004A689C">
        <w:rPr>
          <w:rFonts w:ascii="Times New Roman" w:hAnsi="Times New Roman"/>
          <w:bCs/>
          <w:szCs w:val="28"/>
        </w:rPr>
        <w:t>.</w:t>
      </w:r>
    </w:p>
    <w:p w:rsidR="00601B5A" w:rsidRPr="00BE5F27" w:rsidRDefault="00983A72" w:rsidP="00B80B46">
      <w:pPr>
        <w:pStyle w:val="Titolo3"/>
        <w:ind w:left="426" w:hanging="426"/>
      </w:pPr>
      <w:r>
        <w:t xml:space="preserve"> </w:t>
      </w:r>
      <w:bookmarkStart w:id="44" w:name="_Toc66721224"/>
      <w:r w:rsidR="00BE5F27">
        <w:t>Fo</w:t>
      </w:r>
      <w:r w:rsidR="000A0BEE" w:rsidRPr="00BE5F27">
        <w:t>rmazione</w:t>
      </w:r>
      <w:bookmarkEnd w:id="44"/>
      <w:r w:rsidR="00FA5DD0" w:rsidRPr="00BE5F27">
        <w:t xml:space="preserve"> </w:t>
      </w:r>
    </w:p>
    <w:p w:rsidR="00630911" w:rsidRPr="004A689C" w:rsidRDefault="00DD3983" w:rsidP="00630911">
      <w:pPr>
        <w:rPr>
          <w:rFonts w:ascii="Times New Roman" w:hAnsi="Times New Roman"/>
          <w:szCs w:val="28"/>
        </w:rPr>
      </w:pPr>
      <w:r w:rsidRPr="004A689C">
        <w:rPr>
          <w:rFonts w:ascii="Times New Roman" w:hAnsi="Times New Roman"/>
          <w:szCs w:val="28"/>
        </w:rPr>
        <w:t>N</w:t>
      </w:r>
      <w:r w:rsidR="00630911" w:rsidRPr="004A689C">
        <w:rPr>
          <w:rFonts w:ascii="Times New Roman" w:hAnsi="Times New Roman"/>
          <w:szCs w:val="28"/>
        </w:rPr>
        <w:t>el 2020</w:t>
      </w:r>
      <w:r w:rsidR="005A1DE3" w:rsidRPr="004A689C">
        <w:rPr>
          <w:rFonts w:ascii="Times New Roman" w:hAnsi="Times New Roman"/>
          <w:szCs w:val="28"/>
        </w:rPr>
        <w:t>,</w:t>
      </w:r>
      <w:r w:rsidR="00630911" w:rsidRPr="004A689C">
        <w:rPr>
          <w:rFonts w:ascii="Times New Roman" w:hAnsi="Times New Roman"/>
          <w:szCs w:val="28"/>
        </w:rPr>
        <w:t xml:space="preserve"> a causa dell’emergenza sanitaria</w:t>
      </w:r>
      <w:r w:rsidR="005A1DE3" w:rsidRPr="004A689C">
        <w:rPr>
          <w:rFonts w:ascii="Times New Roman" w:hAnsi="Times New Roman"/>
          <w:szCs w:val="28"/>
        </w:rPr>
        <w:t>,</w:t>
      </w:r>
      <w:r w:rsidR="00630911" w:rsidRPr="004A689C">
        <w:rPr>
          <w:rFonts w:ascii="Times New Roman" w:hAnsi="Times New Roman"/>
          <w:szCs w:val="28"/>
        </w:rPr>
        <w:t xml:space="preserve"> il Governo ha approvato norme restrittive per contenere i contagi, tra cui la sospensione di tutte le attività didattiche in presenza.</w:t>
      </w:r>
    </w:p>
    <w:p w:rsidR="00630911" w:rsidRPr="004A689C" w:rsidRDefault="00630911" w:rsidP="00630911">
      <w:pPr>
        <w:rPr>
          <w:rFonts w:ascii="Times New Roman" w:hAnsi="Times New Roman"/>
          <w:szCs w:val="28"/>
        </w:rPr>
      </w:pPr>
      <w:r w:rsidRPr="004A689C">
        <w:rPr>
          <w:rFonts w:ascii="Times New Roman" w:hAnsi="Times New Roman"/>
          <w:szCs w:val="28"/>
        </w:rPr>
        <w:t xml:space="preserve">Visto il perdurare dell’emergenza e il ricorso, ancora ad oggi, allo </w:t>
      </w:r>
      <w:r w:rsidRPr="004A689C">
        <w:rPr>
          <w:rFonts w:ascii="Times New Roman" w:hAnsi="Times New Roman"/>
          <w:i/>
          <w:szCs w:val="28"/>
        </w:rPr>
        <w:t>smart</w:t>
      </w:r>
      <w:r w:rsidR="000449B2" w:rsidRPr="004A689C">
        <w:rPr>
          <w:rFonts w:ascii="Times New Roman" w:hAnsi="Times New Roman"/>
          <w:i/>
          <w:szCs w:val="28"/>
        </w:rPr>
        <w:t xml:space="preserve"> </w:t>
      </w:r>
      <w:r w:rsidRPr="004A689C">
        <w:rPr>
          <w:rFonts w:ascii="Times New Roman" w:hAnsi="Times New Roman"/>
          <w:i/>
          <w:szCs w:val="28"/>
        </w:rPr>
        <w:t>working</w:t>
      </w:r>
      <w:r w:rsidRPr="004A689C">
        <w:rPr>
          <w:rFonts w:ascii="Times New Roman" w:hAnsi="Times New Roman"/>
          <w:szCs w:val="28"/>
        </w:rPr>
        <w:t xml:space="preserve"> si pianifica di assicurare la consueta formazione proseguendo, almeno per l’anno in corso, con corsi erogati a distanza in modalità </w:t>
      </w:r>
      <w:r w:rsidRPr="004A689C">
        <w:rPr>
          <w:rFonts w:ascii="Times New Roman" w:hAnsi="Times New Roman"/>
          <w:i/>
          <w:szCs w:val="28"/>
        </w:rPr>
        <w:t>e-learning</w:t>
      </w:r>
      <w:r w:rsidRPr="004A689C">
        <w:rPr>
          <w:rFonts w:ascii="Times New Roman" w:hAnsi="Times New Roman"/>
          <w:szCs w:val="28"/>
        </w:rPr>
        <w:t>.</w:t>
      </w:r>
    </w:p>
    <w:p w:rsidR="00630911" w:rsidRPr="004A689C" w:rsidRDefault="00630911" w:rsidP="00630911">
      <w:pPr>
        <w:rPr>
          <w:rFonts w:ascii="Times New Roman" w:hAnsi="Times New Roman"/>
          <w:szCs w:val="28"/>
        </w:rPr>
      </w:pPr>
      <w:r w:rsidRPr="004A689C">
        <w:rPr>
          <w:rFonts w:ascii="Times New Roman" w:hAnsi="Times New Roman"/>
          <w:szCs w:val="28"/>
        </w:rPr>
        <w:t xml:space="preserve">Gli interventi formativi seguiranno la programmazione generale, sulla base di una intesa già raggiunta </w:t>
      </w:r>
      <w:r w:rsidR="000449B2" w:rsidRPr="004A689C">
        <w:rPr>
          <w:rFonts w:ascii="Times New Roman" w:hAnsi="Times New Roman"/>
          <w:szCs w:val="28"/>
        </w:rPr>
        <w:t xml:space="preserve">a fine </w:t>
      </w:r>
      <w:r w:rsidRPr="004A689C">
        <w:rPr>
          <w:rFonts w:ascii="Times New Roman" w:hAnsi="Times New Roman"/>
          <w:szCs w:val="28"/>
        </w:rPr>
        <w:t xml:space="preserve">2020 con il </w:t>
      </w:r>
      <w:r w:rsidR="002F3764" w:rsidRPr="004A689C">
        <w:rPr>
          <w:rFonts w:ascii="Times New Roman" w:hAnsi="Times New Roman"/>
          <w:szCs w:val="28"/>
        </w:rPr>
        <w:t>DI.P.</w:t>
      </w:r>
      <w:r w:rsidRPr="004A689C">
        <w:rPr>
          <w:rFonts w:ascii="Times New Roman" w:hAnsi="Times New Roman"/>
          <w:szCs w:val="28"/>
        </w:rPr>
        <w:t xml:space="preserve"> prevedendo di erogare alle relative utenze le seguenti tipologie di interventi formativi:</w:t>
      </w:r>
    </w:p>
    <w:p w:rsidR="00630911" w:rsidRPr="004A689C" w:rsidRDefault="00630911" w:rsidP="00D4217A">
      <w:pPr>
        <w:numPr>
          <w:ilvl w:val="0"/>
          <w:numId w:val="8"/>
        </w:numPr>
        <w:spacing w:after="160" w:line="259" w:lineRule="auto"/>
        <w:contextualSpacing/>
        <w:rPr>
          <w:rFonts w:ascii="Times New Roman" w:eastAsia="Calibri" w:hAnsi="Times New Roman"/>
          <w:szCs w:val="28"/>
          <w:lang w:eastAsia="en-US"/>
        </w:rPr>
      </w:pPr>
      <w:r w:rsidRPr="004A689C">
        <w:rPr>
          <w:rFonts w:ascii="Times New Roman" w:eastAsia="Calibri" w:hAnsi="Times New Roman"/>
          <w:szCs w:val="28"/>
          <w:lang w:eastAsia="en-US"/>
        </w:rPr>
        <w:t>formazione attinente all’area di rischio “Contratti” per il personale associato ai processi a rischio dell’area;</w:t>
      </w:r>
    </w:p>
    <w:p w:rsidR="00630911" w:rsidRPr="004A689C" w:rsidRDefault="00630911" w:rsidP="00D4217A">
      <w:pPr>
        <w:numPr>
          <w:ilvl w:val="0"/>
          <w:numId w:val="8"/>
        </w:numPr>
        <w:spacing w:after="160" w:line="259" w:lineRule="auto"/>
        <w:contextualSpacing/>
        <w:rPr>
          <w:rFonts w:ascii="Times New Roman" w:eastAsia="Calibri" w:hAnsi="Times New Roman"/>
          <w:szCs w:val="28"/>
          <w:lang w:eastAsia="en-US"/>
        </w:rPr>
      </w:pPr>
      <w:r w:rsidRPr="004A689C">
        <w:rPr>
          <w:rFonts w:ascii="Times New Roman" w:hAnsi="Times New Roman"/>
          <w:szCs w:val="28"/>
          <w:lang w:eastAsia="en-US"/>
        </w:rPr>
        <w:t>formazione nelle restanti aree di rischio: nel corso dell’anno sarà valutata con il D</w:t>
      </w:r>
      <w:r w:rsidR="000449B2" w:rsidRPr="004A689C">
        <w:rPr>
          <w:rFonts w:ascii="Times New Roman" w:hAnsi="Times New Roman"/>
          <w:szCs w:val="28"/>
          <w:lang w:eastAsia="en-US"/>
        </w:rPr>
        <w:t>I.P.</w:t>
      </w:r>
      <w:r w:rsidR="00983A72">
        <w:rPr>
          <w:rFonts w:ascii="Times New Roman" w:hAnsi="Times New Roman"/>
          <w:szCs w:val="28"/>
          <w:lang w:eastAsia="en-US"/>
        </w:rPr>
        <w:t xml:space="preserve"> </w:t>
      </w:r>
      <w:r w:rsidRPr="004A689C">
        <w:rPr>
          <w:rFonts w:ascii="Times New Roman" w:hAnsi="Times New Roman"/>
          <w:szCs w:val="28"/>
          <w:lang w:eastAsia="en-US"/>
        </w:rPr>
        <w:t xml:space="preserve">l’opportunità di erogare interventi formativi </w:t>
      </w:r>
      <w:r w:rsidRPr="004A689C">
        <w:rPr>
          <w:rFonts w:ascii="Times New Roman" w:hAnsi="Times New Roman"/>
          <w:i/>
          <w:szCs w:val="28"/>
          <w:lang w:eastAsia="en-US"/>
        </w:rPr>
        <w:t>ad hoc</w:t>
      </w:r>
      <w:r w:rsidRPr="004A689C">
        <w:rPr>
          <w:rFonts w:ascii="Times New Roman" w:hAnsi="Times New Roman"/>
          <w:szCs w:val="28"/>
          <w:lang w:eastAsia="en-US"/>
        </w:rPr>
        <w:t>, considerando il fabbisogno formativo e parimenti la disponibilità di corsi in materia a catalogo della Scuola nazionale dell’amministrazione e della società di formazione vincitrice di gara d’appalto;</w:t>
      </w:r>
    </w:p>
    <w:p w:rsidR="00630911" w:rsidRPr="004A689C" w:rsidRDefault="00630911" w:rsidP="00D4217A">
      <w:pPr>
        <w:numPr>
          <w:ilvl w:val="0"/>
          <w:numId w:val="8"/>
        </w:numPr>
        <w:spacing w:after="160" w:line="259" w:lineRule="auto"/>
        <w:contextualSpacing/>
        <w:rPr>
          <w:rFonts w:ascii="Times New Roman" w:eastAsia="Calibri" w:hAnsi="Times New Roman"/>
          <w:szCs w:val="28"/>
          <w:lang w:eastAsia="en-US"/>
        </w:rPr>
      </w:pPr>
      <w:r w:rsidRPr="004A689C">
        <w:rPr>
          <w:rFonts w:ascii="Times New Roman" w:eastAsia="Calibri" w:hAnsi="Times New Roman"/>
          <w:szCs w:val="28"/>
          <w:lang w:eastAsia="en-US"/>
        </w:rPr>
        <w:t>formazione generale obbligatoria in materia di anticorruzione e formazione specifica per i referenti del R</w:t>
      </w:r>
      <w:r w:rsidR="000449B2" w:rsidRPr="004A689C">
        <w:rPr>
          <w:rFonts w:ascii="Times New Roman" w:eastAsia="Calibri" w:hAnsi="Times New Roman"/>
          <w:szCs w:val="28"/>
          <w:lang w:eastAsia="en-US"/>
        </w:rPr>
        <w:t>.P.C.T.</w:t>
      </w:r>
      <w:r w:rsidRPr="004A689C">
        <w:rPr>
          <w:rFonts w:ascii="Times New Roman" w:eastAsia="Calibri" w:hAnsi="Times New Roman"/>
          <w:szCs w:val="28"/>
          <w:lang w:eastAsia="en-US"/>
        </w:rPr>
        <w:t>, proponendo la partecipazione ai corsi a distanza organizzati dalla S</w:t>
      </w:r>
      <w:r w:rsidR="00840ACD" w:rsidRPr="004A689C">
        <w:rPr>
          <w:rFonts w:ascii="Times New Roman" w:eastAsia="Calibri" w:hAnsi="Times New Roman"/>
          <w:szCs w:val="28"/>
          <w:lang w:eastAsia="en-US"/>
        </w:rPr>
        <w:t>.</w:t>
      </w:r>
      <w:r w:rsidR="000449B2" w:rsidRPr="004A689C">
        <w:rPr>
          <w:rFonts w:ascii="Times New Roman" w:eastAsia="Calibri" w:hAnsi="Times New Roman"/>
          <w:szCs w:val="28"/>
          <w:lang w:eastAsia="en-US"/>
        </w:rPr>
        <w:t>N.A.</w:t>
      </w:r>
    </w:p>
    <w:p w:rsidR="00630911" w:rsidRDefault="00630911" w:rsidP="00630911">
      <w:pPr>
        <w:rPr>
          <w:rFonts w:ascii="Times New Roman" w:hAnsi="Times New Roman"/>
          <w:szCs w:val="28"/>
        </w:rPr>
      </w:pPr>
      <w:r w:rsidRPr="004A689C">
        <w:rPr>
          <w:rFonts w:ascii="Times New Roman" w:hAnsi="Times New Roman"/>
          <w:szCs w:val="28"/>
        </w:rPr>
        <w:t xml:space="preserve">Sarà inoltre valutata unitamente al </w:t>
      </w:r>
      <w:r w:rsidR="002F3764" w:rsidRPr="004A689C">
        <w:rPr>
          <w:rFonts w:ascii="Times New Roman" w:hAnsi="Times New Roman"/>
          <w:szCs w:val="28"/>
        </w:rPr>
        <w:t>D.S.S.</w:t>
      </w:r>
      <w:r w:rsidRPr="004A689C">
        <w:rPr>
          <w:rFonts w:ascii="Times New Roman" w:hAnsi="Times New Roman"/>
          <w:szCs w:val="28"/>
        </w:rPr>
        <w:t xml:space="preserve"> – </w:t>
      </w:r>
      <w:r w:rsidR="0063095D" w:rsidRPr="004A689C">
        <w:rPr>
          <w:rFonts w:ascii="Times New Roman" w:hAnsi="Times New Roman"/>
          <w:szCs w:val="28"/>
        </w:rPr>
        <w:t>U.I.T.</w:t>
      </w:r>
      <w:r w:rsidRPr="004A689C">
        <w:rPr>
          <w:rFonts w:ascii="Times New Roman" w:hAnsi="Times New Roman"/>
          <w:szCs w:val="28"/>
        </w:rPr>
        <w:t xml:space="preserve">, la possibilità di realizzare contenuti formativi da erogare, al bisogno, attraverso webinar o attraverso moduli in </w:t>
      </w:r>
      <w:r w:rsidRPr="004A689C">
        <w:rPr>
          <w:rFonts w:ascii="Times New Roman" w:hAnsi="Times New Roman"/>
          <w:i/>
          <w:szCs w:val="28"/>
        </w:rPr>
        <w:t>e-learning</w:t>
      </w:r>
      <w:r w:rsidRPr="004A689C">
        <w:rPr>
          <w:rFonts w:ascii="Times New Roman" w:hAnsi="Times New Roman"/>
          <w:szCs w:val="28"/>
        </w:rPr>
        <w:t xml:space="preserve"> per il migliore utilizzo della piattaforma P</w:t>
      </w:r>
      <w:r w:rsidR="00BC653D" w:rsidRPr="004A689C">
        <w:rPr>
          <w:rFonts w:ascii="Times New Roman" w:hAnsi="Times New Roman"/>
          <w:szCs w:val="28"/>
        </w:rPr>
        <w:t>re.</w:t>
      </w:r>
      <w:r w:rsidRPr="004A689C">
        <w:rPr>
          <w:rFonts w:ascii="Times New Roman" w:hAnsi="Times New Roman"/>
          <w:szCs w:val="28"/>
        </w:rPr>
        <w:t>C</w:t>
      </w:r>
      <w:r w:rsidR="00BC653D" w:rsidRPr="004A689C">
        <w:rPr>
          <w:rFonts w:ascii="Times New Roman" w:hAnsi="Times New Roman"/>
          <w:szCs w:val="28"/>
        </w:rPr>
        <w:t>or</w:t>
      </w:r>
      <w:r w:rsidRPr="004A689C">
        <w:rPr>
          <w:rFonts w:ascii="Times New Roman" w:hAnsi="Times New Roman"/>
          <w:szCs w:val="28"/>
        </w:rPr>
        <w:t>.</w:t>
      </w:r>
    </w:p>
    <w:p w:rsidR="0029723F" w:rsidRPr="005C2E28" w:rsidRDefault="0029723F" w:rsidP="0029723F">
      <w:pPr>
        <w:rPr>
          <w:rFonts w:ascii="Times New Roman" w:hAnsi="Times New Roman"/>
          <w:szCs w:val="28"/>
        </w:rPr>
      </w:pPr>
      <w:r w:rsidRPr="005C2E28">
        <w:rPr>
          <w:rFonts w:ascii="Times New Roman" w:hAnsi="Times New Roman"/>
          <w:szCs w:val="28"/>
        </w:rPr>
        <w:t>Infine verranno pianificate, unitamente al Dipartimento del personale la programmazione di specifiche attività formative sui provvedimenti approvati durante il periodo di emergenza COVID-19 per gestire la crisi e rilanciare l’economia, in particolar modo nella materia dei contratti pubblici.</w:t>
      </w:r>
    </w:p>
    <w:p w:rsidR="0029723F" w:rsidRPr="0029723F" w:rsidRDefault="0029723F" w:rsidP="00630911">
      <w:pPr>
        <w:rPr>
          <w:rFonts w:ascii="Times New Roman" w:hAnsi="Times New Roman"/>
          <w:szCs w:val="28"/>
        </w:rPr>
      </w:pPr>
    </w:p>
    <w:p w:rsidR="00630911" w:rsidRPr="004A689C" w:rsidRDefault="00630911" w:rsidP="00630911">
      <w:pPr>
        <w:rPr>
          <w:rFonts w:ascii="Times New Roman" w:hAnsi="Times New Roman"/>
          <w:szCs w:val="28"/>
        </w:rPr>
      </w:pPr>
      <w:r w:rsidRPr="004A689C">
        <w:rPr>
          <w:rFonts w:ascii="Times New Roman" w:hAnsi="Times New Roman"/>
          <w:szCs w:val="28"/>
        </w:rPr>
        <w:t xml:space="preserve">Al fine di calendarizzare le iniziative formative, tenendo conto del programma di attività, delle proposte della S.N.A. e delle esigenze formative sopravvenute, </w:t>
      </w:r>
      <w:r w:rsidR="00840ACD" w:rsidRPr="004A689C">
        <w:rPr>
          <w:rFonts w:ascii="Times New Roman" w:hAnsi="Times New Roman"/>
          <w:szCs w:val="28"/>
        </w:rPr>
        <w:t xml:space="preserve">nel corso dell’anno </w:t>
      </w:r>
      <w:r w:rsidRPr="004A689C">
        <w:rPr>
          <w:rFonts w:ascii="Times New Roman" w:hAnsi="Times New Roman"/>
          <w:szCs w:val="28"/>
        </w:rPr>
        <w:t>il D</w:t>
      </w:r>
      <w:r w:rsidR="007A0472" w:rsidRPr="004A689C">
        <w:rPr>
          <w:rFonts w:ascii="Times New Roman" w:hAnsi="Times New Roman"/>
          <w:szCs w:val="28"/>
        </w:rPr>
        <w:t>I</w:t>
      </w:r>
      <w:r w:rsidRPr="004A689C">
        <w:rPr>
          <w:rFonts w:ascii="Times New Roman" w:hAnsi="Times New Roman"/>
          <w:szCs w:val="28"/>
        </w:rPr>
        <w:t xml:space="preserve">.P. propone al Responsabile una pianificazione aggiornata delle attività.  </w:t>
      </w:r>
    </w:p>
    <w:p w:rsidR="005D1CBF" w:rsidRPr="004A689C" w:rsidRDefault="005D1CBF" w:rsidP="00630911">
      <w:pPr>
        <w:rPr>
          <w:rFonts w:ascii="Times New Roman" w:hAnsi="Times New Roman"/>
          <w:szCs w:val="28"/>
        </w:rPr>
      </w:pPr>
    </w:p>
    <w:p w:rsidR="00183642" w:rsidRPr="00BE5F27" w:rsidRDefault="0079234E" w:rsidP="00983A72">
      <w:pPr>
        <w:pStyle w:val="Titolo3"/>
        <w:ind w:left="709" w:hanging="709"/>
      </w:pPr>
      <w:r w:rsidRPr="00BE5F27">
        <w:t xml:space="preserve"> </w:t>
      </w:r>
      <w:bookmarkStart w:id="45" w:name="_Toc66721225"/>
      <w:r w:rsidR="000A0BEE" w:rsidRPr="00BE5F27">
        <w:t>L’informatizzazione e l’interdipendenza con altri sistemi operativi di gestione</w:t>
      </w:r>
      <w:bookmarkEnd w:id="45"/>
      <w:r w:rsidR="00C95487" w:rsidRPr="00BE5F27">
        <w:t xml:space="preserve"> </w:t>
      </w:r>
    </w:p>
    <w:p w:rsidR="00630911" w:rsidRPr="004A689C" w:rsidRDefault="00630911" w:rsidP="00630911">
      <w:pPr>
        <w:rPr>
          <w:rFonts w:ascii="Times New Roman" w:hAnsi="Times New Roman"/>
          <w:color w:val="000000" w:themeColor="text1"/>
          <w:szCs w:val="28"/>
        </w:rPr>
      </w:pPr>
      <w:r w:rsidRPr="004A689C">
        <w:rPr>
          <w:rFonts w:ascii="Times New Roman" w:hAnsi="Times New Roman"/>
          <w:color w:val="000000" w:themeColor="text1"/>
          <w:szCs w:val="28"/>
        </w:rPr>
        <w:t>Per quanto concerne la tematica dell’informatizzazione</w:t>
      </w:r>
      <w:r w:rsidR="00542AA5" w:rsidRPr="004A689C">
        <w:rPr>
          <w:rFonts w:ascii="Times New Roman" w:hAnsi="Times New Roman"/>
          <w:color w:val="000000" w:themeColor="text1"/>
          <w:szCs w:val="28"/>
        </w:rPr>
        <w:t>,</w:t>
      </w:r>
      <w:r w:rsidRPr="004A689C">
        <w:rPr>
          <w:rFonts w:ascii="Times New Roman" w:eastAsia="Calibri" w:hAnsi="Times New Roman"/>
          <w:color w:val="000000" w:themeColor="text1"/>
          <w:szCs w:val="28"/>
          <w:lang w:eastAsia="en-US"/>
        </w:rPr>
        <w:t xml:space="preserve"> </w:t>
      </w:r>
      <w:r w:rsidR="00542AA5" w:rsidRPr="004A689C">
        <w:rPr>
          <w:rFonts w:ascii="Times New Roman" w:eastAsia="Calibri" w:hAnsi="Times New Roman"/>
          <w:color w:val="000000" w:themeColor="text1"/>
          <w:szCs w:val="28"/>
          <w:lang w:eastAsia="en-US"/>
        </w:rPr>
        <w:t xml:space="preserve">nel 2021 </w:t>
      </w:r>
      <w:r w:rsidRPr="004A689C">
        <w:rPr>
          <w:rFonts w:ascii="Times New Roman" w:eastAsia="Calibri" w:hAnsi="Times New Roman"/>
          <w:color w:val="000000" w:themeColor="text1"/>
          <w:szCs w:val="28"/>
          <w:lang w:eastAsia="en-US"/>
        </w:rPr>
        <w:t>s</w:t>
      </w:r>
      <w:r w:rsidR="00542AA5" w:rsidRPr="004A689C">
        <w:rPr>
          <w:rFonts w:ascii="Times New Roman" w:eastAsia="Calibri" w:hAnsi="Times New Roman"/>
          <w:color w:val="000000" w:themeColor="text1"/>
          <w:szCs w:val="28"/>
          <w:lang w:eastAsia="en-US"/>
        </w:rPr>
        <w:t xml:space="preserve">arà realizzato </w:t>
      </w:r>
      <w:r w:rsidRPr="004A689C">
        <w:rPr>
          <w:rFonts w:ascii="Times New Roman" w:eastAsia="Calibri" w:hAnsi="Times New Roman"/>
          <w:color w:val="000000" w:themeColor="text1"/>
          <w:szCs w:val="28"/>
          <w:lang w:eastAsia="en-US"/>
        </w:rPr>
        <w:t xml:space="preserve">l’intervento di manutenzione evolutiva sul </w:t>
      </w:r>
      <w:r w:rsidRPr="004A689C">
        <w:rPr>
          <w:rFonts w:ascii="Times New Roman" w:hAnsi="Times New Roman"/>
          <w:i/>
          <w:color w:val="000000" w:themeColor="text1"/>
          <w:szCs w:val="28"/>
        </w:rPr>
        <w:t>software</w:t>
      </w:r>
      <w:r w:rsidRPr="004A689C">
        <w:rPr>
          <w:rFonts w:ascii="Times New Roman" w:hAnsi="Times New Roman"/>
          <w:color w:val="000000" w:themeColor="text1"/>
          <w:szCs w:val="28"/>
        </w:rPr>
        <w:t xml:space="preserve"> P</w:t>
      </w:r>
      <w:r w:rsidR="007A0472" w:rsidRPr="004A689C">
        <w:rPr>
          <w:rFonts w:ascii="Times New Roman" w:hAnsi="Times New Roman"/>
          <w:color w:val="000000" w:themeColor="text1"/>
          <w:szCs w:val="28"/>
        </w:rPr>
        <w:t>re.</w:t>
      </w:r>
      <w:r w:rsidRPr="004A689C">
        <w:rPr>
          <w:rFonts w:ascii="Times New Roman" w:hAnsi="Times New Roman"/>
          <w:color w:val="000000" w:themeColor="text1"/>
          <w:szCs w:val="28"/>
        </w:rPr>
        <w:t>C</w:t>
      </w:r>
      <w:r w:rsidR="007A0472" w:rsidRPr="004A689C">
        <w:rPr>
          <w:rFonts w:ascii="Times New Roman" w:hAnsi="Times New Roman"/>
          <w:color w:val="000000" w:themeColor="text1"/>
          <w:szCs w:val="28"/>
        </w:rPr>
        <w:t>or.</w:t>
      </w:r>
      <w:r w:rsidR="005A1DE3" w:rsidRPr="004A689C">
        <w:rPr>
          <w:rFonts w:ascii="Times New Roman" w:hAnsi="Times New Roman"/>
          <w:color w:val="000000" w:themeColor="text1"/>
          <w:szCs w:val="28"/>
        </w:rPr>
        <w:t xml:space="preserve">, </w:t>
      </w:r>
      <w:r w:rsidRPr="004A689C">
        <w:rPr>
          <w:rFonts w:ascii="Times New Roman" w:hAnsi="Times New Roman"/>
          <w:color w:val="000000" w:themeColor="text1"/>
          <w:szCs w:val="28"/>
        </w:rPr>
        <w:t xml:space="preserve">seguendo la linea progettuale indicata nell’obiettivo Direttiva generale del </w:t>
      </w:r>
      <w:r w:rsidR="0063095D" w:rsidRPr="004A689C">
        <w:rPr>
          <w:rFonts w:ascii="Times New Roman" w:hAnsi="Times New Roman"/>
          <w:color w:val="000000" w:themeColor="text1"/>
          <w:szCs w:val="28"/>
        </w:rPr>
        <w:t>S.G.</w:t>
      </w:r>
      <w:r w:rsidRPr="004A689C">
        <w:rPr>
          <w:rFonts w:ascii="Times New Roman" w:hAnsi="Times New Roman"/>
          <w:color w:val="000000" w:themeColor="text1"/>
          <w:szCs w:val="28"/>
        </w:rPr>
        <w:t xml:space="preserve"> per l’anno 2020 – obiettivo strategico comune e a tutte le Strutture del S</w:t>
      </w:r>
      <w:r w:rsidR="00542AA5" w:rsidRPr="004A689C">
        <w:rPr>
          <w:rFonts w:ascii="Times New Roman" w:hAnsi="Times New Roman"/>
          <w:color w:val="000000" w:themeColor="text1"/>
          <w:szCs w:val="28"/>
        </w:rPr>
        <w:t>egretariato generale</w:t>
      </w:r>
      <w:r w:rsidRPr="004A689C">
        <w:rPr>
          <w:rFonts w:ascii="Times New Roman" w:hAnsi="Times New Roman"/>
          <w:color w:val="000000" w:themeColor="text1"/>
          <w:szCs w:val="28"/>
        </w:rPr>
        <w:t xml:space="preserve"> </w:t>
      </w:r>
      <w:r w:rsidR="00542AA5" w:rsidRPr="004A689C">
        <w:rPr>
          <w:rFonts w:ascii="Times New Roman" w:hAnsi="Times New Roman"/>
          <w:color w:val="000000" w:themeColor="text1"/>
          <w:szCs w:val="28"/>
        </w:rPr>
        <w:t>“</w:t>
      </w:r>
      <w:r w:rsidRPr="004A689C">
        <w:rPr>
          <w:rFonts w:ascii="Times New Roman" w:hAnsi="Times New Roman"/>
          <w:i/>
          <w:color w:val="000000" w:themeColor="text1"/>
          <w:szCs w:val="28"/>
        </w:rPr>
        <w:t>Individuazione, a partire dall’analisi realizzata nell’anno 2019, delle attività/processi oggetto di semplificazione e/o digitalizzazione, anche in linea con quanto previsto nel Paragrafo 5.5 del P</w:t>
      </w:r>
      <w:r w:rsidR="002F3764" w:rsidRPr="004A689C">
        <w:rPr>
          <w:rFonts w:ascii="Times New Roman" w:hAnsi="Times New Roman"/>
          <w:i/>
          <w:color w:val="000000" w:themeColor="text1"/>
          <w:szCs w:val="28"/>
        </w:rPr>
        <w:t>.</w:t>
      </w:r>
      <w:r w:rsidRPr="004A689C">
        <w:rPr>
          <w:rFonts w:ascii="Times New Roman" w:hAnsi="Times New Roman"/>
          <w:i/>
          <w:color w:val="000000" w:themeColor="text1"/>
          <w:szCs w:val="28"/>
        </w:rPr>
        <w:t>T</w:t>
      </w:r>
      <w:r w:rsidR="002F3764" w:rsidRPr="004A689C">
        <w:rPr>
          <w:rFonts w:ascii="Times New Roman" w:hAnsi="Times New Roman"/>
          <w:i/>
          <w:color w:val="000000" w:themeColor="text1"/>
          <w:szCs w:val="28"/>
        </w:rPr>
        <w:t>.</w:t>
      </w:r>
      <w:r w:rsidRPr="004A689C">
        <w:rPr>
          <w:rFonts w:ascii="Times New Roman" w:hAnsi="Times New Roman"/>
          <w:i/>
          <w:color w:val="000000" w:themeColor="text1"/>
          <w:szCs w:val="28"/>
        </w:rPr>
        <w:t>P</w:t>
      </w:r>
      <w:r w:rsidR="002F3764" w:rsidRPr="004A689C">
        <w:rPr>
          <w:rFonts w:ascii="Times New Roman" w:hAnsi="Times New Roman"/>
          <w:i/>
          <w:color w:val="000000" w:themeColor="text1"/>
          <w:szCs w:val="28"/>
        </w:rPr>
        <w:t>.</w:t>
      </w:r>
      <w:r w:rsidRPr="004A689C">
        <w:rPr>
          <w:rFonts w:ascii="Times New Roman" w:hAnsi="Times New Roman"/>
          <w:i/>
          <w:color w:val="000000" w:themeColor="text1"/>
          <w:szCs w:val="28"/>
        </w:rPr>
        <w:t>C</w:t>
      </w:r>
      <w:r w:rsidR="002F3764" w:rsidRPr="004A689C">
        <w:rPr>
          <w:rFonts w:ascii="Times New Roman" w:hAnsi="Times New Roman"/>
          <w:i/>
          <w:color w:val="000000" w:themeColor="text1"/>
          <w:szCs w:val="28"/>
        </w:rPr>
        <w:t>.</w:t>
      </w:r>
      <w:r w:rsidRPr="004A689C">
        <w:rPr>
          <w:rFonts w:ascii="Times New Roman" w:hAnsi="Times New Roman"/>
          <w:i/>
          <w:color w:val="000000" w:themeColor="text1"/>
          <w:szCs w:val="28"/>
        </w:rPr>
        <w:t>T</w:t>
      </w:r>
      <w:r w:rsidR="002F3764" w:rsidRPr="004A689C">
        <w:rPr>
          <w:rFonts w:ascii="Times New Roman" w:hAnsi="Times New Roman"/>
          <w:i/>
          <w:color w:val="000000" w:themeColor="text1"/>
          <w:szCs w:val="28"/>
        </w:rPr>
        <w:t>.</w:t>
      </w:r>
      <w:r w:rsidRPr="004A689C">
        <w:rPr>
          <w:rFonts w:ascii="Times New Roman" w:hAnsi="Times New Roman"/>
          <w:i/>
          <w:color w:val="000000" w:themeColor="text1"/>
          <w:szCs w:val="28"/>
        </w:rPr>
        <w:t xml:space="preserve"> 2020-2022 progettazione degli interventi, anche trasversali a più Strutture</w:t>
      </w:r>
      <w:r w:rsidRPr="004A689C">
        <w:rPr>
          <w:rFonts w:ascii="Times New Roman" w:hAnsi="Times New Roman"/>
          <w:color w:val="000000" w:themeColor="text1"/>
          <w:szCs w:val="28"/>
        </w:rPr>
        <w:t>”.</w:t>
      </w:r>
    </w:p>
    <w:p w:rsidR="00630911" w:rsidRPr="004A689C" w:rsidRDefault="00630911" w:rsidP="00630911">
      <w:pPr>
        <w:rPr>
          <w:rFonts w:ascii="Times New Roman" w:eastAsia="Calibri" w:hAnsi="Times New Roman"/>
          <w:color w:val="000000" w:themeColor="text1"/>
          <w:szCs w:val="28"/>
          <w:lang w:eastAsia="en-US"/>
        </w:rPr>
      </w:pPr>
      <w:r w:rsidRPr="004A689C">
        <w:rPr>
          <w:rFonts w:ascii="Times New Roman" w:eastAsia="Calibri" w:hAnsi="Times New Roman"/>
          <w:color w:val="000000" w:themeColor="text1"/>
          <w:szCs w:val="28"/>
          <w:lang w:eastAsia="en-US"/>
        </w:rPr>
        <w:t xml:space="preserve">Nel dettaglio, come indicato nello studio di fattibilità </w:t>
      </w:r>
      <w:r w:rsidR="00542AA5" w:rsidRPr="004A689C">
        <w:rPr>
          <w:rFonts w:ascii="Times New Roman" w:eastAsia="Calibri" w:hAnsi="Times New Roman"/>
          <w:color w:val="000000" w:themeColor="text1"/>
          <w:szCs w:val="28"/>
          <w:lang w:eastAsia="en-US"/>
        </w:rPr>
        <w:t>definito nel 2020</w:t>
      </w:r>
      <w:r w:rsidRPr="004A689C">
        <w:rPr>
          <w:rFonts w:ascii="Times New Roman" w:eastAsia="Calibri" w:hAnsi="Times New Roman"/>
          <w:color w:val="000000" w:themeColor="text1"/>
          <w:szCs w:val="28"/>
          <w:lang w:eastAsia="en-US"/>
        </w:rPr>
        <w:t>, s</w:t>
      </w:r>
      <w:r w:rsidR="00542AA5" w:rsidRPr="004A689C">
        <w:rPr>
          <w:rFonts w:ascii="Times New Roman" w:eastAsia="Calibri" w:hAnsi="Times New Roman"/>
          <w:color w:val="000000" w:themeColor="text1"/>
          <w:szCs w:val="28"/>
          <w:lang w:eastAsia="en-US"/>
        </w:rPr>
        <w:t>arà completata l’</w:t>
      </w:r>
      <w:r w:rsidRPr="004A689C">
        <w:rPr>
          <w:rFonts w:ascii="Times New Roman" w:eastAsia="Calibri" w:hAnsi="Times New Roman"/>
          <w:color w:val="000000" w:themeColor="text1"/>
          <w:szCs w:val="28"/>
          <w:lang w:eastAsia="en-US"/>
        </w:rPr>
        <w:t xml:space="preserve">azione di semplificazione </w:t>
      </w:r>
      <w:r w:rsidR="00542AA5" w:rsidRPr="004A689C">
        <w:rPr>
          <w:rFonts w:ascii="Times New Roman" w:eastAsia="Calibri" w:hAnsi="Times New Roman"/>
          <w:color w:val="000000" w:themeColor="text1"/>
          <w:szCs w:val="28"/>
          <w:lang w:eastAsia="en-US"/>
        </w:rPr>
        <w:t>già avviata nel 2020</w:t>
      </w:r>
      <w:r w:rsidRPr="004A689C">
        <w:rPr>
          <w:rFonts w:ascii="Times New Roman" w:eastAsia="Calibri" w:hAnsi="Times New Roman"/>
          <w:color w:val="000000" w:themeColor="text1"/>
          <w:szCs w:val="28"/>
          <w:lang w:eastAsia="en-US"/>
        </w:rPr>
        <w:t>, con la realizzazione dell’azione di digitalizzazione.</w:t>
      </w:r>
    </w:p>
    <w:p w:rsidR="00630911" w:rsidRPr="004A689C" w:rsidRDefault="00542AA5" w:rsidP="00630911">
      <w:pPr>
        <w:rPr>
          <w:rFonts w:ascii="Times New Roman" w:hAnsi="Times New Roman"/>
          <w:color w:val="000000" w:themeColor="text1"/>
          <w:szCs w:val="28"/>
        </w:rPr>
      </w:pPr>
      <w:r w:rsidRPr="004A689C">
        <w:rPr>
          <w:rFonts w:ascii="Times New Roman" w:eastAsia="Calibri" w:hAnsi="Times New Roman"/>
          <w:color w:val="000000" w:themeColor="text1"/>
          <w:szCs w:val="28"/>
          <w:lang w:eastAsia="en-US"/>
        </w:rPr>
        <w:t>Al riguardo, è</w:t>
      </w:r>
      <w:r w:rsidR="00630911" w:rsidRPr="004A689C">
        <w:rPr>
          <w:rFonts w:ascii="Times New Roman" w:eastAsia="Calibri" w:hAnsi="Times New Roman"/>
          <w:color w:val="000000" w:themeColor="text1"/>
          <w:szCs w:val="28"/>
          <w:lang w:eastAsia="en-US"/>
        </w:rPr>
        <w:t xml:space="preserve"> stata ampiamente rivista e migliorata la mappatura delle linee di attività</w:t>
      </w:r>
      <w:r w:rsidRPr="004A689C">
        <w:rPr>
          <w:rFonts w:ascii="Times New Roman" w:eastAsia="Calibri" w:hAnsi="Times New Roman"/>
          <w:color w:val="000000" w:themeColor="text1"/>
          <w:szCs w:val="28"/>
          <w:lang w:eastAsia="en-US"/>
        </w:rPr>
        <w:t xml:space="preserve"> delle Strutture</w:t>
      </w:r>
      <w:r w:rsidR="00630911" w:rsidRPr="004A689C">
        <w:rPr>
          <w:rFonts w:ascii="Times New Roman" w:eastAsia="Calibri" w:hAnsi="Times New Roman"/>
          <w:color w:val="000000" w:themeColor="text1"/>
          <w:szCs w:val="28"/>
          <w:lang w:eastAsia="en-US"/>
        </w:rPr>
        <w:t xml:space="preserve"> (Par.</w:t>
      </w:r>
      <w:r w:rsidRPr="004A689C">
        <w:rPr>
          <w:rFonts w:ascii="Times New Roman" w:eastAsia="Calibri" w:hAnsi="Times New Roman"/>
          <w:color w:val="000000" w:themeColor="text1"/>
          <w:szCs w:val="28"/>
          <w:lang w:eastAsia="en-US"/>
        </w:rPr>
        <w:t xml:space="preserve"> </w:t>
      </w:r>
      <w:r w:rsidR="00630911" w:rsidRPr="004A689C">
        <w:rPr>
          <w:rFonts w:ascii="Times New Roman" w:eastAsia="Calibri" w:hAnsi="Times New Roman"/>
          <w:color w:val="000000" w:themeColor="text1"/>
          <w:szCs w:val="28"/>
          <w:lang w:eastAsia="en-US"/>
        </w:rPr>
        <w:t>4.1</w:t>
      </w:r>
      <w:r w:rsidRPr="004A689C">
        <w:rPr>
          <w:rFonts w:ascii="Times New Roman" w:eastAsia="Calibri" w:hAnsi="Times New Roman"/>
          <w:color w:val="000000" w:themeColor="text1"/>
          <w:szCs w:val="28"/>
          <w:lang w:eastAsia="en-US"/>
        </w:rPr>
        <w:t xml:space="preserve"> del P.T.P.C.T. 2020-2022</w:t>
      </w:r>
      <w:r w:rsidR="00630911" w:rsidRPr="004A689C">
        <w:rPr>
          <w:rFonts w:ascii="Times New Roman" w:eastAsia="Calibri" w:hAnsi="Times New Roman"/>
          <w:color w:val="000000" w:themeColor="text1"/>
          <w:szCs w:val="28"/>
          <w:lang w:eastAsia="en-US"/>
        </w:rPr>
        <w:t xml:space="preserve">) alla base del processo di rilevazione del rischio ed è stato </w:t>
      </w:r>
      <w:r w:rsidR="00630911" w:rsidRPr="004A689C">
        <w:rPr>
          <w:rFonts w:ascii="Times New Roman" w:hAnsi="Times New Roman"/>
          <w:color w:val="000000" w:themeColor="text1"/>
          <w:szCs w:val="28"/>
        </w:rPr>
        <w:t>definito il nuovo pr</w:t>
      </w:r>
      <w:r w:rsidRPr="004A689C">
        <w:rPr>
          <w:rFonts w:ascii="Times New Roman" w:hAnsi="Times New Roman"/>
          <w:color w:val="000000" w:themeColor="text1"/>
          <w:szCs w:val="28"/>
        </w:rPr>
        <w:t xml:space="preserve">ocesso </w:t>
      </w:r>
      <w:r w:rsidR="00630911" w:rsidRPr="004A689C">
        <w:rPr>
          <w:rFonts w:ascii="Times New Roman" w:hAnsi="Times New Roman"/>
          <w:color w:val="000000" w:themeColor="text1"/>
          <w:szCs w:val="28"/>
        </w:rPr>
        <w:t xml:space="preserve">logico che, partendo dalla variazione del </w:t>
      </w:r>
      <w:r w:rsidR="00630911" w:rsidRPr="004A689C">
        <w:rPr>
          <w:rFonts w:ascii="Times New Roman" w:hAnsi="Times New Roman"/>
          <w:i/>
          <w:color w:val="000000" w:themeColor="text1"/>
          <w:szCs w:val="28"/>
        </w:rPr>
        <w:t>database</w:t>
      </w:r>
      <w:r w:rsidR="00630911" w:rsidRPr="004A689C">
        <w:rPr>
          <w:rFonts w:ascii="Times New Roman" w:hAnsi="Times New Roman"/>
          <w:color w:val="000000" w:themeColor="text1"/>
          <w:szCs w:val="28"/>
        </w:rPr>
        <w:t xml:space="preserve"> delle linee di attività, arriva al caricamento del </w:t>
      </w:r>
      <w:r w:rsidR="00630911" w:rsidRPr="004A689C">
        <w:rPr>
          <w:rFonts w:ascii="Times New Roman" w:hAnsi="Times New Roman"/>
          <w:i/>
          <w:color w:val="000000" w:themeColor="text1"/>
          <w:szCs w:val="28"/>
        </w:rPr>
        <w:t>database</w:t>
      </w:r>
      <w:r w:rsidR="00630911" w:rsidRPr="004A689C">
        <w:rPr>
          <w:rFonts w:ascii="Times New Roman" w:hAnsi="Times New Roman"/>
          <w:color w:val="000000" w:themeColor="text1"/>
          <w:szCs w:val="28"/>
        </w:rPr>
        <w:t>, opportunamente integrato con un sistema di codifica delle variazioni, in P</w:t>
      </w:r>
      <w:r w:rsidR="002F3764" w:rsidRPr="004A689C">
        <w:rPr>
          <w:rFonts w:ascii="Times New Roman" w:hAnsi="Times New Roman"/>
          <w:color w:val="000000" w:themeColor="text1"/>
          <w:szCs w:val="28"/>
        </w:rPr>
        <w:t>re.</w:t>
      </w:r>
      <w:r w:rsidR="00630911" w:rsidRPr="004A689C">
        <w:rPr>
          <w:rFonts w:ascii="Times New Roman" w:hAnsi="Times New Roman"/>
          <w:color w:val="000000" w:themeColor="text1"/>
          <w:szCs w:val="28"/>
        </w:rPr>
        <w:t>C</w:t>
      </w:r>
      <w:r w:rsidR="002F3764" w:rsidRPr="004A689C">
        <w:rPr>
          <w:rFonts w:ascii="Times New Roman" w:hAnsi="Times New Roman"/>
          <w:color w:val="000000" w:themeColor="text1"/>
          <w:szCs w:val="28"/>
        </w:rPr>
        <w:t>or</w:t>
      </w:r>
      <w:r w:rsidR="00630911" w:rsidRPr="004A689C">
        <w:rPr>
          <w:rFonts w:ascii="Times New Roman" w:hAnsi="Times New Roman"/>
          <w:color w:val="000000" w:themeColor="text1"/>
          <w:szCs w:val="28"/>
        </w:rPr>
        <w:t>.</w:t>
      </w:r>
    </w:p>
    <w:p w:rsidR="00630911" w:rsidRPr="004A689C" w:rsidRDefault="00630911" w:rsidP="00630911">
      <w:pPr>
        <w:rPr>
          <w:rFonts w:ascii="Times New Roman" w:hAnsi="Times New Roman"/>
          <w:color w:val="000000" w:themeColor="text1"/>
          <w:szCs w:val="28"/>
        </w:rPr>
      </w:pPr>
      <w:r w:rsidRPr="004A689C">
        <w:rPr>
          <w:rFonts w:ascii="Times New Roman" w:hAnsi="Times New Roman"/>
          <w:color w:val="000000" w:themeColor="text1"/>
          <w:szCs w:val="28"/>
        </w:rPr>
        <w:t>Queste azioni, già realizzate, sono pro</w:t>
      </w:r>
      <w:r w:rsidR="00E76849" w:rsidRPr="004A689C">
        <w:rPr>
          <w:rFonts w:ascii="Times New Roman" w:hAnsi="Times New Roman"/>
          <w:color w:val="000000" w:themeColor="text1"/>
          <w:szCs w:val="28"/>
        </w:rPr>
        <w:t>pedeutiche</w:t>
      </w:r>
      <w:r w:rsidRPr="004A689C">
        <w:rPr>
          <w:rFonts w:ascii="Times New Roman" w:hAnsi="Times New Roman"/>
          <w:color w:val="000000" w:themeColor="text1"/>
          <w:szCs w:val="28"/>
        </w:rPr>
        <w:t xml:space="preserve"> alla successiva fase di </w:t>
      </w:r>
      <w:r w:rsidR="00542AA5" w:rsidRPr="004A689C">
        <w:rPr>
          <w:rFonts w:ascii="Times New Roman" w:hAnsi="Times New Roman"/>
          <w:color w:val="000000" w:themeColor="text1"/>
          <w:szCs w:val="28"/>
        </w:rPr>
        <w:t>d</w:t>
      </w:r>
      <w:r w:rsidRPr="004A689C">
        <w:rPr>
          <w:rFonts w:ascii="Times New Roman" w:hAnsi="Times New Roman"/>
          <w:color w:val="000000" w:themeColor="text1"/>
          <w:szCs w:val="28"/>
        </w:rPr>
        <w:t xml:space="preserve">igitalizzazione che si sostanzierà in un intervento di manutenzione evolutiva del </w:t>
      </w:r>
      <w:r w:rsidRPr="004A689C">
        <w:rPr>
          <w:rFonts w:ascii="Times New Roman" w:hAnsi="Times New Roman"/>
          <w:i/>
          <w:color w:val="000000" w:themeColor="text1"/>
          <w:szCs w:val="28"/>
        </w:rPr>
        <w:t>software</w:t>
      </w:r>
      <w:r w:rsidRPr="004A689C">
        <w:rPr>
          <w:rFonts w:ascii="Times New Roman" w:hAnsi="Times New Roman"/>
          <w:color w:val="000000" w:themeColor="text1"/>
          <w:szCs w:val="28"/>
        </w:rPr>
        <w:t xml:space="preserve"> P</w:t>
      </w:r>
      <w:r w:rsidR="007A0472" w:rsidRPr="004A689C">
        <w:rPr>
          <w:rFonts w:ascii="Times New Roman" w:hAnsi="Times New Roman"/>
          <w:color w:val="000000" w:themeColor="text1"/>
          <w:szCs w:val="28"/>
        </w:rPr>
        <w:t>re.</w:t>
      </w:r>
      <w:r w:rsidRPr="004A689C">
        <w:rPr>
          <w:rFonts w:ascii="Times New Roman" w:hAnsi="Times New Roman"/>
          <w:color w:val="000000" w:themeColor="text1"/>
          <w:szCs w:val="28"/>
        </w:rPr>
        <w:t>C</w:t>
      </w:r>
      <w:r w:rsidR="007A0472" w:rsidRPr="004A689C">
        <w:rPr>
          <w:rFonts w:ascii="Times New Roman" w:hAnsi="Times New Roman"/>
          <w:color w:val="000000" w:themeColor="text1"/>
          <w:szCs w:val="28"/>
        </w:rPr>
        <w:t>or</w:t>
      </w:r>
      <w:r w:rsidRPr="004A689C">
        <w:rPr>
          <w:rFonts w:ascii="Times New Roman" w:hAnsi="Times New Roman"/>
          <w:color w:val="000000" w:themeColor="text1"/>
          <w:szCs w:val="28"/>
        </w:rPr>
        <w:t>.</w:t>
      </w:r>
    </w:p>
    <w:p w:rsidR="00630911" w:rsidRPr="004A689C" w:rsidRDefault="00630911" w:rsidP="00630911">
      <w:pPr>
        <w:rPr>
          <w:rFonts w:ascii="Times New Roman" w:hAnsi="Times New Roman"/>
          <w:szCs w:val="28"/>
        </w:rPr>
      </w:pPr>
      <w:r w:rsidRPr="004A689C">
        <w:rPr>
          <w:rFonts w:ascii="Times New Roman" w:hAnsi="Times New Roman"/>
          <w:color w:val="000000" w:themeColor="text1"/>
          <w:szCs w:val="28"/>
        </w:rPr>
        <w:t xml:space="preserve">Il nuovo rilascio conterrà una funzionalità </w:t>
      </w:r>
      <w:r w:rsidRPr="004A689C">
        <w:rPr>
          <w:rFonts w:ascii="Times New Roman" w:hAnsi="Times New Roman"/>
          <w:i/>
          <w:color w:val="000000" w:themeColor="text1"/>
          <w:szCs w:val="28"/>
        </w:rPr>
        <w:t>software</w:t>
      </w:r>
      <w:r w:rsidRPr="004A689C">
        <w:rPr>
          <w:rFonts w:ascii="Times New Roman" w:hAnsi="Times New Roman"/>
          <w:color w:val="000000" w:themeColor="text1"/>
          <w:szCs w:val="28"/>
        </w:rPr>
        <w:t xml:space="preserve"> </w:t>
      </w:r>
      <w:r w:rsidR="00542AA5" w:rsidRPr="004A689C">
        <w:rPr>
          <w:rFonts w:ascii="Times New Roman" w:hAnsi="Times New Roman"/>
          <w:color w:val="000000" w:themeColor="text1"/>
          <w:szCs w:val="28"/>
        </w:rPr>
        <w:t xml:space="preserve">aggiuntiva </w:t>
      </w:r>
      <w:r w:rsidRPr="004A689C">
        <w:rPr>
          <w:rFonts w:ascii="Times New Roman" w:hAnsi="Times New Roman"/>
          <w:color w:val="000000" w:themeColor="text1"/>
          <w:szCs w:val="28"/>
        </w:rPr>
        <w:t xml:space="preserve">per i referenti dell’anticorruzione </w:t>
      </w:r>
      <w:r w:rsidRPr="004A689C">
        <w:rPr>
          <w:rFonts w:ascii="Times New Roman" w:hAnsi="Times New Roman"/>
          <w:szCs w:val="28"/>
        </w:rPr>
        <w:t>e per i dirigenti delle Strutture</w:t>
      </w:r>
      <w:r w:rsidR="00FA3CBB" w:rsidRPr="004A689C">
        <w:rPr>
          <w:rFonts w:ascii="Times New Roman" w:hAnsi="Times New Roman"/>
          <w:szCs w:val="28"/>
        </w:rPr>
        <w:t>,</w:t>
      </w:r>
      <w:r w:rsidRPr="004A689C">
        <w:rPr>
          <w:rFonts w:ascii="Times New Roman" w:hAnsi="Times New Roman"/>
          <w:szCs w:val="28"/>
        </w:rPr>
        <w:t xml:space="preserve"> che consentirà di far transitare i processi a rischio dalle linee di attività messe fuori validità a nuove o diverse linee.</w:t>
      </w:r>
    </w:p>
    <w:p w:rsidR="00630911" w:rsidRPr="004A689C" w:rsidRDefault="00630911" w:rsidP="00630911">
      <w:pPr>
        <w:ind w:left="27"/>
        <w:rPr>
          <w:rFonts w:ascii="Times New Roman" w:hAnsi="Times New Roman"/>
          <w:szCs w:val="28"/>
        </w:rPr>
      </w:pPr>
      <w:r w:rsidRPr="004A689C">
        <w:rPr>
          <w:rFonts w:ascii="Times New Roman" w:hAnsi="Times New Roman"/>
          <w:szCs w:val="28"/>
        </w:rPr>
        <w:t>L’azione di digitalizzazione</w:t>
      </w:r>
      <w:r w:rsidR="00FA3CBB" w:rsidRPr="004A689C">
        <w:rPr>
          <w:rFonts w:ascii="Times New Roman" w:hAnsi="Times New Roman"/>
          <w:szCs w:val="28"/>
        </w:rPr>
        <w:t>,</w:t>
      </w:r>
      <w:r w:rsidRPr="004A689C">
        <w:rPr>
          <w:rFonts w:ascii="Times New Roman" w:hAnsi="Times New Roman"/>
          <w:szCs w:val="28"/>
        </w:rPr>
        <w:t xml:space="preserve"> arricchirà il </w:t>
      </w:r>
      <w:r w:rsidRPr="004A689C">
        <w:rPr>
          <w:rFonts w:ascii="Times New Roman" w:hAnsi="Times New Roman"/>
          <w:i/>
          <w:szCs w:val="28"/>
        </w:rPr>
        <w:t>software</w:t>
      </w:r>
      <w:r w:rsidRPr="004A689C">
        <w:rPr>
          <w:rFonts w:ascii="Times New Roman" w:hAnsi="Times New Roman"/>
          <w:szCs w:val="28"/>
        </w:rPr>
        <w:t xml:space="preserve"> P</w:t>
      </w:r>
      <w:r w:rsidR="007A0472" w:rsidRPr="004A689C">
        <w:rPr>
          <w:rFonts w:ascii="Times New Roman" w:hAnsi="Times New Roman"/>
          <w:szCs w:val="28"/>
        </w:rPr>
        <w:t>re.</w:t>
      </w:r>
      <w:r w:rsidRPr="004A689C">
        <w:rPr>
          <w:rFonts w:ascii="Times New Roman" w:hAnsi="Times New Roman"/>
          <w:szCs w:val="28"/>
        </w:rPr>
        <w:t>C</w:t>
      </w:r>
      <w:r w:rsidR="007A0472" w:rsidRPr="004A689C">
        <w:rPr>
          <w:rFonts w:ascii="Times New Roman" w:hAnsi="Times New Roman"/>
          <w:szCs w:val="28"/>
        </w:rPr>
        <w:t>or.</w:t>
      </w:r>
      <w:r w:rsidRPr="004A689C">
        <w:rPr>
          <w:rFonts w:ascii="Times New Roman" w:hAnsi="Times New Roman"/>
          <w:szCs w:val="28"/>
        </w:rPr>
        <w:t xml:space="preserve"> di nuove funzionalità</w:t>
      </w:r>
      <w:r w:rsidR="00FA3CBB" w:rsidRPr="004A689C">
        <w:rPr>
          <w:rFonts w:ascii="Times New Roman" w:hAnsi="Times New Roman"/>
          <w:szCs w:val="28"/>
        </w:rPr>
        <w:t>,</w:t>
      </w:r>
      <w:r w:rsidRPr="004A689C">
        <w:rPr>
          <w:rFonts w:ascii="Times New Roman" w:hAnsi="Times New Roman"/>
          <w:szCs w:val="28"/>
        </w:rPr>
        <w:t xml:space="preserve"> incrementando la trasparenza, migliorando il processo di valutazione del rischio di corruzione (prevenzione della corruzione) e rendendo i dirigenti maggiormente consapevoli del percorso logico che, partendo dall’analisi della singola linea di attività, porta all’individuazione del processo eventualmente rischioso e alla successiva valutazione del rischio.</w:t>
      </w:r>
    </w:p>
    <w:p w:rsidR="00840ACD" w:rsidRPr="004A689C" w:rsidRDefault="00630911" w:rsidP="00630911">
      <w:pPr>
        <w:ind w:left="27"/>
        <w:rPr>
          <w:rFonts w:ascii="Times New Roman" w:hAnsi="Times New Roman"/>
          <w:szCs w:val="28"/>
        </w:rPr>
      </w:pPr>
      <w:r w:rsidRPr="004A689C">
        <w:rPr>
          <w:rFonts w:ascii="Times New Roman" w:hAnsi="Times New Roman"/>
          <w:szCs w:val="28"/>
        </w:rPr>
        <w:t xml:space="preserve">La responsabilità personale del dirigente nel cancellare, </w:t>
      </w:r>
      <w:r w:rsidR="00FA3CBB" w:rsidRPr="004A689C">
        <w:rPr>
          <w:rFonts w:ascii="Times New Roman" w:hAnsi="Times New Roman"/>
          <w:szCs w:val="28"/>
        </w:rPr>
        <w:t>indicare</w:t>
      </w:r>
      <w:r w:rsidRPr="004A689C">
        <w:rPr>
          <w:rFonts w:ascii="Times New Roman" w:hAnsi="Times New Roman"/>
          <w:szCs w:val="28"/>
        </w:rPr>
        <w:t xml:space="preserve"> nuove linee e/o rivalutare i processi di propria competenza</w:t>
      </w:r>
      <w:r w:rsidR="00FA3CBB" w:rsidRPr="004A689C">
        <w:rPr>
          <w:rFonts w:ascii="Times New Roman" w:hAnsi="Times New Roman"/>
          <w:szCs w:val="28"/>
        </w:rPr>
        <w:t xml:space="preserve">, </w:t>
      </w:r>
      <w:r w:rsidR="00542AA5" w:rsidRPr="004A689C">
        <w:rPr>
          <w:rFonts w:ascii="Times New Roman" w:hAnsi="Times New Roman"/>
          <w:szCs w:val="28"/>
        </w:rPr>
        <w:t xml:space="preserve">dovrebbe portare </w:t>
      </w:r>
      <w:r w:rsidRPr="004A689C">
        <w:rPr>
          <w:rFonts w:ascii="Times New Roman" w:hAnsi="Times New Roman"/>
          <w:szCs w:val="28"/>
        </w:rPr>
        <w:t xml:space="preserve">ad una mappatura del rischio più consapevole </w:t>
      </w:r>
      <w:r w:rsidR="00542AA5" w:rsidRPr="004A689C">
        <w:rPr>
          <w:rFonts w:ascii="Times New Roman" w:hAnsi="Times New Roman"/>
          <w:szCs w:val="28"/>
        </w:rPr>
        <w:t>e a g</w:t>
      </w:r>
      <w:r w:rsidRPr="004A689C">
        <w:rPr>
          <w:rFonts w:ascii="Times New Roman" w:hAnsi="Times New Roman"/>
          <w:szCs w:val="28"/>
        </w:rPr>
        <w:t>enerare convergenza e coerenza tra le variazioni nelle linee di attività e la mappatura del rischio.</w:t>
      </w:r>
    </w:p>
    <w:p w:rsidR="00610A38" w:rsidRPr="004A689C" w:rsidRDefault="00630911" w:rsidP="00630911">
      <w:pPr>
        <w:pStyle w:val="Paragrafoelenco"/>
        <w:ind w:left="26"/>
        <w:rPr>
          <w:rFonts w:ascii="Times New Roman" w:hAnsi="Times New Roman"/>
          <w:szCs w:val="28"/>
        </w:rPr>
      </w:pPr>
      <w:r w:rsidRPr="004A689C">
        <w:rPr>
          <w:rFonts w:ascii="Times New Roman" w:hAnsi="Times New Roman"/>
          <w:szCs w:val="28"/>
        </w:rPr>
        <w:t xml:space="preserve">Per la realizzazione dell’intervento proposto è necessaria la sinergia tra </w:t>
      </w:r>
      <w:r w:rsidR="002F3764" w:rsidRPr="004A689C">
        <w:rPr>
          <w:rFonts w:ascii="Times New Roman" w:hAnsi="Times New Roman"/>
          <w:szCs w:val="28"/>
        </w:rPr>
        <w:t xml:space="preserve">l’U.C.I. </w:t>
      </w:r>
      <w:r w:rsidRPr="004A689C">
        <w:rPr>
          <w:rFonts w:ascii="Times New Roman" w:hAnsi="Times New Roman"/>
          <w:szCs w:val="28"/>
        </w:rPr>
        <w:t xml:space="preserve">e il </w:t>
      </w:r>
      <w:r w:rsidR="002F3764" w:rsidRPr="004A689C">
        <w:rPr>
          <w:rFonts w:ascii="Times New Roman" w:hAnsi="Times New Roman"/>
          <w:szCs w:val="28"/>
        </w:rPr>
        <w:t>D.S.S.</w:t>
      </w:r>
      <w:r w:rsidR="00FA3CBB" w:rsidRPr="004A689C">
        <w:rPr>
          <w:rFonts w:ascii="Times New Roman" w:hAnsi="Times New Roman"/>
          <w:szCs w:val="28"/>
        </w:rPr>
        <w:t>,</w:t>
      </w:r>
      <w:r w:rsidRPr="004A689C">
        <w:rPr>
          <w:rFonts w:ascii="Times New Roman" w:hAnsi="Times New Roman"/>
          <w:szCs w:val="28"/>
        </w:rPr>
        <w:t xml:space="preserve"> secondo fasi e tempi di lavoro già descritti nello studio di fattibilità. In particolare </w:t>
      </w:r>
      <w:r w:rsidR="002F3764" w:rsidRPr="004A689C">
        <w:rPr>
          <w:rFonts w:ascii="Times New Roman" w:hAnsi="Times New Roman"/>
          <w:szCs w:val="28"/>
        </w:rPr>
        <w:t>l’U.C.I.</w:t>
      </w:r>
      <w:r w:rsidRPr="004A689C">
        <w:rPr>
          <w:rFonts w:ascii="Times New Roman" w:hAnsi="Times New Roman"/>
          <w:szCs w:val="28"/>
        </w:rPr>
        <w:t xml:space="preserve"> seguirà le fasi di analisi dei requisiti, formazione e supporto alle Strutture mentre il </w:t>
      </w:r>
      <w:r w:rsidR="002F3764" w:rsidRPr="004A689C">
        <w:rPr>
          <w:rFonts w:ascii="Times New Roman" w:hAnsi="Times New Roman"/>
          <w:szCs w:val="28"/>
        </w:rPr>
        <w:t>D.S.S.</w:t>
      </w:r>
      <w:r w:rsidRPr="004A689C">
        <w:rPr>
          <w:rFonts w:ascii="Times New Roman" w:hAnsi="Times New Roman"/>
          <w:szCs w:val="28"/>
        </w:rPr>
        <w:t>, attraverso l’U</w:t>
      </w:r>
      <w:r w:rsidR="002F3764" w:rsidRPr="004A689C">
        <w:rPr>
          <w:rFonts w:ascii="Times New Roman" w:hAnsi="Times New Roman"/>
          <w:szCs w:val="28"/>
        </w:rPr>
        <w:t>.I.T.</w:t>
      </w:r>
      <w:r w:rsidRPr="004A689C">
        <w:rPr>
          <w:rFonts w:ascii="Times New Roman" w:hAnsi="Times New Roman"/>
          <w:szCs w:val="28"/>
        </w:rPr>
        <w:t xml:space="preserve">, oltre ad assicurare la partecipazione alle suddette attività, curerà la progettazione, lo sviluppo e la manutenzione per le nuove funzioni </w:t>
      </w:r>
      <w:r w:rsidRPr="004A689C">
        <w:rPr>
          <w:rFonts w:ascii="Times New Roman" w:hAnsi="Times New Roman"/>
          <w:i/>
          <w:szCs w:val="28"/>
        </w:rPr>
        <w:t>software</w:t>
      </w:r>
      <w:r w:rsidRPr="004A689C">
        <w:rPr>
          <w:rFonts w:ascii="Times New Roman" w:hAnsi="Times New Roman"/>
          <w:szCs w:val="28"/>
        </w:rPr>
        <w:t xml:space="preserve"> che si andranno a creare. </w:t>
      </w:r>
    </w:p>
    <w:p w:rsidR="00630911" w:rsidRPr="004A689C" w:rsidRDefault="00630911" w:rsidP="008D166C">
      <w:pPr>
        <w:pStyle w:val="Paragrafoelenco"/>
        <w:ind w:left="26"/>
        <w:rPr>
          <w:rFonts w:ascii="Times New Roman" w:hAnsi="Times New Roman"/>
          <w:color w:val="000000" w:themeColor="text1"/>
          <w:szCs w:val="28"/>
        </w:rPr>
      </w:pPr>
      <w:r w:rsidRPr="004A689C">
        <w:rPr>
          <w:rFonts w:ascii="Times New Roman" w:eastAsia="Calibri" w:hAnsi="Times New Roman"/>
          <w:color w:val="000000" w:themeColor="text1"/>
          <w:szCs w:val="28"/>
          <w:lang w:eastAsia="en-US"/>
        </w:rPr>
        <w:t xml:space="preserve">La realizzazione del progetto </w:t>
      </w:r>
      <w:r w:rsidR="00610A38" w:rsidRPr="004A689C">
        <w:rPr>
          <w:rFonts w:ascii="Times New Roman" w:eastAsia="Calibri" w:hAnsi="Times New Roman"/>
          <w:color w:val="000000" w:themeColor="text1"/>
          <w:szCs w:val="28"/>
          <w:lang w:eastAsia="en-US"/>
        </w:rPr>
        <w:t xml:space="preserve">è pianificata </w:t>
      </w:r>
      <w:r w:rsidR="00840ACD" w:rsidRPr="004A689C">
        <w:rPr>
          <w:rFonts w:ascii="Times New Roman" w:eastAsia="Calibri" w:hAnsi="Times New Roman"/>
          <w:color w:val="000000" w:themeColor="text1"/>
          <w:szCs w:val="28"/>
          <w:lang w:eastAsia="en-US"/>
        </w:rPr>
        <w:t>entro l’anno</w:t>
      </w:r>
      <w:r w:rsidR="00610A38" w:rsidRPr="004A689C">
        <w:rPr>
          <w:rFonts w:ascii="Times New Roman" w:eastAsia="Calibri" w:hAnsi="Times New Roman"/>
          <w:color w:val="000000" w:themeColor="text1"/>
          <w:szCs w:val="28"/>
          <w:lang w:eastAsia="en-US"/>
        </w:rPr>
        <w:t xml:space="preserve"> 2021.</w:t>
      </w:r>
      <w:r w:rsidRPr="004A689C">
        <w:rPr>
          <w:rFonts w:ascii="Times New Roman" w:hAnsi="Times New Roman"/>
          <w:color w:val="000000" w:themeColor="text1"/>
          <w:szCs w:val="28"/>
        </w:rPr>
        <w:t xml:space="preserve"> </w:t>
      </w:r>
    </w:p>
    <w:p w:rsidR="00630911" w:rsidRPr="004A689C" w:rsidRDefault="00630911" w:rsidP="00630911">
      <w:pPr>
        <w:rPr>
          <w:rFonts w:ascii="Times New Roman" w:hAnsi="Times New Roman"/>
          <w:szCs w:val="28"/>
        </w:rPr>
      </w:pPr>
      <w:r w:rsidRPr="004A689C">
        <w:rPr>
          <w:rFonts w:ascii="Times New Roman" w:hAnsi="Times New Roman"/>
          <w:szCs w:val="28"/>
        </w:rPr>
        <w:t>Resta viva la necessità di implementare l’integrazione delle banche dati del personale</w:t>
      </w:r>
      <w:r w:rsidR="00FA3CBB" w:rsidRPr="004A689C">
        <w:rPr>
          <w:rFonts w:ascii="Times New Roman" w:hAnsi="Times New Roman"/>
          <w:szCs w:val="28"/>
        </w:rPr>
        <w:t>,</w:t>
      </w:r>
      <w:r w:rsidRPr="004A689C">
        <w:rPr>
          <w:rFonts w:ascii="Times New Roman" w:hAnsi="Times New Roman"/>
          <w:szCs w:val="28"/>
        </w:rPr>
        <w:t xml:space="preserve"> con particolar</w:t>
      </w:r>
      <w:r w:rsidR="009260C5" w:rsidRPr="004A689C">
        <w:rPr>
          <w:rFonts w:ascii="Times New Roman" w:hAnsi="Times New Roman"/>
          <w:szCs w:val="28"/>
        </w:rPr>
        <w:t>e</w:t>
      </w:r>
      <w:r w:rsidRPr="004A689C">
        <w:rPr>
          <w:rFonts w:ascii="Times New Roman" w:hAnsi="Times New Roman"/>
          <w:szCs w:val="28"/>
        </w:rPr>
        <w:t xml:space="preserve"> riferimento alla banca dati giuridica per la quale il </w:t>
      </w:r>
      <w:r w:rsidR="002F3764" w:rsidRPr="004A689C">
        <w:rPr>
          <w:rFonts w:ascii="Times New Roman" w:hAnsi="Times New Roman"/>
          <w:szCs w:val="28"/>
        </w:rPr>
        <w:t>D.S.S.</w:t>
      </w:r>
      <w:r w:rsidR="00FA3CBB" w:rsidRPr="004A689C">
        <w:rPr>
          <w:rFonts w:ascii="Times New Roman" w:hAnsi="Times New Roman"/>
          <w:szCs w:val="28"/>
        </w:rPr>
        <w:t>-</w:t>
      </w:r>
      <w:r w:rsidR="002F3764" w:rsidRPr="004A689C">
        <w:rPr>
          <w:rFonts w:ascii="Times New Roman" w:hAnsi="Times New Roman"/>
          <w:szCs w:val="28"/>
        </w:rPr>
        <w:t>U.I.T.</w:t>
      </w:r>
      <w:r w:rsidRPr="004A689C">
        <w:rPr>
          <w:rFonts w:ascii="Times New Roman" w:hAnsi="Times New Roman"/>
          <w:szCs w:val="28"/>
        </w:rPr>
        <w:t xml:space="preserve"> ha completato, nel corso del 2020, l’attività di reingegnerizzazione tecnologica</w:t>
      </w:r>
      <w:r w:rsidR="00610A38" w:rsidRPr="004A689C">
        <w:rPr>
          <w:rFonts w:ascii="Times New Roman" w:hAnsi="Times New Roman"/>
          <w:szCs w:val="28"/>
        </w:rPr>
        <w:t xml:space="preserve"> </w:t>
      </w:r>
    </w:p>
    <w:p w:rsidR="000443C7" w:rsidRPr="00F86515" w:rsidRDefault="00184104" w:rsidP="00D4217A">
      <w:pPr>
        <w:pStyle w:val="Titolo3"/>
        <w:numPr>
          <w:ilvl w:val="2"/>
          <w:numId w:val="11"/>
        </w:numPr>
        <w:ind w:left="709" w:hanging="709"/>
      </w:pPr>
      <w:r w:rsidRPr="00F86515">
        <w:t xml:space="preserve"> </w:t>
      </w:r>
      <w:bookmarkStart w:id="46" w:name="_Toc66721226"/>
      <w:r w:rsidR="004C4740" w:rsidRPr="00F86515">
        <w:t xml:space="preserve">Le </w:t>
      </w:r>
      <w:r w:rsidR="00B87BAB" w:rsidRPr="00F86515">
        <w:t xml:space="preserve">altre </w:t>
      </w:r>
      <w:r w:rsidR="004C4740" w:rsidRPr="00F86515">
        <w:t xml:space="preserve">misure </w:t>
      </w:r>
      <w:r w:rsidR="005B34D3" w:rsidRPr="00F86515">
        <w:t>generali</w:t>
      </w:r>
      <w:bookmarkEnd w:id="46"/>
    </w:p>
    <w:p w:rsidR="00DD707D" w:rsidRPr="004A689C" w:rsidRDefault="00DD707D" w:rsidP="00D4217A">
      <w:pPr>
        <w:pStyle w:val="Paragrafoelenco"/>
        <w:numPr>
          <w:ilvl w:val="0"/>
          <w:numId w:val="4"/>
        </w:numPr>
        <w:rPr>
          <w:rFonts w:ascii="Times New Roman" w:hAnsi="Times New Roman"/>
          <w:b/>
          <w:i/>
          <w:szCs w:val="28"/>
        </w:rPr>
      </w:pPr>
      <w:bookmarkStart w:id="47" w:name="_Toc482011286"/>
      <w:r w:rsidRPr="004A689C">
        <w:rPr>
          <w:rFonts w:ascii="Times New Roman" w:hAnsi="Times New Roman"/>
          <w:b/>
          <w:i/>
          <w:szCs w:val="28"/>
        </w:rPr>
        <w:t>Criteri per limitare l’esercizio della discrezionalità</w:t>
      </w:r>
      <w:bookmarkEnd w:id="47"/>
    </w:p>
    <w:p w:rsidR="00CE41F6" w:rsidRPr="004A689C" w:rsidRDefault="00CE41F6" w:rsidP="00CE41F6">
      <w:pPr>
        <w:rPr>
          <w:rFonts w:ascii="Times New Roman" w:hAnsi="Times New Roman"/>
          <w:b/>
          <w:szCs w:val="28"/>
        </w:rPr>
      </w:pPr>
    </w:p>
    <w:p w:rsidR="00CE41F6" w:rsidRPr="004A689C" w:rsidRDefault="00CE41F6" w:rsidP="00CE41F6">
      <w:pPr>
        <w:rPr>
          <w:rFonts w:ascii="Times New Roman" w:hAnsi="Times New Roman"/>
          <w:szCs w:val="28"/>
        </w:rPr>
      </w:pPr>
      <w:r w:rsidRPr="004A689C">
        <w:rPr>
          <w:rFonts w:ascii="Times New Roman" w:hAnsi="Times New Roman"/>
          <w:szCs w:val="28"/>
        </w:rPr>
        <w:t xml:space="preserve">In linea di continuità con le azioni intraprese (par. 4.3.1 del </w:t>
      </w:r>
      <w:r w:rsidR="00920B60" w:rsidRPr="004A689C">
        <w:rPr>
          <w:rFonts w:ascii="Times New Roman" w:hAnsi="Times New Roman"/>
          <w:szCs w:val="28"/>
        </w:rPr>
        <w:t>P.T.P.C.</w:t>
      </w:r>
      <w:r w:rsidRPr="004A689C">
        <w:rPr>
          <w:rFonts w:ascii="Times New Roman" w:hAnsi="Times New Roman"/>
          <w:szCs w:val="28"/>
        </w:rPr>
        <w:t xml:space="preserve"> 2015-2017, direttiva del Presidente del Consiglio dei ministri 23 febbraio 2015 concernente “</w:t>
      </w:r>
      <w:r w:rsidRPr="004A689C">
        <w:rPr>
          <w:rFonts w:ascii="Times New Roman" w:hAnsi="Times New Roman"/>
          <w:i/>
          <w:szCs w:val="28"/>
        </w:rPr>
        <w:t>Le modalità e i criteri per la concessione di rimborsi spese per la realizzazione di progetti culturali e sociali di alta rilevanza</w:t>
      </w:r>
      <w:r w:rsidRPr="004A689C">
        <w:rPr>
          <w:rFonts w:ascii="Times New Roman" w:hAnsi="Times New Roman"/>
          <w:szCs w:val="28"/>
        </w:rPr>
        <w:t>”) le Strutture che gestiscono processi caratterizzati da elevata discrezionalità</w:t>
      </w:r>
      <w:r w:rsidR="00FA3CBB" w:rsidRPr="004A689C">
        <w:rPr>
          <w:rFonts w:ascii="Times New Roman" w:hAnsi="Times New Roman"/>
          <w:szCs w:val="28"/>
        </w:rPr>
        <w:t>,</w:t>
      </w:r>
      <w:r w:rsidRPr="004A689C">
        <w:rPr>
          <w:rFonts w:ascii="Times New Roman" w:hAnsi="Times New Roman"/>
          <w:szCs w:val="28"/>
        </w:rPr>
        <w:t xml:space="preserve"> debbono adottare atti contenenti i criteri generali che regolino l’esercizio del potere. </w:t>
      </w:r>
      <w:r w:rsidR="00A866B6" w:rsidRPr="004A689C">
        <w:rPr>
          <w:rFonts w:ascii="Times New Roman" w:hAnsi="Times New Roman"/>
          <w:szCs w:val="28"/>
        </w:rPr>
        <w:t>È</w:t>
      </w:r>
      <w:r w:rsidR="002F3764" w:rsidRPr="004A689C">
        <w:rPr>
          <w:rFonts w:ascii="Times New Roman" w:hAnsi="Times New Roman"/>
          <w:szCs w:val="28"/>
        </w:rPr>
        <w:t xml:space="preserve"> </w:t>
      </w:r>
      <w:r w:rsidRPr="004A689C">
        <w:rPr>
          <w:rFonts w:ascii="Times New Roman" w:hAnsi="Times New Roman"/>
          <w:szCs w:val="28"/>
        </w:rPr>
        <w:t>questo il caso, tra gli altri, dell’erogazione di contributi, finanziamenti, rimborsi spese, sussidi o vantaggi economici comunque denominati.</w:t>
      </w:r>
    </w:p>
    <w:p w:rsidR="00DD707D" w:rsidRPr="004A689C" w:rsidRDefault="00DD707D" w:rsidP="00CE41F6">
      <w:pPr>
        <w:ind w:firstLine="0"/>
        <w:rPr>
          <w:rFonts w:ascii="Times New Roman" w:hAnsi="Times New Roman"/>
          <w:szCs w:val="28"/>
        </w:rPr>
      </w:pPr>
    </w:p>
    <w:p w:rsidR="00066780" w:rsidRPr="004A689C" w:rsidRDefault="00DD707D" w:rsidP="00D4217A">
      <w:pPr>
        <w:pStyle w:val="Paragrafoelenco"/>
        <w:numPr>
          <w:ilvl w:val="0"/>
          <w:numId w:val="4"/>
        </w:numPr>
        <w:ind w:firstLine="0"/>
        <w:rPr>
          <w:rFonts w:ascii="Times New Roman" w:hAnsi="Times New Roman"/>
          <w:b/>
          <w:i/>
          <w:szCs w:val="28"/>
        </w:rPr>
      </w:pPr>
      <w:bookmarkStart w:id="48" w:name="_Toc482011287"/>
      <w:r w:rsidRPr="004A689C">
        <w:rPr>
          <w:rFonts w:ascii="Times New Roman" w:hAnsi="Times New Roman"/>
          <w:b/>
          <w:i/>
          <w:szCs w:val="28"/>
        </w:rPr>
        <w:t>Misure generali per gli Uffici di controllo interno</w:t>
      </w:r>
      <w:bookmarkEnd w:id="48"/>
      <w:r w:rsidR="009E2826" w:rsidRPr="004A689C">
        <w:rPr>
          <w:rFonts w:ascii="Times New Roman" w:hAnsi="Times New Roman"/>
          <w:b/>
          <w:i/>
          <w:szCs w:val="28"/>
        </w:rPr>
        <w:t xml:space="preserve">           </w:t>
      </w:r>
      <w:r w:rsidRPr="004A689C">
        <w:rPr>
          <w:rFonts w:ascii="Times New Roman" w:hAnsi="Times New Roman"/>
          <w:b/>
          <w:i/>
          <w:szCs w:val="28"/>
        </w:rPr>
        <w:t xml:space="preserve"> </w:t>
      </w:r>
    </w:p>
    <w:p w:rsidR="00041187" w:rsidRPr="004A689C" w:rsidRDefault="00041187" w:rsidP="00041187">
      <w:pPr>
        <w:ind w:left="284" w:firstLine="0"/>
        <w:rPr>
          <w:rFonts w:ascii="Times New Roman" w:hAnsi="Times New Roman"/>
          <w:szCs w:val="28"/>
        </w:rPr>
      </w:pPr>
    </w:p>
    <w:p w:rsidR="005A4888" w:rsidRPr="004A689C" w:rsidRDefault="00DC3031" w:rsidP="00CE41F6">
      <w:pPr>
        <w:rPr>
          <w:rFonts w:ascii="Times New Roman" w:hAnsi="Times New Roman"/>
          <w:szCs w:val="28"/>
        </w:rPr>
      </w:pPr>
      <w:r w:rsidRPr="004A689C">
        <w:rPr>
          <w:rFonts w:ascii="Times New Roman" w:hAnsi="Times New Roman"/>
          <w:szCs w:val="28"/>
        </w:rPr>
        <w:t>Come programmato nel P.T.P.C.</w:t>
      </w:r>
      <w:r w:rsidR="0063095D" w:rsidRPr="004A689C">
        <w:rPr>
          <w:rFonts w:ascii="Times New Roman" w:hAnsi="Times New Roman"/>
          <w:szCs w:val="28"/>
        </w:rPr>
        <w:t>T.</w:t>
      </w:r>
      <w:r w:rsidRPr="004A689C">
        <w:rPr>
          <w:rFonts w:ascii="Times New Roman" w:hAnsi="Times New Roman"/>
          <w:szCs w:val="28"/>
        </w:rPr>
        <w:t xml:space="preserve"> 2018-2020</w:t>
      </w:r>
      <w:r w:rsidR="00FA3CBB" w:rsidRPr="004A689C">
        <w:rPr>
          <w:rFonts w:ascii="Times New Roman" w:hAnsi="Times New Roman"/>
          <w:szCs w:val="28"/>
        </w:rPr>
        <w:t>,</w:t>
      </w:r>
      <w:r w:rsidRPr="004A689C">
        <w:rPr>
          <w:rFonts w:ascii="Times New Roman" w:hAnsi="Times New Roman"/>
          <w:szCs w:val="28"/>
        </w:rPr>
        <w:t xml:space="preserve"> al paragrafo 5.1.17 lett. b</w:t>
      </w:r>
      <w:r w:rsidR="006361E7" w:rsidRPr="004A689C">
        <w:rPr>
          <w:rFonts w:ascii="Times New Roman" w:hAnsi="Times New Roman"/>
          <w:szCs w:val="28"/>
        </w:rPr>
        <w:t>)</w:t>
      </w:r>
      <w:r w:rsidRPr="004A689C">
        <w:rPr>
          <w:rFonts w:ascii="Times New Roman" w:hAnsi="Times New Roman"/>
          <w:szCs w:val="28"/>
        </w:rPr>
        <w:t xml:space="preserve">, l’U.C.I., con riguardo al Servizio controllo di gestione ha individuato, quale misura di prevenzione, la trasparenza interna, tramite l’accesso in lettura da parte del Collegio di direzione e dei dirigenti dell’U.C.I. delle cartelle condivise di lavoro del Servizio; analoghe misure di trasparenza sono state previste per gli atti relativi al Servizio per il controllo strategico e al Servizio per la valutazione della </w:t>
      </w:r>
      <w:r w:rsidRPr="004A689C">
        <w:rPr>
          <w:rFonts w:ascii="Times New Roman" w:hAnsi="Times New Roman"/>
          <w:i/>
          <w:szCs w:val="28"/>
        </w:rPr>
        <w:t>performance</w:t>
      </w:r>
      <w:r w:rsidR="006361E7" w:rsidRPr="004A689C">
        <w:rPr>
          <w:rFonts w:ascii="Times New Roman" w:hAnsi="Times New Roman"/>
          <w:szCs w:val="28"/>
        </w:rPr>
        <w:t xml:space="preserve"> organizzativa e individuale; </w:t>
      </w:r>
      <w:r w:rsidRPr="004A689C">
        <w:rPr>
          <w:rFonts w:ascii="Times New Roman" w:hAnsi="Times New Roman"/>
          <w:szCs w:val="28"/>
        </w:rPr>
        <w:t xml:space="preserve">il Collegio di direzione è </w:t>
      </w:r>
      <w:r w:rsidR="00FA3CBB" w:rsidRPr="004A689C">
        <w:rPr>
          <w:rFonts w:ascii="Times New Roman" w:hAnsi="Times New Roman"/>
          <w:szCs w:val="28"/>
        </w:rPr>
        <w:t>titolato</w:t>
      </w:r>
      <w:r w:rsidRPr="004A689C">
        <w:rPr>
          <w:rFonts w:ascii="Times New Roman" w:hAnsi="Times New Roman"/>
          <w:szCs w:val="28"/>
        </w:rPr>
        <w:t xml:space="preserve"> ad una verifica di secondo livello circa la corretta applicazione delle citate misure di prevenzione.</w:t>
      </w:r>
    </w:p>
    <w:p w:rsidR="00CE41F6" w:rsidRPr="004A689C" w:rsidRDefault="005C336B" w:rsidP="00CE41F6">
      <w:pPr>
        <w:rPr>
          <w:rFonts w:ascii="Times New Roman" w:hAnsi="Times New Roman"/>
          <w:szCs w:val="28"/>
        </w:rPr>
      </w:pPr>
      <w:r w:rsidRPr="004A689C">
        <w:rPr>
          <w:rFonts w:ascii="Times New Roman" w:hAnsi="Times New Roman"/>
          <w:szCs w:val="28"/>
        </w:rPr>
        <w:t>Per i</w:t>
      </w:r>
      <w:r w:rsidR="00CE41F6" w:rsidRPr="004A689C">
        <w:rPr>
          <w:rFonts w:ascii="Times New Roman" w:hAnsi="Times New Roman"/>
          <w:szCs w:val="28"/>
        </w:rPr>
        <w:t>l Servizio per il controllo strategico e il Servizio per la valutazione de</w:t>
      </w:r>
      <w:r w:rsidR="006361E7" w:rsidRPr="004A689C">
        <w:rPr>
          <w:rFonts w:ascii="Times New Roman" w:hAnsi="Times New Roman"/>
          <w:szCs w:val="28"/>
        </w:rPr>
        <w:t xml:space="preserve">lla </w:t>
      </w:r>
      <w:r w:rsidR="006361E7" w:rsidRPr="004A689C">
        <w:rPr>
          <w:rFonts w:ascii="Times New Roman" w:hAnsi="Times New Roman"/>
          <w:i/>
          <w:szCs w:val="28"/>
        </w:rPr>
        <w:t>performance</w:t>
      </w:r>
      <w:r w:rsidR="006361E7" w:rsidRPr="004A689C">
        <w:rPr>
          <w:rFonts w:ascii="Times New Roman" w:hAnsi="Times New Roman"/>
          <w:szCs w:val="28"/>
        </w:rPr>
        <w:t xml:space="preserve"> organizzativa e</w:t>
      </w:r>
      <w:r w:rsidR="00CE41F6" w:rsidRPr="004A689C">
        <w:rPr>
          <w:rFonts w:ascii="Times New Roman" w:hAnsi="Times New Roman"/>
          <w:szCs w:val="28"/>
        </w:rPr>
        <w:t xml:space="preserve"> individuale </w:t>
      </w:r>
      <w:r w:rsidRPr="004A689C">
        <w:rPr>
          <w:rFonts w:ascii="Times New Roman" w:hAnsi="Times New Roman"/>
          <w:szCs w:val="28"/>
        </w:rPr>
        <w:t xml:space="preserve">rimangono in vigore </w:t>
      </w:r>
      <w:r w:rsidR="00CE41F6" w:rsidRPr="004A689C">
        <w:rPr>
          <w:rFonts w:ascii="Times New Roman" w:hAnsi="Times New Roman"/>
          <w:szCs w:val="28"/>
        </w:rPr>
        <w:t>le misure di controllo</w:t>
      </w:r>
      <w:r w:rsidRPr="004A689C">
        <w:rPr>
          <w:rFonts w:ascii="Times New Roman" w:hAnsi="Times New Roman"/>
          <w:szCs w:val="28"/>
        </w:rPr>
        <w:t xml:space="preserve"> specifiche </w:t>
      </w:r>
      <w:r w:rsidR="00CE41F6" w:rsidRPr="004A689C">
        <w:rPr>
          <w:rFonts w:ascii="Times New Roman" w:hAnsi="Times New Roman"/>
          <w:i/>
          <w:szCs w:val="28"/>
        </w:rPr>
        <w:t>check-list</w:t>
      </w:r>
      <w:r w:rsidR="00CE41F6" w:rsidRPr="004A689C">
        <w:rPr>
          <w:rFonts w:ascii="Times New Roman" w:hAnsi="Times New Roman"/>
          <w:szCs w:val="28"/>
        </w:rPr>
        <w:t xml:space="preserve"> finalizzate a monitorare lo svolgimento regolare dell’istruttoria.</w:t>
      </w:r>
    </w:p>
    <w:p w:rsidR="009E2826" w:rsidRPr="004A689C" w:rsidRDefault="009E2826" w:rsidP="009E2826">
      <w:pPr>
        <w:rPr>
          <w:rFonts w:ascii="Times New Roman" w:hAnsi="Times New Roman"/>
          <w:szCs w:val="28"/>
        </w:rPr>
      </w:pPr>
      <w:r w:rsidRPr="004A689C">
        <w:rPr>
          <w:rFonts w:ascii="Times New Roman" w:hAnsi="Times New Roman"/>
          <w:szCs w:val="28"/>
        </w:rPr>
        <w:t>L’U.B.R.R.A.C., curandone l’aggiornamento in base ad eventuali modifiche normative sopravvenute nelle pertinenti materie, continua l’applicazione, in relazione agli atti trasmessi dai singoli Centri di responsabilità, delle misure “</w:t>
      </w:r>
      <w:r w:rsidRPr="004A689C">
        <w:rPr>
          <w:rFonts w:ascii="Times New Roman" w:hAnsi="Times New Roman"/>
          <w:i/>
          <w:szCs w:val="28"/>
        </w:rPr>
        <w:t>check-list</w:t>
      </w:r>
      <w:r w:rsidRPr="004A689C">
        <w:rPr>
          <w:rFonts w:ascii="Times New Roman" w:hAnsi="Times New Roman"/>
          <w:szCs w:val="28"/>
        </w:rPr>
        <w:t xml:space="preserve">” finalizzate a monitorare lo svolgimento regolare delle seguenti istruttorie: </w:t>
      </w:r>
    </w:p>
    <w:p w:rsidR="009E2826" w:rsidRPr="004A689C" w:rsidRDefault="009E2826" w:rsidP="009E2826">
      <w:pPr>
        <w:rPr>
          <w:rFonts w:ascii="Times New Roman" w:hAnsi="Times New Roman"/>
          <w:szCs w:val="28"/>
        </w:rPr>
      </w:pPr>
      <w:r w:rsidRPr="004A689C">
        <w:rPr>
          <w:rFonts w:ascii="Times New Roman" w:hAnsi="Times New Roman"/>
          <w:szCs w:val="28"/>
        </w:rPr>
        <w:t>a)</w:t>
      </w:r>
      <w:r w:rsidR="002B5BBD">
        <w:rPr>
          <w:rFonts w:ascii="Times New Roman" w:hAnsi="Times New Roman"/>
          <w:szCs w:val="28"/>
        </w:rPr>
        <w:t xml:space="preserve">    </w:t>
      </w:r>
      <w:r w:rsidRPr="004A689C">
        <w:rPr>
          <w:rFonts w:ascii="Times New Roman" w:hAnsi="Times New Roman"/>
          <w:szCs w:val="28"/>
        </w:rPr>
        <w:t xml:space="preserve">accordi tra Amministrazioni </w:t>
      </w:r>
      <w:r w:rsidRPr="004A689C">
        <w:rPr>
          <w:rFonts w:ascii="Times New Roman" w:hAnsi="Times New Roman"/>
          <w:i/>
          <w:szCs w:val="28"/>
        </w:rPr>
        <w:t>ex</w:t>
      </w:r>
      <w:r w:rsidRPr="004A689C">
        <w:rPr>
          <w:rFonts w:ascii="Times New Roman" w:hAnsi="Times New Roman"/>
          <w:szCs w:val="28"/>
        </w:rPr>
        <w:t xml:space="preserve"> art. 15 della L. n. 241 del 1990;</w:t>
      </w:r>
    </w:p>
    <w:p w:rsidR="009E2826" w:rsidRPr="004A689C" w:rsidRDefault="009E2826" w:rsidP="009E2826">
      <w:pPr>
        <w:rPr>
          <w:rFonts w:ascii="Times New Roman" w:hAnsi="Times New Roman"/>
          <w:szCs w:val="28"/>
        </w:rPr>
      </w:pPr>
      <w:r w:rsidRPr="004A689C">
        <w:rPr>
          <w:rFonts w:ascii="Times New Roman" w:hAnsi="Times New Roman"/>
          <w:szCs w:val="28"/>
        </w:rPr>
        <w:t xml:space="preserve">b)    affidamenti </w:t>
      </w:r>
      <w:r w:rsidRPr="004A689C">
        <w:rPr>
          <w:rFonts w:ascii="Times New Roman" w:hAnsi="Times New Roman"/>
          <w:i/>
          <w:szCs w:val="28"/>
        </w:rPr>
        <w:t>in house</w:t>
      </w:r>
      <w:r w:rsidRPr="004A689C">
        <w:rPr>
          <w:rFonts w:ascii="Times New Roman" w:hAnsi="Times New Roman"/>
          <w:szCs w:val="28"/>
        </w:rPr>
        <w:t xml:space="preserve">; </w:t>
      </w:r>
    </w:p>
    <w:p w:rsidR="009E2826" w:rsidRPr="004A689C" w:rsidRDefault="009E2826" w:rsidP="009E2826">
      <w:pPr>
        <w:ind w:left="851" w:hanging="567"/>
        <w:rPr>
          <w:rFonts w:ascii="Times New Roman" w:hAnsi="Times New Roman"/>
          <w:szCs w:val="28"/>
        </w:rPr>
      </w:pPr>
      <w:r w:rsidRPr="004A689C">
        <w:rPr>
          <w:rFonts w:ascii="Times New Roman" w:hAnsi="Times New Roman"/>
          <w:szCs w:val="28"/>
        </w:rPr>
        <w:t xml:space="preserve">c)   concessione di contributi ai sensi dell’art. 2, comma 3, del Decreto del Presidente del Consiglio dei ministri 22 novembre 2010; </w:t>
      </w:r>
    </w:p>
    <w:p w:rsidR="009E2826" w:rsidRPr="004A689C" w:rsidRDefault="009E2826" w:rsidP="009E2826">
      <w:pPr>
        <w:rPr>
          <w:rFonts w:ascii="Times New Roman" w:hAnsi="Times New Roman"/>
          <w:szCs w:val="28"/>
        </w:rPr>
      </w:pPr>
      <w:r w:rsidRPr="004A689C">
        <w:rPr>
          <w:rFonts w:ascii="Times New Roman" w:hAnsi="Times New Roman"/>
          <w:szCs w:val="28"/>
        </w:rPr>
        <w:t>d)    procedure di cui all’art. 48, comma 2, del D.P.C.M. 22 novembre 2010;</w:t>
      </w:r>
    </w:p>
    <w:p w:rsidR="009E2826" w:rsidRPr="004A689C" w:rsidRDefault="009E2826" w:rsidP="009E2826">
      <w:pPr>
        <w:ind w:left="709" w:hanging="425"/>
        <w:rPr>
          <w:rFonts w:ascii="Times New Roman" w:hAnsi="Times New Roman"/>
          <w:szCs w:val="28"/>
        </w:rPr>
      </w:pPr>
      <w:r w:rsidRPr="004A689C">
        <w:rPr>
          <w:rFonts w:ascii="Times New Roman" w:hAnsi="Times New Roman"/>
          <w:szCs w:val="28"/>
        </w:rPr>
        <w:t>e)</w:t>
      </w:r>
      <w:r w:rsidRPr="004A689C">
        <w:rPr>
          <w:rFonts w:ascii="Times New Roman" w:hAnsi="Times New Roman"/>
          <w:szCs w:val="28"/>
        </w:rPr>
        <w:tab/>
        <w:t>acquisizione di beni e servizi sia sotto soglia sia sopra soglia eurounitaria anche tramite adesioni a convenzioni CONSIP.</w:t>
      </w:r>
    </w:p>
    <w:p w:rsidR="00FE7D6C" w:rsidRPr="00B17FF0" w:rsidRDefault="0099567A" w:rsidP="00B17FF0">
      <w:pPr>
        <w:pStyle w:val="Titolo2"/>
        <w:rPr>
          <w:rFonts w:ascii="Times New Roman" w:hAnsi="Times New Roman"/>
        </w:rPr>
      </w:pPr>
      <w:bookmarkStart w:id="49" w:name="_Toc66721227"/>
      <w:r w:rsidRPr="00B17FF0">
        <w:rPr>
          <w:rFonts w:ascii="Times New Roman" w:hAnsi="Times New Roman"/>
        </w:rPr>
        <w:t>Le misure</w:t>
      </w:r>
      <w:r w:rsidR="00A820FA" w:rsidRPr="00B17FF0">
        <w:rPr>
          <w:rFonts w:ascii="Times New Roman" w:hAnsi="Times New Roman"/>
        </w:rPr>
        <w:t xml:space="preserve"> </w:t>
      </w:r>
      <w:r w:rsidR="00F94A7F" w:rsidRPr="00B17FF0">
        <w:rPr>
          <w:rFonts w:ascii="Times New Roman" w:hAnsi="Times New Roman"/>
        </w:rPr>
        <w:t>specifiche</w:t>
      </w:r>
      <w:bookmarkEnd w:id="49"/>
      <w:r w:rsidR="00F94A7F" w:rsidRPr="00B17FF0">
        <w:rPr>
          <w:rFonts w:ascii="Times New Roman" w:hAnsi="Times New Roman"/>
        </w:rPr>
        <w:t xml:space="preserve"> </w:t>
      </w:r>
    </w:p>
    <w:p w:rsidR="00630911" w:rsidRPr="004A689C" w:rsidRDefault="00630911" w:rsidP="00630911">
      <w:pPr>
        <w:rPr>
          <w:rFonts w:ascii="Times New Roman" w:hAnsi="Times New Roman"/>
          <w:szCs w:val="28"/>
        </w:rPr>
      </w:pPr>
      <w:r w:rsidRPr="004A689C">
        <w:rPr>
          <w:rFonts w:ascii="Times New Roman" w:hAnsi="Times New Roman"/>
          <w:szCs w:val="28"/>
        </w:rPr>
        <w:t xml:space="preserve">Le misure specifiche, denominate “misure ulteriori” dal primo </w:t>
      </w:r>
      <w:r w:rsidR="0063095D" w:rsidRPr="004A689C">
        <w:rPr>
          <w:rFonts w:ascii="Times New Roman" w:hAnsi="Times New Roman"/>
          <w:szCs w:val="28"/>
        </w:rPr>
        <w:t>P.N.A.</w:t>
      </w:r>
      <w:r w:rsidRPr="004A689C">
        <w:rPr>
          <w:rFonts w:ascii="Times New Roman" w:hAnsi="Times New Roman"/>
          <w:szCs w:val="28"/>
        </w:rPr>
        <w:t xml:space="preserve">, sono azioni ed interventi di prevenzione ulteriori rispetto a quelli obbligatoriamente prescritti dalla legge per tutte le amministrazioni e misure destinate ad agire su processi specifici, cioè non trasversali. </w:t>
      </w:r>
    </w:p>
    <w:p w:rsidR="00630911" w:rsidRPr="004A689C" w:rsidRDefault="00630911" w:rsidP="00630911">
      <w:pPr>
        <w:rPr>
          <w:rFonts w:ascii="Times New Roman" w:hAnsi="Times New Roman"/>
          <w:szCs w:val="28"/>
        </w:rPr>
      </w:pPr>
      <w:r w:rsidRPr="004A689C">
        <w:rPr>
          <w:rFonts w:ascii="Times New Roman" w:hAnsi="Times New Roman"/>
          <w:szCs w:val="28"/>
        </w:rPr>
        <w:t>Nel corso delle precedenti campagne di rilevazione del rischio di corruzione alcune Strutture hanno proposto apposite misure specifiche per la mitigazione del rischio</w:t>
      </w:r>
      <w:r w:rsidR="00FA3CBB" w:rsidRPr="004A689C">
        <w:rPr>
          <w:rFonts w:ascii="Times New Roman" w:hAnsi="Times New Roman"/>
          <w:szCs w:val="28"/>
        </w:rPr>
        <w:t>,</w:t>
      </w:r>
      <w:r w:rsidRPr="004A689C">
        <w:rPr>
          <w:rFonts w:ascii="Times New Roman" w:hAnsi="Times New Roman"/>
          <w:szCs w:val="28"/>
        </w:rPr>
        <w:t xml:space="preserve"> rispetto ai processi ritenuti più vulnerabili e rispetto ai processi per i quali le misure obbligatorie apparivano poco efficaci. </w:t>
      </w:r>
    </w:p>
    <w:p w:rsidR="00630911" w:rsidRPr="004A689C" w:rsidRDefault="00630911" w:rsidP="00630911">
      <w:pPr>
        <w:rPr>
          <w:rFonts w:ascii="Times New Roman" w:hAnsi="Times New Roman"/>
          <w:szCs w:val="28"/>
        </w:rPr>
      </w:pPr>
      <w:r w:rsidRPr="004A689C">
        <w:rPr>
          <w:rFonts w:ascii="Times New Roman" w:hAnsi="Times New Roman"/>
          <w:szCs w:val="28"/>
        </w:rPr>
        <w:t>I Capi Struttura, che periodicamente vengono consultati circa l’opportunità o l’esigenza di variare le misure di mitigazione del rischio esistenti o di introdurre nuove misure, hanno manifestato in generale la volontà di non mutare la situazione esistente ritenendo utili le misure che sembrano peraltro consolidate nella prassi lavorativa.</w:t>
      </w:r>
    </w:p>
    <w:p w:rsidR="00FA3CBB" w:rsidRPr="004A689C" w:rsidRDefault="00630911" w:rsidP="00630911">
      <w:pPr>
        <w:rPr>
          <w:rFonts w:ascii="Times New Roman" w:hAnsi="Times New Roman"/>
          <w:szCs w:val="28"/>
        </w:rPr>
      </w:pPr>
      <w:r w:rsidRPr="004A689C">
        <w:rPr>
          <w:rFonts w:ascii="Times New Roman" w:hAnsi="Times New Roman"/>
          <w:szCs w:val="28"/>
        </w:rPr>
        <w:t>Le risultanze dell’analisi del rischio hanno evidenziato, anche nel 2020, che la maggioranza di processi a rischio presentano un livello basso o molto basso.</w:t>
      </w:r>
    </w:p>
    <w:p w:rsidR="00630911" w:rsidRPr="004A689C" w:rsidRDefault="00630911" w:rsidP="00630911">
      <w:pPr>
        <w:rPr>
          <w:rFonts w:ascii="Times New Roman" w:hAnsi="Times New Roman"/>
          <w:szCs w:val="28"/>
        </w:rPr>
      </w:pPr>
      <w:r w:rsidRPr="004A689C">
        <w:rPr>
          <w:rFonts w:ascii="Times New Roman" w:hAnsi="Times New Roman"/>
          <w:szCs w:val="28"/>
        </w:rPr>
        <w:t xml:space="preserve">Tali evidenze suggeriscono l’opportunità di non introdurre ulteriori controlli, che potrebbero appesantire l’azione amministrativa, quanto piuttosto di razionalizzare e mettere a sistema i controlli già esistenti, come tra l’altro raccomandato </w:t>
      </w:r>
      <w:r w:rsidR="00872440" w:rsidRPr="004A689C">
        <w:rPr>
          <w:rFonts w:ascii="Times New Roman" w:hAnsi="Times New Roman"/>
          <w:szCs w:val="28"/>
        </w:rPr>
        <w:t>nel P.N.A.</w:t>
      </w:r>
      <w:r w:rsidRPr="004A689C">
        <w:rPr>
          <w:rFonts w:ascii="Times New Roman" w:hAnsi="Times New Roman"/>
          <w:szCs w:val="28"/>
        </w:rPr>
        <w:t xml:space="preserve"> 2019 (Allegato 1, pag. 5 e seguenti).</w:t>
      </w:r>
    </w:p>
    <w:p w:rsidR="003E6E66" w:rsidRPr="004A689C" w:rsidRDefault="00630911" w:rsidP="00630911">
      <w:pPr>
        <w:rPr>
          <w:rFonts w:ascii="Times New Roman" w:hAnsi="Times New Roman"/>
          <w:szCs w:val="28"/>
        </w:rPr>
      </w:pPr>
      <w:r w:rsidRPr="004A689C">
        <w:rPr>
          <w:rFonts w:ascii="Times New Roman" w:hAnsi="Times New Roman"/>
          <w:szCs w:val="28"/>
        </w:rPr>
        <w:t xml:space="preserve">Ciò premesso, avendo </w:t>
      </w:r>
      <w:r w:rsidR="00835768" w:rsidRPr="004A689C">
        <w:rPr>
          <w:rFonts w:ascii="Times New Roman" w:hAnsi="Times New Roman"/>
          <w:szCs w:val="28"/>
        </w:rPr>
        <w:t>realizzato</w:t>
      </w:r>
      <w:r w:rsidRPr="004A689C">
        <w:rPr>
          <w:rFonts w:ascii="Times New Roman" w:hAnsi="Times New Roman"/>
          <w:szCs w:val="28"/>
        </w:rPr>
        <w:t xml:space="preserve"> nel corso del 2020 una </w:t>
      </w:r>
      <w:r w:rsidR="00835768" w:rsidRPr="004A689C">
        <w:rPr>
          <w:rFonts w:ascii="Times New Roman" w:hAnsi="Times New Roman"/>
          <w:szCs w:val="28"/>
        </w:rPr>
        <w:t xml:space="preserve">operazione di razionalizzazione e </w:t>
      </w:r>
      <w:r w:rsidRPr="004A689C">
        <w:rPr>
          <w:rFonts w:ascii="Times New Roman" w:hAnsi="Times New Roman"/>
          <w:szCs w:val="28"/>
        </w:rPr>
        <w:t xml:space="preserve">standardizzazione delle linee di attività, </w:t>
      </w:r>
      <w:r w:rsidR="00835768" w:rsidRPr="004A689C">
        <w:rPr>
          <w:rFonts w:ascii="Times New Roman" w:hAnsi="Times New Roman"/>
          <w:szCs w:val="28"/>
        </w:rPr>
        <w:t>successivamente a</w:t>
      </w:r>
      <w:r w:rsidRPr="004A689C">
        <w:rPr>
          <w:rFonts w:ascii="Times New Roman" w:hAnsi="Times New Roman"/>
          <w:szCs w:val="28"/>
        </w:rPr>
        <w:t>l completamento della prossima campagna di rilevazione del rischio</w:t>
      </w:r>
      <w:r w:rsidR="00872440" w:rsidRPr="004A689C">
        <w:rPr>
          <w:rFonts w:ascii="Times New Roman" w:hAnsi="Times New Roman"/>
          <w:szCs w:val="28"/>
        </w:rPr>
        <w:t>,</w:t>
      </w:r>
      <w:r w:rsidRPr="004A689C">
        <w:rPr>
          <w:rFonts w:ascii="Times New Roman" w:hAnsi="Times New Roman"/>
          <w:szCs w:val="28"/>
        </w:rPr>
        <w:t xml:space="preserve"> verr</w:t>
      </w:r>
      <w:r w:rsidR="00872440" w:rsidRPr="004A689C">
        <w:rPr>
          <w:rFonts w:ascii="Times New Roman" w:hAnsi="Times New Roman"/>
          <w:szCs w:val="28"/>
        </w:rPr>
        <w:t>à</w:t>
      </w:r>
      <w:r w:rsidR="00835768" w:rsidRPr="004A689C">
        <w:rPr>
          <w:rFonts w:ascii="Times New Roman" w:hAnsi="Times New Roman"/>
          <w:szCs w:val="28"/>
        </w:rPr>
        <w:t xml:space="preserve"> svolt</w:t>
      </w:r>
      <w:r w:rsidR="00872440" w:rsidRPr="004A689C">
        <w:rPr>
          <w:rFonts w:ascii="Times New Roman" w:hAnsi="Times New Roman"/>
          <w:szCs w:val="28"/>
        </w:rPr>
        <w:t>a</w:t>
      </w:r>
      <w:r w:rsidR="00835768" w:rsidRPr="004A689C">
        <w:rPr>
          <w:rFonts w:ascii="Times New Roman" w:hAnsi="Times New Roman"/>
          <w:szCs w:val="28"/>
        </w:rPr>
        <w:t xml:space="preserve"> un’attività di analisi sui processi a rischio che fanno riferimento alle </w:t>
      </w:r>
      <w:r w:rsidR="00872440" w:rsidRPr="004A689C">
        <w:rPr>
          <w:rFonts w:ascii="Times New Roman" w:hAnsi="Times New Roman"/>
          <w:szCs w:val="28"/>
        </w:rPr>
        <w:t>predette</w:t>
      </w:r>
      <w:r w:rsidR="00835768" w:rsidRPr="004A689C">
        <w:rPr>
          <w:rFonts w:ascii="Times New Roman" w:hAnsi="Times New Roman"/>
          <w:szCs w:val="28"/>
        </w:rPr>
        <w:t xml:space="preserve"> linee di attività e </w:t>
      </w:r>
      <w:r w:rsidR="00872440" w:rsidRPr="004A689C">
        <w:rPr>
          <w:rFonts w:ascii="Times New Roman" w:hAnsi="Times New Roman"/>
          <w:szCs w:val="28"/>
        </w:rPr>
        <w:t xml:space="preserve">che </w:t>
      </w:r>
      <w:r w:rsidR="00835768" w:rsidRPr="004A689C">
        <w:rPr>
          <w:rFonts w:ascii="Times New Roman" w:hAnsi="Times New Roman"/>
          <w:szCs w:val="28"/>
        </w:rPr>
        <w:t>s</w:t>
      </w:r>
      <w:r w:rsidR="004F603B" w:rsidRPr="004A689C">
        <w:rPr>
          <w:rFonts w:ascii="Times New Roman" w:hAnsi="Times New Roman"/>
          <w:szCs w:val="28"/>
        </w:rPr>
        <w:t xml:space="preserve">i presentano </w:t>
      </w:r>
      <w:r w:rsidR="00835768" w:rsidRPr="004A689C">
        <w:rPr>
          <w:rFonts w:ascii="Times New Roman" w:hAnsi="Times New Roman"/>
          <w:szCs w:val="28"/>
        </w:rPr>
        <w:t xml:space="preserve">comuni a più Strutture </w:t>
      </w:r>
      <w:r w:rsidR="00872440" w:rsidRPr="004A689C">
        <w:rPr>
          <w:rFonts w:ascii="Times New Roman" w:hAnsi="Times New Roman"/>
          <w:szCs w:val="28"/>
        </w:rPr>
        <w:t>con</w:t>
      </w:r>
      <w:r w:rsidR="00835768" w:rsidRPr="004A689C">
        <w:rPr>
          <w:rFonts w:ascii="Times New Roman" w:hAnsi="Times New Roman"/>
          <w:szCs w:val="28"/>
        </w:rPr>
        <w:t xml:space="preserve"> un lavoro di approfondimento </w:t>
      </w:r>
      <w:r w:rsidR="004F603B" w:rsidRPr="004A689C">
        <w:rPr>
          <w:rFonts w:ascii="Times New Roman" w:hAnsi="Times New Roman"/>
          <w:szCs w:val="28"/>
        </w:rPr>
        <w:t xml:space="preserve">finalizzato a </w:t>
      </w:r>
      <w:r w:rsidR="00835768" w:rsidRPr="004A689C">
        <w:rPr>
          <w:rFonts w:ascii="Times New Roman" w:hAnsi="Times New Roman"/>
          <w:szCs w:val="28"/>
        </w:rPr>
        <w:t xml:space="preserve">verificare la convenienza a introdurre o consolidare </w:t>
      </w:r>
      <w:r w:rsidRPr="004A689C">
        <w:rPr>
          <w:rFonts w:ascii="Times New Roman" w:hAnsi="Times New Roman"/>
          <w:szCs w:val="28"/>
        </w:rPr>
        <w:t>delle misure di controllo</w:t>
      </w:r>
      <w:r w:rsidRPr="004A689C">
        <w:rPr>
          <w:rFonts w:ascii="Times New Roman" w:hAnsi="Times New Roman"/>
          <w:i/>
          <w:szCs w:val="28"/>
        </w:rPr>
        <w:t xml:space="preserve"> </w:t>
      </w:r>
      <w:r w:rsidRPr="004A689C">
        <w:rPr>
          <w:rFonts w:ascii="Times New Roman" w:hAnsi="Times New Roman"/>
          <w:szCs w:val="28"/>
        </w:rPr>
        <w:t xml:space="preserve">in maniera centralizzata. </w:t>
      </w:r>
    </w:p>
    <w:p w:rsidR="00630911" w:rsidRPr="004A689C" w:rsidRDefault="004F603B" w:rsidP="00630911">
      <w:pPr>
        <w:rPr>
          <w:rFonts w:ascii="Times New Roman" w:hAnsi="Times New Roman"/>
          <w:szCs w:val="28"/>
        </w:rPr>
      </w:pPr>
      <w:r w:rsidRPr="004A689C">
        <w:rPr>
          <w:rFonts w:ascii="Times New Roman" w:hAnsi="Times New Roman"/>
          <w:szCs w:val="28"/>
        </w:rPr>
        <w:t xml:space="preserve">Sarà </w:t>
      </w:r>
      <w:r w:rsidR="00872440" w:rsidRPr="004A689C">
        <w:rPr>
          <w:rFonts w:ascii="Times New Roman" w:hAnsi="Times New Roman"/>
          <w:szCs w:val="28"/>
        </w:rPr>
        <w:t>effettuato</w:t>
      </w:r>
      <w:r w:rsidR="00630911" w:rsidRPr="004A689C">
        <w:rPr>
          <w:rFonts w:ascii="Times New Roman" w:hAnsi="Times New Roman"/>
          <w:szCs w:val="28"/>
        </w:rPr>
        <w:t xml:space="preserve"> un approccio sostanziale di semplificazione, razionalizzazione e messa a sistema a fattor comune delle misure eventualmente già esistenti, evitando di introdurre oneri amministrativi e valutando solo in subordine l’individuazione di nuove misure. </w:t>
      </w:r>
    </w:p>
    <w:p w:rsidR="00FE7D6C" w:rsidRPr="00B17FF0" w:rsidRDefault="004F4947" w:rsidP="00B17FF0">
      <w:pPr>
        <w:pStyle w:val="Titolo3"/>
        <w:ind w:left="851" w:hanging="851"/>
      </w:pPr>
      <w:bookmarkStart w:id="50" w:name="_Toc66721228"/>
      <w:r w:rsidRPr="00B17FF0">
        <w:t xml:space="preserve">Le misure </w:t>
      </w:r>
      <w:r w:rsidR="00704DCA" w:rsidRPr="00B17FF0">
        <w:t>per l’erogazione di ausili finanziari in caso di emergenza civile</w:t>
      </w:r>
      <w:bookmarkEnd w:id="50"/>
      <w:r w:rsidR="00DD707D" w:rsidRPr="00B17FF0">
        <w:t xml:space="preserve"> </w:t>
      </w:r>
    </w:p>
    <w:p w:rsidR="001C238A" w:rsidRPr="004A689C" w:rsidRDefault="008C0997" w:rsidP="001C238A">
      <w:pPr>
        <w:rPr>
          <w:rFonts w:ascii="Times New Roman" w:hAnsi="Times New Roman"/>
          <w:szCs w:val="28"/>
        </w:rPr>
      </w:pPr>
      <w:r w:rsidRPr="004A689C">
        <w:rPr>
          <w:rFonts w:ascii="Times New Roman" w:hAnsi="Times New Roman"/>
          <w:szCs w:val="28"/>
        </w:rPr>
        <w:t>L</w:t>
      </w:r>
      <w:r w:rsidR="0038070C" w:rsidRPr="004A689C">
        <w:rPr>
          <w:rFonts w:ascii="Times New Roman" w:hAnsi="Times New Roman"/>
          <w:szCs w:val="28"/>
        </w:rPr>
        <w:t xml:space="preserve">’ordinanza del Capo Dipartimento </w:t>
      </w:r>
      <w:r w:rsidRPr="004A689C">
        <w:rPr>
          <w:rFonts w:ascii="Times New Roman" w:hAnsi="Times New Roman"/>
          <w:szCs w:val="28"/>
        </w:rPr>
        <w:t xml:space="preserve">della protezione civile </w:t>
      </w:r>
      <w:r w:rsidR="0038070C" w:rsidRPr="004A689C">
        <w:rPr>
          <w:rFonts w:ascii="Times New Roman" w:hAnsi="Times New Roman"/>
          <w:szCs w:val="28"/>
        </w:rPr>
        <w:t xml:space="preserve">1° aprile 2020, n. 659, pubblicata nella Gazzetta ufficiale, Serie generale, n. 90 del 4 aprile 2020, </w:t>
      </w:r>
      <w:r w:rsidR="004564CA" w:rsidRPr="004A689C">
        <w:rPr>
          <w:rFonts w:ascii="Times New Roman" w:hAnsi="Times New Roman"/>
          <w:szCs w:val="28"/>
        </w:rPr>
        <w:t>emanata a</w:t>
      </w:r>
      <w:r w:rsidR="00797B70" w:rsidRPr="004A689C">
        <w:rPr>
          <w:rFonts w:ascii="Times New Roman" w:hAnsi="Times New Roman"/>
          <w:szCs w:val="28"/>
        </w:rPr>
        <w:t xml:space="preserve"> seguito </w:t>
      </w:r>
      <w:r w:rsidR="000C2964" w:rsidRPr="004A689C">
        <w:rPr>
          <w:rFonts w:ascii="Times New Roman" w:hAnsi="Times New Roman"/>
          <w:szCs w:val="28"/>
        </w:rPr>
        <w:t>della</w:t>
      </w:r>
      <w:r w:rsidR="00797B70" w:rsidRPr="004A689C">
        <w:rPr>
          <w:rFonts w:ascii="Times New Roman" w:hAnsi="Times New Roman"/>
          <w:szCs w:val="28"/>
        </w:rPr>
        <w:t xml:space="preserve">  delibera del Consiglio dei ministri del 31 gennaio 2020, con la quale è stato dichiarato, per sei mesi, lo stato di emergenza sul territorio nazionale relativo al rischio sanitario connesso all’insorgenza di patologie derivanti da agenti virali trasmissibili</w:t>
      </w:r>
      <w:r w:rsidR="00B749BB" w:rsidRPr="004A689C">
        <w:rPr>
          <w:rFonts w:ascii="Times New Roman" w:hAnsi="Times New Roman"/>
          <w:szCs w:val="28"/>
        </w:rPr>
        <w:t>,</w:t>
      </w:r>
      <w:r w:rsidR="00B749BB" w:rsidRPr="004A689C">
        <w:rPr>
          <w:rFonts w:ascii="Times New Roman" w:hAnsi="Times New Roman"/>
          <w:b/>
          <w:color w:val="0070C0"/>
          <w:szCs w:val="28"/>
        </w:rPr>
        <w:t xml:space="preserve"> </w:t>
      </w:r>
      <w:r w:rsidR="0038070C" w:rsidRPr="004A689C">
        <w:rPr>
          <w:rFonts w:ascii="Times New Roman" w:hAnsi="Times New Roman"/>
          <w:szCs w:val="28"/>
        </w:rPr>
        <w:t xml:space="preserve">ha previsto una normativa eccezionale, disponendo la sospensione degli adempimenti di trasparenza e di prevenzione della corruzione per il </w:t>
      </w:r>
      <w:r w:rsidRPr="004A689C">
        <w:rPr>
          <w:rFonts w:ascii="Times New Roman" w:hAnsi="Times New Roman"/>
          <w:szCs w:val="28"/>
        </w:rPr>
        <w:t>D.P.C.</w:t>
      </w:r>
      <w:r w:rsidR="0038070C" w:rsidRPr="004A689C">
        <w:rPr>
          <w:rFonts w:ascii="Times New Roman" w:hAnsi="Times New Roman"/>
          <w:szCs w:val="28"/>
        </w:rPr>
        <w:t xml:space="preserve"> sino a trenta giorni dopo la cessazione dello stato di</w:t>
      </w:r>
      <w:r w:rsidRPr="004A689C">
        <w:rPr>
          <w:rFonts w:ascii="Times New Roman" w:hAnsi="Times New Roman"/>
          <w:szCs w:val="28"/>
        </w:rPr>
        <w:t xml:space="preserve"> emergenza</w:t>
      </w:r>
      <w:r w:rsidR="0038070C" w:rsidRPr="004A689C">
        <w:rPr>
          <w:rFonts w:ascii="Times New Roman" w:hAnsi="Times New Roman"/>
          <w:szCs w:val="28"/>
        </w:rPr>
        <w:t xml:space="preserve">. </w:t>
      </w:r>
      <w:r w:rsidR="001C238A" w:rsidRPr="004A689C">
        <w:rPr>
          <w:rFonts w:ascii="Times New Roman" w:hAnsi="Times New Roman"/>
          <w:szCs w:val="28"/>
        </w:rPr>
        <w:t xml:space="preserve">Lo stato di emergenza è stato prorogato </w:t>
      </w:r>
      <w:r w:rsidR="004564CA" w:rsidRPr="004A689C">
        <w:rPr>
          <w:rFonts w:ascii="Times New Roman" w:hAnsi="Times New Roman"/>
          <w:szCs w:val="28"/>
        </w:rPr>
        <w:t xml:space="preserve">al 30 aprile 2021 </w:t>
      </w:r>
      <w:r w:rsidR="001C238A" w:rsidRPr="004A689C">
        <w:rPr>
          <w:rFonts w:ascii="Times New Roman" w:hAnsi="Times New Roman"/>
          <w:szCs w:val="28"/>
        </w:rPr>
        <w:t xml:space="preserve">con Delibera del Consiglio dei ministri del </w:t>
      </w:r>
      <w:r w:rsidR="0026168C" w:rsidRPr="004A689C">
        <w:rPr>
          <w:rFonts w:ascii="Times New Roman" w:hAnsi="Times New Roman"/>
          <w:szCs w:val="28"/>
        </w:rPr>
        <w:t>13 gennaio 2021</w:t>
      </w:r>
      <w:r w:rsidR="00797B70" w:rsidRPr="004A689C">
        <w:rPr>
          <w:rFonts w:ascii="Times New Roman" w:hAnsi="Times New Roman"/>
          <w:szCs w:val="28"/>
        </w:rPr>
        <w:t>.</w:t>
      </w:r>
    </w:p>
    <w:p w:rsidR="00D51446" w:rsidRPr="00DE7C40" w:rsidRDefault="00D51446" w:rsidP="00D51446">
      <w:pPr>
        <w:rPr>
          <w:rFonts w:ascii="Times New Roman" w:hAnsi="Times New Roman"/>
          <w:szCs w:val="28"/>
        </w:rPr>
      </w:pPr>
      <w:r w:rsidRPr="004A689C">
        <w:rPr>
          <w:rFonts w:ascii="Times New Roman" w:hAnsi="Times New Roman"/>
          <w:szCs w:val="28"/>
        </w:rPr>
        <w:t>In relazione all</w:t>
      </w:r>
      <w:r w:rsidR="008C0997" w:rsidRPr="004A689C">
        <w:rPr>
          <w:rFonts w:ascii="Times New Roman" w:hAnsi="Times New Roman"/>
          <w:szCs w:val="28"/>
        </w:rPr>
        <w:t xml:space="preserve">a delicata situazione gestionale venutasi a creare a seguito </w:t>
      </w:r>
      <w:r w:rsidR="00872440" w:rsidRPr="004A689C">
        <w:rPr>
          <w:rFonts w:ascii="Times New Roman" w:hAnsi="Times New Roman"/>
          <w:szCs w:val="28"/>
        </w:rPr>
        <w:t xml:space="preserve">della pandemia da </w:t>
      </w:r>
      <w:r w:rsidR="00872440" w:rsidRPr="00D4217A">
        <w:rPr>
          <w:rFonts w:ascii="Times New Roman" w:hAnsi="Times New Roman"/>
          <w:caps/>
          <w:szCs w:val="28"/>
        </w:rPr>
        <w:t>Covid</w:t>
      </w:r>
      <w:r w:rsidR="00D4217A">
        <w:rPr>
          <w:rFonts w:ascii="Times New Roman" w:hAnsi="Times New Roman"/>
          <w:caps/>
          <w:szCs w:val="28"/>
        </w:rPr>
        <w:t>-</w:t>
      </w:r>
      <w:r w:rsidR="00872440" w:rsidRPr="00D4217A">
        <w:rPr>
          <w:rFonts w:ascii="Times New Roman" w:hAnsi="Times New Roman"/>
          <w:caps/>
          <w:szCs w:val="28"/>
        </w:rPr>
        <w:t>19</w:t>
      </w:r>
      <w:r w:rsidR="00872440" w:rsidRPr="004A689C">
        <w:rPr>
          <w:rFonts w:ascii="Times New Roman" w:hAnsi="Times New Roman"/>
          <w:szCs w:val="28"/>
        </w:rPr>
        <w:t xml:space="preserve"> e </w:t>
      </w:r>
      <w:r w:rsidR="008C0997" w:rsidRPr="004A689C">
        <w:rPr>
          <w:rFonts w:ascii="Times New Roman" w:hAnsi="Times New Roman"/>
          <w:szCs w:val="28"/>
        </w:rPr>
        <w:t>delle ripetute crisi emergenziali di diversa natura c</w:t>
      </w:r>
      <w:r w:rsidRPr="004A689C">
        <w:rPr>
          <w:rFonts w:ascii="Times New Roman" w:hAnsi="Times New Roman"/>
          <w:szCs w:val="28"/>
        </w:rPr>
        <w:t xml:space="preserve">he hanno </w:t>
      </w:r>
      <w:r w:rsidR="0038070C" w:rsidRPr="004A689C">
        <w:rPr>
          <w:rFonts w:ascii="Times New Roman" w:hAnsi="Times New Roman"/>
          <w:szCs w:val="28"/>
        </w:rPr>
        <w:t xml:space="preserve">colpito </w:t>
      </w:r>
      <w:r w:rsidRPr="004A689C">
        <w:rPr>
          <w:rFonts w:ascii="Times New Roman" w:hAnsi="Times New Roman"/>
          <w:szCs w:val="28"/>
        </w:rPr>
        <w:t>l’Italia</w:t>
      </w:r>
      <w:r w:rsidR="008C0997" w:rsidRPr="004A689C">
        <w:rPr>
          <w:rFonts w:ascii="Times New Roman" w:hAnsi="Times New Roman"/>
          <w:szCs w:val="28"/>
        </w:rPr>
        <w:t xml:space="preserve"> negli ultimi anni</w:t>
      </w:r>
      <w:r w:rsidRPr="004A689C">
        <w:rPr>
          <w:rFonts w:ascii="Times New Roman" w:hAnsi="Times New Roman"/>
          <w:szCs w:val="28"/>
        </w:rPr>
        <w:t>, si rende</w:t>
      </w:r>
      <w:r w:rsidR="00872440" w:rsidRPr="004A689C">
        <w:rPr>
          <w:rFonts w:ascii="Times New Roman" w:hAnsi="Times New Roman"/>
          <w:szCs w:val="28"/>
        </w:rPr>
        <w:t xml:space="preserve"> </w:t>
      </w:r>
      <w:r w:rsidRPr="004A689C">
        <w:rPr>
          <w:rFonts w:ascii="Times New Roman" w:hAnsi="Times New Roman"/>
          <w:szCs w:val="28"/>
        </w:rPr>
        <w:t>opportun</w:t>
      </w:r>
      <w:r w:rsidR="00872440" w:rsidRPr="004A689C">
        <w:rPr>
          <w:rFonts w:ascii="Times New Roman" w:hAnsi="Times New Roman"/>
          <w:szCs w:val="28"/>
        </w:rPr>
        <w:t>o c</w:t>
      </w:r>
      <w:r w:rsidR="001816D5" w:rsidRPr="004A689C">
        <w:rPr>
          <w:rFonts w:ascii="Times New Roman" w:hAnsi="Times New Roman"/>
          <w:szCs w:val="28"/>
        </w:rPr>
        <w:t>o</w:t>
      </w:r>
      <w:r w:rsidRPr="004A689C">
        <w:rPr>
          <w:rFonts w:ascii="Times New Roman" w:hAnsi="Times New Roman"/>
          <w:szCs w:val="28"/>
        </w:rPr>
        <w:t>nferma</w:t>
      </w:r>
      <w:r w:rsidR="00872440" w:rsidRPr="004A689C">
        <w:rPr>
          <w:rFonts w:ascii="Times New Roman" w:hAnsi="Times New Roman"/>
          <w:szCs w:val="28"/>
        </w:rPr>
        <w:t>re</w:t>
      </w:r>
      <w:r w:rsidRPr="004A689C">
        <w:rPr>
          <w:rFonts w:ascii="Times New Roman" w:hAnsi="Times New Roman"/>
          <w:szCs w:val="28"/>
        </w:rPr>
        <w:t xml:space="preserve"> in capo al D</w:t>
      </w:r>
      <w:r w:rsidR="00604DAA" w:rsidRPr="004A689C">
        <w:rPr>
          <w:rFonts w:ascii="Times New Roman" w:hAnsi="Times New Roman"/>
          <w:szCs w:val="28"/>
        </w:rPr>
        <w:t>.</w:t>
      </w:r>
      <w:r w:rsidRPr="004A689C">
        <w:rPr>
          <w:rFonts w:ascii="Times New Roman" w:hAnsi="Times New Roman"/>
          <w:szCs w:val="28"/>
        </w:rPr>
        <w:t>P</w:t>
      </w:r>
      <w:r w:rsidR="00604DAA" w:rsidRPr="004A689C">
        <w:rPr>
          <w:rFonts w:ascii="Times New Roman" w:hAnsi="Times New Roman"/>
          <w:szCs w:val="28"/>
        </w:rPr>
        <w:t>.</w:t>
      </w:r>
      <w:r w:rsidRPr="004A689C">
        <w:rPr>
          <w:rFonts w:ascii="Times New Roman" w:hAnsi="Times New Roman"/>
          <w:szCs w:val="28"/>
        </w:rPr>
        <w:t>C</w:t>
      </w:r>
      <w:r w:rsidR="00604DAA" w:rsidRPr="004A689C">
        <w:rPr>
          <w:rFonts w:ascii="Times New Roman" w:hAnsi="Times New Roman"/>
          <w:szCs w:val="28"/>
        </w:rPr>
        <w:t>.</w:t>
      </w:r>
      <w:r w:rsidR="0038070C" w:rsidRPr="004A689C">
        <w:rPr>
          <w:rFonts w:ascii="Times New Roman" w:hAnsi="Times New Roman"/>
          <w:szCs w:val="28"/>
        </w:rPr>
        <w:t>, anche per il 2021</w:t>
      </w:r>
      <w:r w:rsidRPr="00DE7C40">
        <w:rPr>
          <w:rFonts w:ascii="Times New Roman" w:hAnsi="Times New Roman"/>
          <w:szCs w:val="28"/>
        </w:rPr>
        <w:t>, de</w:t>
      </w:r>
      <w:r w:rsidR="001816D5" w:rsidRPr="00DE7C40">
        <w:rPr>
          <w:rFonts w:ascii="Times New Roman" w:hAnsi="Times New Roman"/>
          <w:szCs w:val="28"/>
        </w:rPr>
        <w:t xml:space="preserve">i </w:t>
      </w:r>
      <w:r w:rsidRPr="00DE7C40">
        <w:rPr>
          <w:rFonts w:ascii="Times New Roman" w:hAnsi="Times New Roman"/>
          <w:szCs w:val="28"/>
        </w:rPr>
        <w:t>controlli a campione:</w:t>
      </w:r>
    </w:p>
    <w:p w:rsidR="00D51446" w:rsidRPr="00DE7C40" w:rsidRDefault="00D51446" w:rsidP="00D51446">
      <w:pPr>
        <w:rPr>
          <w:rFonts w:ascii="Times New Roman" w:hAnsi="Times New Roman"/>
          <w:szCs w:val="28"/>
        </w:rPr>
      </w:pPr>
      <w:r w:rsidRPr="00DE7C40">
        <w:rPr>
          <w:rFonts w:ascii="Times New Roman" w:hAnsi="Times New Roman"/>
          <w:szCs w:val="28"/>
        </w:rPr>
        <w:t>a</w:t>
      </w:r>
      <w:r w:rsidR="004B0A96" w:rsidRPr="00DE7C40">
        <w:rPr>
          <w:rFonts w:ascii="Times New Roman" w:hAnsi="Times New Roman"/>
          <w:szCs w:val="28"/>
        </w:rPr>
        <w:t>)</w:t>
      </w:r>
      <w:r w:rsidRPr="00DE7C40">
        <w:rPr>
          <w:rFonts w:ascii="Times New Roman" w:hAnsi="Times New Roman"/>
          <w:szCs w:val="28"/>
        </w:rPr>
        <w:tab/>
        <w:t>sulle dichiarazioni sostitutive concernenti le attività relative alle iscrizioni, contributi, accertamenti e rimborsi alle organizzazioni di volontariato;</w:t>
      </w:r>
    </w:p>
    <w:p w:rsidR="00857767" w:rsidRPr="00DE7C40" w:rsidRDefault="00D51446" w:rsidP="00D51446">
      <w:pPr>
        <w:rPr>
          <w:rFonts w:ascii="Times New Roman" w:hAnsi="Times New Roman"/>
          <w:szCs w:val="28"/>
        </w:rPr>
      </w:pPr>
      <w:r w:rsidRPr="00DE7C40">
        <w:rPr>
          <w:rFonts w:ascii="Times New Roman" w:hAnsi="Times New Roman"/>
          <w:szCs w:val="28"/>
        </w:rPr>
        <w:t>b</w:t>
      </w:r>
      <w:r w:rsidR="004B0A96" w:rsidRPr="00DE7C40">
        <w:rPr>
          <w:rFonts w:ascii="Times New Roman" w:hAnsi="Times New Roman"/>
          <w:szCs w:val="28"/>
        </w:rPr>
        <w:t>)</w:t>
      </w:r>
      <w:r w:rsidRPr="00DE7C40">
        <w:rPr>
          <w:rFonts w:ascii="Times New Roman" w:hAnsi="Times New Roman"/>
          <w:szCs w:val="28"/>
        </w:rPr>
        <w:tab/>
        <w:t>sulle fatture oggetto di rimborso da parte del D</w:t>
      </w:r>
      <w:r w:rsidR="004B0A96" w:rsidRPr="00DE7C40">
        <w:rPr>
          <w:rFonts w:ascii="Times New Roman" w:hAnsi="Times New Roman"/>
          <w:szCs w:val="28"/>
        </w:rPr>
        <w:t>.P.C.</w:t>
      </w:r>
      <w:r w:rsidRPr="00DE7C40">
        <w:rPr>
          <w:rFonts w:ascii="Times New Roman" w:hAnsi="Times New Roman"/>
          <w:szCs w:val="28"/>
        </w:rPr>
        <w:t xml:space="preserve"> alle </w:t>
      </w:r>
      <w:r w:rsidR="004B0A96" w:rsidRPr="00DE7C40">
        <w:rPr>
          <w:rFonts w:ascii="Times New Roman" w:hAnsi="Times New Roman"/>
          <w:szCs w:val="28"/>
        </w:rPr>
        <w:t>S</w:t>
      </w:r>
      <w:r w:rsidRPr="00DE7C40">
        <w:rPr>
          <w:rFonts w:ascii="Times New Roman" w:hAnsi="Times New Roman"/>
          <w:szCs w:val="28"/>
        </w:rPr>
        <w:t>trutture operative del Servizio nazionale della protezione civile di cui all’articolo 13 del decreto legislativo 2 gennaio 2018, n. 1 “Codice della protezione civile”.</w:t>
      </w:r>
    </w:p>
    <w:p w:rsidR="00817F7E" w:rsidRPr="00DE7C40" w:rsidRDefault="004F4947" w:rsidP="00B17FF0">
      <w:pPr>
        <w:pStyle w:val="Titolo2"/>
        <w:rPr>
          <w:rFonts w:ascii="Times New Roman" w:hAnsi="Times New Roman"/>
        </w:rPr>
      </w:pPr>
      <w:bookmarkStart w:id="51" w:name="_Toc66721229"/>
      <w:r w:rsidRPr="00DE7C40">
        <w:rPr>
          <w:rFonts w:ascii="Times New Roman" w:hAnsi="Times New Roman"/>
        </w:rPr>
        <w:t>Le misure per l’area di rischio dei contratti pubblici</w:t>
      </w:r>
      <w:bookmarkEnd w:id="51"/>
      <w:r w:rsidR="002F15DF" w:rsidRPr="00DE7C40">
        <w:rPr>
          <w:rFonts w:ascii="Times New Roman" w:hAnsi="Times New Roman"/>
        </w:rPr>
        <w:t xml:space="preserve"> </w:t>
      </w:r>
    </w:p>
    <w:p w:rsidR="00233CF7" w:rsidRPr="00DE7C40" w:rsidRDefault="00233CF7" w:rsidP="00233CF7">
      <w:pPr>
        <w:rPr>
          <w:rFonts w:ascii="Times New Roman" w:hAnsi="Times New Roman"/>
          <w:szCs w:val="28"/>
        </w:rPr>
      </w:pPr>
      <w:r w:rsidRPr="00DE7C40">
        <w:rPr>
          <w:rFonts w:ascii="Times New Roman" w:hAnsi="Times New Roman"/>
          <w:szCs w:val="28"/>
        </w:rPr>
        <w:t>Nel registro dei rischi allegato al P</w:t>
      </w:r>
      <w:r w:rsidR="003410AF" w:rsidRPr="00DE7C40">
        <w:rPr>
          <w:rFonts w:ascii="Times New Roman" w:hAnsi="Times New Roman"/>
          <w:szCs w:val="28"/>
        </w:rPr>
        <w:t>.</w:t>
      </w:r>
      <w:r w:rsidRPr="00DE7C40">
        <w:rPr>
          <w:rFonts w:ascii="Times New Roman" w:hAnsi="Times New Roman"/>
          <w:szCs w:val="28"/>
        </w:rPr>
        <w:t>T</w:t>
      </w:r>
      <w:r w:rsidR="003410AF" w:rsidRPr="00DE7C40">
        <w:rPr>
          <w:rFonts w:ascii="Times New Roman" w:hAnsi="Times New Roman"/>
          <w:szCs w:val="28"/>
        </w:rPr>
        <w:t>.</w:t>
      </w:r>
      <w:r w:rsidRPr="00DE7C40">
        <w:rPr>
          <w:rFonts w:ascii="Times New Roman" w:hAnsi="Times New Roman"/>
          <w:szCs w:val="28"/>
        </w:rPr>
        <w:t>P</w:t>
      </w:r>
      <w:r w:rsidR="003410AF" w:rsidRPr="00DE7C40">
        <w:rPr>
          <w:rFonts w:ascii="Times New Roman" w:hAnsi="Times New Roman"/>
          <w:szCs w:val="28"/>
        </w:rPr>
        <w:t>.</w:t>
      </w:r>
      <w:r w:rsidRPr="00DE7C40">
        <w:rPr>
          <w:rFonts w:ascii="Times New Roman" w:hAnsi="Times New Roman"/>
          <w:szCs w:val="28"/>
        </w:rPr>
        <w:t>C</w:t>
      </w:r>
      <w:r w:rsidR="003410AF" w:rsidRPr="00DE7C40">
        <w:rPr>
          <w:rFonts w:ascii="Times New Roman" w:hAnsi="Times New Roman"/>
          <w:szCs w:val="28"/>
        </w:rPr>
        <w:t>.</w:t>
      </w:r>
      <w:r w:rsidRPr="00DE7C40">
        <w:rPr>
          <w:rFonts w:ascii="Times New Roman" w:hAnsi="Times New Roman"/>
          <w:szCs w:val="28"/>
        </w:rPr>
        <w:t>T</w:t>
      </w:r>
      <w:r w:rsidR="003410AF" w:rsidRPr="00DE7C40">
        <w:rPr>
          <w:rFonts w:ascii="Times New Roman" w:hAnsi="Times New Roman"/>
          <w:szCs w:val="28"/>
        </w:rPr>
        <w:t>.</w:t>
      </w:r>
      <w:r w:rsidRPr="00DE7C40">
        <w:rPr>
          <w:rFonts w:ascii="Times New Roman" w:hAnsi="Times New Roman"/>
          <w:szCs w:val="28"/>
        </w:rPr>
        <w:t xml:space="preserve"> 2020-2022 per l’Area di rischio B – Affidamento di lavori, servizi e forniture (contratti pubblici) sono censiti 362 processi, pari al 23% dei processi a rischio rilevati in P</w:t>
      </w:r>
      <w:r w:rsidR="003410AF" w:rsidRPr="00DE7C40">
        <w:rPr>
          <w:rFonts w:ascii="Times New Roman" w:hAnsi="Times New Roman"/>
          <w:szCs w:val="28"/>
        </w:rPr>
        <w:t>.</w:t>
      </w:r>
      <w:r w:rsidRPr="00DE7C40">
        <w:rPr>
          <w:rFonts w:ascii="Times New Roman" w:hAnsi="Times New Roman"/>
          <w:szCs w:val="28"/>
        </w:rPr>
        <w:t>C</w:t>
      </w:r>
      <w:r w:rsidR="003410AF" w:rsidRPr="00DE7C40">
        <w:rPr>
          <w:rFonts w:ascii="Times New Roman" w:hAnsi="Times New Roman"/>
          <w:szCs w:val="28"/>
        </w:rPr>
        <w:t>.</w:t>
      </w:r>
      <w:r w:rsidRPr="00DE7C40">
        <w:rPr>
          <w:rFonts w:ascii="Times New Roman" w:hAnsi="Times New Roman"/>
          <w:szCs w:val="28"/>
        </w:rPr>
        <w:t>M</w:t>
      </w:r>
      <w:r w:rsidR="003410AF" w:rsidRPr="00DE7C40">
        <w:rPr>
          <w:rFonts w:ascii="Times New Roman" w:hAnsi="Times New Roman"/>
          <w:szCs w:val="28"/>
        </w:rPr>
        <w:t>.</w:t>
      </w:r>
      <w:r w:rsidRPr="00DE7C40">
        <w:rPr>
          <w:rFonts w:ascii="Times New Roman" w:hAnsi="Times New Roman"/>
          <w:szCs w:val="28"/>
        </w:rPr>
        <w:t xml:space="preserve"> a seguito della campagna Pre.Cor. conclusasi a dicembre 2019.</w:t>
      </w:r>
    </w:p>
    <w:p w:rsidR="00233CF7" w:rsidRPr="00DE7C40" w:rsidRDefault="00233CF7" w:rsidP="00233CF7">
      <w:pPr>
        <w:rPr>
          <w:rFonts w:ascii="Times New Roman" w:hAnsi="Times New Roman"/>
          <w:szCs w:val="28"/>
        </w:rPr>
      </w:pPr>
      <w:r w:rsidRPr="00DE7C40">
        <w:rPr>
          <w:rFonts w:ascii="Times New Roman" w:hAnsi="Times New Roman"/>
          <w:szCs w:val="28"/>
        </w:rPr>
        <w:t xml:space="preserve">I processi sono stati rilevati in 23 Strutture su 30 presenti nel registro dei rischi e si concentrano in numero più consistente in poche Strutture: </w:t>
      </w:r>
    </w:p>
    <w:p w:rsidR="00233CF7" w:rsidRPr="00DE7C40" w:rsidRDefault="00233CF7" w:rsidP="00D4217A">
      <w:pPr>
        <w:numPr>
          <w:ilvl w:val="0"/>
          <w:numId w:val="9"/>
        </w:numPr>
        <w:rPr>
          <w:rFonts w:ascii="Times New Roman" w:hAnsi="Times New Roman"/>
          <w:szCs w:val="28"/>
        </w:rPr>
      </w:pPr>
      <w:r w:rsidRPr="00DE7C40">
        <w:rPr>
          <w:rFonts w:ascii="Times New Roman" w:hAnsi="Times New Roman"/>
          <w:szCs w:val="28"/>
        </w:rPr>
        <w:t xml:space="preserve">il Dipartimento casa Italia, che conta 87 processi (circa un quarto, pari al 24%), </w:t>
      </w:r>
    </w:p>
    <w:p w:rsidR="00233CF7" w:rsidRPr="00DE7C40" w:rsidRDefault="00233CF7" w:rsidP="00D4217A">
      <w:pPr>
        <w:numPr>
          <w:ilvl w:val="0"/>
          <w:numId w:val="9"/>
        </w:numPr>
        <w:rPr>
          <w:rFonts w:ascii="Times New Roman" w:hAnsi="Times New Roman"/>
          <w:szCs w:val="28"/>
        </w:rPr>
      </w:pPr>
      <w:r w:rsidRPr="00DE7C40">
        <w:rPr>
          <w:rFonts w:ascii="Times New Roman" w:hAnsi="Times New Roman"/>
          <w:szCs w:val="28"/>
        </w:rPr>
        <w:t>il D</w:t>
      </w:r>
      <w:r w:rsidR="004B0A96" w:rsidRPr="00DE7C40">
        <w:rPr>
          <w:rFonts w:ascii="Times New Roman" w:hAnsi="Times New Roman"/>
          <w:szCs w:val="28"/>
        </w:rPr>
        <w:t>.P.C.</w:t>
      </w:r>
      <w:r w:rsidRPr="00DE7C40">
        <w:rPr>
          <w:rFonts w:ascii="Times New Roman" w:hAnsi="Times New Roman"/>
          <w:szCs w:val="28"/>
        </w:rPr>
        <w:t>, che rileva per 61 processi (pari al 17%),</w:t>
      </w:r>
    </w:p>
    <w:p w:rsidR="00233CF7" w:rsidRPr="00DE7C40" w:rsidRDefault="00233CF7" w:rsidP="00D4217A">
      <w:pPr>
        <w:numPr>
          <w:ilvl w:val="0"/>
          <w:numId w:val="9"/>
        </w:numPr>
        <w:rPr>
          <w:rFonts w:ascii="Times New Roman" w:hAnsi="Times New Roman"/>
          <w:szCs w:val="28"/>
        </w:rPr>
      </w:pPr>
      <w:r w:rsidRPr="00DE7C40">
        <w:rPr>
          <w:rFonts w:ascii="Times New Roman" w:hAnsi="Times New Roman"/>
          <w:szCs w:val="28"/>
        </w:rPr>
        <w:t>il D</w:t>
      </w:r>
      <w:r w:rsidR="004B0A96" w:rsidRPr="00DE7C40">
        <w:rPr>
          <w:rFonts w:ascii="Times New Roman" w:hAnsi="Times New Roman"/>
          <w:szCs w:val="28"/>
        </w:rPr>
        <w:t>.F.P.</w:t>
      </w:r>
      <w:r w:rsidRPr="00DE7C40">
        <w:rPr>
          <w:rFonts w:ascii="Times New Roman" w:hAnsi="Times New Roman"/>
          <w:szCs w:val="28"/>
        </w:rPr>
        <w:t>, il Dipartimento per la programmazione economica e il Dipartimento per le riforme istituzionali, che presentano quote intorno all’8%,</w:t>
      </w:r>
    </w:p>
    <w:p w:rsidR="00233CF7" w:rsidRPr="00DE7C40" w:rsidRDefault="00233CF7" w:rsidP="00D4217A">
      <w:pPr>
        <w:numPr>
          <w:ilvl w:val="0"/>
          <w:numId w:val="9"/>
        </w:numPr>
        <w:rPr>
          <w:rFonts w:ascii="Times New Roman" w:hAnsi="Times New Roman"/>
          <w:szCs w:val="28"/>
        </w:rPr>
      </w:pPr>
      <w:r w:rsidRPr="00DE7C40">
        <w:rPr>
          <w:rFonts w:ascii="Times New Roman" w:hAnsi="Times New Roman"/>
          <w:szCs w:val="28"/>
        </w:rPr>
        <w:t>Il D</w:t>
      </w:r>
      <w:r w:rsidR="004B0A96" w:rsidRPr="00DE7C40">
        <w:rPr>
          <w:rFonts w:ascii="Times New Roman" w:hAnsi="Times New Roman"/>
          <w:szCs w:val="28"/>
        </w:rPr>
        <w:t>.S.S.</w:t>
      </w:r>
      <w:r w:rsidRPr="00DE7C40">
        <w:rPr>
          <w:rFonts w:ascii="Times New Roman" w:hAnsi="Times New Roman"/>
          <w:szCs w:val="28"/>
        </w:rPr>
        <w:t xml:space="preserve"> e il Dipartimento per le pari opportunità con una pari percentuale del 6%. </w:t>
      </w:r>
      <w:r w:rsidR="00A64DDF" w:rsidRPr="00DE7C40">
        <w:rPr>
          <w:rFonts w:ascii="Times New Roman" w:hAnsi="Times New Roman"/>
          <w:szCs w:val="28"/>
        </w:rPr>
        <w:t xml:space="preserve"> </w:t>
      </w:r>
      <w:r w:rsidRPr="00DE7C40">
        <w:rPr>
          <w:rFonts w:ascii="Times New Roman" w:hAnsi="Times New Roman"/>
          <w:szCs w:val="28"/>
        </w:rPr>
        <w:t xml:space="preserve"> </w:t>
      </w:r>
    </w:p>
    <w:p w:rsidR="00233CF7" w:rsidRPr="004A689C" w:rsidRDefault="00233CF7" w:rsidP="00233CF7">
      <w:pPr>
        <w:rPr>
          <w:rFonts w:ascii="Times New Roman" w:hAnsi="Times New Roman"/>
          <w:szCs w:val="28"/>
        </w:rPr>
      </w:pPr>
      <w:r w:rsidRPr="004A689C">
        <w:rPr>
          <w:rFonts w:ascii="Times New Roman" w:hAnsi="Times New Roman"/>
          <w:szCs w:val="28"/>
        </w:rPr>
        <w:t>Le altre Strutture presentano quote minori, con pochi processi nell’Area.</w:t>
      </w:r>
    </w:p>
    <w:p w:rsidR="00233CF7" w:rsidRPr="004A689C" w:rsidRDefault="00233CF7" w:rsidP="00233CF7">
      <w:pPr>
        <w:rPr>
          <w:rFonts w:ascii="Times New Roman" w:hAnsi="Times New Roman"/>
          <w:szCs w:val="28"/>
        </w:rPr>
      </w:pPr>
      <w:r w:rsidRPr="004A689C">
        <w:rPr>
          <w:rFonts w:ascii="Times New Roman" w:hAnsi="Times New Roman"/>
          <w:szCs w:val="28"/>
        </w:rPr>
        <w:t>In generale, il livello di rischio dei processi mappati in questa area risulta contenuto: l’81% dei processi ha rischio basso e l’11% rischio bassissimo. L’11%, pari a 41 processi, presenta un rischio medio e 1 solo processo è stato rilevato con rischio alto.</w:t>
      </w:r>
    </w:p>
    <w:p w:rsidR="00233CF7" w:rsidRPr="004A689C" w:rsidRDefault="00233CF7" w:rsidP="00233CF7">
      <w:pPr>
        <w:rPr>
          <w:rFonts w:ascii="Times New Roman" w:hAnsi="Times New Roman"/>
          <w:szCs w:val="28"/>
        </w:rPr>
      </w:pPr>
      <w:r w:rsidRPr="004A689C">
        <w:rPr>
          <w:rFonts w:ascii="Times New Roman" w:hAnsi="Times New Roman"/>
          <w:szCs w:val="28"/>
        </w:rPr>
        <w:t>Per quanto riguarda il valore e la tipologia degli affidamenti, in linea con quanto previsto nel P</w:t>
      </w:r>
      <w:r w:rsidR="002C5A72" w:rsidRPr="004A689C">
        <w:rPr>
          <w:rFonts w:ascii="Times New Roman" w:hAnsi="Times New Roman"/>
          <w:szCs w:val="28"/>
        </w:rPr>
        <w:t>.</w:t>
      </w:r>
      <w:r w:rsidRPr="004A689C">
        <w:rPr>
          <w:rFonts w:ascii="Times New Roman" w:hAnsi="Times New Roman"/>
          <w:szCs w:val="28"/>
        </w:rPr>
        <w:t>T</w:t>
      </w:r>
      <w:r w:rsidR="002C5A72" w:rsidRPr="004A689C">
        <w:rPr>
          <w:rFonts w:ascii="Times New Roman" w:hAnsi="Times New Roman"/>
          <w:szCs w:val="28"/>
        </w:rPr>
        <w:t>.</w:t>
      </w:r>
      <w:r w:rsidRPr="004A689C">
        <w:rPr>
          <w:rFonts w:ascii="Times New Roman" w:hAnsi="Times New Roman"/>
          <w:szCs w:val="28"/>
        </w:rPr>
        <w:t>P</w:t>
      </w:r>
      <w:r w:rsidR="002C5A72" w:rsidRPr="004A689C">
        <w:rPr>
          <w:rFonts w:ascii="Times New Roman" w:hAnsi="Times New Roman"/>
          <w:szCs w:val="28"/>
        </w:rPr>
        <w:t>.</w:t>
      </w:r>
      <w:r w:rsidRPr="004A689C">
        <w:rPr>
          <w:rFonts w:ascii="Times New Roman" w:hAnsi="Times New Roman"/>
          <w:szCs w:val="28"/>
        </w:rPr>
        <w:t>C</w:t>
      </w:r>
      <w:r w:rsidR="002C5A72" w:rsidRPr="004A689C">
        <w:rPr>
          <w:rFonts w:ascii="Times New Roman" w:hAnsi="Times New Roman"/>
          <w:szCs w:val="28"/>
        </w:rPr>
        <w:t>.</w:t>
      </w:r>
      <w:r w:rsidRPr="004A689C">
        <w:rPr>
          <w:rFonts w:ascii="Times New Roman" w:hAnsi="Times New Roman"/>
          <w:szCs w:val="28"/>
        </w:rPr>
        <w:t>T</w:t>
      </w:r>
      <w:r w:rsidR="002C5A72" w:rsidRPr="004A689C">
        <w:rPr>
          <w:rFonts w:ascii="Times New Roman" w:hAnsi="Times New Roman"/>
          <w:szCs w:val="28"/>
        </w:rPr>
        <w:t xml:space="preserve">. </w:t>
      </w:r>
      <w:r w:rsidRPr="004A689C">
        <w:rPr>
          <w:rFonts w:ascii="Times New Roman" w:hAnsi="Times New Roman"/>
          <w:szCs w:val="28"/>
        </w:rPr>
        <w:t>2020-2022 nel corso del 2020 il R</w:t>
      </w:r>
      <w:r w:rsidR="002C5A72" w:rsidRPr="004A689C">
        <w:rPr>
          <w:rFonts w:ascii="Times New Roman" w:hAnsi="Times New Roman"/>
          <w:szCs w:val="28"/>
        </w:rPr>
        <w:t>.</w:t>
      </w:r>
      <w:r w:rsidRPr="004A689C">
        <w:rPr>
          <w:rFonts w:ascii="Times New Roman" w:hAnsi="Times New Roman"/>
          <w:szCs w:val="28"/>
        </w:rPr>
        <w:t>P</w:t>
      </w:r>
      <w:r w:rsidR="002C5A72" w:rsidRPr="004A689C">
        <w:rPr>
          <w:rFonts w:ascii="Times New Roman" w:hAnsi="Times New Roman"/>
          <w:szCs w:val="28"/>
        </w:rPr>
        <w:t>.</w:t>
      </w:r>
      <w:r w:rsidRPr="004A689C">
        <w:rPr>
          <w:rFonts w:ascii="Times New Roman" w:hAnsi="Times New Roman"/>
          <w:szCs w:val="28"/>
        </w:rPr>
        <w:t>C</w:t>
      </w:r>
      <w:r w:rsidR="002C5A72" w:rsidRPr="004A689C">
        <w:rPr>
          <w:rFonts w:ascii="Times New Roman" w:hAnsi="Times New Roman"/>
          <w:szCs w:val="28"/>
        </w:rPr>
        <w:t>.</w:t>
      </w:r>
      <w:r w:rsidRPr="004A689C">
        <w:rPr>
          <w:rFonts w:ascii="Times New Roman" w:hAnsi="Times New Roman"/>
          <w:szCs w:val="28"/>
        </w:rPr>
        <w:t>T</w:t>
      </w:r>
      <w:r w:rsidR="002C5A72" w:rsidRPr="004A689C">
        <w:rPr>
          <w:rFonts w:ascii="Times New Roman" w:hAnsi="Times New Roman"/>
          <w:szCs w:val="28"/>
        </w:rPr>
        <w:t>.</w:t>
      </w:r>
      <w:r w:rsidRPr="004A689C">
        <w:rPr>
          <w:rFonts w:ascii="Times New Roman" w:hAnsi="Times New Roman"/>
          <w:szCs w:val="28"/>
        </w:rPr>
        <w:t>, con il supporto del D</w:t>
      </w:r>
      <w:r w:rsidR="002C5A72" w:rsidRPr="004A689C">
        <w:rPr>
          <w:rFonts w:ascii="Times New Roman" w:hAnsi="Times New Roman"/>
          <w:szCs w:val="28"/>
        </w:rPr>
        <w:t>.</w:t>
      </w:r>
      <w:r w:rsidRPr="004A689C">
        <w:rPr>
          <w:rFonts w:ascii="Times New Roman" w:hAnsi="Times New Roman"/>
          <w:szCs w:val="28"/>
        </w:rPr>
        <w:t>S</w:t>
      </w:r>
      <w:r w:rsidR="002C5A72" w:rsidRPr="004A689C">
        <w:rPr>
          <w:rFonts w:ascii="Times New Roman" w:hAnsi="Times New Roman"/>
          <w:szCs w:val="28"/>
        </w:rPr>
        <w:t>.</w:t>
      </w:r>
      <w:r w:rsidRPr="004A689C">
        <w:rPr>
          <w:rFonts w:ascii="Times New Roman" w:hAnsi="Times New Roman"/>
          <w:szCs w:val="28"/>
        </w:rPr>
        <w:t>S</w:t>
      </w:r>
      <w:r w:rsidR="002C5A72" w:rsidRPr="004A689C">
        <w:rPr>
          <w:rFonts w:ascii="Times New Roman" w:hAnsi="Times New Roman"/>
          <w:szCs w:val="28"/>
        </w:rPr>
        <w:t>.</w:t>
      </w:r>
      <w:r w:rsidRPr="004A689C">
        <w:rPr>
          <w:rFonts w:ascii="Times New Roman" w:hAnsi="Times New Roman"/>
          <w:szCs w:val="28"/>
        </w:rPr>
        <w:t>, ha curato il monitoraggio relativo agli affidamenti effettuati dalla P</w:t>
      </w:r>
      <w:r w:rsidR="002C5A72" w:rsidRPr="004A689C">
        <w:rPr>
          <w:rFonts w:ascii="Times New Roman" w:hAnsi="Times New Roman"/>
          <w:szCs w:val="28"/>
        </w:rPr>
        <w:t>.</w:t>
      </w:r>
      <w:r w:rsidRPr="004A689C">
        <w:rPr>
          <w:rFonts w:ascii="Times New Roman" w:hAnsi="Times New Roman"/>
          <w:szCs w:val="28"/>
        </w:rPr>
        <w:t>C</w:t>
      </w:r>
      <w:r w:rsidR="002C5A72" w:rsidRPr="004A689C">
        <w:rPr>
          <w:rFonts w:ascii="Times New Roman" w:hAnsi="Times New Roman"/>
          <w:szCs w:val="28"/>
        </w:rPr>
        <w:t>.</w:t>
      </w:r>
      <w:r w:rsidRPr="004A689C">
        <w:rPr>
          <w:rFonts w:ascii="Times New Roman" w:hAnsi="Times New Roman"/>
          <w:szCs w:val="28"/>
        </w:rPr>
        <w:t>M</w:t>
      </w:r>
      <w:r w:rsidR="002C5A72" w:rsidRPr="004A689C">
        <w:rPr>
          <w:rFonts w:ascii="Times New Roman" w:hAnsi="Times New Roman"/>
          <w:szCs w:val="28"/>
        </w:rPr>
        <w:t>.</w:t>
      </w:r>
      <w:r w:rsidRPr="004A689C">
        <w:rPr>
          <w:rFonts w:ascii="Times New Roman" w:hAnsi="Times New Roman"/>
          <w:szCs w:val="28"/>
        </w:rPr>
        <w:t xml:space="preserve"> durante il triennio 2017 – 2019. </w:t>
      </w:r>
    </w:p>
    <w:p w:rsidR="00233CF7" w:rsidRPr="004A689C" w:rsidRDefault="00233CF7" w:rsidP="00233CF7">
      <w:pPr>
        <w:rPr>
          <w:rFonts w:ascii="Times New Roman" w:hAnsi="Times New Roman"/>
          <w:szCs w:val="28"/>
        </w:rPr>
      </w:pPr>
      <w:r w:rsidRPr="004A689C">
        <w:rPr>
          <w:rFonts w:ascii="Times New Roman" w:hAnsi="Times New Roman"/>
          <w:szCs w:val="28"/>
        </w:rPr>
        <w:t>L’osservazione dell’andamento nel triennio evidenzia che il valore complessivo delle somme impegnate si aggira per ciascun anno intorno ai 100 milioni di euro (al netto dell’IVA). I valori complessivi più rilevanti con osservazione dei 3 anni</w:t>
      </w:r>
      <w:r w:rsidR="00FA3CBB" w:rsidRPr="004A689C">
        <w:rPr>
          <w:rFonts w:ascii="Times New Roman" w:hAnsi="Times New Roman"/>
          <w:szCs w:val="28"/>
        </w:rPr>
        <w:t>,</w:t>
      </w:r>
      <w:r w:rsidRPr="004A689C">
        <w:rPr>
          <w:rFonts w:ascii="Times New Roman" w:hAnsi="Times New Roman"/>
          <w:szCs w:val="28"/>
        </w:rPr>
        <w:t xml:space="preserve"> sono stati gestiti dal </w:t>
      </w:r>
      <w:r w:rsidR="002C5A72" w:rsidRPr="004A689C">
        <w:rPr>
          <w:rFonts w:ascii="Times New Roman" w:hAnsi="Times New Roman"/>
          <w:szCs w:val="28"/>
        </w:rPr>
        <w:t>D.I.E.</w:t>
      </w:r>
      <w:r w:rsidRPr="004A689C">
        <w:rPr>
          <w:rFonts w:ascii="Times New Roman" w:hAnsi="Times New Roman"/>
          <w:szCs w:val="28"/>
        </w:rPr>
        <w:t xml:space="preserve">, dal </w:t>
      </w:r>
      <w:r w:rsidR="002C5A72" w:rsidRPr="004A689C">
        <w:rPr>
          <w:rFonts w:ascii="Times New Roman" w:hAnsi="Times New Roman"/>
          <w:szCs w:val="28"/>
        </w:rPr>
        <w:t>D.P.C.</w:t>
      </w:r>
      <w:r w:rsidRPr="004A689C">
        <w:rPr>
          <w:rFonts w:ascii="Times New Roman" w:hAnsi="Times New Roman"/>
          <w:szCs w:val="28"/>
        </w:rPr>
        <w:t xml:space="preserve"> e dal </w:t>
      </w:r>
      <w:r w:rsidR="002C5A72" w:rsidRPr="004A689C">
        <w:rPr>
          <w:rFonts w:ascii="Times New Roman" w:hAnsi="Times New Roman"/>
          <w:szCs w:val="28"/>
        </w:rPr>
        <w:t>D.S.S</w:t>
      </w:r>
      <w:r w:rsidRPr="004A689C">
        <w:rPr>
          <w:rFonts w:ascii="Times New Roman" w:hAnsi="Times New Roman"/>
          <w:szCs w:val="28"/>
        </w:rPr>
        <w:t>.</w:t>
      </w:r>
    </w:p>
    <w:p w:rsidR="00233CF7" w:rsidRPr="004A689C" w:rsidRDefault="00233CF7" w:rsidP="00233CF7">
      <w:pPr>
        <w:rPr>
          <w:rFonts w:ascii="Times New Roman" w:hAnsi="Times New Roman"/>
          <w:szCs w:val="28"/>
        </w:rPr>
      </w:pPr>
      <w:r w:rsidRPr="004A689C">
        <w:rPr>
          <w:rFonts w:ascii="Times New Roman" w:hAnsi="Times New Roman"/>
          <w:szCs w:val="28"/>
        </w:rPr>
        <w:t>Con riferimento al totale del valore delle procedure rilevate per il triennio 2017 - 2019, si nota una generale contrazione della spesa, più accentuata nel 2018, ma confermata anche dai dati rilevati nel 2019. I</w:t>
      </w:r>
      <w:r w:rsidRPr="004A689C">
        <w:rPr>
          <w:rFonts w:ascii="Times New Roman" w:hAnsi="Times New Roman"/>
          <w:szCs w:val="28"/>
          <w:lang w:bidi="en-US"/>
        </w:rPr>
        <w:t xml:space="preserve">l 2018 ha visto una riduzione del valore dei contratti pari al 18% rispetto al 2017, parzialmente compensata dal valore dei contratti nel 2019, che tuttavia continua ed essere del 7% inferiore rispetto al dato 2017. </w:t>
      </w:r>
      <w:r w:rsidRPr="004A689C">
        <w:rPr>
          <w:rFonts w:ascii="Times New Roman" w:hAnsi="Times New Roman"/>
          <w:szCs w:val="28"/>
        </w:rPr>
        <w:t>A ciò corrisponde una diminuzione nel numero di procedure stipulate, pari a 1.131 per il 2017, 993 per il 2018 e 972 per il 2019.</w:t>
      </w:r>
    </w:p>
    <w:p w:rsidR="00233CF7" w:rsidRPr="004A689C" w:rsidRDefault="00233CF7" w:rsidP="00233CF7">
      <w:pPr>
        <w:rPr>
          <w:rFonts w:ascii="Times New Roman" w:hAnsi="Times New Roman"/>
          <w:szCs w:val="28"/>
          <w:lang w:bidi="en-US"/>
        </w:rPr>
      </w:pPr>
      <w:r w:rsidRPr="004A689C">
        <w:rPr>
          <w:rFonts w:ascii="Times New Roman" w:hAnsi="Times New Roman"/>
          <w:szCs w:val="28"/>
          <w:lang w:bidi="en-US"/>
        </w:rPr>
        <w:t>La variazione del valore degli affidamenti è accompagnata da un incremento delle risorse per le quali la P.C.M. ha fatto ricorso alla procedura aperta, incremento già registrato con i dati del 2018 e confermato nel 2019. Infatti, se nel 2017, con oltre 30 milioni di euro, la procedura aperta raccoglieva un quarto del valore complessivo delle procedure, nel 2018 la somma impegnata con questo tipo di procedura sale a 49 milioni di euro, pari ad una quota di oltre il 52%. Nel 2019 la procedura aperta mantiene un valore assoluto di quasi 47 milioni di euro (pari al 44%), attestandosi come la procedura che assorbe la gran parte delle risorse.</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Se l’analisi dei valori impegnati evidenzia, come detto, la rilevanza prevalente della procedura aperta, l’esame dei dati riferiti alle tipologie di procedure utilizzate mostra l’affidamento numericamente dominante di contratti di basso importo; infatti, le procedure con valore inferiore a 40.000 euro rappresentano numericamente circa l’85% dei contratti per ciascun anno del triennio in esame. Questi affidamenti assorbono tra il 5 e il 6% del valore dei contratti.  </w:t>
      </w:r>
    </w:p>
    <w:p w:rsidR="00233CF7" w:rsidRPr="004A689C" w:rsidRDefault="00233CF7" w:rsidP="00233CF7">
      <w:pPr>
        <w:rPr>
          <w:rFonts w:ascii="Times New Roman" w:hAnsi="Times New Roman"/>
          <w:szCs w:val="28"/>
        </w:rPr>
      </w:pPr>
      <w:r w:rsidRPr="004A689C">
        <w:rPr>
          <w:rFonts w:ascii="Times New Roman" w:hAnsi="Times New Roman"/>
          <w:szCs w:val="28"/>
        </w:rPr>
        <w:t>Ciò premesso, nonostante, come visto, nel vigente registro dei rischi della P.C.M. la valutazione del rischio per l’Area contratti presenti un livello per lo più basso e medio, l’attenzione da questa area non può essere distolta per tre ordini di motivi.</w:t>
      </w:r>
    </w:p>
    <w:p w:rsidR="003E6E66" w:rsidRPr="004A689C" w:rsidRDefault="00233CF7" w:rsidP="00233CF7">
      <w:pPr>
        <w:rPr>
          <w:rFonts w:ascii="Times New Roman" w:hAnsi="Times New Roman"/>
          <w:szCs w:val="28"/>
        </w:rPr>
      </w:pPr>
      <w:r w:rsidRPr="004A689C">
        <w:rPr>
          <w:rFonts w:ascii="Times New Roman" w:hAnsi="Times New Roman"/>
          <w:szCs w:val="28"/>
        </w:rPr>
        <w:t>In primo luogo, i valori delle risorse impegnate con gli affidamenti sono rilevanti e saranno probabilmente destinati a crescere a causa dell’emergenza pandemica.</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In secondo luogo, l’area dei contratti è stata considerata </w:t>
      </w:r>
      <w:r w:rsidRPr="004A689C">
        <w:rPr>
          <w:rFonts w:ascii="Times New Roman" w:hAnsi="Times New Roman"/>
          <w:i/>
          <w:szCs w:val="28"/>
        </w:rPr>
        <w:t>ex ante</w:t>
      </w:r>
      <w:r w:rsidRPr="004A689C">
        <w:rPr>
          <w:rFonts w:ascii="Times New Roman" w:hAnsi="Times New Roman"/>
          <w:szCs w:val="28"/>
        </w:rPr>
        <w:t xml:space="preserve"> come area a rischio dal legislatore a prescindere dalla valutazione del rischio che ciascuna amministrazione è tenuta a svolgere (cfr.: art. 1, commi 1 e 16, </w:t>
      </w:r>
      <w:r w:rsidR="002C5A72" w:rsidRPr="004A689C">
        <w:rPr>
          <w:rFonts w:ascii="Times New Roman" w:hAnsi="Times New Roman"/>
          <w:szCs w:val="28"/>
        </w:rPr>
        <w:t>L</w:t>
      </w:r>
      <w:r w:rsidRPr="004A689C">
        <w:rPr>
          <w:rFonts w:ascii="Times New Roman" w:hAnsi="Times New Roman"/>
          <w:szCs w:val="28"/>
        </w:rPr>
        <w:t>. n. 190</w:t>
      </w:r>
      <w:r w:rsidR="002C5A72" w:rsidRPr="004A689C">
        <w:rPr>
          <w:rFonts w:ascii="Times New Roman" w:hAnsi="Times New Roman"/>
          <w:szCs w:val="28"/>
        </w:rPr>
        <w:t>/</w:t>
      </w:r>
      <w:r w:rsidRPr="004A689C">
        <w:rPr>
          <w:rFonts w:ascii="Times New Roman" w:hAnsi="Times New Roman"/>
          <w:szCs w:val="28"/>
        </w:rPr>
        <w:t>2012).</w:t>
      </w:r>
    </w:p>
    <w:p w:rsidR="003E6E66" w:rsidRPr="004A689C" w:rsidRDefault="00233CF7" w:rsidP="00233CF7">
      <w:pPr>
        <w:rPr>
          <w:rFonts w:ascii="Times New Roman" w:hAnsi="Times New Roman"/>
          <w:szCs w:val="28"/>
        </w:rPr>
      </w:pPr>
      <w:r w:rsidRPr="004A689C">
        <w:rPr>
          <w:rFonts w:ascii="Times New Roman" w:hAnsi="Times New Roman"/>
          <w:szCs w:val="28"/>
        </w:rPr>
        <w:t xml:space="preserve">Infine, la recente normativa emergenziale ha modificato significativamente il regime degli affidamenti e, quindi, il settore va presidiato per evitare che la successione di norme e la più ampia discrezionalità accordata alle stazioni appaltanti dalle nuove disposizioni possano incrementare il rischio di malamministrazione. </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Il quadro regolatorio in materia di affidamenti delle commesse pubbliche ha subito rilevanti modifiche per fronteggiare l’emergenza sanitaria ed economica causata dalla pandemia COVID-19. In particolare, la </w:t>
      </w:r>
      <w:r w:rsidR="002C5A72" w:rsidRPr="004A689C">
        <w:rPr>
          <w:rFonts w:ascii="Times New Roman" w:hAnsi="Times New Roman"/>
          <w:szCs w:val="28"/>
        </w:rPr>
        <w:t>L</w:t>
      </w:r>
      <w:r w:rsidR="00FA3CBB" w:rsidRPr="004A689C">
        <w:rPr>
          <w:rFonts w:ascii="Times New Roman" w:hAnsi="Times New Roman"/>
          <w:szCs w:val="28"/>
        </w:rPr>
        <w:t>.</w:t>
      </w:r>
      <w:r w:rsidRPr="004A689C">
        <w:rPr>
          <w:rFonts w:ascii="Times New Roman" w:hAnsi="Times New Roman"/>
          <w:szCs w:val="28"/>
        </w:rPr>
        <w:t xml:space="preserve"> 11 settembre 2020, n. 120, ha convertito con modificazioni il </w:t>
      </w:r>
      <w:r w:rsidR="002C5A72" w:rsidRPr="004A689C">
        <w:rPr>
          <w:rFonts w:ascii="Times New Roman" w:hAnsi="Times New Roman"/>
          <w:szCs w:val="28"/>
        </w:rPr>
        <w:t>D</w:t>
      </w:r>
      <w:r w:rsidR="00FA3CBB" w:rsidRPr="004A689C">
        <w:rPr>
          <w:rFonts w:ascii="Times New Roman" w:hAnsi="Times New Roman"/>
          <w:szCs w:val="28"/>
        </w:rPr>
        <w:t>.</w:t>
      </w:r>
      <w:r w:rsidR="002C5A72" w:rsidRPr="004A689C">
        <w:rPr>
          <w:rFonts w:ascii="Times New Roman" w:hAnsi="Times New Roman"/>
          <w:szCs w:val="28"/>
        </w:rPr>
        <w:t>L</w:t>
      </w:r>
      <w:r w:rsidR="00FA3CBB" w:rsidRPr="004A689C">
        <w:rPr>
          <w:rFonts w:ascii="Times New Roman" w:hAnsi="Times New Roman"/>
          <w:szCs w:val="28"/>
        </w:rPr>
        <w:t>.</w:t>
      </w:r>
      <w:r w:rsidRPr="004A689C">
        <w:rPr>
          <w:rFonts w:ascii="Times New Roman" w:hAnsi="Times New Roman"/>
          <w:szCs w:val="28"/>
        </w:rPr>
        <w:t xml:space="preserve"> 16 luglio 2020, n. 76, recante misure urgenti per la semplificazione e l’innovazione digitale (c.d. decreto semplificazioni). Con questa normativa sono state apportate significative innovazioni al fine di accelerare le procedure di affidamento in un momento di stagnazione dell’economia.  Il </w:t>
      </w:r>
      <w:r w:rsidR="002C5A72" w:rsidRPr="004A689C">
        <w:rPr>
          <w:rFonts w:ascii="Times New Roman" w:hAnsi="Times New Roman"/>
          <w:szCs w:val="28"/>
        </w:rPr>
        <w:t>D.L.</w:t>
      </w:r>
      <w:r w:rsidRPr="004A689C">
        <w:rPr>
          <w:rFonts w:ascii="Times New Roman" w:hAnsi="Times New Roman"/>
          <w:szCs w:val="28"/>
        </w:rPr>
        <w:t xml:space="preserve"> n. 76</w:t>
      </w:r>
      <w:r w:rsidR="002C5A72" w:rsidRPr="004A689C">
        <w:rPr>
          <w:rFonts w:ascii="Times New Roman" w:hAnsi="Times New Roman"/>
          <w:szCs w:val="28"/>
        </w:rPr>
        <w:t>/2020</w:t>
      </w:r>
      <w:r w:rsidRPr="004A689C">
        <w:rPr>
          <w:rFonts w:ascii="Times New Roman" w:hAnsi="Times New Roman"/>
          <w:szCs w:val="28"/>
        </w:rPr>
        <w:t xml:space="preserve">, peraltro, si inserisce nel quadro dei numerosi interventi emergenziali adottati dal Governo (che, come noto, hanno riguardato ambiti variegati, anche differenti da quello degli appalti). Infatti, il decreto è stato preceduto dagli interventi operati con il </w:t>
      </w:r>
      <w:r w:rsidR="002C5A72" w:rsidRPr="004A689C">
        <w:rPr>
          <w:rFonts w:ascii="Times New Roman" w:hAnsi="Times New Roman"/>
          <w:szCs w:val="28"/>
        </w:rPr>
        <w:t>D</w:t>
      </w:r>
      <w:r w:rsidR="00FA3CBB" w:rsidRPr="004A689C">
        <w:rPr>
          <w:rFonts w:ascii="Times New Roman" w:hAnsi="Times New Roman"/>
          <w:szCs w:val="28"/>
        </w:rPr>
        <w:t>.</w:t>
      </w:r>
      <w:r w:rsidR="002C5A72" w:rsidRPr="004A689C">
        <w:rPr>
          <w:rFonts w:ascii="Times New Roman" w:hAnsi="Times New Roman"/>
          <w:szCs w:val="28"/>
        </w:rPr>
        <w:t>L</w:t>
      </w:r>
      <w:r w:rsidR="00FA3CBB" w:rsidRPr="004A689C">
        <w:rPr>
          <w:rFonts w:ascii="Times New Roman" w:hAnsi="Times New Roman"/>
          <w:szCs w:val="28"/>
        </w:rPr>
        <w:t>.</w:t>
      </w:r>
      <w:r w:rsidRPr="004A689C">
        <w:rPr>
          <w:rFonts w:ascii="Times New Roman" w:hAnsi="Times New Roman"/>
          <w:szCs w:val="28"/>
        </w:rPr>
        <w:t xml:space="preserve"> </w:t>
      </w:r>
      <w:r w:rsidR="00FA3CBB" w:rsidRPr="004A689C">
        <w:rPr>
          <w:rFonts w:ascii="Times New Roman" w:hAnsi="Times New Roman"/>
          <w:szCs w:val="28"/>
        </w:rPr>
        <w:t>1</w:t>
      </w:r>
      <w:r w:rsidRPr="004A689C">
        <w:rPr>
          <w:rFonts w:ascii="Times New Roman" w:hAnsi="Times New Roman"/>
          <w:szCs w:val="28"/>
        </w:rPr>
        <w:t xml:space="preserve">7 marzo 2020, n. 18, convertito in </w:t>
      </w:r>
      <w:r w:rsidR="002C5A72" w:rsidRPr="004A689C">
        <w:rPr>
          <w:rFonts w:ascii="Times New Roman" w:hAnsi="Times New Roman"/>
          <w:szCs w:val="28"/>
        </w:rPr>
        <w:t>L</w:t>
      </w:r>
      <w:r w:rsidR="00AD20CD" w:rsidRPr="004A689C">
        <w:rPr>
          <w:rFonts w:ascii="Times New Roman" w:hAnsi="Times New Roman"/>
          <w:szCs w:val="28"/>
        </w:rPr>
        <w:t>.</w:t>
      </w:r>
      <w:r w:rsidRPr="004A689C">
        <w:rPr>
          <w:rFonts w:ascii="Times New Roman" w:hAnsi="Times New Roman"/>
          <w:szCs w:val="28"/>
        </w:rPr>
        <w:t xml:space="preserve"> 24 aprile 2020, n. 27, il c.d. cura Italia, che, tra le altre cose, ha ampliato il ricorso alle procedure negoziate con e senza pubblicazione del bando, nonché con il </w:t>
      </w:r>
      <w:r w:rsidR="00A005C6" w:rsidRPr="004A689C">
        <w:rPr>
          <w:rFonts w:ascii="Times New Roman" w:hAnsi="Times New Roman"/>
          <w:szCs w:val="28"/>
        </w:rPr>
        <w:t>D</w:t>
      </w:r>
      <w:r w:rsidR="00AD20CD" w:rsidRPr="004A689C">
        <w:rPr>
          <w:rFonts w:ascii="Times New Roman" w:hAnsi="Times New Roman"/>
          <w:szCs w:val="28"/>
        </w:rPr>
        <w:t>.</w:t>
      </w:r>
      <w:r w:rsidR="00A005C6" w:rsidRPr="004A689C">
        <w:rPr>
          <w:rFonts w:ascii="Times New Roman" w:hAnsi="Times New Roman"/>
          <w:szCs w:val="28"/>
        </w:rPr>
        <w:t>L</w:t>
      </w:r>
      <w:r w:rsidR="00AD20CD" w:rsidRPr="004A689C">
        <w:rPr>
          <w:rFonts w:ascii="Times New Roman" w:hAnsi="Times New Roman"/>
          <w:szCs w:val="28"/>
        </w:rPr>
        <w:t>.</w:t>
      </w:r>
      <w:r w:rsidRPr="004A689C">
        <w:rPr>
          <w:rFonts w:ascii="Times New Roman" w:hAnsi="Times New Roman"/>
          <w:szCs w:val="28"/>
        </w:rPr>
        <w:t xml:space="preserve"> 19 maggio 2020, n. 34, convertito in </w:t>
      </w:r>
      <w:r w:rsidR="002C5A72" w:rsidRPr="004A689C">
        <w:rPr>
          <w:rFonts w:ascii="Times New Roman" w:hAnsi="Times New Roman"/>
          <w:szCs w:val="28"/>
        </w:rPr>
        <w:t>L</w:t>
      </w:r>
      <w:r w:rsidR="00AD20CD" w:rsidRPr="004A689C">
        <w:rPr>
          <w:rFonts w:ascii="Times New Roman" w:hAnsi="Times New Roman"/>
          <w:szCs w:val="28"/>
        </w:rPr>
        <w:t>.</w:t>
      </w:r>
      <w:r w:rsidRPr="004A689C">
        <w:rPr>
          <w:rFonts w:ascii="Times New Roman" w:hAnsi="Times New Roman"/>
          <w:szCs w:val="28"/>
        </w:rPr>
        <w:t xml:space="preserve"> 17 luglio 2020, n. 77, il c.d. decreto rilancio, il quale, tra le altre cose, ha riconosciuto la possibilità per gli affidatari di ottenere aumenti sulle anticipazioni dei prezzi d’appalto.</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La specificità del decreto semplificazioni emerge in maniera evidente se si considera che gli interventi operati consistono </w:t>
      </w:r>
      <w:r w:rsidRPr="004A689C">
        <w:rPr>
          <w:rFonts w:ascii="Times New Roman" w:hAnsi="Times New Roman"/>
          <w:i/>
          <w:szCs w:val="28"/>
        </w:rPr>
        <w:t>prevalentemente</w:t>
      </w:r>
      <w:r w:rsidRPr="004A689C">
        <w:rPr>
          <w:rFonts w:ascii="Times New Roman" w:hAnsi="Times New Roman"/>
          <w:szCs w:val="28"/>
        </w:rPr>
        <w:t xml:space="preserve"> in misure “a tempo”; essi riguardano infatti gli affidamenti effettuati fino al 31 dicembre 2021 (termine inizialmente fissato al 31 luglio 2021) ovvero nei casi in cui la determina a contrarre o altro atto di avvio del procedimento equivalente venga adottato entro tale data, in considerazione appunto della fase emergenziale che il Paese sta attraversando. </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Le modifiche più significative si rinvengono nell’art. 1 del </w:t>
      </w:r>
      <w:r w:rsidR="00AD20CD" w:rsidRPr="004A689C">
        <w:rPr>
          <w:rFonts w:ascii="Times New Roman" w:hAnsi="Times New Roman"/>
          <w:szCs w:val="28"/>
        </w:rPr>
        <w:t xml:space="preserve">citato </w:t>
      </w:r>
      <w:r w:rsidR="002C5A72" w:rsidRPr="004A689C">
        <w:rPr>
          <w:rFonts w:ascii="Times New Roman" w:hAnsi="Times New Roman"/>
          <w:szCs w:val="28"/>
        </w:rPr>
        <w:t>D.L.</w:t>
      </w:r>
      <w:r w:rsidRPr="004A689C">
        <w:rPr>
          <w:rFonts w:ascii="Times New Roman" w:hAnsi="Times New Roman"/>
          <w:szCs w:val="28"/>
        </w:rPr>
        <w:t xml:space="preserve"> relativamente agli importi inferiori alle soglie eurounitarie e nell’art. 2 per gli affidamenti di valore superiore. Esse riguardano, oltre che la fissazione di termini ristretti per la conclusione del procedimento, i presupposti per il ricorso alle diverse tipologie di procedure, nonché la possibilità di operare in deroga a ogni disposizione di legge diversa da quella penale, fatto salvo il rispetto delle disposizioni del codice delle leggi antimafia e delle misure di prevenzione, di cui al </w:t>
      </w:r>
      <w:r w:rsidR="002C5A72" w:rsidRPr="004A689C">
        <w:rPr>
          <w:rFonts w:ascii="Times New Roman" w:hAnsi="Times New Roman"/>
          <w:szCs w:val="28"/>
        </w:rPr>
        <w:t>D</w:t>
      </w:r>
      <w:r w:rsidR="00A005C6" w:rsidRPr="004A689C">
        <w:rPr>
          <w:rFonts w:ascii="Times New Roman" w:hAnsi="Times New Roman"/>
          <w:szCs w:val="28"/>
        </w:rPr>
        <w:t xml:space="preserve">ecreto </w:t>
      </w:r>
      <w:r w:rsidR="002C5A72" w:rsidRPr="004A689C">
        <w:rPr>
          <w:rFonts w:ascii="Times New Roman" w:hAnsi="Times New Roman"/>
          <w:szCs w:val="28"/>
        </w:rPr>
        <w:t>L</w:t>
      </w:r>
      <w:r w:rsidR="00A005C6" w:rsidRPr="004A689C">
        <w:rPr>
          <w:rFonts w:ascii="Times New Roman" w:hAnsi="Times New Roman"/>
          <w:szCs w:val="28"/>
        </w:rPr>
        <w:t xml:space="preserve">egislativo </w:t>
      </w:r>
      <w:r w:rsidRPr="004A689C">
        <w:rPr>
          <w:rFonts w:ascii="Times New Roman" w:hAnsi="Times New Roman"/>
          <w:szCs w:val="28"/>
        </w:rPr>
        <w:t xml:space="preserve"> 6 settembre 2011, n. 159,</w:t>
      </w:r>
      <w:r w:rsidR="00D17658" w:rsidRPr="004A689C">
        <w:rPr>
          <w:rFonts w:ascii="Times New Roman" w:hAnsi="Times New Roman"/>
          <w:szCs w:val="28"/>
        </w:rPr>
        <w:t xml:space="preserve"> “</w:t>
      </w:r>
      <w:r w:rsidR="00D17658" w:rsidRPr="004A689C">
        <w:rPr>
          <w:rFonts w:ascii="Times New Roman" w:hAnsi="Times New Roman"/>
          <w:i/>
          <w:szCs w:val="28"/>
        </w:rPr>
        <w:t>Codice delle leggi antimafia e delle misure di prevenzione, nonché nuove disposizioni in materia di antimafia</w:t>
      </w:r>
      <w:r w:rsidR="009D7AB6" w:rsidRPr="004A689C">
        <w:rPr>
          <w:rFonts w:ascii="Times New Roman" w:hAnsi="Times New Roman"/>
          <w:i/>
          <w:szCs w:val="28"/>
        </w:rPr>
        <w:t>, a norma degli articoli 1 e 2 della legge 13 agosto 2010, n. 136</w:t>
      </w:r>
      <w:r w:rsidR="009D7AB6" w:rsidRPr="004A689C">
        <w:rPr>
          <w:rFonts w:ascii="Times New Roman" w:hAnsi="Times New Roman"/>
          <w:szCs w:val="28"/>
        </w:rPr>
        <w:t xml:space="preserve">”, </w:t>
      </w:r>
      <w:r w:rsidRPr="004A689C">
        <w:rPr>
          <w:rFonts w:ascii="Times New Roman" w:hAnsi="Times New Roman"/>
          <w:szCs w:val="28"/>
        </w:rPr>
        <w:t>nonché dei vincoli inderogabili derivanti dall'appartenenza all'Unione europea.</w:t>
      </w:r>
    </w:p>
    <w:p w:rsidR="00233CF7" w:rsidRPr="004A689C" w:rsidRDefault="00233CF7" w:rsidP="00233CF7">
      <w:pPr>
        <w:rPr>
          <w:rFonts w:ascii="Times New Roman" w:hAnsi="Times New Roman"/>
          <w:szCs w:val="28"/>
        </w:rPr>
      </w:pPr>
      <w:r w:rsidRPr="004A689C">
        <w:rPr>
          <w:rFonts w:ascii="Times New Roman" w:hAnsi="Times New Roman"/>
          <w:szCs w:val="28"/>
        </w:rPr>
        <w:t>Come detto, considerata la novità della normativa e l’ampliamento della discrezionalità accordata alle stazioni appaltanti con il ricorso alle procedure emergenziali, si ritiene necessario richiamare l’attenzione delle Strutture sull’osservanza della normativa, evidenziando alcuni aspetti regolatori di impatto per il contenimento del rischio.</w:t>
      </w:r>
    </w:p>
    <w:p w:rsidR="00D17658" w:rsidRPr="004A689C" w:rsidRDefault="00233CF7" w:rsidP="00233CF7">
      <w:pPr>
        <w:rPr>
          <w:rFonts w:ascii="Times New Roman" w:hAnsi="Times New Roman"/>
          <w:szCs w:val="28"/>
        </w:rPr>
      </w:pPr>
      <w:r w:rsidRPr="004A689C">
        <w:rPr>
          <w:rFonts w:ascii="Times New Roman" w:hAnsi="Times New Roman"/>
          <w:szCs w:val="28"/>
        </w:rPr>
        <w:t xml:space="preserve">Considerati gli esiti del monitoraggio sugli affidamenti a cui sopra si è fatto riferimento, l’attenzione deve essere focalizzata sia sulle procedure da applicare per i micro appalti, che rappresentano il numero significativamente più rilevante di affidamenti in P.C.M., sia sugli appalti sopra soglia, che sino ad ora hanno assorbito la maggior quantità di risorse.   </w:t>
      </w:r>
    </w:p>
    <w:p w:rsidR="004B0A96" w:rsidRPr="004A689C" w:rsidRDefault="004B0A96" w:rsidP="00233CF7">
      <w:pPr>
        <w:rPr>
          <w:rFonts w:ascii="Times New Roman" w:hAnsi="Times New Roman"/>
          <w:szCs w:val="28"/>
        </w:rPr>
      </w:pPr>
    </w:p>
    <w:p w:rsidR="00233CF7" w:rsidRPr="004A689C" w:rsidRDefault="00233CF7" w:rsidP="00B40BD4">
      <w:pPr>
        <w:ind w:firstLine="0"/>
        <w:rPr>
          <w:rFonts w:ascii="Times New Roman" w:hAnsi="Times New Roman"/>
          <w:szCs w:val="28"/>
          <w:u w:val="single"/>
        </w:rPr>
      </w:pPr>
      <w:r w:rsidRPr="004A689C">
        <w:rPr>
          <w:rFonts w:ascii="Times New Roman" w:hAnsi="Times New Roman"/>
          <w:szCs w:val="28"/>
          <w:u w:val="single"/>
        </w:rPr>
        <w:t>Procedure sotto-soglia</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Le nuove norme prevedono il ricorso a </w:t>
      </w:r>
      <w:r w:rsidRPr="004A689C">
        <w:rPr>
          <w:rFonts w:ascii="Times New Roman" w:hAnsi="Times New Roman"/>
          <w:b/>
          <w:szCs w:val="28"/>
        </w:rPr>
        <w:t>due sole procedure</w:t>
      </w:r>
      <w:r w:rsidRPr="004A689C">
        <w:rPr>
          <w:rFonts w:ascii="Times New Roman" w:hAnsi="Times New Roman"/>
          <w:szCs w:val="28"/>
        </w:rPr>
        <w:t>:</w:t>
      </w:r>
    </w:p>
    <w:p w:rsidR="00233CF7" w:rsidRPr="004A689C" w:rsidRDefault="00233CF7" w:rsidP="00233CF7">
      <w:pPr>
        <w:rPr>
          <w:rFonts w:ascii="Times New Roman" w:hAnsi="Times New Roman"/>
          <w:szCs w:val="28"/>
        </w:rPr>
      </w:pPr>
      <w:r w:rsidRPr="004A689C">
        <w:rPr>
          <w:rFonts w:ascii="Times New Roman" w:hAnsi="Times New Roman"/>
          <w:szCs w:val="28"/>
        </w:rPr>
        <w:t>- l’affidamento diretto per lavori di importo inferiore a 150.000 euro e per servizi e forniture, ivi compresi i servizi di ingegneria e architettura e l’attività di progettazione, di importo inferiore a 75.000 euro;</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 una procedura negoziata, senza bando, previa consultazione di un numero di operatori variabile sulla base dell’importo complessivo, per tutte le prestazioni di importo pari o superiore a 150.000 euro e inferiore alle soglie di rilevanza comunitaria.  </w:t>
      </w:r>
    </w:p>
    <w:p w:rsidR="00233CF7" w:rsidRPr="004A689C" w:rsidRDefault="00233CF7" w:rsidP="00233CF7">
      <w:pPr>
        <w:rPr>
          <w:rFonts w:ascii="Times New Roman" w:hAnsi="Times New Roman"/>
          <w:szCs w:val="28"/>
        </w:rPr>
      </w:pPr>
      <w:r w:rsidRPr="004A689C">
        <w:rPr>
          <w:rFonts w:ascii="Times New Roman" w:hAnsi="Times New Roman"/>
          <w:szCs w:val="28"/>
        </w:rPr>
        <w:t>La peculiarità della normativa consiste nella previsione del ricorso ai nuovi moduli procedurali; infatti, a differenza di quanto era previsto nel testo dell’art. 36 prima che intervenissero le modifiche apportate dal decreto semplificazioni, non è richiamata “</w:t>
      </w:r>
      <w:r w:rsidRPr="004A689C">
        <w:rPr>
          <w:rFonts w:ascii="Times New Roman" w:hAnsi="Times New Roman"/>
          <w:i/>
          <w:szCs w:val="28"/>
        </w:rPr>
        <w:t>la possibilità di ricorrere alle procedure ordinarie</w:t>
      </w:r>
      <w:r w:rsidRPr="004A689C">
        <w:rPr>
          <w:rFonts w:ascii="Times New Roman" w:hAnsi="Times New Roman"/>
          <w:szCs w:val="28"/>
        </w:rPr>
        <w:t xml:space="preserve">”. Pertanto, nel caso in cui l’Amministrazione intendesse far applicazione comunque delle procedure ordinarie, dovrebbe darne adeguata motivazione in relazione all’interesse pubblico, alle ricadute economiche negative a seguito delle misure di contenimento e dell’emergenza sanitaria COVID-19 e allo specifico affidamento, tenendo conto della </w:t>
      </w:r>
      <w:r w:rsidRPr="004A689C">
        <w:rPr>
          <w:rFonts w:ascii="Times New Roman" w:hAnsi="Times New Roman"/>
          <w:i/>
          <w:szCs w:val="28"/>
        </w:rPr>
        <w:t>ratio</w:t>
      </w:r>
      <w:r w:rsidRPr="004A689C">
        <w:rPr>
          <w:rFonts w:ascii="Times New Roman" w:hAnsi="Times New Roman"/>
          <w:szCs w:val="28"/>
        </w:rPr>
        <w:t xml:space="preserve"> che ha supportato l’introduzione della normativa transitoria derogatoria, che è quella di accelerare gli affidamenti con l’obiettivo di agevolare il rilancio dell’economia. In tal caso, la motivazione andrebbe inserita nella determina a contrarre o in altro atto di avvio della procedura. In base alle nuove norme, sino al 31 dicembre 2021 non è invece possibile far ricorso alle procedure semplificate disciplinate nell’art. 36, comma 2, del Codice dei contratti poiché espressamente derogate dalle nuove disposizioni.</w:t>
      </w:r>
    </w:p>
    <w:p w:rsidR="00233CF7" w:rsidRPr="004A689C" w:rsidRDefault="00233CF7" w:rsidP="00233CF7">
      <w:pPr>
        <w:rPr>
          <w:rFonts w:ascii="Times New Roman" w:hAnsi="Times New Roman"/>
          <w:szCs w:val="28"/>
        </w:rPr>
      </w:pPr>
      <w:r w:rsidRPr="004A689C">
        <w:rPr>
          <w:rFonts w:ascii="Times New Roman" w:hAnsi="Times New Roman"/>
          <w:szCs w:val="28"/>
        </w:rPr>
        <w:t>La deroga introdotta dal decreto semplificazioni</w:t>
      </w:r>
      <w:r w:rsidR="00AD20CD" w:rsidRPr="004A689C">
        <w:rPr>
          <w:rFonts w:ascii="Times New Roman" w:hAnsi="Times New Roman"/>
          <w:szCs w:val="28"/>
        </w:rPr>
        <w:t>,</w:t>
      </w:r>
      <w:r w:rsidRPr="004A689C">
        <w:rPr>
          <w:rFonts w:ascii="Times New Roman" w:hAnsi="Times New Roman"/>
          <w:szCs w:val="28"/>
        </w:rPr>
        <w:t xml:space="preserve"> non riguarda i principi da applicare nel caso delle procedure semplificate enunciati dal comma 1 dell’art. 36 del Codice</w:t>
      </w:r>
      <w:r w:rsidR="00AD20CD" w:rsidRPr="004A689C">
        <w:rPr>
          <w:rFonts w:ascii="Times New Roman" w:hAnsi="Times New Roman"/>
          <w:szCs w:val="28"/>
        </w:rPr>
        <w:t>,</w:t>
      </w:r>
      <w:r w:rsidRPr="004A689C">
        <w:rPr>
          <w:rFonts w:ascii="Times New Roman" w:hAnsi="Times New Roman"/>
          <w:szCs w:val="28"/>
        </w:rPr>
        <w:t xml:space="preserve"> che</w:t>
      </w:r>
      <w:r w:rsidR="00AD20CD" w:rsidRPr="004A689C">
        <w:rPr>
          <w:rFonts w:ascii="Times New Roman" w:hAnsi="Times New Roman"/>
          <w:szCs w:val="28"/>
        </w:rPr>
        <w:t>,</w:t>
      </w:r>
      <w:r w:rsidRPr="004A689C">
        <w:rPr>
          <w:rFonts w:ascii="Times New Roman" w:hAnsi="Times New Roman"/>
          <w:szCs w:val="28"/>
        </w:rPr>
        <w:t xml:space="preserve"> quindi</w:t>
      </w:r>
      <w:r w:rsidR="00AD20CD" w:rsidRPr="004A689C">
        <w:rPr>
          <w:rFonts w:ascii="Times New Roman" w:hAnsi="Times New Roman"/>
          <w:szCs w:val="28"/>
        </w:rPr>
        <w:t>,</w:t>
      </w:r>
      <w:r w:rsidRPr="004A689C">
        <w:rPr>
          <w:rFonts w:ascii="Times New Roman" w:hAnsi="Times New Roman"/>
          <w:szCs w:val="28"/>
        </w:rPr>
        <w:t xml:space="preserve"> rimangono vigenti e vanno applicati. Tra questi si vuole richiamare l’attenzione soprattutto sulla necessità di osservare il </w:t>
      </w:r>
      <w:r w:rsidRPr="004A689C">
        <w:rPr>
          <w:rFonts w:ascii="Times New Roman" w:hAnsi="Times New Roman"/>
          <w:b/>
          <w:szCs w:val="28"/>
        </w:rPr>
        <w:t>principio della rotazione degli affidamenti e degli inviti</w:t>
      </w:r>
      <w:r w:rsidR="00AD20CD" w:rsidRPr="004A689C">
        <w:rPr>
          <w:rFonts w:ascii="Times New Roman" w:hAnsi="Times New Roman"/>
          <w:szCs w:val="28"/>
        </w:rPr>
        <w:t>,</w:t>
      </w:r>
      <w:r w:rsidRPr="004A689C">
        <w:rPr>
          <w:rFonts w:ascii="Times New Roman" w:hAnsi="Times New Roman"/>
          <w:b/>
          <w:szCs w:val="28"/>
        </w:rPr>
        <w:t xml:space="preserve"> </w:t>
      </w:r>
      <w:r w:rsidRPr="004A689C">
        <w:rPr>
          <w:rFonts w:ascii="Times New Roman" w:hAnsi="Times New Roman"/>
          <w:szCs w:val="28"/>
        </w:rPr>
        <w:t>in modo da assicurare l'effettiva possibilità di partecipazione delle microimprese, piccole e medie imprese, tenendo conto della diversa dislocazione territoriale delle stesse (art. 1, comma 2, lett. b</w:t>
      </w:r>
      <w:r w:rsidR="00A005C6" w:rsidRPr="004A689C">
        <w:rPr>
          <w:rFonts w:ascii="Times New Roman" w:hAnsi="Times New Roman"/>
          <w:szCs w:val="28"/>
        </w:rPr>
        <w:t>, del D.L. 76/2020)</w:t>
      </w:r>
      <w:r w:rsidRPr="004A689C">
        <w:rPr>
          <w:rFonts w:ascii="Times New Roman" w:hAnsi="Times New Roman"/>
          <w:szCs w:val="28"/>
        </w:rPr>
        <w:t xml:space="preserve">. </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Nell’ottica acceleratoria a cui si è ispirato il legislatore, è particolarmente rilevante il </w:t>
      </w:r>
      <w:r w:rsidRPr="004A689C">
        <w:rPr>
          <w:rFonts w:ascii="Times New Roman" w:hAnsi="Times New Roman"/>
          <w:b/>
          <w:szCs w:val="28"/>
        </w:rPr>
        <w:t>rispetto dei termini di conclusione dei procedimenti</w:t>
      </w:r>
      <w:r w:rsidRPr="004A689C">
        <w:rPr>
          <w:rFonts w:ascii="Times New Roman" w:hAnsi="Times New Roman"/>
          <w:szCs w:val="28"/>
        </w:rPr>
        <w:t xml:space="preserve"> di affidamento. I termini sono fissati in due mesi dalla data di adozione dell'atto di avvio del procedimento, aumentati a quattro nel caso di applicazione della procedura negoziata</w:t>
      </w:r>
      <w:r w:rsidR="00AD20CD" w:rsidRPr="004A689C">
        <w:rPr>
          <w:rFonts w:ascii="Times New Roman" w:hAnsi="Times New Roman"/>
          <w:szCs w:val="28"/>
        </w:rPr>
        <w:t>,</w:t>
      </w:r>
      <w:r w:rsidRPr="004A689C">
        <w:rPr>
          <w:rFonts w:ascii="Times New Roman" w:hAnsi="Times New Roman"/>
          <w:szCs w:val="28"/>
        </w:rPr>
        <w:t xml:space="preserve"> previa consultazione degli operatori economici in cui il termine è raddoppiato a quattro mesi. Si richiama l’attenzione sulla circostanza che</w:t>
      </w:r>
      <w:r w:rsidR="001C1D5F" w:rsidRPr="004A689C">
        <w:rPr>
          <w:rFonts w:ascii="Times New Roman" w:hAnsi="Times New Roman"/>
          <w:szCs w:val="28"/>
        </w:rPr>
        <w:t>,</w:t>
      </w:r>
      <w:r w:rsidRPr="004A689C">
        <w:rPr>
          <w:rFonts w:ascii="Times New Roman" w:hAnsi="Times New Roman"/>
          <w:szCs w:val="28"/>
        </w:rPr>
        <w:t xml:space="preserve"> a mente dell’ultimo periodo del comma 1 dell’art. 1 citato, “</w:t>
      </w:r>
      <w:r w:rsidRPr="004A689C">
        <w:rPr>
          <w:rFonts w:ascii="Times New Roman" w:hAnsi="Times New Roman"/>
          <w:i/>
          <w:szCs w:val="28"/>
        </w:rPr>
        <w:t>Il mancato rispetto dei termini (…),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r w:rsidRPr="004A689C">
        <w:rPr>
          <w:rFonts w:ascii="Times New Roman" w:hAnsi="Times New Roman"/>
          <w:szCs w:val="28"/>
        </w:rPr>
        <w:t xml:space="preserve">.”.                </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Considerate le semplificazioni introdotte con la recente normativa, operate soprattutto attraverso la previsione dell’ampio ricorso alle procedure dell’affidamento diretto e della procedura negoziata senza bando, acquista particolare rilievo la </w:t>
      </w:r>
      <w:r w:rsidRPr="004A689C">
        <w:rPr>
          <w:rFonts w:ascii="Times New Roman" w:hAnsi="Times New Roman"/>
          <w:b/>
          <w:szCs w:val="28"/>
        </w:rPr>
        <w:t>determinazione a contrarre o il diverso atto di avvio del procedimento</w:t>
      </w:r>
      <w:r w:rsidRPr="004A689C">
        <w:rPr>
          <w:rFonts w:ascii="Times New Roman" w:hAnsi="Times New Roman"/>
          <w:szCs w:val="28"/>
        </w:rPr>
        <w:t>. Tali provvedimenti, infatti, da un lato segnano il decorso del tempo ai fini della conclusione del procedimento, dall’altro rappresentano l’atto che deve riassumere i presupposti di fatto e di diritto che conducono l’Amministrazione a svolgere quella particolare procedura. Essi debbono</w:t>
      </w:r>
      <w:r w:rsidR="00AD20CD" w:rsidRPr="004A689C">
        <w:rPr>
          <w:rFonts w:ascii="Times New Roman" w:hAnsi="Times New Roman"/>
          <w:szCs w:val="28"/>
        </w:rPr>
        <w:t>,</w:t>
      </w:r>
      <w:r w:rsidRPr="004A689C">
        <w:rPr>
          <w:rFonts w:ascii="Times New Roman" w:hAnsi="Times New Roman"/>
          <w:szCs w:val="28"/>
        </w:rPr>
        <w:t xml:space="preserve"> quindi</w:t>
      </w:r>
      <w:r w:rsidR="00AD20CD" w:rsidRPr="004A689C">
        <w:rPr>
          <w:rFonts w:ascii="Times New Roman" w:hAnsi="Times New Roman"/>
          <w:szCs w:val="28"/>
        </w:rPr>
        <w:t>,</w:t>
      </w:r>
      <w:r w:rsidRPr="004A689C">
        <w:rPr>
          <w:rFonts w:ascii="Times New Roman" w:hAnsi="Times New Roman"/>
          <w:szCs w:val="28"/>
        </w:rPr>
        <w:t xml:space="preserve"> dar conto in maniera trasparente e intellegibile delle azioni e delle scelte compiute</w:t>
      </w:r>
      <w:r w:rsidR="00AD20CD" w:rsidRPr="004A689C">
        <w:rPr>
          <w:rFonts w:ascii="Times New Roman" w:hAnsi="Times New Roman"/>
          <w:szCs w:val="28"/>
        </w:rPr>
        <w:t>,</w:t>
      </w:r>
      <w:r w:rsidRPr="004A689C">
        <w:rPr>
          <w:rFonts w:ascii="Times New Roman" w:hAnsi="Times New Roman"/>
          <w:szCs w:val="28"/>
        </w:rPr>
        <w:t xml:space="preserve"> in modo che l’operato dell’Amministrazione risulti inattaccabile</w:t>
      </w:r>
      <w:r w:rsidR="00215F01" w:rsidRPr="004A689C">
        <w:rPr>
          <w:rFonts w:ascii="Times New Roman" w:hAnsi="Times New Roman"/>
          <w:szCs w:val="28"/>
        </w:rPr>
        <w:t>,</w:t>
      </w:r>
      <w:r w:rsidRPr="004A689C">
        <w:rPr>
          <w:rFonts w:ascii="Times New Roman" w:hAnsi="Times New Roman"/>
          <w:szCs w:val="28"/>
        </w:rPr>
        <w:t xml:space="preserve"> anche in sede giudiziaria. Inoltre, in linea con le modifiche operate dal </w:t>
      </w:r>
      <w:r w:rsidR="002C5A72" w:rsidRPr="004A689C">
        <w:rPr>
          <w:rFonts w:ascii="Times New Roman" w:hAnsi="Times New Roman"/>
          <w:szCs w:val="28"/>
        </w:rPr>
        <w:t xml:space="preserve">D.L. </w:t>
      </w:r>
      <w:r w:rsidRPr="004A689C">
        <w:rPr>
          <w:rFonts w:ascii="Times New Roman" w:hAnsi="Times New Roman"/>
          <w:szCs w:val="28"/>
        </w:rPr>
        <w:t xml:space="preserve">semplificazioni in materia di procedimenti amministrativi (cfr.: art. 12 </w:t>
      </w:r>
      <w:r w:rsidR="002C5A72" w:rsidRPr="004A689C">
        <w:rPr>
          <w:rFonts w:ascii="Times New Roman" w:hAnsi="Times New Roman"/>
          <w:szCs w:val="28"/>
        </w:rPr>
        <w:t xml:space="preserve">D.L. </w:t>
      </w:r>
      <w:r w:rsidRPr="004A689C">
        <w:rPr>
          <w:rFonts w:ascii="Times New Roman" w:hAnsi="Times New Roman"/>
          <w:szCs w:val="28"/>
        </w:rPr>
        <w:t>n. 76</w:t>
      </w:r>
      <w:r w:rsidR="001C1D5F" w:rsidRPr="004A689C">
        <w:rPr>
          <w:rFonts w:ascii="Times New Roman" w:hAnsi="Times New Roman"/>
          <w:szCs w:val="28"/>
        </w:rPr>
        <w:t>/</w:t>
      </w:r>
      <w:r w:rsidRPr="004A689C">
        <w:rPr>
          <w:rFonts w:ascii="Times New Roman" w:hAnsi="Times New Roman"/>
          <w:szCs w:val="28"/>
        </w:rPr>
        <w:t>2020), la determina a contrarre o l’atto equivalente</w:t>
      </w:r>
      <w:r w:rsidR="00215F01" w:rsidRPr="004A689C">
        <w:rPr>
          <w:rFonts w:ascii="Times New Roman" w:hAnsi="Times New Roman"/>
          <w:szCs w:val="28"/>
        </w:rPr>
        <w:t>,</w:t>
      </w:r>
      <w:r w:rsidRPr="004A689C">
        <w:rPr>
          <w:rFonts w:ascii="Times New Roman" w:hAnsi="Times New Roman"/>
          <w:szCs w:val="28"/>
        </w:rPr>
        <w:t xml:space="preserve"> deve indicare anche la durata presunta del procedimento per permettere la verifica circa </w:t>
      </w:r>
      <w:r w:rsidR="009260C5" w:rsidRPr="004A689C">
        <w:rPr>
          <w:rFonts w:ascii="Times New Roman" w:hAnsi="Times New Roman"/>
          <w:szCs w:val="28"/>
        </w:rPr>
        <w:t xml:space="preserve">la </w:t>
      </w:r>
      <w:r w:rsidRPr="004A689C">
        <w:rPr>
          <w:rFonts w:ascii="Times New Roman" w:hAnsi="Times New Roman"/>
          <w:szCs w:val="28"/>
        </w:rPr>
        <w:t xml:space="preserve">congruità della scelta e il monitoraggio dei tempi (cfr.: artt. 21 e 22 </w:t>
      </w:r>
      <w:r w:rsidR="002C5A72" w:rsidRPr="004A689C">
        <w:rPr>
          <w:rFonts w:ascii="Times New Roman" w:hAnsi="Times New Roman"/>
          <w:szCs w:val="28"/>
        </w:rPr>
        <w:t xml:space="preserve">D.L. </w:t>
      </w:r>
      <w:r w:rsidRPr="004A689C">
        <w:rPr>
          <w:rFonts w:ascii="Times New Roman" w:hAnsi="Times New Roman"/>
          <w:szCs w:val="28"/>
        </w:rPr>
        <w:t>n. 76</w:t>
      </w:r>
      <w:r w:rsidR="001C1D5F" w:rsidRPr="004A689C">
        <w:rPr>
          <w:rFonts w:ascii="Times New Roman" w:hAnsi="Times New Roman"/>
          <w:szCs w:val="28"/>
        </w:rPr>
        <w:t>/</w:t>
      </w:r>
      <w:r w:rsidRPr="004A689C">
        <w:rPr>
          <w:rFonts w:ascii="Times New Roman" w:hAnsi="Times New Roman"/>
          <w:szCs w:val="28"/>
        </w:rPr>
        <w:t>2020).</w:t>
      </w:r>
    </w:p>
    <w:p w:rsidR="003E6E66" w:rsidRPr="004A689C" w:rsidRDefault="00233CF7" w:rsidP="00233CF7">
      <w:pPr>
        <w:rPr>
          <w:rFonts w:ascii="Times New Roman" w:hAnsi="Times New Roman"/>
          <w:szCs w:val="28"/>
        </w:rPr>
      </w:pPr>
      <w:r w:rsidRPr="004A689C">
        <w:rPr>
          <w:rFonts w:ascii="Times New Roman" w:hAnsi="Times New Roman"/>
          <w:szCs w:val="28"/>
        </w:rPr>
        <w:t xml:space="preserve">Si richiama l’attenzione sull’esigenza di osservare le prescritte misure di trasparenza. Esse, infatti, in un contesto di ampia discrezionalità amministrativa, innalzamento delle soglie di riferimento e riduzione degli operatori da consultare, svolgono il ruolo di contrappeso per un’azione amministrativa controllabile e tracciabile. In base a quanto detto sopra, particolare rilevanza riveste la pubblicità della determina a contrarre o del diverso atto di avvio del procedimento, che potrà consentire il controllo sulle fasi procedimentali e sulla decorrenza del termine per la conclusione (salva l’ipotesi in cui la stessa determina rappresenti l’atto conclusivo del procedimento ai sensi dell’art. 1, comma 3, del </w:t>
      </w:r>
      <w:r w:rsidR="002C5A72" w:rsidRPr="004A689C">
        <w:rPr>
          <w:rFonts w:ascii="Times New Roman" w:hAnsi="Times New Roman"/>
          <w:szCs w:val="28"/>
        </w:rPr>
        <w:t xml:space="preserve">D.L. </w:t>
      </w:r>
      <w:r w:rsidRPr="004A689C">
        <w:rPr>
          <w:rFonts w:ascii="Times New Roman" w:hAnsi="Times New Roman"/>
          <w:szCs w:val="28"/>
        </w:rPr>
        <w:t>n. 76</w:t>
      </w:r>
      <w:r w:rsidR="002C5A72" w:rsidRPr="004A689C">
        <w:rPr>
          <w:rFonts w:ascii="Times New Roman" w:hAnsi="Times New Roman"/>
          <w:szCs w:val="28"/>
        </w:rPr>
        <w:t>/</w:t>
      </w:r>
      <w:r w:rsidRPr="004A689C">
        <w:rPr>
          <w:rFonts w:ascii="Times New Roman" w:hAnsi="Times New Roman"/>
          <w:szCs w:val="28"/>
        </w:rPr>
        <w:t xml:space="preserve">2020) ovvero, nel caso in cui l’Amministrazione ricorra a indagini di mercato, dell’avviso relativo all’indagine di mercato. </w:t>
      </w:r>
      <w:r w:rsidR="001C1D5F" w:rsidRPr="004A689C">
        <w:rPr>
          <w:rFonts w:ascii="Times New Roman" w:hAnsi="Times New Roman"/>
          <w:szCs w:val="28"/>
        </w:rPr>
        <w:t xml:space="preserve">Nell’ottica di </w:t>
      </w:r>
      <w:r w:rsidR="002E0732" w:rsidRPr="004A689C">
        <w:rPr>
          <w:rFonts w:ascii="Times New Roman" w:hAnsi="Times New Roman"/>
          <w:szCs w:val="28"/>
        </w:rPr>
        <w:t xml:space="preserve">attuare </w:t>
      </w:r>
      <w:r w:rsidR="001C1D5F" w:rsidRPr="004A689C">
        <w:rPr>
          <w:rFonts w:ascii="Times New Roman" w:hAnsi="Times New Roman"/>
          <w:szCs w:val="28"/>
        </w:rPr>
        <w:t>il contenimento del rischio</w:t>
      </w:r>
      <w:r w:rsidR="00215F01" w:rsidRPr="004A689C">
        <w:rPr>
          <w:rFonts w:ascii="Times New Roman" w:hAnsi="Times New Roman"/>
          <w:szCs w:val="28"/>
        </w:rPr>
        <w:t>,</w:t>
      </w:r>
      <w:r w:rsidR="001C1D5F" w:rsidRPr="004A689C">
        <w:rPr>
          <w:rFonts w:ascii="Times New Roman" w:hAnsi="Times New Roman"/>
          <w:szCs w:val="28"/>
        </w:rPr>
        <w:t xml:space="preserve"> attraverso l</w:t>
      </w:r>
      <w:r w:rsidR="002E0732" w:rsidRPr="004A689C">
        <w:rPr>
          <w:rFonts w:ascii="Times New Roman" w:hAnsi="Times New Roman"/>
          <w:szCs w:val="28"/>
        </w:rPr>
        <w:t>’implementazione della trasparenza, quale misura aggiuntiva</w:t>
      </w:r>
      <w:r w:rsidR="00215F01" w:rsidRPr="004A689C">
        <w:rPr>
          <w:rFonts w:ascii="Times New Roman" w:hAnsi="Times New Roman"/>
          <w:szCs w:val="28"/>
        </w:rPr>
        <w:t>,</w:t>
      </w:r>
      <w:r w:rsidR="002E0732" w:rsidRPr="004A689C">
        <w:rPr>
          <w:rFonts w:ascii="Times New Roman" w:hAnsi="Times New Roman"/>
          <w:szCs w:val="28"/>
        </w:rPr>
        <w:t xml:space="preserve"> le Strutture dovranno curare la pubblicazione dell’</w:t>
      </w:r>
      <w:r w:rsidR="001C1D5F" w:rsidRPr="004A689C">
        <w:rPr>
          <w:rFonts w:ascii="Times New Roman" w:hAnsi="Times New Roman"/>
          <w:szCs w:val="28"/>
        </w:rPr>
        <w:t>avviso sui risultati della procedura di affidamento</w:t>
      </w:r>
      <w:r w:rsidR="00215F01" w:rsidRPr="004A689C">
        <w:rPr>
          <w:rFonts w:ascii="Times New Roman" w:hAnsi="Times New Roman"/>
          <w:szCs w:val="28"/>
        </w:rPr>
        <w:t>,</w:t>
      </w:r>
      <w:r w:rsidR="002E0732" w:rsidRPr="004A689C">
        <w:rPr>
          <w:rFonts w:ascii="Times New Roman" w:hAnsi="Times New Roman"/>
          <w:szCs w:val="28"/>
        </w:rPr>
        <w:t xml:space="preserve"> anche in caso di </w:t>
      </w:r>
      <w:r w:rsidR="001C1D5F" w:rsidRPr="004A689C">
        <w:rPr>
          <w:rFonts w:ascii="Times New Roman" w:hAnsi="Times New Roman"/>
          <w:szCs w:val="28"/>
        </w:rPr>
        <w:t>affidamenti inferiori ad euro 40.000</w:t>
      </w:r>
      <w:r w:rsidR="00215F01" w:rsidRPr="004A689C">
        <w:rPr>
          <w:rFonts w:ascii="Times New Roman" w:hAnsi="Times New Roman"/>
          <w:szCs w:val="28"/>
        </w:rPr>
        <w:t>,</w:t>
      </w:r>
      <w:r w:rsidR="002E0732" w:rsidRPr="004A689C">
        <w:rPr>
          <w:rFonts w:ascii="Times New Roman" w:hAnsi="Times New Roman"/>
          <w:szCs w:val="28"/>
        </w:rPr>
        <w:t xml:space="preserve"> per le procedure di cui alla lettera a), comma 2, art. 1 del D.L. n. 76/2020. </w:t>
      </w:r>
    </w:p>
    <w:p w:rsidR="00233CF7" w:rsidRPr="004A689C" w:rsidRDefault="00233CF7" w:rsidP="00233CF7">
      <w:pPr>
        <w:rPr>
          <w:rFonts w:ascii="Times New Roman" w:hAnsi="Times New Roman"/>
          <w:szCs w:val="28"/>
        </w:rPr>
      </w:pPr>
      <w:r w:rsidRPr="004A689C">
        <w:rPr>
          <w:rFonts w:ascii="Times New Roman" w:hAnsi="Times New Roman"/>
          <w:szCs w:val="28"/>
        </w:rPr>
        <w:t xml:space="preserve">               </w:t>
      </w:r>
    </w:p>
    <w:p w:rsidR="00233CF7" w:rsidRPr="004A689C" w:rsidRDefault="00233CF7" w:rsidP="00FC513C">
      <w:pPr>
        <w:ind w:firstLine="0"/>
        <w:rPr>
          <w:rFonts w:ascii="Times New Roman" w:hAnsi="Times New Roman"/>
          <w:szCs w:val="28"/>
          <w:u w:val="single"/>
        </w:rPr>
      </w:pPr>
      <w:r w:rsidRPr="004A689C">
        <w:rPr>
          <w:rFonts w:ascii="Times New Roman" w:hAnsi="Times New Roman"/>
          <w:szCs w:val="28"/>
          <w:u w:val="single"/>
        </w:rPr>
        <w:t>Procedure sopra soglia</w:t>
      </w:r>
    </w:p>
    <w:p w:rsidR="003E6E66" w:rsidRPr="004A689C" w:rsidRDefault="00233CF7" w:rsidP="00233CF7">
      <w:pPr>
        <w:rPr>
          <w:rFonts w:ascii="Times New Roman" w:hAnsi="Times New Roman"/>
          <w:szCs w:val="28"/>
        </w:rPr>
      </w:pPr>
      <w:r w:rsidRPr="004A689C">
        <w:rPr>
          <w:rFonts w:ascii="Times New Roman" w:hAnsi="Times New Roman"/>
          <w:szCs w:val="28"/>
        </w:rPr>
        <w:t xml:space="preserve">Anche il regime delle procedure sopra soglia è ispirato a una logica acceleratoria. Infatti, il </w:t>
      </w:r>
      <w:r w:rsidR="002C5A72" w:rsidRPr="004A689C">
        <w:rPr>
          <w:rFonts w:ascii="Times New Roman" w:hAnsi="Times New Roman"/>
          <w:szCs w:val="28"/>
        </w:rPr>
        <w:t xml:space="preserve">D.L. </w:t>
      </w:r>
      <w:r w:rsidRPr="004A689C">
        <w:rPr>
          <w:rFonts w:ascii="Times New Roman" w:hAnsi="Times New Roman"/>
          <w:szCs w:val="28"/>
        </w:rPr>
        <w:t xml:space="preserve">semplificazioni ha previsto, pure in questo caso, dei </w:t>
      </w:r>
      <w:r w:rsidRPr="004A689C">
        <w:rPr>
          <w:rFonts w:ascii="Times New Roman" w:hAnsi="Times New Roman"/>
          <w:b/>
          <w:szCs w:val="28"/>
        </w:rPr>
        <w:t>termini ristretti per la conclusione dei procedimenti</w:t>
      </w:r>
      <w:r w:rsidRPr="004A689C">
        <w:rPr>
          <w:rFonts w:ascii="Times New Roman" w:hAnsi="Times New Roman"/>
          <w:szCs w:val="28"/>
        </w:rPr>
        <w:t>; l’art. 2, comma 1, del decreto prevede così che “</w:t>
      </w:r>
      <w:r w:rsidRPr="004A689C">
        <w:rPr>
          <w:rFonts w:ascii="Times New Roman" w:hAnsi="Times New Roman"/>
          <w:i/>
          <w:szCs w:val="28"/>
        </w:rPr>
        <w:t>salve le ipotesi in cui la procedura sia sospesa per effetto di provvedimenti dell'autorità giudiziaria, l'aggiudicazione o l'individuazione definitiva del contraente avviene entro il termine di sei mesi dalla data di adozione dell'atto di avvio del procedimento</w:t>
      </w:r>
      <w:r w:rsidRPr="004A689C">
        <w:rPr>
          <w:rFonts w:ascii="Times New Roman" w:hAnsi="Times New Roman"/>
          <w:szCs w:val="28"/>
        </w:rPr>
        <w:t>.”. Si richiama pertanto l’attenzione sul rispetto dei termini, evidenziando le gravi conseguenze previste per il caso di sforamento; infatti, il citato comma 1 prevede che “</w:t>
      </w:r>
      <w:r w:rsidRPr="004A689C">
        <w:rPr>
          <w:rFonts w:ascii="Times New Roman" w:hAnsi="Times New Roman"/>
          <w:i/>
          <w:szCs w:val="28"/>
        </w:rPr>
        <w:t>Il mancato rispetto dei termini di cui al periodo precedente,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r w:rsidRPr="004A689C">
        <w:rPr>
          <w:rFonts w:ascii="Times New Roman" w:hAnsi="Times New Roman"/>
          <w:szCs w:val="28"/>
        </w:rPr>
        <w:t xml:space="preserve">.”.   </w:t>
      </w:r>
    </w:p>
    <w:p w:rsidR="00233CF7" w:rsidRPr="004A689C" w:rsidRDefault="00233CF7" w:rsidP="00233CF7">
      <w:pPr>
        <w:rPr>
          <w:rFonts w:ascii="Times New Roman" w:hAnsi="Times New Roman"/>
          <w:szCs w:val="28"/>
        </w:rPr>
      </w:pPr>
      <w:r w:rsidRPr="004A689C">
        <w:rPr>
          <w:rFonts w:ascii="Times New Roman" w:hAnsi="Times New Roman"/>
          <w:szCs w:val="28"/>
        </w:rPr>
        <w:t>Anche per queste procedure un ruolo fondamentale è svolto dalla determina a contrarre o dal diverso atto di avvio del procedimento; a riguardo, si richiamano le considerazioni e le raccomandazioni già svolte in riferimento alle procedure sottosoglia.</w:t>
      </w:r>
    </w:p>
    <w:p w:rsidR="003E6E66" w:rsidRPr="004A689C" w:rsidRDefault="00233CF7" w:rsidP="00233CF7">
      <w:pPr>
        <w:rPr>
          <w:rFonts w:ascii="Times New Roman" w:hAnsi="Times New Roman"/>
          <w:szCs w:val="28"/>
        </w:rPr>
      </w:pPr>
      <w:r w:rsidRPr="004A689C">
        <w:rPr>
          <w:rFonts w:ascii="Times New Roman" w:hAnsi="Times New Roman"/>
          <w:szCs w:val="28"/>
        </w:rPr>
        <w:t>Si raccomanda</w:t>
      </w:r>
      <w:r w:rsidR="00215F01" w:rsidRPr="004A689C">
        <w:rPr>
          <w:rFonts w:ascii="Times New Roman" w:hAnsi="Times New Roman"/>
          <w:szCs w:val="28"/>
        </w:rPr>
        <w:t>,</w:t>
      </w:r>
      <w:r w:rsidRPr="004A689C">
        <w:rPr>
          <w:rFonts w:ascii="Times New Roman" w:hAnsi="Times New Roman"/>
          <w:szCs w:val="28"/>
        </w:rPr>
        <w:t xml:space="preserve"> inoltre</w:t>
      </w:r>
      <w:r w:rsidR="00215F01" w:rsidRPr="004A689C">
        <w:rPr>
          <w:rFonts w:ascii="Times New Roman" w:hAnsi="Times New Roman"/>
          <w:szCs w:val="28"/>
        </w:rPr>
        <w:t>,</w:t>
      </w:r>
      <w:r w:rsidRPr="004A689C">
        <w:rPr>
          <w:rFonts w:ascii="Times New Roman" w:hAnsi="Times New Roman"/>
          <w:szCs w:val="28"/>
        </w:rPr>
        <w:t xml:space="preserve"> di descrivere in maniera accurata nei predetti provvedimenti i presupposti che concretano le “</w:t>
      </w:r>
      <w:r w:rsidRPr="004A689C">
        <w:rPr>
          <w:rFonts w:ascii="Times New Roman" w:hAnsi="Times New Roman"/>
          <w:i/>
          <w:szCs w:val="28"/>
        </w:rPr>
        <w:t>ragioni di estrema urgenza derivanti dagli effetti negativi della crisi causata dalla pandemia da COVID-19 o dal periodo di sospensione delle attività determinato dalle misure di contenimento adottate per fronteggiare la crisi</w:t>
      </w:r>
      <w:r w:rsidRPr="004A689C">
        <w:rPr>
          <w:rFonts w:ascii="Times New Roman" w:hAnsi="Times New Roman"/>
          <w:szCs w:val="28"/>
        </w:rPr>
        <w:t xml:space="preserve">” che, ai sensi del comma 2 dell’art. 3 citato, legittimano l’Amministrazione a far ricorso alla </w:t>
      </w:r>
      <w:r w:rsidRPr="004A689C">
        <w:rPr>
          <w:rFonts w:ascii="Times New Roman" w:hAnsi="Times New Roman"/>
          <w:b/>
          <w:szCs w:val="28"/>
        </w:rPr>
        <w:t>procedura negoziata di cui all'art. 63</w:t>
      </w:r>
      <w:r w:rsidRPr="004A689C">
        <w:rPr>
          <w:rFonts w:ascii="Times New Roman" w:hAnsi="Times New Roman"/>
          <w:szCs w:val="28"/>
        </w:rPr>
        <w:t xml:space="preserve"> del </w:t>
      </w:r>
      <w:r w:rsidR="002C5A72" w:rsidRPr="004A689C">
        <w:rPr>
          <w:rFonts w:ascii="Times New Roman" w:hAnsi="Times New Roman"/>
          <w:szCs w:val="28"/>
        </w:rPr>
        <w:t>D.L</w:t>
      </w:r>
      <w:r w:rsidR="00D17658" w:rsidRPr="004A689C">
        <w:rPr>
          <w:rFonts w:ascii="Times New Roman" w:hAnsi="Times New Roman"/>
          <w:szCs w:val="28"/>
        </w:rPr>
        <w:t>gs</w:t>
      </w:r>
      <w:r w:rsidR="002C5A72" w:rsidRPr="004A689C">
        <w:rPr>
          <w:rFonts w:ascii="Times New Roman" w:hAnsi="Times New Roman"/>
          <w:szCs w:val="28"/>
        </w:rPr>
        <w:t xml:space="preserve">. </w:t>
      </w:r>
      <w:r w:rsidRPr="004A689C">
        <w:rPr>
          <w:rFonts w:ascii="Times New Roman" w:hAnsi="Times New Roman"/>
          <w:szCs w:val="28"/>
        </w:rPr>
        <w:t>n. 50</w:t>
      </w:r>
      <w:r w:rsidR="00D17658" w:rsidRPr="004A689C">
        <w:rPr>
          <w:rFonts w:ascii="Times New Roman" w:hAnsi="Times New Roman"/>
          <w:szCs w:val="28"/>
        </w:rPr>
        <w:t>/</w:t>
      </w:r>
      <w:r w:rsidRPr="004A689C">
        <w:rPr>
          <w:rFonts w:ascii="Times New Roman" w:hAnsi="Times New Roman"/>
          <w:szCs w:val="28"/>
        </w:rPr>
        <w:t>2016</w:t>
      </w:r>
      <w:r w:rsidR="00215F01" w:rsidRPr="004A689C">
        <w:rPr>
          <w:rFonts w:ascii="Times New Roman" w:hAnsi="Times New Roman"/>
          <w:szCs w:val="28"/>
        </w:rPr>
        <w:t>,</w:t>
      </w:r>
      <w:r w:rsidRPr="004A689C">
        <w:rPr>
          <w:rFonts w:ascii="Times New Roman" w:hAnsi="Times New Roman"/>
          <w:szCs w:val="28"/>
        </w:rPr>
        <w:t xml:space="preserve"> quando i termini, anche abbreviati, previsti dalle procedure ordinarie</w:t>
      </w:r>
      <w:r w:rsidR="00215F01" w:rsidRPr="004A689C">
        <w:rPr>
          <w:rFonts w:ascii="Times New Roman" w:hAnsi="Times New Roman"/>
          <w:szCs w:val="28"/>
        </w:rPr>
        <w:t>,</w:t>
      </w:r>
      <w:r w:rsidRPr="004A689C">
        <w:rPr>
          <w:rFonts w:ascii="Times New Roman" w:hAnsi="Times New Roman"/>
          <w:szCs w:val="28"/>
        </w:rPr>
        <w:t xml:space="preserve"> non possono essere rispettati. Si evidenzia che il ricorso a tale procedura al di là dei presupposti ordinari può avvenire solo in caso di “</w:t>
      </w:r>
      <w:r w:rsidRPr="004A689C">
        <w:rPr>
          <w:rFonts w:ascii="Times New Roman" w:hAnsi="Times New Roman"/>
          <w:i/>
          <w:szCs w:val="28"/>
        </w:rPr>
        <w:t>estrema urgenza</w:t>
      </w:r>
      <w:r w:rsidRPr="004A689C">
        <w:rPr>
          <w:rFonts w:ascii="Times New Roman" w:hAnsi="Times New Roman"/>
          <w:szCs w:val="28"/>
        </w:rPr>
        <w:t xml:space="preserve">” e, pertanto, ha carattere eccezionale. </w:t>
      </w:r>
    </w:p>
    <w:p w:rsidR="00233CF7" w:rsidRPr="004A689C" w:rsidRDefault="004B0A96" w:rsidP="00233CF7">
      <w:pPr>
        <w:rPr>
          <w:rFonts w:ascii="Times New Roman" w:hAnsi="Times New Roman"/>
          <w:szCs w:val="28"/>
        </w:rPr>
      </w:pPr>
      <w:r>
        <w:rPr>
          <w:rFonts w:ascii="Times New Roman" w:hAnsi="Times New Roman"/>
          <w:szCs w:val="28"/>
        </w:rPr>
        <w:t>P</w:t>
      </w:r>
      <w:r w:rsidR="00233CF7" w:rsidRPr="004A689C">
        <w:rPr>
          <w:rFonts w:ascii="Times New Roman" w:hAnsi="Times New Roman"/>
          <w:szCs w:val="28"/>
        </w:rPr>
        <w:t>er questi specifici casi e per quelli indicati espressamente nel comma 4 del predetto art. 2, la nuova normativa prevede una misura di semplificazione straordinaria stabilendo che le stazioni appaltanti “</w:t>
      </w:r>
      <w:r w:rsidR="00233CF7" w:rsidRPr="004A689C">
        <w:rPr>
          <w:rFonts w:ascii="Times New Roman" w:hAnsi="Times New Roman"/>
          <w:i/>
          <w:szCs w:val="28"/>
        </w:rPr>
        <w:t xml:space="preserve">operano </w:t>
      </w:r>
      <w:r w:rsidR="00233CF7" w:rsidRPr="004A689C">
        <w:rPr>
          <w:rFonts w:ascii="Times New Roman" w:hAnsi="Times New Roman"/>
          <w:b/>
          <w:i/>
          <w:szCs w:val="28"/>
        </w:rPr>
        <w:t>in deroga ad ogni disposizione</w:t>
      </w:r>
      <w:r w:rsidR="00233CF7" w:rsidRPr="004A689C">
        <w:rPr>
          <w:rFonts w:ascii="Times New Roman" w:hAnsi="Times New Roman"/>
          <w:i/>
          <w:szCs w:val="28"/>
        </w:rPr>
        <w:t xml:space="preserve"> di legge diversa da quella penale, fatto salvo il rispetto delle disposizioni del codice delle leggi antimafia e delle misure di prevenzione, di cui al </w:t>
      </w:r>
      <w:r w:rsidR="002C5A72" w:rsidRPr="004A689C">
        <w:rPr>
          <w:rFonts w:ascii="Times New Roman" w:hAnsi="Times New Roman"/>
          <w:i/>
          <w:szCs w:val="28"/>
        </w:rPr>
        <w:t>D.Lgs.</w:t>
      </w:r>
      <w:r w:rsidR="00233CF7" w:rsidRPr="004A689C">
        <w:rPr>
          <w:rFonts w:ascii="Times New Roman" w:hAnsi="Times New Roman"/>
          <w:i/>
          <w:szCs w:val="28"/>
        </w:rPr>
        <w:t xml:space="preserve"> 6 settembre 2011, n. 159, nonché dei vincoli inderogabili derivanti dall'appartenenza all'Unione europea, ivi inclusi quelli derivanti dalle direttive 2014/24/UE e 2014/25/UE, dei principi di cui agli articoli 30, 34 e 42 del </w:t>
      </w:r>
      <w:r w:rsidR="002C5A72" w:rsidRPr="004A689C">
        <w:rPr>
          <w:rFonts w:ascii="Times New Roman" w:hAnsi="Times New Roman"/>
          <w:i/>
          <w:szCs w:val="28"/>
        </w:rPr>
        <w:t>D.Lgs.</w:t>
      </w:r>
      <w:r w:rsidR="00D17658" w:rsidRPr="004A689C">
        <w:rPr>
          <w:rFonts w:ascii="Times New Roman" w:hAnsi="Times New Roman"/>
          <w:i/>
          <w:szCs w:val="28"/>
        </w:rPr>
        <w:t xml:space="preserve"> </w:t>
      </w:r>
      <w:r w:rsidR="00233CF7" w:rsidRPr="004A689C">
        <w:rPr>
          <w:rFonts w:ascii="Times New Roman" w:hAnsi="Times New Roman"/>
          <w:i/>
          <w:szCs w:val="28"/>
        </w:rPr>
        <w:t>18 aprile 2016, n. 50 e delle disposizioni in materia di subappalto</w:t>
      </w:r>
      <w:r w:rsidR="00233CF7" w:rsidRPr="004A689C">
        <w:rPr>
          <w:rFonts w:ascii="Times New Roman" w:hAnsi="Times New Roman"/>
          <w:szCs w:val="28"/>
        </w:rPr>
        <w:t>.” La portata della deroga è talmente ampia da richiedere una eccezionale attenzione da parte dell’Amministrazione per le eventuali responsabilità</w:t>
      </w:r>
      <w:r w:rsidR="00215F01" w:rsidRPr="004A689C">
        <w:rPr>
          <w:rFonts w:ascii="Times New Roman" w:hAnsi="Times New Roman"/>
          <w:szCs w:val="28"/>
        </w:rPr>
        <w:t>,</w:t>
      </w:r>
      <w:r w:rsidR="00233CF7" w:rsidRPr="004A689C">
        <w:rPr>
          <w:rFonts w:ascii="Times New Roman" w:hAnsi="Times New Roman"/>
          <w:szCs w:val="28"/>
        </w:rPr>
        <w:t xml:space="preserve"> in cui il responsabile unico del procedimento e l’Amministrazione stessa possono incorrere e per il pregiudizio che ne può derivare in capo all’Amministrazione da azioni incaute. </w:t>
      </w:r>
    </w:p>
    <w:p w:rsidR="00D17658" w:rsidRPr="004A689C" w:rsidRDefault="00233CF7" w:rsidP="00233CF7">
      <w:pPr>
        <w:rPr>
          <w:rFonts w:ascii="Times New Roman" w:hAnsi="Times New Roman"/>
          <w:szCs w:val="28"/>
        </w:rPr>
      </w:pPr>
      <w:r w:rsidRPr="004A689C">
        <w:rPr>
          <w:rFonts w:ascii="Times New Roman" w:hAnsi="Times New Roman"/>
          <w:szCs w:val="28"/>
        </w:rPr>
        <w:t>Vista la portata delle deroghe legislative, le Strutture che procedono con gli affidamenti</w:t>
      </w:r>
      <w:r w:rsidR="00215F01" w:rsidRPr="004A689C">
        <w:rPr>
          <w:rFonts w:ascii="Times New Roman" w:hAnsi="Times New Roman"/>
          <w:szCs w:val="28"/>
        </w:rPr>
        <w:t>,</w:t>
      </w:r>
      <w:r w:rsidRPr="004A689C">
        <w:rPr>
          <w:rFonts w:ascii="Times New Roman" w:hAnsi="Times New Roman"/>
          <w:szCs w:val="28"/>
        </w:rPr>
        <w:t xml:space="preserve"> devono curare gli adempimenti di trasparenza con la massima attenzione. Al riguardo, il comma 6 del citato art. 2 stabilisce che “</w:t>
      </w:r>
      <w:r w:rsidRPr="004A689C">
        <w:rPr>
          <w:rFonts w:ascii="Times New Roman" w:hAnsi="Times New Roman"/>
          <w:i/>
          <w:szCs w:val="28"/>
        </w:rPr>
        <w:t xml:space="preserve">Gli atti delle stazioni appaltanti adottati ai sensi del presente articolo sono pubblicati e aggiornati nei rispettivi siti internet istituzionali, nella sezione «Amministrazione trasparente» e sono soggetti alla disciplina di cui al decreto legislativo 14 marzo 2013, n. 33. Nella medesima sezione, e sempre ai sensi e per gli effetti del predetto </w:t>
      </w:r>
      <w:r w:rsidR="002C5A72" w:rsidRPr="004A689C">
        <w:rPr>
          <w:rFonts w:ascii="Times New Roman" w:hAnsi="Times New Roman"/>
          <w:i/>
          <w:szCs w:val="28"/>
        </w:rPr>
        <w:t>D.Lgs.</w:t>
      </w:r>
      <w:r w:rsidRPr="004A689C">
        <w:rPr>
          <w:rFonts w:ascii="Times New Roman" w:hAnsi="Times New Roman"/>
          <w:i/>
          <w:szCs w:val="28"/>
        </w:rPr>
        <w:t xml:space="preserve"> n. 33 del 2013, sono altresì pubblicati gli ulteriori atti indicati all'articolo 29, comma 1, del </w:t>
      </w:r>
      <w:r w:rsidR="002C5A72" w:rsidRPr="004A689C">
        <w:rPr>
          <w:rFonts w:ascii="Times New Roman" w:hAnsi="Times New Roman"/>
          <w:i/>
          <w:szCs w:val="28"/>
        </w:rPr>
        <w:t>D.Lgs.</w:t>
      </w:r>
      <w:r w:rsidRPr="004A689C">
        <w:rPr>
          <w:rFonts w:ascii="Times New Roman" w:hAnsi="Times New Roman"/>
          <w:i/>
          <w:szCs w:val="28"/>
        </w:rPr>
        <w:t xml:space="preserve"> n. 50 del 2016</w:t>
      </w:r>
      <w:r w:rsidRPr="004A689C">
        <w:rPr>
          <w:rFonts w:ascii="Times New Roman" w:hAnsi="Times New Roman"/>
          <w:szCs w:val="28"/>
        </w:rPr>
        <w:t xml:space="preserve">.”. </w:t>
      </w:r>
    </w:p>
    <w:p w:rsidR="00262C55" w:rsidRPr="004A689C" w:rsidRDefault="00262C55" w:rsidP="00233CF7">
      <w:pPr>
        <w:rPr>
          <w:rFonts w:ascii="Times New Roman" w:hAnsi="Times New Roman"/>
          <w:szCs w:val="28"/>
          <w:u w:val="single"/>
        </w:rPr>
      </w:pPr>
    </w:p>
    <w:p w:rsidR="00233CF7" w:rsidRPr="004A689C" w:rsidRDefault="00233CF7" w:rsidP="00FC513C">
      <w:pPr>
        <w:ind w:firstLine="0"/>
        <w:rPr>
          <w:rFonts w:ascii="Times New Roman" w:hAnsi="Times New Roman"/>
          <w:szCs w:val="28"/>
          <w:u w:val="single"/>
        </w:rPr>
      </w:pPr>
      <w:r w:rsidRPr="004A689C">
        <w:rPr>
          <w:rFonts w:ascii="Times New Roman" w:hAnsi="Times New Roman"/>
          <w:szCs w:val="28"/>
          <w:u w:val="single"/>
        </w:rPr>
        <w:t>Contratti secretati</w:t>
      </w:r>
    </w:p>
    <w:p w:rsidR="00233CF7" w:rsidRPr="004A689C" w:rsidRDefault="00233CF7" w:rsidP="00233CF7">
      <w:pPr>
        <w:rPr>
          <w:rFonts w:ascii="Times New Roman" w:hAnsi="Times New Roman"/>
          <w:szCs w:val="28"/>
        </w:rPr>
      </w:pPr>
      <w:r w:rsidRPr="004A689C">
        <w:rPr>
          <w:rFonts w:ascii="Times New Roman" w:hAnsi="Times New Roman"/>
          <w:szCs w:val="28"/>
        </w:rPr>
        <w:t>Come previsto dal comma 6 dell’art. 2 del decreto semplificazioni “</w:t>
      </w:r>
      <w:r w:rsidRPr="004A689C">
        <w:rPr>
          <w:rFonts w:ascii="Times New Roman" w:hAnsi="Times New Roman"/>
          <w:i/>
          <w:szCs w:val="28"/>
        </w:rPr>
        <w:t xml:space="preserve">Il ricorso ai contratti secretati di cui all'articolo 162 del </w:t>
      </w:r>
      <w:r w:rsidR="002C5A72" w:rsidRPr="004A689C">
        <w:rPr>
          <w:rFonts w:ascii="Times New Roman" w:hAnsi="Times New Roman"/>
          <w:i/>
          <w:szCs w:val="28"/>
        </w:rPr>
        <w:t>D.Lgs.</w:t>
      </w:r>
      <w:r w:rsidRPr="004A689C">
        <w:rPr>
          <w:rFonts w:ascii="Times New Roman" w:hAnsi="Times New Roman"/>
          <w:i/>
          <w:szCs w:val="28"/>
        </w:rPr>
        <w:t xml:space="preserve"> n. 50 del 2016 è limitato ai casi di stretta necessità e richiede una specifica motivazione</w:t>
      </w:r>
      <w:r w:rsidRPr="004A689C">
        <w:rPr>
          <w:rFonts w:ascii="Times New Roman" w:hAnsi="Times New Roman"/>
          <w:szCs w:val="28"/>
        </w:rPr>
        <w:t xml:space="preserve">.”. </w:t>
      </w:r>
    </w:p>
    <w:p w:rsidR="00D17658" w:rsidRPr="004A689C" w:rsidRDefault="00D17658" w:rsidP="00233CF7">
      <w:pPr>
        <w:rPr>
          <w:rFonts w:ascii="Times New Roman" w:hAnsi="Times New Roman"/>
          <w:szCs w:val="28"/>
          <w:u w:val="single"/>
        </w:rPr>
      </w:pPr>
    </w:p>
    <w:p w:rsidR="00233CF7" w:rsidRPr="004A689C" w:rsidRDefault="00233CF7" w:rsidP="00FC513C">
      <w:pPr>
        <w:ind w:firstLine="0"/>
        <w:rPr>
          <w:rFonts w:ascii="Times New Roman" w:hAnsi="Times New Roman"/>
          <w:szCs w:val="28"/>
          <w:u w:val="single"/>
        </w:rPr>
      </w:pPr>
      <w:r w:rsidRPr="004A689C">
        <w:rPr>
          <w:rFonts w:ascii="Times New Roman" w:hAnsi="Times New Roman"/>
          <w:szCs w:val="28"/>
          <w:u w:val="single"/>
        </w:rPr>
        <w:t xml:space="preserve">Proroga dei contratti stipulati </w:t>
      </w:r>
      <w:bookmarkStart w:id="52" w:name="_Hlk63794076"/>
      <w:r w:rsidRPr="004A689C">
        <w:rPr>
          <w:rFonts w:ascii="Times New Roman" w:hAnsi="Times New Roman"/>
          <w:szCs w:val="28"/>
          <w:u w:val="single"/>
        </w:rPr>
        <w:t xml:space="preserve">dal </w:t>
      </w:r>
      <w:r w:rsidR="002C5A72" w:rsidRPr="004A689C">
        <w:rPr>
          <w:rFonts w:ascii="Times New Roman" w:hAnsi="Times New Roman"/>
          <w:szCs w:val="28"/>
          <w:u w:val="single"/>
        </w:rPr>
        <w:t>D.P.C.</w:t>
      </w:r>
      <w:r w:rsidRPr="004A689C">
        <w:rPr>
          <w:rFonts w:ascii="Times New Roman" w:hAnsi="Times New Roman"/>
          <w:szCs w:val="28"/>
          <w:u w:val="single"/>
        </w:rPr>
        <w:t xml:space="preserve"> </w:t>
      </w:r>
      <w:bookmarkEnd w:id="52"/>
    </w:p>
    <w:p w:rsidR="00233CF7" w:rsidRDefault="00233CF7" w:rsidP="00233CF7">
      <w:pPr>
        <w:rPr>
          <w:rFonts w:ascii="Times New Roman" w:hAnsi="Times New Roman"/>
          <w:szCs w:val="28"/>
        </w:rPr>
      </w:pPr>
      <w:r w:rsidRPr="004A689C">
        <w:rPr>
          <w:rFonts w:ascii="Times New Roman" w:hAnsi="Times New Roman"/>
          <w:szCs w:val="28"/>
        </w:rPr>
        <w:t xml:space="preserve">Si richiama l’attenzione sulla condizione prevista dall’ordinanza del Capo del </w:t>
      </w:r>
      <w:r w:rsidR="002C5A72" w:rsidRPr="004A689C">
        <w:rPr>
          <w:rFonts w:ascii="Times New Roman" w:hAnsi="Times New Roman"/>
          <w:szCs w:val="28"/>
        </w:rPr>
        <w:t>D.P.C.</w:t>
      </w:r>
      <w:r w:rsidRPr="004A689C">
        <w:rPr>
          <w:rFonts w:ascii="Times New Roman" w:hAnsi="Times New Roman"/>
          <w:szCs w:val="28"/>
        </w:rPr>
        <w:t xml:space="preserve"> </w:t>
      </w:r>
      <w:r w:rsidR="002E0732" w:rsidRPr="004A689C">
        <w:rPr>
          <w:rFonts w:ascii="Times New Roman" w:hAnsi="Times New Roman"/>
          <w:i/>
          <w:szCs w:val="28"/>
        </w:rPr>
        <w:t>pro-tempore</w:t>
      </w:r>
      <w:r w:rsidR="002E0732" w:rsidRPr="004A689C">
        <w:rPr>
          <w:rFonts w:ascii="Times New Roman" w:hAnsi="Times New Roman"/>
          <w:szCs w:val="28"/>
        </w:rPr>
        <w:t xml:space="preserve"> </w:t>
      </w:r>
      <w:r w:rsidRPr="004A689C">
        <w:rPr>
          <w:rFonts w:ascii="Times New Roman" w:hAnsi="Times New Roman"/>
          <w:szCs w:val="28"/>
        </w:rPr>
        <w:t xml:space="preserve">1° aprile 2020, n. 659, pubblicata nella Gazzetta ufficiale, Serie generale, n. 90 del 4 aprile 2020, affinché possano essere </w:t>
      </w:r>
      <w:r w:rsidRPr="004A689C">
        <w:rPr>
          <w:rFonts w:ascii="Times New Roman" w:hAnsi="Times New Roman"/>
          <w:b/>
          <w:szCs w:val="28"/>
        </w:rPr>
        <w:t>prorogati di sei mesi</w:t>
      </w:r>
      <w:r w:rsidRPr="004A689C">
        <w:rPr>
          <w:rFonts w:ascii="Times New Roman" w:hAnsi="Times New Roman"/>
          <w:szCs w:val="28"/>
        </w:rPr>
        <w:t xml:space="preserve"> i contratti di acquisizione di beni e servizi stipulati dal </w:t>
      </w:r>
      <w:r w:rsidR="002C5A72" w:rsidRPr="004A689C">
        <w:rPr>
          <w:rFonts w:ascii="Times New Roman" w:hAnsi="Times New Roman"/>
          <w:szCs w:val="28"/>
        </w:rPr>
        <w:t>D.P.C.</w:t>
      </w:r>
      <w:r w:rsidRPr="004A689C">
        <w:rPr>
          <w:rFonts w:ascii="Times New Roman" w:hAnsi="Times New Roman"/>
          <w:szCs w:val="28"/>
        </w:rPr>
        <w:t xml:space="preserve"> in scadenza entro la data di cessazione dello stato di emergenza, in deroga all'art. 106 del Codice dei contratti, condizione che richiede la ricorrenza degli “</w:t>
      </w:r>
      <w:r w:rsidRPr="004A689C">
        <w:rPr>
          <w:rFonts w:ascii="Times New Roman" w:hAnsi="Times New Roman"/>
          <w:i/>
          <w:szCs w:val="28"/>
        </w:rPr>
        <w:t>stessi prezzi, patti e condizioni o più favorevoli per la stazione appaltante</w:t>
      </w:r>
      <w:r w:rsidRPr="004A689C">
        <w:rPr>
          <w:rFonts w:ascii="Times New Roman" w:hAnsi="Times New Roman"/>
          <w:szCs w:val="28"/>
        </w:rPr>
        <w:t>”.</w:t>
      </w:r>
    </w:p>
    <w:p w:rsidR="00B40BD4" w:rsidRDefault="00B40BD4" w:rsidP="00233CF7">
      <w:pPr>
        <w:rPr>
          <w:rFonts w:ascii="Times New Roman" w:hAnsi="Times New Roman"/>
          <w:szCs w:val="28"/>
        </w:rPr>
      </w:pPr>
    </w:p>
    <w:p w:rsidR="00B40BD4" w:rsidRPr="00C3372F" w:rsidRDefault="00B40BD4" w:rsidP="00B40BD4">
      <w:pPr>
        <w:ind w:firstLine="0"/>
        <w:rPr>
          <w:rFonts w:ascii="Times New Roman" w:hAnsi="Times New Roman"/>
          <w:szCs w:val="28"/>
          <w:u w:val="single"/>
        </w:rPr>
      </w:pPr>
      <w:r w:rsidRPr="00C3372F">
        <w:rPr>
          <w:rFonts w:ascii="Times New Roman" w:hAnsi="Times New Roman"/>
          <w:szCs w:val="28"/>
          <w:u w:val="single"/>
        </w:rPr>
        <w:t>Controlli di qualità in fase di esecuzione</w:t>
      </w:r>
    </w:p>
    <w:p w:rsidR="00B40BD4" w:rsidRPr="00B40BD4" w:rsidRDefault="00B40BD4" w:rsidP="00B40BD4">
      <w:pPr>
        <w:rPr>
          <w:rFonts w:ascii="Times New Roman" w:hAnsi="Times New Roman"/>
          <w:szCs w:val="28"/>
        </w:rPr>
      </w:pPr>
      <w:r w:rsidRPr="00C3372F">
        <w:rPr>
          <w:rFonts w:ascii="Times New Roman" w:hAnsi="Times New Roman"/>
          <w:szCs w:val="28"/>
        </w:rPr>
        <w:t>Entro il 30 novembre 2020, il D.S.S. e le altre Strutture committenti, effettuano un controllo del livello di qualità in fase di esecuzione dei contratti secondo i criteri e le tipologie di servizi e beni preventivamente individuati.</w:t>
      </w:r>
    </w:p>
    <w:p w:rsidR="009B7770" w:rsidRPr="004A689C" w:rsidRDefault="009B7770" w:rsidP="00233CF7">
      <w:pPr>
        <w:rPr>
          <w:rFonts w:ascii="Times New Roman" w:hAnsi="Times New Roman"/>
          <w:szCs w:val="28"/>
        </w:rPr>
      </w:pPr>
    </w:p>
    <w:p w:rsidR="009B7770" w:rsidRPr="004A689C" w:rsidRDefault="009B7770" w:rsidP="00FC513C">
      <w:pPr>
        <w:ind w:firstLine="0"/>
        <w:rPr>
          <w:rFonts w:ascii="Times New Roman" w:hAnsi="Times New Roman"/>
          <w:szCs w:val="28"/>
          <w:u w:val="single"/>
        </w:rPr>
      </w:pPr>
      <w:r w:rsidRPr="004A689C">
        <w:rPr>
          <w:rFonts w:ascii="Times New Roman" w:hAnsi="Times New Roman"/>
          <w:szCs w:val="28"/>
          <w:u w:val="single"/>
        </w:rPr>
        <w:t>Monitoraggio sull’applicazione della disciplina relativa agli affidamenti pubblici</w:t>
      </w:r>
    </w:p>
    <w:p w:rsidR="00CF394A" w:rsidRPr="004A689C" w:rsidRDefault="009B7770" w:rsidP="00233CF7">
      <w:pPr>
        <w:rPr>
          <w:rFonts w:ascii="Times New Roman" w:hAnsi="Times New Roman"/>
          <w:szCs w:val="28"/>
        </w:rPr>
      </w:pPr>
      <w:r w:rsidRPr="004A689C">
        <w:rPr>
          <w:rFonts w:ascii="Times New Roman" w:hAnsi="Times New Roman"/>
          <w:szCs w:val="28"/>
        </w:rPr>
        <w:t xml:space="preserve">Considerata la novità della disciplina introdotta nell’ambito degli interventi emergenziali, una particolare attenzione sarà dedicata al monitoraggio sull’applicazione del regime derogatorio e semplificatorio. </w:t>
      </w:r>
    </w:p>
    <w:p w:rsidR="009B7770" w:rsidRPr="004A689C" w:rsidRDefault="00CF394A" w:rsidP="00233CF7">
      <w:pPr>
        <w:rPr>
          <w:rFonts w:ascii="Times New Roman" w:hAnsi="Times New Roman"/>
          <w:szCs w:val="28"/>
        </w:rPr>
      </w:pPr>
      <w:r w:rsidRPr="004A689C">
        <w:rPr>
          <w:rFonts w:ascii="Times New Roman" w:hAnsi="Times New Roman"/>
          <w:szCs w:val="28"/>
        </w:rPr>
        <w:t xml:space="preserve">In particolare, al fine di raccogliere informazioni aggregate sull’andamento degli affidamenti in P.C.M. e di intervenire eventualmente con apposite misure, i Capi delle Strutture dovranno fornire dati e informazioni specifiche e dettagliate in ordine alle procedure espletate e alle commesse affidate (tra cui l’applicazione della rotazione, il rispetto dei tempi di conclusione dei procedimenti e di stipula dei contratti, la motivazione dell’urgenza, la proroga dei contratti limitata ai casi in cui sia legalmente consentita) nell’ambito del </w:t>
      </w:r>
      <w:r w:rsidRPr="00E23F46">
        <w:rPr>
          <w:rFonts w:ascii="Times New Roman" w:hAnsi="Times New Roman"/>
          <w:i/>
          <w:szCs w:val="28"/>
        </w:rPr>
        <w:t xml:space="preserve">Report </w:t>
      </w:r>
      <w:r w:rsidRPr="004A689C">
        <w:rPr>
          <w:rFonts w:ascii="Times New Roman" w:hAnsi="Times New Roman"/>
          <w:szCs w:val="28"/>
        </w:rPr>
        <w:t xml:space="preserve">sull’applicazione delle misure da presentare al R.P.C.T. entro il 30 novembre. </w:t>
      </w:r>
    </w:p>
    <w:p w:rsidR="00680C97" w:rsidRPr="00B17FF0" w:rsidRDefault="00680C97" w:rsidP="00B17FF0">
      <w:pPr>
        <w:pStyle w:val="Titolo2"/>
        <w:rPr>
          <w:rFonts w:ascii="Times New Roman" w:hAnsi="Times New Roman"/>
        </w:rPr>
      </w:pPr>
      <w:bookmarkStart w:id="53" w:name="_Toc66721230"/>
      <w:r w:rsidRPr="00B17FF0">
        <w:rPr>
          <w:rFonts w:ascii="Times New Roman" w:hAnsi="Times New Roman"/>
        </w:rPr>
        <w:t>Misure per le procedure di reclutamento del personale</w:t>
      </w:r>
      <w:bookmarkEnd w:id="53"/>
    </w:p>
    <w:p w:rsidR="00680C97" w:rsidRPr="004A689C" w:rsidRDefault="00274CE4" w:rsidP="00680C97">
      <w:pPr>
        <w:rPr>
          <w:rFonts w:ascii="Times New Roman" w:hAnsi="Times New Roman"/>
          <w:szCs w:val="28"/>
        </w:rPr>
      </w:pPr>
      <w:r w:rsidRPr="004A689C">
        <w:rPr>
          <w:rFonts w:ascii="Times New Roman" w:hAnsi="Times New Roman"/>
          <w:szCs w:val="28"/>
        </w:rPr>
        <w:t xml:space="preserve">Tutte le Strutture debbono osservare le norme vigenti in materia di reclutamento del personale. Si richiamano in proposito innanzitutto i contenuti degli artt. 35, 35 </w:t>
      </w:r>
      <w:r w:rsidRPr="00A07CE0">
        <w:rPr>
          <w:rFonts w:ascii="Times New Roman" w:hAnsi="Times New Roman"/>
          <w:i/>
          <w:szCs w:val="28"/>
        </w:rPr>
        <w:t>bis</w:t>
      </w:r>
      <w:r w:rsidRPr="004A689C">
        <w:rPr>
          <w:rFonts w:ascii="Times New Roman" w:hAnsi="Times New Roman"/>
          <w:szCs w:val="28"/>
        </w:rPr>
        <w:t xml:space="preserve"> e 36 del D.Lgs. n. 165</w:t>
      </w:r>
      <w:r w:rsidR="00446CB2" w:rsidRPr="004A689C">
        <w:rPr>
          <w:rFonts w:ascii="Times New Roman" w:hAnsi="Times New Roman"/>
          <w:szCs w:val="28"/>
        </w:rPr>
        <w:t>/</w:t>
      </w:r>
      <w:r w:rsidRPr="004A689C">
        <w:rPr>
          <w:rFonts w:ascii="Times New Roman" w:hAnsi="Times New Roman"/>
          <w:szCs w:val="28"/>
        </w:rPr>
        <w:t>2001, il D.P.R. 9 maggio 1994, n. 487, contenente “</w:t>
      </w:r>
      <w:r w:rsidRPr="004A689C">
        <w:rPr>
          <w:rFonts w:ascii="Times New Roman" w:hAnsi="Times New Roman"/>
          <w:i/>
          <w:szCs w:val="28"/>
        </w:rPr>
        <w:t>Regolamento recante norme sull’accesso agli impieghi nelle pubbliche amministrazioni e le modalità di svolgimento dei concorsi, dei concorsi unici e delle altre forme di assunzione nei pubblici impieghi</w:t>
      </w:r>
      <w:r w:rsidRPr="004A689C">
        <w:rPr>
          <w:rFonts w:ascii="Times New Roman" w:hAnsi="Times New Roman"/>
          <w:szCs w:val="28"/>
        </w:rPr>
        <w:t>”, nonché la Direttiva n.</w:t>
      </w:r>
      <w:r w:rsidR="002E0732" w:rsidRPr="004A689C">
        <w:rPr>
          <w:rFonts w:ascii="Times New Roman" w:hAnsi="Times New Roman"/>
          <w:szCs w:val="28"/>
        </w:rPr>
        <w:t xml:space="preserve"> </w:t>
      </w:r>
      <w:r w:rsidRPr="004A689C">
        <w:rPr>
          <w:rFonts w:ascii="Times New Roman" w:hAnsi="Times New Roman"/>
          <w:szCs w:val="28"/>
        </w:rPr>
        <w:t>3 del 24 aprile 2018 del Ministro per la semplificazione e la pubblica amministrazione, recante “</w:t>
      </w:r>
      <w:r w:rsidRPr="004A689C">
        <w:rPr>
          <w:rFonts w:ascii="Times New Roman" w:hAnsi="Times New Roman"/>
          <w:i/>
          <w:szCs w:val="28"/>
        </w:rPr>
        <w:t>Linee guida sulle procedure concorsuali</w:t>
      </w:r>
      <w:r w:rsidRPr="004A689C">
        <w:rPr>
          <w:rFonts w:ascii="Times New Roman" w:hAnsi="Times New Roman"/>
          <w:szCs w:val="28"/>
        </w:rPr>
        <w:t xml:space="preserve">”. Nell’ambito dei controlli sugli obblighi di pubblicazione </w:t>
      </w:r>
      <w:r w:rsidR="00A07CE0">
        <w:rPr>
          <w:rFonts w:ascii="Times New Roman" w:hAnsi="Times New Roman"/>
          <w:szCs w:val="28"/>
        </w:rPr>
        <w:t>previsti ne</w:t>
      </w:r>
      <w:r w:rsidRPr="004A689C">
        <w:rPr>
          <w:rFonts w:ascii="Times New Roman" w:hAnsi="Times New Roman"/>
          <w:szCs w:val="28"/>
        </w:rPr>
        <w:t xml:space="preserve">lla Sezione trasparenza, un particolare </w:t>
      </w:r>
      <w:r w:rsidRPr="004A689C">
        <w:rPr>
          <w:rFonts w:ascii="Times New Roman" w:hAnsi="Times New Roman"/>
          <w:i/>
          <w:szCs w:val="28"/>
        </w:rPr>
        <w:t>focus</w:t>
      </w:r>
      <w:r w:rsidRPr="004A689C">
        <w:rPr>
          <w:rFonts w:ascii="Times New Roman" w:hAnsi="Times New Roman"/>
          <w:szCs w:val="28"/>
        </w:rPr>
        <w:t xml:space="preserve"> sarà compiuto sui procedimenti di reclutamento del personale in corso.</w:t>
      </w:r>
    </w:p>
    <w:p w:rsidR="00F26817" w:rsidRPr="00B17FF0" w:rsidRDefault="00E23F46" w:rsidP="00B17FF0">
      <w:pPr>
        <w:pStyle w:val="Titolo2"/>
        <w:rPr>
          <w:rFonts w:ascii="Times New Roman" w:hAnsi="Times New Roman"/>
        </w:rPr>
      </w:pPr>
      <w:bookmarkStart w:id="54" w:name="_Toc66721231"/>
      <w:r w:rsidRPr="00B17FF0">
        <w:rPr>
          <w:rFonts w:ascii="Times New Roman" w:hAnsi="Times New Roman"/>
        </w:rPr>
        <w:t>L</w:t>
      </w:r>
      <w:r w:rsidR="00F26817" w:rsidRPr="00B17FF0">
        <w:rPr>
          <w:rFonts w:ascii="Times New Roman" w:hAnsi="Times New Roman"/>
        </w:rPr>
        <w:t>e misure per la semplificazione</w:t>
      </w:r>
      <w:bookmarkEnd w:id="54"/>
      <w:r w:rsidR="00D07AB2" w:rsidRPr="00B17FF0">
        <w:rPr>
          <w:rFonts w:ascii="Times New Roman" w:hAnsi="Times New Roman"/>
        </w:rPr>
        <w:t xml:space="preserve"> </w:t>
      </w:r>
    </w:p>
    <w:p w:rsidR="0050126E" w:rsidRPr="004A689C" w:rsidRDefault="00F426F4" w:rsidP="0050126E">
      <w:pPr>
        <w:rPr>
          <w:rFonts w:ascii="Times New Roman" w:hAnsi="Times New Roman"/>
          <w:szCs w:val="28"/>
        </w:rPr>
      </w:pPr>
      <w:r w:rsidRPr="004A689C">
        <w:rPr>
          <w:rFonts w:ascii="Times New Roman" w:hAnsi="Times New Roman"/>
          <w:szCs w:val="28"/>
        </w:rPr>
        <w:t>Si fa rinvio a quanto previsto nel par. 2.1.</w:t>
      </w:r>
      <w:r w:rsidR="00A87A05" w:rsidRPr="004A689C">
        <w:rPr>
          <w:rFonts w:ascii="Times New Roman" w:hAnsi="Times New Roman"/>
          <w:szCs w:val="28"/>
        </w:rPr>
        <w:t xml:space="preserve"> </w:t>
      </w:r>
    </w:p>
    <w:p w:rsidR="003030D0" w:rsidRPr="004A689C" w:rsidRDefault="00F426F4" w:rsidP="00E23F46">
      <w:pPr>
        <w:rPr>
          <w:rFonts w:ascii="Times New Roman" w:eastAsia="Calibri" w:hAnsi="Times New Roman"/>
          <w:szCs w:val="28"/>
          <w:lang w:eastAsia="en-US"/>
        </w:rPr>
      </w:pPr>
      <w:r w:rsidRPr="004A689C">
        <w:rPr>
          <w:rFonts w:ascii="Times New Roman" w:eastAsia="Calibri" w:hAnsi="Times New Roman"/>
          <w:szCs w:val="28"/>
          <w:lang w:eastAsia="en-US"/>
        </w:rPr>
        <w:t>S</w:t>
      </w:r>
      <w:r w:rsidR="00C948ED" w:rsidRPr="004A689C">
        <w:rPr>
          <w:rFonts w:ascii="Times New Roman" w:eastAsia="Calibri" w:hAnsi="Times New Roman"/>
          <w:szCs w:val="28"/>
          <w:lang w:eastAsia="en-US"/>
        </w:rPr>
        <w:t xml:space="preserve">i rammenta che </w:t>
      </w:r>
      <w:r w:rsidRPr="004A689C">
        <w:rPr>
          <w:rFonts w:ascii="Times New Roman" w:eastAsia="Calibri" w:hAnsi="Times New Roman"/>
          <w:szCs w:val="28"/>
          <w:lang w:eastAsia="en-US"/>
        </w:rPr>
        <w:t>il D.L. n. 76/2020</w:t>
      </w:r>
      <w:r w:rsidR="00313A86" w:rsidRPr="004A689C">
        <w:rPr>
          <w:rFonts w:ascii="Times New Roman" w:eastAsia="Calibri" w:hAnsi="Times New Roman"/>
          <w:szCs w:val="28"/>
          <w:lang w:eastAsia="en-US"/>
        </w:rPr>
        <w:t>, convertito con modificazioni in L. 11 settembre 2020, n. 120,</w:t>
      </w:r>
      <w:r w:rsidRPr="004A689C">
        <w:rPr>
          <w:rFonts w:ascii="Times New Roman" w:eastAsia="Calibri" w:hAnsi="Times New Roman"/>
          <w:szCs w:val="28"/>
          <w:lang w:eastAsia="en-US"/>
        </w:rPr>
        <w:t xml:space="preserve"> </w:t>
      </w:r>
      <w:r w:rsidR="00C948ED" w:rsidRPr="004A689C">
        <w:rPr>
          <w:rFonts w:ascii="Times New Roman" w:eastAsia="Calibri" w:hAnsi="Times New Roman"/>
          <w:szCs w:val="28"/>
          <w:lang w:eastAsia="en-US"/>
        </w:rPr>
        <w:t>interviene anche in materia di autocertificazione</w:t>
      </w:r>
      <w:r w:rsidRPr="004A689C">
        <w:rPr>
          <w:rFonts w:ascii="Times New Roman" w:eastAsia="Calibri" w:hAnsi="Times New Roman"/>
          <w:szCs w:val="28"/>
          <w:lang w:eastAsia="en-US"/>
        </w:rPr>
        <w:t>,</w:t>
      </w:r>
      <w:r w:rsidR="00C948ED" w:rsidRPr="004A689C">
        <w:rPr>
          <w:rFonts w:ascii="Times New Roman" w:eastAsia="Calibri" w:hAnsi="Times New Roman"/>
          <w:szCs w:val="28"/>
          <w:lang w:eastAsia="en-US"/>
        </w:rPr>
        <w:t xml:space="preserve">  valorizzando l’applicazione di un</w:t>
      </w:r>
      <w:r w:rsidRPr="004A689C">
        <w:rPr>
          <w:rFonts w:ascii="Times New Roman" w:eastAsia="Calibri" w:hAnsi="Times New Roman"/>
          <w:szCs w:val="28"/>
          <w:lang w:eastAsia="en-US"/>
        </w:rPr>
        <w:t xml:space="preserve"> importante </w:t>
      </w:r>
      <w:r w:rsidR="00C948ED" w:rsidRPr="004A689C">
        <w:rPr>
          <w:rFonts w:ascii="Times New Roman" w:eastAsia="Calibri" w:hAnsi="Times New Roman"/>
          <w:szCs w:val="28"/>
          <w:lang w:eastAsia="en-US"/>
        </w:rPr>
        <w:t>strument</w:t>
      </w:r>
      <w:r w:rsidRPr="004A689C">
        <w:rPr>
          <w:rFonts w:ascii="Times New Roman" w:eastAsia="Calibri" w:hAnsi="Times New Roman"/>
          <w:szCs w:val="28"/>
          <w:lang w:eastAsia="en-US"/>
        </w:rPr>
        <w:t xml:space="preserve">o di </w:t>
      </w:r>
      <w:r w:rsidR="00C948ED" w:rsidRPr="004A689C">
        <w:rPr>
          <w:rFonts w:ascii="Times New Roman" w:eastAsia="Calibri" w:hAnsi="Times New Roman"/>
          <w:szCs w:val="28"/>
          <w:lang w:eastAsia="en-US"/>
        </w:rPr>
        <w:t>semplificazione amministrativa con l’introduzione del nuovo comma 3</w:t>
      </w:r>
      <w:r w:rsidRPr="004A689C">
        <w:rPr>
          <w:rFonts w:ascii="Times New Roman" w:eastAsia="Calibri" w:hAnsi="Times New Roman"/>
          <w:szCs w:val="28"/>
          <w:lang w:eastAsia="en-US"/>
        </w:rPr>
        <w:t xml:space="preserve"> </w:t>
      </w:r>
      <w:r w:rsidR="00C948ED" w:rsidRPr="004A689C">
        <w:rPr>
          <w:rFonts w:ascii="Times New Roman" w:eastAsia="Calibri" w:hAnsi="Times New Roman"/>
          <w:i/>
          <w:szCs w:val="28"/>
          <w:lang w:eastAsia="en-US"/>
        </w:rPr>
        <w:t>bis</w:t>
      </w:r>
      <w:r w:rsidR="00313A86" w:rsidRPr="004A689C">
        <w:rPr>
          <w:rFonts w:ascii="Times New Roman" w:eastAsia="Calibri" w:hAnsi="Times New Roman"/>
          <w:i/>
          <w:szCs w:val="28"/>
          <w:lang w:eastAsia="en-US"/>
        </w:rPr>
        <w:t>,</w:t>
      </w:r>
      <w:r w:rsidR="00C948ED" w:rsidRPr="004A689C">
        <w:rPr>
          <w:rFonts w:ascii="Times New Roman" w:eastAsia="Calibri" w:hAnsi="Times New Roman"/>
          <w:szCs w:val="28"/>
          <w:lang w:eastAsia="en-US"/>
        </w:rPr>
        <w:t xml:space="preserve"> </w:t>
      </w:r>
      <w:r w:rsidRPr="004A689C">
        <w:rPr>
          <w:rFonts w:ascii="Times New Roman" w:eastAsia="Calibri" w:hAnsi="Times New Roman"/>
          <w:szCs w:val="28"/>
          <w:lang w:eastAsia="en-US"/>
        </w:rPr>
        <w:t>n</w:t>
      </w:r>
      <w:r w:rsidR="00C948ED" w:rsidRPr="004A689C">
        <w:rPr>
          <w:rFonts w:ascii="Times New Roman" w:eastAsia="Calibri" w:hAnsi="Times New Roman"/>
          <w:szCs w:val="28"/>
          <w:lang w:eastAsia="en-US"/>
        </w:rPr>
        <w:t>ell’art</w:t>
      </w:r>
      <w:r w:rsidRPr="004A689C">
        <w:rPr>
          <w:rFonts w:ascii="Times New Roman" w:eastAsia="Calibri" w:hAnsi="Times New Roman"/>
          <w:szCs w:val="28"/>
          <w:lang w:eastAsia="en-US"/>
        </w:rPr>
        <w:t>.</w:t>
      </w:r>
      <w:r w:rsidR="00C948ED" w:rsidRPr="004A689C">
        <w:rPr>
          <w:rFonts w:ascii="Times New Roman" w:eastAsia="Calibri" w:hAnsi="Times New Roman"/>
          <w:szCs w:val="28"/>
          <w:lang w:eastAsia="en-US"/>
        </w:rPr>
        <w:t xml:space="preserve"> 18 della L</w:t>
      </w:r>
      <w:r w:rsidRPr="004A689C">
        <w:rPr>
          <w:rFonts w:ascii="Times New Roman" w:eastAsia="Calibri" w:hAnsi="Times New Roman"/>
          <w:szCs w:val="28"/>
          <w:lang w:eastAsia="en-US"/>
        </w:rPr>
        <w:t>.</w:t>
      </w:r>
      <w:r w:rsidR="00C948ED" w:rsidRPr="004A689C">
        <w:rPr>
          <w:rFonts w:ascii="Times New Roman" w:eastAsia="Calibri" w:hAnsi="Times New Roman"/>
          <w:szCs w:val="28"/>
          <w:lang w:eastAsia="en-US"/>
        </w:rPr>
        <w:t xml:space="preserve"> n. 241/1990 (art</w:t>
      </w:r>
      <w:r w:rsidRPr="004A689C">
        <w:rPr>
          <w:rFonts w:ascii="Times New Roman" w:eastAsia="Calibri" w:hAnsi="Times New Roman"/>
          <w:szCs w:val="28"/>
          <w:lang w:eastAsia="en-US"/>
        </w:rPr>
        <w:t>.</w:t>
      </w:r>
      <w:r w:rsidR="00C948ED" w:rsidRPr="004A689C">
        <w:rPr>
          <w:rFonts w:ascii="Times New Roman" w:eastAsia="Calibri" w:hAnsi="Times New Roman"/>
          <w:szCs w:val="28"/>
          <w:lang w:eastAsia="en-US"/>
        </w:rPr>
        <w:t xml:space="preserve"> 12</w:t>
      </w:r>
      <w:r w:rsidRPr="004A689C">
        <w:rPr>
          <w:rFonts w:ascii="Times New Roman" w:eastAsia="Calibri" w:hAnsi="Times New Roman"/>
          <w:szCs w:val="28"/>
          <w:lang w:eastAsia="en-US"/>
        </w:rPr>
        <w:t>,</w:t>
      </w:r>
      <w:r w:rsidR="00C948ED" w:rsidRPr="004A689C">
        <w:rPr>
          <w:rFonts w:ascii="Times New Roman" w:eastAsia="Calibri" w:hAnsi="Times New Roman"/>
          <w:szCs w:val="28"/>
          <w:lang w:eastAsia="en-US"/>
        </w:rPr>
        <w:t xml:space="preserve"> comma 1, lett. h)</w:t>
      </w:r>
      <w:r w:rsidRPr="004A689C">
        <w:rPr>
          <w:rFonts w:ascii="Times New Roman" w:eastAsia="Calibri" w:hAnsi="Times New Roman"/>
          <w:szCs w:val="28"/>
          <w:lang w:eastAsia="en-US"/>
        </w:rPr>
        <w:t>, secondo i</w:t>
      </w:r>
      <w:r w:rsidR="00C948ED" w:rsidRPr="004A689C">
        <w:rPr>
          <w:rFonts w:ascii="Times New Roman" w:eastAsia="Calibri" w:hAnsi="Times New Roman"/>
          <w:szCs w:val="28"/>
          <w:lang w:eastAsia="en-US"/>
        </w:rPr>
        <w:t>l quale nei procedimenti avviati su istanza di parte, che hanno ad oggetto l’erogazione di benefici economici comunque denominati, indennità, prestazioni previdenziali e assistenziali, erogazioni, contributi, sovvenzioni, finanziamenti, prestiti, agevolazioni da parte di pubbliche amministrazioni, ovvero il rilascio di autorizzazioni e nulla osta comunque denominati, le dichiarazioni sostitutive di cui agli articoli 46 e 47 del D.P.R. 28 dicembre 2000, n. 445</w:t>
      </w:r>
      <w:r w:rsidR="00313A86" w:rsidRPr="004A689C">
        <w:rPr>
          <w:rFonts w:ascii="Times New Roman" w:eastAsia="Calibri" w:hAnsi="Times New Roman"/>
          <w:szCs w:val="28"/>
          <w:lang w:eastAsia="en-US"/>
        </w:rPr>
        <w:t>,</w:t>
      </w:r>
      <w:r w:rsidR="00C948ED" w:rsidRPr="004A689C">
        <w:rPr>
          <w:rFonts w:ascii="Times New Roman" w:eastAsia="Calibri" w:hAnsi="Times New Roman"/>
          <w:szCs w:val="28"/>
          <w:lang w:eastAsia="en-US"/>
        </w:rPr>
        <w:t xml:space="preserve"> sostituiscono ogni tipo di documentazione comprovante tutti i requisiti soggettivi ed oggettivi richiesti dalla normativa di riferimento.</w:t>
      </w:r>
    </w:p>
    <w:p w:rsidR="00F26817" w:rsidRPr="004A689C" w:rsidRDefault="00AA77CD" w:rsidP="00E23F46">
      <w:pPr>
        <w:ind w:firstLine="0"/>
        <w:rPr>
          <w:rFonts w:ascii="Times New Roman" w:hAnsi="Times New Roman"/>
          <w:szCs w:val="28"/>
        </w:rPr>
      </w:pPr>
      <w:r w:rsidRPr="004A689C">
        <w:rPr>
          <w:rFonts w:ascii="Times New Roman" w:eastAsia="Calibri" w:hAnsi="Times New Roman"/>
          <w:szCs w:val="28"/>
          <w:lang w:eastAsia="en-US"/>
        </w:rPr>
        <w:t xml:space="preserve"> </w:t>
      </w:r>
    </w:p>
    <w:p w:rsidR="004B6CB8" w:rsidRPr="00B17FF0" w:rsidRDefault="00EF6729" w:rsidP="00B17FF0">
      <w:pPr>
        <w:pStyle w:val="Titolo2"/>
        <w:rPr>
          <w:rFonts w:ascii="Times New Roman" w:hAnsi="Times New Roman"/>
        </w:rPr>
      </w:pPr>
      <w:bookmarkStart w:id="55" w:name="_Toc66721232"/>
      <w:r w:rsidRPr="00B17FF0">
        <w:rPr>
          <w:rFonts w:ascii="Times New Roman" w:hAnsi="Times New Roman"/>
        </w:rPr>
        <w:t>Il R</w:t>
      </w:r>
      <w:r w:rsidR="00DE6906" w:rsidRPr="00B17FF0">
        <w:rPr>
          <w:rFonts w:ascii="Times New Roman" w:hAnsi="Times New Roman"/>
        </w:rPr>
        <w:t>.</w:t>
      </w:r>
      <w:r w:rsidRPr="00B17FF0">
        <w:rPr>
          <w:rFonts w:ascii="Times New Roman" w:hAnsi="Times New Roman"/>
        </w:rPr>
        <w:t>A</w:t>
      </w:r>
      <w:r w:rsidR="00DE6906" w:rsidRPr="00B17FF0">
        <w:rPr>
          <w:rFonts w:ascii="Times New Roman" w:hAnsi="Times New Roman"/>
        </w:rPr>
        <w:t>.</w:t>
      </w:r>
      <w:r w:rsidRPr="00B17FF0">
        <w:rPr>
          <w:rFonts w:ascii="Times New Roman" w:hAnsi="Times New Roman"/>
        </w:rPr>
        <w:t>S</w:t>
      </w:r>
      <w:r w:rsidR="00DE6906" w:rsidRPr="00B17FF0">
        <w:rPr>
          <w:rFonts w:ascii="Times New Roman" w:hAnsi="Times New Roman"/>
        </w:rPr>
        <w:t>.</w:t>
      </w:r>
      <w:r w:rsidRPr="00B17FF0">
        <w:rPr>
          <w:rFonts w:ascii="Times New Roman" w:hAnsi="Times New Roman"/>
        </w:rPr>
        <w:t>A</w:t>
      </w:r>
      <w:r w:rsidR="00DE6906" w:rsidRPr="00B17FF0">
        <w:rPr>
          <w:rFonts w:ascii="Times New Roman" w:hAnsi="Times New Roman"/>
        </w:rPr>
        <w:t>.</w:t>
      </w:r>
      <w:r w:rsidR="00FA0B29" w:rsidRPr="00B17FF0">
        <w:rPr>
          <w:rFonts w:ascii="Times New Roman" w:hAnsi="Times New Roman"/>
        </w:rPr>
        <w:t xml:space="preserve"> e il </w:t>
      </w:r>
      <w:r w:rsidR="009D7AB6" w:rsidRPr="00B17FF0">
        <w:rPr>
          <w:rFonts w:ascii="Times New Roman" w:hAnsi="Times New Roman"/>
        </w:rPr>
        <w:t>G</w:t>
      </w:r>
      <w:r w:rsidR="00274CE4" w:rsidRPr="00B17FF0">
        <w:rPr>
          <w:rFonts w:ascii="Times New Roman" w:hAnsi="Times New Roman"/>
        </w:rPr>
        <w:t>estore delle segnalazioni di operazioni sospette</w:t>
      </w:r>
      <w:bookmarkEnd w:id="55"/>
      <w:r w:rsidR="00232A58" w:rsidRPr="00B17FF0">
        <w:rPr>
          <w:rFonts w:ascii="Times New Roman" w:hAnsi="Times New Roman"/>
        </w:rPr>
        <w:t xml:space="preserve"> </w:t>
      </w:r>
    </w:p>
    <w:p w:rsidR="00604DAA" w:rsidRPr="004A689C" w:rsidRDefault="00604DAA" w:rsidP="00604DAA">
      <w:pPr>
        <w:rPr>
          <w:rFonts w:ascii="Times New Roman" w:hAnsi="Times New Roman"/>
          <w:szCs w:val="28"/>
        </w:rPr>
      </w:pPr>
    </w:p>
    <w:p w:rsidR="00274CE4" w:rsidRPr="004A689C" w:rsidRDefault="00274CE4" w:rsidP="00E23F46">
      <w:pPr>
        <w:ind w:firstLine="709"/>
        <w:rPr>
          <w:rFonts w:ascii="Times New Roman" w:hAnsi="Times New Roman"/>
          <w:szCs w:val="28"/>
        </w:rPr>
      </w:pPr>
      <w:r w:rsidRPr="004A689C">
        <w:rPr>
          <w:rFonts w:ascii="Times New Roman" w:hAnsi="Times New Roman"/>
          <w:szCs w:val="28"/>
        </w:rPr>
        <w:t>Secondo quanto previsto dall’art. 33</w:t>
      </w:r>
      <w:r w:rsidRPr="004A689C">
        <w:rPr>
          <w:rFonts w:ascii="Times New Roman" w:hAnsi="Times New Roman"/>
          <w:i/>
          <w:szCs w:val="28"/>
        </w:rPr>
        <w:t>ter</w:t>
      </w:r>
      <w:r w:rsidRPr="004A689C">
        <w:rPr>
          <w:rFonts w:ascii="Times New Roman" w:hAnsi="Times New Roman"/>
          <w:szCs w:val="28"/>
        </w:rPr>
        <w:t xml:space="preserve"> del </w:t>
      </w:r>
      <w:r w:rsidR="00313A86" w:rsidRPr="004A689C">
        <w:rPr>
          <w:rFonts w:ascii="Times New Roman" w:hAnsi="Times New Roman"/>
          <w:szCs w:val="28"/>
        </w:rPr>
        <w:t>D.L.</w:t>
      </w:r>
      <w:r w:rsidRPr="004A689C">
        <w:rPr>
          <w:rFonts w:ascii="Times New Roman" w:hAnsi="Times New Roman"/>
          <w:szCs w:val="28"/>
        </w:rPr>
        <w:t xml:space="preserve">18 ottobre 2012, n. 179, </w:t>
      </w:r>
      <w:r w:rsidR="00A87A05" w:rsidRPr="004A689C">
        <w:rPr>
          <w:rFonts w:ascii="Times New Roman" w:hAnsi="Times New Roman"/>
          <w:szCs w:val="28"/>
        </w:rPr>
        <w:t>“</w:t>
      </w:r>
      <w:r w:rsidR="00A87A05" w:rsidRPr="004A689C">
        <w:rPr>
          <w:rFonts w:ascii="Times New Roman" w:hAnsi="Times New Roman"/>
          <w:i/>
          <w:szCs w:val="28"/>
        </w:rPr>
        <w:t>Ulteriori misure urgenti per la crescita del Paese”,</w:t>
      </w:r>
      <w:r w:rsidR="00A87A05" w:rsidRPr="004A689C">
        <w:rPr>
          <w:rFonts w:ascii="Times New Roman" w:hAnsi="Times New Roman"/>
          <w:szCs w:val="28"/>
        </w:rPr>
        <w:t xml:space="preserve"> </w:t>
      </w:r>
      <w:r w:rsidRPr="004A689C">
        <w:rPr>
          <w:rFonts w:ascii="Times New Roman" w:hAnsi="Times New Roman"/>
          <w:szCs w:val="28"/>
        </w:rPr>
        <w:t xml:space="preserve">convertito, con modificazioni, dalla </w:t>
      </w:r>
      <w:r w:rsidR="00A87A05" w:rsidRPr="004A689C">
        <w:rPr>
          <w:rFonts w:ascii="Times New Roman" w:hAnsi="Times New Roman"/>
          <w:szCs w:val="28"/>
        </w:rPr>
        <w:t>L</w:t>
      </w:r>
      <w:r w:rsidR="00313A86" w:rsidRPr="004A689C">
        <w:rPr>
          <w:rFonts w:ascii="Times New Roman" w:hAnsi="Times New Roman"/>
          <w:szCs w:val="28"/>
        </w:rPr>
        <w:t>.</w:t>
      </w:r>
      <w:r w:rsidRPr="004A689C">
        <w:rPr>
          <w:rFonts w:ascii="Times New Roman" w:hAnsi="Times New Roman"/>
          <w:szCs w:val="28"/>
        </w:rPr>
        <w:t xml:space="preserve"> 17 dicembre 2012, n. 221,</w:t>
      </w:r>
      <w:r w:rsidR="009D7AB6" w:rsidRPr="004A689C">
        <w:rPr>
          <w:rFonts w:ascii="Times New Roman" w:hAnsi="Times New Roman"/>
          <w:szCs w:val="28"/>
        </w:rPr>
        <w:t xml:space="preserve"> recante </w:t>
      </w:r>
      <w:r w:rsidR="0050126E" w:rsidRPr="004A689C">
        <w:rPr>
          <w:rFonts w:ascii="Times New Roman" w:hAnsi="Times New Roman"/>
          <w:szCs w:val="28"/>
        </w:rPr>
        <w:t>“</w:t>
      </w:r>
      <w:r w:rsidR="0050126E" w:rsidRPr="004A689C">
        <w:rPr>
          <w:rFonts w:ascii="Times New Roman" w:hAnsi="Times New Roman"/>
          <w:i/>
          <w:szCs w:val="28"/>
        </w:rPr>
        <w:t>Ulteriori misure urgenti per la crescita del Paese”</w:t>
      </w:r>
      <w:r w:rsidR="009D7AB6" w:rsidRPr="004A689C">
        <w:rPr>
          <w:rFonts w:ascii="Times New Roman" w:hAnsi="Times New Roman"/>
          <w:szCs w:val="28"/>
        </w:rPr>
        <w:t>,</w:t>
      </w:r>
      <w:r w:rsidRPr="004A689C">
        <w:rPr>
          <w:rFonts w:ascii="Times New Roman" w:hAnsi="Times New Roman"/>
          <w:szCs w:val="28"/>
        </w:rPr>
        <w:t xml:space="preserve"> ogni stazione appaltante è tenuta a nominare il R.A.S.A. per l’inserimento e l’aggiornamento annuale degli elementi identificativi della Stazione Appaltante stessa, all’interno dell’Anagrafe unica delle stazioni appaltanti (A.U.S.A.), istituita originariamente presso </w:t>
      </w:r>
      <w:r w:rsidR="00A87A05" w:rsidRPr="004A689C">
        <w:rPr>
          <w:rFonts w:ascii="Times New Roman" w:hAnsi="Times New Roman"/>
          <w:szCs w:val="28"/>
        </w:rPr>
        <w:t xml:space="preserve">Autorità per la vigilanza sui contratti pubblici di lavori, servizi e forniture </w:t>
      </w:r>
      <w:r w:rsidRPr="004A689C">
        <w:rPr>
          <w:rFonts w:ascii="Times New Roman" w:hAnsi="Times New Roman"/>
          <w:szCs w:val="28"/>
        </w:rPr>
        <w:t xml:space="preserve">(ora A.N.AC.). </w:t>
      </w:r>
    </w:p>
    <w:p w:rsidR="00274CE4" w:rsidRPr="004A689C" w:rsidRDefault="00274CE4" w:rsidP="00E23F46">
      <w:pPr>
        <w:ind w:firstLine="709"/>
        <w:rPr>
          <w:rFonts w:ascii="Times New Roman" w:hAnsi="Times New Roman"/>
          <w:szCs w:val="28"/>
        </w:rPr>
      </w:pPr>
      <w:r w:rsidRPr="004A689C">
        <w:rPr>
          <w:rFonts w:ascii="Times New Roman" w:hAnsi="Times New Roman"/>
          <w:szCs w:val="28"/>
        </w:rPr>
        <w:t xml:space="preserve">Tale obbligo informativo consiste nella implementazione della Banca dati nazionale dei contratti pubblici (B.D.N.C.P.) presso l’A.N.AC. dei dati relativi all’anagrafica della stazione appaltante, della classificazione della stessa e dell’articolazione in centri di costo. </w:t>
      </w:r>
    </w:p>
    <w:p w:rsidR="00274CE4" w:rsidRPr="004A689C" w:rsidRDefault="00274CE4" w:rsidP="00E23F46">
      <w:pPr>
        <w:ind w:firstLine="709"/>
        <w:rPr>
          <w:rFonts w:ascii="Times New Roman" w:hAnsi="Times New Roman"/>
          <w:szCs w:val="28"/>
        </w:rPr>
      </w:pPr>
      <w:r w:rsidRPr="004A689C">
        <w:rPr>
          <w:rFonts w:ascii="Times New Roman" w:hAnsi="Times New Roman"/>
          <w:szCs w:val="28"/>
        </w:rPr>
        <w:t>Nel P.N.A. 2019 l’individuazione del R.A.S.A. è intesa come una misura organizzativa di trasparenza in funzione di prevenzione della corruzione. Infatti, il Responsabile, al fine di assicurare l’effettivo inserimento dei dati nella Anagrafe unica delle stazioni appaltanti (A.U.S.A.) è tenuto a sollecitare l’individuazione del soggetto preposto all’iscrizione e all’aggiornamento dei dati e a indicarne il nome all’interno del P.T.P.C.T.</w:t>
      </w:r>
    </w:p>
    <w:p w:rsidR="00274CE4" w:rsidRPr="004A689C" w:rsidRDefault="00274CE4" w:rsidP="00E23F46">
      <w:pPr>
        <w:ind w:firstLine="709"/>
        <w:rPr>
          <w:rFonts w:ascii="Times New Roman" w:hAnsi="Times New Roman"/>
          <w:szCs w:val="28"/>
        </w:rPr>
      </w:pPr>
      <w:r w:rsidRPr="004A689C">
        <w:rPr>
          <w:rFonts w:ascii="Times New Roman" w:hAnsi="Times New Roman"/>
          <w:szCs w:val="28"/>
        </w:rPr>
        <w:t xml:space="preserve">Con decreto del </w:t>
      </w:r>
      <w:r w:rsidR="00A447D4" w:rsidRPr="004A689C">
        <w:rPr>
          <w:rFonts w:ascii="Times New Roman" w:hAnsi="Times New Roman"/>
          <w:szCs w:val="28"/>
        </w:rPr>
        <w:t>S.G.</w:t>
      </w:r>
      <w:r w:rsidRPr="004A689C">
        <w:rPr>
          <w:rFonts w:ascii="Times New Roman" w:hAnsi="Times New Roman"/>
          <w:szCs w:val="28"/>
        </w:rPr>
        <w:t xml:space="preserve"> del 30 ottobre 2017</w:t>
      </w:r>
      <w:r w:rsidR="00313A86" w:rsidRPr="004A689C">
        <w:rPr>
          <w:rFonts w:ascii="Times New Roman" w:hAnsi="Times New Roman"/>
          <w:szCs w:val="28"/>
        </w:rPr>
        <w:t>,</w:t>
      </w:r>
      <w:r w:rsidRPr="004A689C">
        <w:rPr>
          <w:rFonts w:ascii="Times New Roman" w:hAnsi="Times New Roman"/>
          <w:szCs w:val="28"/>
        </w:rPr>
        <w:t xml:space="preserve"> il Capo del </w:t>
      </w:r>
      <w:r w:rsidR="00A447D4" w:rsidRPr="004A689C">
        <w:rPr>
          <w:rFonts w:ascii="Times New Roman" w:hAnsi="Times New Roman"/>
          <w:szCs w:val="28"/>
        </w:rPr>
        <w:t>D.S.S.</w:t>
      </w:r>
      <w:r w:rsidRPr="004A689C">
        <w:rPr>
          <w:rFonts w:ascii="Times New Roman" w:hAnsi="Times New Roman"/>
          <w:szCs w:val="28"/>
        </w:rPr>
        <w:t xml:space="preserve">, è stato nominato Responsabile dell’Anagrafe della </w:t>
      </w:r>
      <w:r w:rsidR="00E23F46">
        <w:rPr>
          <w:rFonts w:ascii="Times New Roman" w:hAnsi="Times New Roman"/>
          <w:szCs w:val="28"/>
        </w:rPr>
        <w:t>s</w:t>
      </w:r>
      <w:r w:rsidRPr="004A689C">
        <w:rPr>
          <w:rFonts w:ascii="Times New Roman" w:hAnsi="Times New Roman"/>
          <w:szCs w:val="28"/>
        </w:rPr>
        <w:t xml:space="preserve">tazione </w:t>
      </w:r>
      <w:r w:rsidR="00E23F46">
        <w:rPr>
          <w:rFonts w:ascii="Times New Roman" w:hAnsi="Times New Roman"/>
          <w:szCs w:val="28"/>
        </w:rPr>
        <w:t>a</w:t>
      </w:r>
      <w:r w:rsidRPr="004A689C">
        <w:rPr>
          <w:rFonts w:ascii="Times New Roman" w:hAnsi="Times New Roman"/>
          <w:szCs w:val="28"/>
        </w:rPr>
        <w:t>ppaltante (</w:t>
      </w:r>
      <w:bookmarkStart w:id="56" w:name="_Hlk66668250"/>
      <w:r w:rsidRPr="004A689C">
        <w:rPr>
          <w:rFonts w:ascii="Times New Roman" w:hAnsi="Times New Roman"/>
          <w:szCs w:val="28"/>
        </w:rPr>
        <w:t xml:space="preserve">R.A.S.A.) </w:t>
      </w:r>
      <w:bookmarkEnd w:id="56"/>
      <w:r w:rsidRPr="004A689C">
        <w:rPr>
          <w:rFonts w:ascii="Times New Roman" w:hAnsi="Times New Roman"/>
          <w:szCs w:val="28"/>
        </w:rPr>
        <w:t xml:space="preserve">per la </w:t>
      </w:r>
      <w:r w:rsidR="00A447D4" w:rsidRPr="004A689C">
        <w:rPr>
          <w:rFonts w:ascii="Times New Roman" w:hAnsi="Times New Roman"/>
          <w:szCs w:val="28"/>
        </w:rPr>
        <w:t>P.C.M</w:t>
      </w:r>
      <w:r w:rsidRPr="004A689C">
        <w:rPr>
          <w:rFonts w:ascii="Times New Roman" w:hAnsi="Times New Roman"/>
          <w:szCs w:val="28"/>
        </w:rPr>
        <w:t>.</w:t>
      </w:r>
    </w:p>
    <w:p w:rsidR="00274CE4" w:rsidRPr="00DE7C40" w:rsidRDefault="00274CE4" w:rsidP="00E23F46">
      <w:pPr>
        <w:ind w:firstLine="709"/>
        <w:rPr>
          <w:rFonts w:ascii="Times New Roman" w:hAnsi="Times New Roman"/>
          <w:szCs w:val="28"/>
        </w:rPr>
      </w:pPr>
      <w:r w:rsidRPr="00DE7C40">
        <w:rPr>
          <w:rFonts w:ascii="Times New Roman" w:hAnsi="Times New Roman"/>
          <w:szCs w:val="28"/>
        </w:rPr>
        <w:t>In relazione all’avvicendamento di alcune posizioni dirigenziali apicali successive al cambio della compagine governativa, con decreto del Segretario</w:t>
      </w:r>
      <w:r w:rsidRPr="00DE7C40">
        <w:rPr>
          <w:rFonts w:ascii="Times New Roman" w:hAnsi="Times New Roman"/>
          <w:i/>
          <w:szCs w:val="28"/>
        </w:rPr>
        <w:t xml:space="preserve"> </w:t>
      </w:r>
      <w:r w:rsidRPr="00DE7C40">
        <w:rPr>
          <w:rFonts w:ascii="Times New Roman" w:hAnsi="Times New Roman"/>
          <w:szCs w:val="28"/>
        </w:rPr>
        <w:t>generale del</w:t>
      </w:r>
      <w:r w:rsidRPr="00DE7C40">
        <w:rPr>
          <w:rFonts w:ascii="Times New Roman" w:hAnsi="Times New Roman"/>
          <w:i/>
          <w:szCs w:val="28"/>
        </w:rPr>
        <w:t xml:space="preserve"> </w:t>
      </w:r>
      <w:r w:rsidRPr="00DE7C40">
        <w:rPr>
          <w:rFonts w:ascii="Times New Roman" w:hAnsi="Times New Roman"/>
          <w:szCs w:val="28"/>
        </w:rPr>
        <w:t xml:space="preserve">27 luglio 2018 è stato nominato il Cons. Paolo Molinari, Capo </w:t>
      </w:r>
      <w:r w:rsidR="00A447D4" w:rsidRPr="00DE7C40">
        <w:rPr>
          <w:rFonts w:ascii="Times New Roman" w:hAnsi="Times New Roman"/>
          <w:szCs w:val="28"/>
        </w:rPr>
        <w:t>D.S.S.</w:t>
      </w:r>
      <w:r w:rsidRPr="00DE7C40">
        <w:rPr>
          <w:rFonts w:ascii="Times New Roman" w:hAnsi="Times New Roman"/>
          <w:szCs w:val="28"/>
        </w:rPr>
        <w:t xml:space="preserve">, </w:t>
      </w:r>
      <w:r w:rsidR="00E23F46" w:rsidRPr="00DE7C40">
        <w:rPr>
          <w:rFonts w:ascii="Times New Roman" w:hAnsi="Times New Roman"/>
          <w:szCs w:val="28"/>
        </w:rPr>
        <w:t xml:space="preserve">R.A.S.A. </w:t>
      </w:r>
      <w:r w:rsidRPr="00DE7C40">
        <w:rPr>
          <w:rFonts w:ascii="Times New Roman" w:hAnsi="Times New Roman"/>
          <w:szCs w:val="28"/>
        </w:rPr>
        <w:t>per la P.C.M.</w:t>
      </w:r>
      <w:r w:rsidR="0050126E" w:rsidRPr="00DE7C40">
        <w:rPr>
          <w:rFonts w:ascii="Times New Roman" w:hAnsi="Times New Roman"/>
          <w:szCs w:val="28"/>
        </w:rPr>
        <w:t xml:space="preserve"> </w:t>
      </w:r>
      <w:r w:rsidRPr="00DE7C40">
        <w:rPr>
          <w:rFonts w:ascii="Times New Roman" w:hAnsi="Times New Roman"/>
          <w:szCs w:val="28"/>
        </w:rPr>
        <w:t>Di tale nuova nomina il R.P.C.T. ha dato comunicazione all’A.N.AC., con nota prot. U</w:t>
      </w:r>
      <w:r w:rsidR="00A447D4" w:rsidRPr="00DE7C40">
        <w:rPr>
          <w:rFonts w:ascii="Times New Roman" w:hAnsi="Times New Roman"/>
          <w:szCs w:val="28"/>
        </w:rPr>
        <w:t>.</w:t>
      </w:r>
      <w:r w:rsidRPr="00DE7C40">
        <w:rPr>
          <w:rFonts w:ascii="Times New Roman" w:hAnsi="Times New Roman"/>
          <w:szCs w:val="28"/>
        </w:rPr>
        <w:t>C</w:t>
      </w:r>
      <w:r w:rsidR="00A447D4" w:rsidRPr="00DE7C40">
        <w:rPr>
          <w:rFonts w:ascii="Times New Roman" w:hAnsi="Times New Roman"/>
          <w:szCs w:val="28"/>
        </w:rPr>
        <w:t>.</w:t>
      </w:r>
      <w:r w:rsidRPr="00DE7C40">
        <w:rPr>
          <w:rFonts w:ascii="Times New Roman" w:hAnsi="Times New Roman"/>
          <w:szCs w:val="28"/>
        </w:rPr>
        <w:t>I</w:t>
      </w:r>
      <w:r w:rsidR="00A447D4" w:rsidRPr="00DE7C40">
        <w:rPr>
          <w:rFonts w:ascii="Times New Roman" w:hAnsi="Times New Roman"/>
          <w:szCs w:val="28"/>
        </w:rPr>
        <w:t>.</w:t>
      </w:r>
      <w:r w:rsidRPr="00DE7C40">
        <w:rPr>
          <w:rFonts w:ascii="Times New Roman" w:hAnsi="Times New Roman"/>
          <w:szCs w:val="28"/>
        </w:rPr>
        <w:t xml:space="preserve"> n. 2172 del 3 agosto 2018.</w:t>
      </w:r>
    </w:p>
    <w:p w:rsidR="00274CE4" w:rsidRPr="004A689C" w:rsidRDefault="007A1A57" w:rsidP="00E23F46">
      <w:pPr>
        <w:ind w:firstLine="709"/>
        <w:rPr>
          <w:rFonts w:ascii="Times New Roman" w:hAnsi="Times New Roman"/>
          <w:color w:val="000000"/>
          <w:szCs w:val="28"/>
          <w:shd w:val="clear" w:color="auto" w:fill="FFFFFF"/>
        </w:rPr>
      </w:pPr>
      <w:r w:rsidRPr="00DE7C40">
        <w:rPr>
          <w:rFonts w:ascii="Times New Roman" w:hAnsi="Times New Roman"/>
          <w:color w:val="000000"/>
          <w:szCs w:val="28"/>
          <w:shd w:val="clear" w:color="auto" w:fill="FFFFFF"/>
        </w:rPr>
        <w:t>In base al monitoraggio effettuato dal RPCT nel 2018, le Strutture che hanno nominato un proprio R.A.S.A. sono il D</w:t>
      </w:r>
      <w:r w:rsidR="00E23F46" w:rsidRPr="00DE7C40">
        <w:rPr>
          <w:rFonts w:ascii="Times New Roman" w:hAnsi="Times New Roman"/>
          <w:color w:val="000000"/>
          <w:szCs w:val="28"/>
          <w:shd w:val="clear" w:color="auto" w:fill="FFFFFF"/>
        </w:rPr>
        <w:t>.P.C.</w:t>
      </w:r>
      <w:r w:rsidRPr="00DE7C40">
        <w:rPr>
          <w:rFonts w:ascii="Times New Roman" w:hAnsi="Times New Roman"/>
          <w:color w:val="000000"/>
          <w:szCs w:val="28"/>
          <w:shd w:val="clear" w:color="auto" w:fill="FFFFFF"/>
        </w:rPr>
        <w:t>, incarico attualmente ricoperto dal Geom. Carlo Sforza, la S</w:t>
      </w:r>
      <w:r w:rsidR="00E23F46" w:rsidRPr="00DE7C40">
        <w:rPr>
          <w:rFonts w:ascii="Times New Roman" w:hAnsi="Times New Roman"/>
          <w:color w:val="000000"/>
          <w:szCs w:val="28"/>
          <w:shd w:val="clear" w:color="auto" w:fill="FFFFFF"/>
        </w:rPr>
        <w:t>.N.A.</w:t>
      </w:r>
      <w:r w:rsidRPr="00DE7C40">
        <w:rPr>
          <w:rFonts w:ascii="Times New Roman" w:hAnsi="Times New Roman"/>
          <w:color w:val="000000"/>
          <w:szCs w:val="28"/>
          <w:shd w:val="clear" w:color="auto" w:fill="FFFFFF"/>
        </w:rPr>
        <w:t>, incarico attualmente ricoperto dal Dr. Roberto Mazza e il Dipartimento per le politiche giovanili e il servizio civile universale, incarico attualmente ricoperto dal D</w:t>
      </w:r>
      <w:r w:rsidR="00DE7C40">
        <w:rPr>
          <w:rFonts w:ascii="Times New Roman" w:hAnsi="Times New Roman"/>
          <w:color w:val="000000"/>
          <w:szCs w:val="28"/>
          <w:shd w:val="clear" w:color="auto" w:fill="FFFFFF"/>
        </w:rPr>
        <w:t>r</w:t>
      </w:r>
      <w:r w:rsidR="00E23F46" w:rsidRPr="00DE7C40">
        <w:rPr>
          <w:rFonts w:ascii="Times New Roman" w:hAnsi="Times New Roman"/>
          <w:color w:val="000000"/>
          <w:szCs w:val="28"/>
          <w:shd w:val="clear" w:color="auto" w:fill="FFFFFF"/>
        </w:rPr>
        <w:t>.</w:t>
      </w:r>
      <w:r w:rsidRPr="00DE7C40">
        <w:rPr>
          <w:rFonts w:ascii="Times New Roman" w:hAnsi="Times New Roman"/>
          <w:color w:val="000000"/>
          <w:szCs w:val="28"/>
          <w:shd w:val="clear" w:color="auto" w:fill="FFFFFF"/>
        </w:rPr>
        <w:t xml:space="preserve"> Aurelio Lup</w:t>
      </w:r>
      <w:r w:rsidR="0050126E" w:rsidRPr="00DE7C40">
        <w:rPr>
          <w:rFonts w:ascii="Times New Roman" w:hAnsi="Times New Roman"/>
          <w:color w:val="000000"/>
          <w:szCs w:val="28"/>
          <w:shd w:val="clear" w:color="auto" w:fill="FFFFFF"/>
        </w:rPr>
        <w:t>o.</w:t>
      </w:r>
    </w:p>
    <w:p w:rsidR="00274CE4" w:rsidRPr="004A689C" w:rsidRDefault="00274CE4" w:rsidP="00E23F46">
      <w:pPr>
        <w:ind w:firstLine="709"/>
        <w:rPr>
          <w:rFonts w:ascii="Times New Roman" w:hAnsi="Times New Roman"/>
          <w:szCs w:val="28"/>
        </w:rPr>
      </w:pPr>
      <w:r w:rsidRPr="004A689C">
        <w:rPr>
          <w:rFonts w:ascii="Times New Roman" w:hAnsi="Times New Roman"/>
          <w:szCs w:val="28"/>
        </w:rPr>
        <w:t>Il R.P.C.T., come previsto nel vigente P</w:t>
      </w:r>
      <w:r w:rsidR="00BC653D" w:rsidRPr="004A689C">
        <w:rPr>
          <w:rFonts w:ascii="Times New Roman" w:hAnsi="Times New Roman"/>
          <w:szCs w:val="28"/>
        </w:rPr>
        <w:t>.</w:t>
      </w:r>
      <w:r w:rsidRPr="004A689C">
        <w:rPr>
          <w:rFonts w:ascii="Times New Roman" w:hAnsi="Times New Roman"/>
          <w:szCs w:val="28"/>
        </w:rPr>
        <w:t>T</w:t>
      </w:r>
      <w:r w:rsidR="00BC653D" w:rsidRPr="004A689C">
        <w:rPr>
          <w:rFonts w:ascii="Times New Roman" w:hAnsi="Times New Roman"/>
          <w:szCs w:val="28"/>
        </w:rPr>
        <w:t>.</w:t>
      </w:r>
      <w:r w:rsidRPr="004A689C">
        <w:rPr>
          <w:rFonts w:ascii="Times New Roman" w:hAnsi="Times New Roman"/>
          <w:szCs w:val="28"/>
        </w:rPr>
        <w:t>P</w:t>
      </w:r>
      <w:r w:rsidR="00BC653D" w:rsidRPr="004A689C">
        <w:rPr>
          <w:rFonts w:ascii="Times New Roman" w:hAnsi="Times New Roman"/>
          <w:szCs w:val="28"/>
        </w:rPr>
        <w:t>.</w:t>
      </w:r>
      <w:r w:rsidRPr="004A689C">
        <w:rPr>
          <w:rFonts w:ascii="Times New Roman" w:hAnsi="Times New Roman"/>
          <w:szCs w:val="28"/>
        </w:rPr>
        <w:t>C</w:t>
      </w:r>
      <w:r w:rsidR="00BC653D" w:rsidRPr="004A689C">
        <w:rPr>
          <w:rFonts w:ascii="Times New Roman" w:hAnsi="Times New Roman"/>
          <w:szCs w:val="28"/>
        </w:rPr>
        <w:t>.</w:t>
      </w:r>
      <w:r w:rsidRPr="004A689C">
        <w:rPr>
          <w:rFonts w:ascii="Times New Roman" w:hAnsi="Times New Roman"/>
          <w:szCs w:val="28"/>
        </w:rPr>
        <w:t>, ha svolto nel corso del 2020 un approfondimento anche con il Capo del D</w:t>
      </w:r>
      <w:r w:rsidR="00BC653D" w:rsidRPr="004A689C">
        <w:rPr>
          <w:rFonts w:ascii="Times New Roman" w:hAnsi="Times New Roman"/>
          <w:szCs w:val="28"/>
        </w:rPr>
        <w:t>.</w:t>
      </w:r>
      <w:r w:rsidRPr="004A689C">
        <w:rPr>
          <w:rFonts w:ascii="Times New Roman" w:hAnsi="Times New Roman"/>
          <w:szCs w:val="28"/>
        </w:rPr>
        <w:t>S</w:t>
      </w:r>
      <w:r w:rsidR="00BC653D" w:rsidRPr="004A689C">
        <w:rPr>
          <w:rFonts w:ascii="Times New Roman" w:hAnsi="Times New Roman"/>
          <w:szCs w:val="28"/>
        </w:rPr>
        <w:t>.</w:t>
      </w:r>
      <w:r w:rsidRPr="004A689C">
        <w:rPr>
          <w:rFonts w:ascii="Times New Roman" w:hAnsi="Times New Roman"/>
          <w:szCs w:val="28"/>
        </w:rPr>
        <w:t>S</w:t>
      </w:r>
      <w:r w:rsidR="00BC653D" w:rsidRPr="004A689C">
        <w:rPr>
          <w:rFonts w:ascii="Times New Roman" w:hAnsi="Times New Roman"/>
          <w:szCs w:val="28"/>
        </w:rPr>
        <w:t>.</w:t>
      </w:r>
      <w:r w:rsidRPr="004A689C">
        <w:rPr>
          <w:rFonts w:ascii="Times New Roman" w:hAnsi="Times New Roman"/>
          <w:szCs w:val="28"/>
        </w:rPr>
        <w:t xml:space="preserve"> – R.A.S.A. per la stazione appaltante P</w:t>
      </w:r>
      <w:r w:rsidR="00BC653D" w:rsidRPr="004A689C">
        <w:rPr>
          <w:rFonts w:ascii="Times New Roman" w:hAnsi="Times New Roman"/>
          <w:szCs w:val="28"/>
        </w:rPr>
        <w:t>.</w:t>
      </w:r>
      <w:r w:rsidRPr="004A689C">
        <w:rPr>
          <w:rFonts w:ascii="Times New Roman" w:hAnsi="Times New Roman"/>
          <w:szCs w:val="28"/>
        </w:rPr>
        <w:t>C</w:t>
      </w:r>
      <w:r w:rsidR="00BC653D" w:rsidRPr="004A689C">
        <w:rPr>
          <w:rFonts w:ascii="Times New Roman" w:hAnsi="Times New Roman"/>
          <w:szCs w:val="28"/>
        </w:rPr>
        <w:t>.</w:t>
      </w:r>
      <w:r w:rsidRPr="004A689C">
        <w:rPr>
          <w:rFonts w:ascii="Times New Roman" w:hAnsi="Times New Roman"/>
          <w:szCs w:val="28"/>
        </w:rPr>
        <w:t>M</w:t>
      </w:r>
      <w:r w:rsidR="00BC653D" w:rsidRPr="004A689C">
        <w:rPr>
          <w:rFonts w:ascii="Times New Roman" w:hAnsi="Times New Roman"/>
          <w:szCs w:val="28"/>
        </w:rPr>
        <w:t>.</w:t>
      </w:r>
      <w:r w:rsidRPr="004A689C">
        <w:rPr>
          <w:rFonts w:ascii="Times New Roman" w:hAnsi="Times New Roman"/>
          <w:szCs w:val="28"/>
        </w:rPr>
        <w:t xml:space="preserve"> – per verificare la possibilità di facilitare e snellire le procedure adottate per adempiere agli obblighi informativi richiesti dall’A</w:t>
      </w:r>
      <w:r w:rsidR="00BC653D" w:rsidRPr="004A689C">
        <w:rPr>
          <w:rFonts w:ascii="Times New Roman" w:hAnsi="Times New Roman"/>
          <w:szCs w:val="28"/>
        </w:rPr>
        <w:t>.N.AC.</w:t>
      </w:r>
      <w:r w:rsidRPr="004A689C">
        <w:rPr>
          <w:rFonts w:ascii="Times New Roman" w:hAnsi="Times New Roman"/>
          <w:szCs w:val="28"/>
        </w:rPr>
        <w:t>, con particolare riferimento alla possibilità di prevedere che ciascun centro di responsabilità al di fuori del Segretariato generale nomini un proprio R.A.S.A., fermo restando il R.A.S.A. unico per le Strutture del Segretariato generale. A tal fine, il R</w:t>
      </w:r>
      <w:r w:rsidR="00A447D4" w:rsidRPr="004A689C">
        <w:rPr>
          <w:rFonts w:ascii="Times New Roman" w:hAnsi="Times New Roman"/>
          <w:szCs w:val="28"/>
        </w:rPr>
        <w:t>.</w:t>
      </w:r>
      <w:r w:rsidRPr="004A689C">
        <w:rPr>
          <w:rFonts w:ascii="Times New Roman" w:hAnsi="Times New Roman"/>
          <w:szCs w:val="28"/>
        </w:rPr>
        <w:t>P</w:t>
      </w:r>
      <w:r w:rsidR="00A447D4" w:rsidRPr="004A689C">
        <w:rPr>
          <w:rFonts w:ascii="Times New Roman" w:hAnsi="Times New Roman"/>
          <w:szCs w:val="28"/>
        </w:rPr>
        <w:t>.</w:t>
      </w:r>
      <w:r w:rsidRPr="004A689C">
        <w:rPr>
          <w:rFonts w:ascii="Times New Roman" w:hAnsi="Times New Roman"/>
          <w:szCs w:val="28"/>
        </w:rPr>
        <w:t>C</w:t>
      </w:r>
      <w:r w:rsidR="00A447D4" w:rsidRPr="004A689C">
        <w:rPr>
          <w:rFonts w:ascii="Times New Roman" w:hAnsi="Times New Roman"/>
          <w:szCs w:val="28"/>
        </w:rPr>
        <w:t>.</w:t>
      </w:r>
      <w:r w:rsidRPr="004A689C">
        <w:rPr>
          <w:rFonts w:ascii="Times New Roman" w:hAnsi="Times New Roman"/>
          <w:szCs w:val="28"/>
        </w:rPr>
        <w:t>T</w:t>
      </w:r>
      <w:r w:rsidR="00A447D4" w:rsidRPr="004A689C">
        <w:rPr>
          <w:rFonts w:ascii="Times New Roman" w:hAnsi="Times New Roman"/>
          <w:szCs w:val="28"/>
        </w:rPr>
        <w:t>.</w:t>
      </w:r>
      <w:r w:rsidRPr="004A689C">
        <w:rPr>
          <w:rFonts w:ascii="Times New Roman" w:hAnsi="Times New Roman"/>
          <w:szCs w:val="28"/>
        </w:rPr>
        <w:t>, nel corso del corrente anno, avvierà una serie di consultazioni con le Strutture interessate per verificarne la concreta fattibilità.</w:t>
      </w:r>
    </w:p>
    <w:p w:rsidR="00274CE4" w:rsidRPr="004A689C" w:rsidRDefault="00274CE4" w:rsidP="00274CE4">
      <w:pPr>
        <w:ind w:firstLine="0"/>
        <w:rPr>
          <w:rFonts w:ascii="Times New Roman" w:hAnsi="Times New Roman"/>
          <w:szCs w:val="28"/>
        </w:rPr>
      </w:pPr>
    </w:p>
    <w:p w:rsidR="00274CE4" w:rsidRPr="004A689C" w:rsidRDefault="00274CE4" w:rsidP="00274CE4">
      <w:pPr>
        <w:ind w:firstLine="0"/>
        <w:rPr>
          <w:rFonts w:ascii="Times New Roman" w:hAnsi="Times New Roman"/>
          <w:szCs w:val="28"/>
          <w:u w:val="single"/>
        </w:rPr>
      </w:pPr>
      <w:r w:rsidRPr="004A689C">
        <w:rPr>
          <w:rFonts w:ascii="Times New Roman" w:hAnsi="Times New Roman"/>
          <w:szCs w:val="28"/>
          <w:u w:val="single"/>
        </w:rPr>
        <w:t>Individuazione del gestore delle segnalazioni di operazioni sospette</w:t>
      </w:r>
    </w:p>
    <w:p w:rsidR="00274CE4" w:rsidRPr="004A689C" w:rsidRDefault="00274CE4" w:rsidP="00E23F46">
      <w:pPr>
        <w:ind w:firstLine="709"/>
        <w:rPr>
          <w:rFonts w:ascii="Times New Roman" w:hAnsi="Times New Roman"/>
          <w:szCs w:val="28"/>
        </w:rPr>
      </w:pPr>
      <w:r w:rsidRPr="004A689C">
        <w:rPr>
          <w:rFonts w:ascii="Times New Roman" w:hAnsi="Times New Roman"/>
          <w:szCs w:val="28"/>
        </w:rPr>
        <w:t>In relazione alle indicazioni contenute nella parte IV punto 8 “</w:t>
      </w:r>
      <w:r w:rsidRPr="004A689C">
        <w:rPr>
          <w:rFonts w:ascii="Times New Roman" w:hAnsi="Times New Roman"/>
          <w:i/>
          <w:szCs w:val="28"/>
        </w:rPr>
        <w:t>Attività e poteri del R.P.C.T</w:t>
      </w:r>
      <w:r w:rsidRPr="004A689C">
        <w:rPr>
          <w:rFonts w:ascii="Times New Roman" w:hAnsi="Times New Roman"/>
          <w:szCs w:val="28"/>
        </w:rPr>
        <w:t>.” del P.N.A. 2019 in materia di “</w:t>
      </w:r>
      <w:r w:rsidRPr="004A689C">
        <w:rPr>
          <w:rFonts w:ascii="Times New Roman" w:hAnsi="Times New Roman"/>
          <w:i/>
          <w:szCs w:val="28"/>
        </w:rPr>
        <w:t>Anagrafe Unica delle Stazioni Appaltanti (A.U.S.A.) e contrasto al riciclaggio</w:t>
      </w:r>
      <w:r w:rsidRPr="004A689C">
        <w:rPr>
          <w:rFonts w:ascii="Times New Roman" w:hAnsi="Times New Roman"/>
          <w:szCs w:val="28"/>
        </w:rPr>
        <w:t>”, per quanto concerne l’affidamento dell’incarico di “gestore” delle segnalazioni di operazioni sospette di cui al decreto del Ministero dell’interno del 25 settembre 2015 “</w:t>
      </w:r>
      <w:r w:rsidRPr="004A689C">
        <w:rPr>
          <w:rFonts w:ascii="Times New Roman" w:hAnsi="Times New Roman"/>
          <w:i/>
          <w:szCs w:val="28"/>
        </w:rPr>
        <w:t>Determinazione degli indicatori di anomalia al fine di agevolare l’individuazione di operazioni sospette di riciclaggio e di finanziamento del terrorismo da parte degli uffici della pubblica amministrazione</w:t>
      </w:r>
      <w:r w:rsidRPr="004A689C">
        <w:rPr>
          <w:rFonts w:ascii="Times New Roman" w:hAnsi="Times New Roman"/>
          <w:szCs w:val="28"/>
        </w:rPr>
        <w:t>”, il R.P.C.T. entro il 2021, sentiti l’U</w:t>
      </w:r>
      <w:r w:rsidR="00A447D4" w:rsidRPr="004A689C">
        <w:rPr>
          <w:rFonts w:ascii="Times New Roman" w:hAnsi="Times New Roman"/>
          <w:szCs w:val="28"/>
        </w:rPr>
        <w:t>.</w:t>
      </w:r>
      <w:r w:rsidRPr="004A689C">
        <w:rPr>
          <w:rFonts w:ascii="Times New Roman" w:hAnsi="Times New Roman"/>
          <w:szCs w:val="28"/>
        </w:rPr>
        <w:t>S</w:t>
      </w:r>
      <w:r w:rsidR="00A447D4" w:rsidRPr="004A689C">
        <w:rPr>
          <w:rFonts w:ascii="Times New Roman" w:hAnsi="Times New Roman"/>
          <w:szCs w:val="28"/>
        </w:rPr>
        <w:t>.</w:t>
      </w:r>
      <w:r w:rsidRPr="004A689C">
        <w:rPr>
          <w:rFonts w:ascii="Times New Roman" w:hAnsi="Times New Roman"/>
          <w:szCs w:val="28"/>
        </w:rPr>
        <w:t>G</w:t>
      </w:r>
      <w:r w:rsidR="00A447D4" w:rsidRPr="004A689C">
        <w:rPr>
          <w:rFonts w:ascii="Times New Roman" w:hAnsi="Times New Roman"/>
          <w:szCs w:val="28"/>
        </w:rPr>
        <w:t>.</w:t>
      </w:r>
      <w:r w:rsidRPr="004A689C">
        <w:rPr>
          <w:rFonts w:ascii="Times New Roman" w:hAnsi="Times New Roman"/>
          <w:szCs w:val="28"/>
        </w:rPr>
        <w:t>, il D</w:t>
      </w:r>
      <w:r w:rsidR="00BC653D" w:rsidRPr="004A689C">
        <w:rPr>
          <w:rFonts w:ascii="Times New Roman" w:hAnsi="Times New Roman"/>
          <w:szCs w:val="28"/>
        </w:rPr>
        <w:t>I.</w:t>
      </w:r>
      <w:r w:rsidRPr="004A689C">
        <w:rPr>
          <w:rFonts w:ascii="Times New Roman" w:hAnsi="Times New Roman"/>
          <w:szCs w:val="28"/>
        </w:rPr>
        <w:t>P</w:t>
      </w:r>
      <w:r w:rsidR="00A87A05" w:rsidRPr="004A689C">
        <w:rPr>
          <w:rFonts w:ascii="Times New Roman" w:hAnsi="Times New Roman"/>
          <w:szCs w:val="28"/>
        </w:rPr>
        <w:t>.</w:t>
      </w:r>
      <w:r w:rsidRPr="004A689C">
        <w:rPr>
          <w:rFonts w:ascii="Times New Roman" w:hAnsi="Times New Roman"/>
          <w:szCs w:val="28"/>
        </w:rPr>
        <w:t>, il D</w:t>
      </w:r>
      <w:r w:rsidR="00A447D4" w:rsidRPr="004A689C">
        <w:rPr>
          <w:rFonts w:ascii="Times New Roman" w:hAnsi="Times New Roman"/>
          <w:szCs w:val="28"/>
        </w:rPr>
        <w:t>.</w:t>
      </w:r>
      <w:r w:rsidRPr="004A689C">
        <w:rPr>
          <w:rFonts w:ascii="Times New Roman" w:hAnsi="Times New Roman"/>
          <w:szCs w:val="28"/>
        </w:rPr>
        <w:t>S</w:t>
      </w:r>
      <w:r w:rsidR="00A447D4" w:rsidRPr="004A689C">
        <w:rPr>
          <w:rFonts w:ascii="Times New Roman" w:hAnsi="Times New Roman"/>
          <w:szCs w:val="28"/>
        </w:rPr>
        <w:t>.</w:t>
      </w:r>
      <w:r w:rsidRPr="004A689C">
        <w:rPr>
          <w:rFonts w:ascii="Times New Roman" w:hAnsi="Times New Roman"/>
          <w:szCs w:val="28"/>
        </w:rPr>
        <w:t>S</w:t>
      </w:r>
      <w:r w:rsidR="00A447D4" w:rsidRPr="004A689C">
        <w:rPr>
          <w:rFonts w:ascii="Times New Roman" w:hAnsi="Times New Roman"/>
          <w:szCs w:val="28"/>
        </w:rPr>
        <w:t>.</w:t>
      </w:r>
      <w:r w:rsidRPr="004A689C">
        <w:rPr>
          <w:rFonts w:ascii="Times New Roman" w:hAnsi="Times New Roman"/>
          <w:szCs w:val="28"/>
        </w:rPr>
        <w:t xml:space="preserve"> e l’U</w:t>
      </w:r>
      <w:r w:rsidR="00A447D4" w:rsidRPr="004A689C">
        <w:rPr>
          <w:rFonts w:ascii="Times New Roman" w:hAnsi="Times New Roman"/>
          <w:szCs w:val="28"/>
        </w:rPr>
        <w:t>.</w:t>
      </w:r>
      <w:r w:rsidRPr="004A689C">
        <w:rPr>
          <w:rFonts w:ascii="Times New Roman" w:hAnsi="Times New Roman"/>
          <w:szCs w:val="28"/>
        </w:rPr>
        <w:t>B</w:t>
      </w:r>
      <w:r w:rsidR="00A447D4" w:rsidRPr="004A689C">
        <w:rPr>
          <w:rFonts w:ascii="Times New Roman" w:hAnsi="Times New Roman"/>
          <w:szCs w:val="28"/>
        </w:rPr>
        <w:t>..</w:t>
      </w:r>
      <w:r w:rsidRPr="004A689C">
        <w:rPr>
          <w:rFonts w:ascii="Times New Roman" w:hAnsi="Times New Roman"/>
          <w:szCs w:val="28"/>
        </w:rPr>
        <w:t>R</w:t>
      </w:r>
      <w:r w:rsidR="00A447D4" w:rsidRPr="004A689C">
        <w:rPr>
          <w:rFonts w:ascii="Times New Roman" w:hAnsi="Times New Roman"/>
          <w:szCs w:val="28"/>
        </w:rPr>
        <w:t>.</w:t>
      </w:r>
      <w:r w:rsidRPr="004A689C">
        <w:rPr>
          <w:rFonts w:ascii="Times New Roman" w:hAnsi="Times New Roman"/>
          <w:szCs w:val="28"/>
        </w:rPr>
        <w:t>R</w:t>
      </w:r>
      <w:r w:rsidR="00A447D4" w:rsidRPr="004A689C">
        <w:rPr>
          <w:rFonts w:ascii="Times New Roman" w:hAnsi="Times New Roman"/>
          <w:szCs w:val="28"/>
        </w:rPr>
        <w:t>.</w:t>
      </w:r>
      <w:r w:rsidRPr="004A689C">
        <w:rPr>
          <w:rFonts w:ascii="Times New Roman" w:hAnsi="Times New Roman"/>
          <w:szCs w:val="28"/>
        </w:rPr>
        <w:t>A</w:t>
      </w:r>
      <w:r w:rsidR="00A447D4" w:rsidRPr="004A689C">
        <w:rPr>
          <w:rFonts w:ascii="Times New Roman" w:hAnsi="Times New Roman"/>
          <w:szCs w:val="28"/>
        </w:rPr>
        <w:t>.</w:t>
      </w:r>
      <w:r w:rsidRPr="004A689C">
        <w:rPr>
          <w:rFonts w:ascii="Times New Roman" w:hAnsi="Times New Roman"/>
          <w:szCs w:val="28"/>
        </w:rPr>
        <w:t>C</w:t>
      </w:r>
      <w:r w:rsidR="00A447D4" w:rsidRPr="004A689C">
        <w:rPr>
          <w:rFonts w:ascii="Times New Roman" w:hAnsi="Times New Roman"/>
          <w:szCs w:val="28"/>
        </w:rPr>
        <w:t>.</w:t>
      </w:r>
      <w:r w:rsidRPr="004A689C">
        <w:rPr>
          <w:rFonts w:ascii="Times New Roman" w:hAnsi="Times New Roman"/>
          <w:szCs w:val="28"/>
        </w:rPr>
        <w:t>, procederà ad attivare le iniziative propedeutiche necessarie per l’individuazione del soggetto da designare che prevedano:</w:t>
      </w:r>
    </w:p>
    <w:p w:rsidR="00274CE4" w:rsidRPr="004A689C" w:rsidRDefault="00274CE4" w:rsidP="00274CE4">
      <w:pPr>
        <w:ind w:firstLine="0"/>
        <w:rPr>
          <w:rFonts w:ascii="Times New Roman" w:hAnsi="Times New Roman"/>
          <w:szCs w:val="28"/>
        </w:rPr>
      </w:pPr>
      <w:r w:rsidRPr="004A689C">
        <w:rPr>
          <w:rFonts w:ascii="Times New Roman" w:hAnsi="Times New Roman"/>
          <w:szCs w:val="28"/>
        </w:rPr>
        <w:t>- la costituzione di un gruppo di lavoro interdipartimentale con il compito di approfondire la posizione che il gestore dovrebbe avere rispetto all’organizzazione dell’Amministrazione e di disegnare le procedure che dovranno essere seguite per l’emersione dei casi sospetti e delle conseguenti segnalazioni;</w:t>
      </w:r>
    </w:p>
    <w:p w:rsidR="00274CE4" w:rsidRPr="004A689C" w:rsidRDefault="00274CE4" w:rsidP="00274CE4">
      <w:pPr>
        <w:ind w:firstLine="0"/>
        <w:rPr>
          <w:rFonts w:ascii="Times New Roman" w:hAnsi="Times New Roman"/>
          <w:szCs w:val="28"/>
        </w:rPr>
      </w:pPr>
      <w:r w:rsidRPr="004A689C">
        <w:rPr>
          <w:rFonts w:ascii="Times New Roman" w:hAnsi="Times New Roman"/>
          <w:szCs w:val="28"/>
        </w:rPr>
        <w:t>- l’individuazione di un percorso formativo in materia per il personale della Presidenza del Consiglio;</w:t>
      </w:r>
    </w:p>
    <w:p w:rsidR="00274CE4" w:rsidRPr="004A689C" w:rsidRDefault="00274CE4" w:rsidP="00274CE4">
      <w:pPr>
        <w:ind w:firstLine="0"/>
        <w:rPr>
          <w:rFonts w:ascii="Times New Roman" w:hAnsi="Times New Roman"/>
          <w:szCs w:val="28"/>
        </w:rPr>
      </w:pPr>
      <w:r w:rsidRPr="004A689C">
        <w:rPr>
          <w:rFonts w:ascii="Times New Roman" w:hAnsi="Times New Roman"/>
          <w:szCs w:val="28"/>
        </w:rPr>
        <w:t>- la progettazione di una rete dei referenti, costituita da rappresentanti presso ogni Struttura, con definizione dei compiti</w:t>
      </w:r>
      <w:r w:rsidR="00F770D0" w:rsidRPr="004A689C">
        <w:rPr>
          <w:rFonts w:ascii="Times New Roman" w:hAnsi="Times New Roman"/>
          <w:szCs w:val="28"/>
        </w:rPr>
        <w:t>.</w:t>
      </w:r>
    </w:p>
    <w:p w:rsidR="00274CE4" w:rsidRPr="004A689C" w:rsidRDefault="00274CE4" w:rsidP="00E23F46">
      <w:pPr>
        <w:ind w:firstLine="709"/>
        <w:rPr>
          <w:rFonts w:ascii="Times New Roman" w:hAnsi="Times New Roman"/>
          <w:szCs w:val="28"/>
        </w:rPr>
      </w:pPr>
      <w:r w:rsidRPr="004A689C">
        <w:rPr>
          <w:rFonts w:ascii="Times New Roman" w:hAnsi="Times New Roman"/>
          <w:szCs w:val="28"/>
        </w:rPr>
        <w:t>Al termine dello svolgimento delle predette attività il R</w:t>
      </w:r>
      <w:r w:rsidR="00BC653D" w:rsidRPr="004A689C">
        <w:rPr>
          <w:rFonts w:ascii="Times New Roman" w:hAnsi="Times New Roman"/>
          <w:szCs w:val="28"/>
        </w:rPr>
        <w:t>.</w:t>
      </w:r>
      <w:r w:rsidRPr="004A689C">
        <w:rPr>
          <w:rFonts w:ascii="Times New Roman" w:hAnsi="Times New Roman"/>
          <w:szCs w:val="28"/>
        </w:rPr>
        <w:t>P</w:t>
      </w:r>
      <w:r w:rsidR="00BC653D" w:rsidRPr="004A689C">
        <w:rPr>
          <w:rFonts w:ascii="Times New Roman" w:hAnsi="Times New Roman"/>
          <w:szCs w:val="28"/>
        </w:rPr>
        <w:t>.</w:t>
      </w:r>
      <w:r w:rsidRPr="004A689C">
        <w:rPr>
          <w:rFonts w:ascii="Times New Roman" w:hAnsi="Times New Roman"/>
          <w:szCs w:val="28"/>
        </w:rPr>
        <w:t>C</w:t>
      </w:r>
      <w:r w:rsidR="00BC653D" w:rsidRPr="004A689C">
        <w:rPr>
          <w:rFonts w:ascii="Times New Roman" w:hAnsi="Times New Roman"/>
          <w:szCs w:val="28"/>
        </w:rPr>
        <w:t>.</w:t>
      </w:r>
      <w:r w:rsidRPr="004A689C">
        <w:rPr>
          <w:rFonts w:ascii="Times New Roman" w:hAnsi="Times New Roman"/>
          <w:szCs w:val="28"/>
        </w:rPr>
        <w:t>T</w:t>
      </w:r>
      <w:r w:rsidR="00BC653D" w:rsidRPr="004A689C">
        <w:rPr>
          <w:rFonts w:ascii="Times New Roman" w:hAnsi="Times New Roman"/>
          <w:szCs w:val="28"/>
        </w:rPr>
        <w:t>.</w:t>
      </w:r>
      <w:r w:rsidRPr="004A689C">
        <w:rPr>
          <w:rFonts w:ascii="Times New Roman" w:hAnsi="Times New Roman"/>
          <w:szCs w:val="28"/>
        </w:rPr>
        <w:t xml:space="preserve"> presenterà al Segretario generale una proposta per l’individuazione del soggetto gestore da designare.</w:t>
      </w:r>
    </w:p>
    <w:p w:rsidR="00FD00D1" w:rsidRPr="00B17FF0" w:rsidRDefault="00FD00D1" w:rsidP="00B17FF0">
      <w:pPr>
        <w:pStyle w:val="Titolo2"/>
        <w:rPr>
          <w:rFonts w:ascii="Times New Roman" w:hAnsi="Times New Roman"/>
        </w:rPr>
      </w:pPr>
      <w:bookmarkStart w:id="57" w:name="_Toc66721233"/>
      <w:r w:rsidRPr="00B17FF0">
        <w:rPr>
          <w:rFonts w:ascii="Times New Roman" w:hAnsi="Times New Roman"/>
        </w:rPr>
        <w:t>Fondi Strutturali</w:t>
      </w:r>
      <w:bookmarkEnd w:id="57"/>
      <w:r w:rsidRPr="00B17FF0">
        <w:rPr>
          <w:rFonts w:ascii="Times New Roman" w:hAnsi="Times New Roman"/>
        </w:rPr>
        <w:t xml:space="preserve"> </w:t>
      </w:r>
      <w:r w:rsidR="0098097A" w:rsidRPr="00B17FF0">
        <w:rPr>
          <w:rFonts w:ascii="Times New Roman" w:hAnsi="Times New Roman"/>
        </w:rPr>
        <w:t xml:space="preserve"> </w:t>
      </w:r>
    </w:p>
    <w:p w:rsidR="00D22376" w:rsidRPr="004A689C" w:rsidRDefault="007C65F6" w:rsidP="00D22376">
      <w:pPr>
        <w:rPr>
          <w:rFonts w:ascii="Times New Roman" w:hAnsi="Times New Roman"/>
          <w:szCs w:val="28"/>
        </w:rPr>
      </w:pPr>
      <w:r w:rsidRPr="004A689C">
        <w:rPr>
          <w:rFonts w:ascii="Times New Roman" w:hAnsi="Times New Roman"/>
          <w:szCs w:val="28"/>
        </w:rPr>
        <w:t xml:space="preserve">Nell’Aggiornamento 2018 del P.N.A., approvato con </w:t>
      </w:r>
      <w:r w:rsidR="00385BD5" w:rsidRPr="004A689C">
        <w:rPr>
          <w:rFonts w:ascii="Times New Roman" w:hAnsi="Times New Roman"/>
          <w:szCs w:val="28"/>
        </w:rPr>
        <w:t>D</w:t>
      </w:r>
      <w:r w:rsidR="00D22376" w:rsidRPr="004A689C">
        <w:rPr>
          <w:rFonts w:ascii="Times New Roman" w:hAnsi="Times New Roman"/>
          <w:szCs w:val="28"/>
        </w:rPr>
        <w:t xml:space="preserve">elibera </w:t>
      </w:r>
      <w:r w:rsidRPr="004A689C">
        <w:rPr>
          <w:rFonts w:ascii="Times New Roman" w:hAnsi="Times New Roman"/>
          <w:szCs w:val="28"/>
        </w:rPr>
        <w:t xml:space="preserve">A.N.AC. </w:t>
      </w:r>
      <w:r w:rsidR="00D22376" w:rsidRPr="004A689C">
        <w:rPr>
          <w:rFonts w:ascii="Times New Roman" w:hAnsi="Times New Roman"/>
          <w:szCs w:val="28"/>
        </w:rPr>
        <w:t xml:space="preserve">n. 1074 del 21 novembre 2018, è stata inserita </w:t>
      </w:r>
      <w:r w:rsidR="00F0078C" w:rsidRPr="004A689C">
        <w:rPr>
          <w:rFonts w:ascii="Times New Roman" w:hAnsi="Times New Roman"/>
          <w:szCs w:val="28"/>
        </w:rPr>
        <w:t xml:space="preserve">una sezione di approfondimento </w:t>
      </w:r>
      <w:r w:rsidR="00D22376" w:rsidRPr="004A689C">
        <w:rPr>
          <w:rFonts w:ascii="Times New Roman" w:hAnsi="Times New Roman"/>
          <w:szCs w:val="28"/>
        </w:rPr>
        <w:t>in materia di Procedure di gestione dei fondi strutturali e dei fondi nazionali per le politiche di coesione.</w:t>
      </w:r>
    </w:p>
    <w:p w:rsidR="00D22376" w:rsidRPr="004A689C" w:rsidRDefault="00C26DF9" w:rsidP="00D22376">
      <w:pPr>
        <w:rPr>
          <w:rFonts w:ascii="Times New Roman" w:hAnsi="Times New Roman"/>
          <w:szCs w:val="28"/>
        </w:rPr>
      </w:pPr>
      <w:r w:rsidRPr="004A689C">
        <w:rPr>
          <w:rFonts w:ascii="Times New Roman" w:hAnsi="Times New Roman"/>
          <w:szCs w:val="28"/>
        </w:rPr>
        <w:t>La scelta operata dall’A.N.A</w:t>
      </w:r>
      <w:r w:rsidR="00D22376" w:rsidRPr="004A689C">
        <w:rPr>
          <w:rFonts w:ascii="Times New Roman" w:hAnsi="Times New Roman"/>
          <w:szCs w:val="28"/>
        </w:rPr>
        <w:t xml:space="preserve">C. di inserire un </w:t>
      </w:r>
      <w:r w:rsidR="00D22376" w:rsidRPr="004A689C">
        <w:rPr>
          <w:rFonts w:ascii="Times New Roman" w:hAnsi="Times New Roman"/>
          <w:i/>
          <w:szCs w:val="28"/>
        </w:rPr>
        <w:t>focus</w:t>
      </w:r>
      <w:r w:rsidR="00D22376" w:rsidRPr="004A689C">
        <w:rPr>
          <w:rFonts w:ascii="Times New Roman" w:hAnsi="Times New Roman"/>
          <w:szCs w:val="28"/>
        </w:rPr>
        <w:t xml:space="preserve"> sulle procedure per l’impiego dei finanziamenti europei e nazionali, trova fondamento nella considerevole entità delle risorse pubbliche assegnate alle amministrazioni centrali e regionali dall’Unione europea e dal Governo. </w:t>
      </w:r>
    </w:p>
    <w:p w:rsidR="00D22376" w:rsidRPr="004A689C" w:rsidRDefault="00D22376" w:rsidP="00D22376">
      <w:pPr>
        <w:rPr>
          <w:rFonts w:ascii="Times New Roman" w:hAnsi="Times New Roman"/>
          <w:szCs w:val="28"/>
        </w:rPr>
      </w:pPr>
      <w:r w:rsidRPr="004A689C">
        <w:rPr>
          <w:rFonts w:ascii="Times New Roman" w:hAnsi="Times New Roman"/>
          <w:szCs w:val="28"/>
        </w:rPr>
        <w:t>Al riguardo, è stato evidenziato che</w:t>
      </w:r>
      <w:r w:rsidR="00C26DF9" w:rsidRPr="004A689C">
        <w:rPr>
          <w:rFonts w:ascii="Times New Roman" w:hAnsi="Times New Roman"/>
          <w:szCs w:val="28"/>
        </w:rPr>
        <w:t>,</w:t>
      </w:r>
      <w:r w:rsidRPr="004A689C">
        <w:rPr>
          <w:rFonts w:ascii="Times New Roman" w:hAnsi="Times New Roman"/>
          <w:szCs w:val="28"/>
        </w:rPr>
        <w:t xml:space="preserve"> nonostante l’intero settore di gestione dei fondi sia presidiato da misure organizzative e controlli previsti dalla disciplina comunitaria tesi a prevenire, individuare e contrastare fenomeni di frode e/o corruttivi, residuano margini in cui l’attività, esposta a pressioni indebite proprio a causa delle ingenti risorse finanziarie disponibili, può essere oggetto di fenomeni corruttivi. </w:t>
      </w:r>
    </w:p>
    <w:p w:rsidR="00313226" w:rsidRPr="004A689C" w:rsidRDefault="00061D79" w:rsidP="00313226">
      <w:pPr>
        <w:rPr>
          <w:rFonts w:ascii="Times New Roman" w:eastAsia="Calibri" w:hAnsi="Times New Roman"/>
          <w:szCs w:val="28"/>
          <w:lang w:eastAsia="en-US"/>
        </w:rPr>
      </w:pPr>
      <w:r w:rsidRPr="004A689C">
        <w:rPr>
          <w:rFonts w:ascii="Times New Roman" w:hAnsi="Times New Roman"/>
          <w:szCs w:val="28"/>
        </w:rPr>
        <w:t>Poiché anche nell’ambito della P.C.M. sono presenti Strutture che gestiscono finanziamenti europei e nazionali, al fine di individuare possibili misure specifiche</w:t>
      </w:r>
      <w:r w:rsidR="007C65F6" w:rsidRPr="004A689C">
        <w:rPr>
          <w:rFonts w:ascii="Times New Roman" w:hAnsi="Times New Roman"/>
          <w:szCs w:val="28"/>
        </w:rPr>
        <w:t xml:space="preserve"> il R.P.C.T. ha avviato, nel corso del 2019, </w:t>
      </w:r>
      <w:r w:rsidRPr="004A689C">
        <w:rPr>
          <w:rFonts w:ascii="Times New Roman" w:hAnsi="Times New Roman"/>
          <w:szCs w:val="28"/>
        </w:rPr>
        <w:t xml:space="preserve">un tavolo di confronto con il </w:t>
      </w:r>
      <w:r w:rsidR="008C69B4" w:rsidRPr="004A689C">
        <w:rPr>
          <w:rFonts w:ascii="Times New Roman" w:hAnsi="Times New Roman"/>
          <w:szCs w:val="28"/>
        </w:rPr>
        <w:t>D.P.</w:t>
      </w:r>
      <w:r w:rsidR="00771532" w:rsidRPr="004A689C">
        <w:rPr>
          <w:rFonts w:ascii="Times New Roman" w:hAnsi="Times New Roman"/>
          <w:szCs w:val="28"/>
        </w:rPr>
        <w:t>CO</w:t>
      </w:r>
      <w:r w:rsidR="008C69B4" w:rsidRPr="004A689C">
        <w:rPr>
          <w:rFonts w:ascii="Times New Roman" w:hAnsi="Times New Roman"/>
          <w:szCs w:val="28"/>
        </w:rPr>
        <w:t>E.</w:t>
      </w:r>
      <w:r w:rsidRPr="004A689C">
        <w:rPr>
          <w:rFonts w:ascii="Times New Roman" w:hAnsi="Times New Roman"/>
          <w:szCs w:val="28"/>
        </w:rPr>
        <w:t>, il quale svolge un fondamentale ruolo di raccordo c</w:t>
      </w:r>
      <w:r w:rsidR="00F0078C" w:rsidRPr="004A689C">
        <w:rPr>
          <w:rFonts w:ascii="Times New Roman" w:hAnsi="Times New Roman"/>
          <w:szCs w:val="28"/>
        </w:rPr>
        <w:t xml:space="preserve">on le Amministrazioni statali e regionali per la predisposizione </w:t>
      </w:r>
      <w:r w:rsidRPr="004A689C">
        <w:rPr>
          <w:rFonts w:ascii="Times New Roman" w:hAnsi="Times New Roman"/>
          <w:szCs w:val="28"/>
        </w:rPr>
        <w:t>della programmazione economica e finanziaria e di destinazione territoriale delle risorse della politica di coesione europea e nazionale.</w:t>
      </w:r>
      <w:r w:rsidR="00313226" w:rsidRPr="004A689C">
        <w:rPr>
          <w:rFonts w:ascii="Times New Roman" w:eastAsia="Calibri" w:hAnsi="Times New Roman"/>
          <w:szCs w:val="28"/>
          <w:lang w:eastAsia="en-US"/>
        </w:rPr>
        <w:t xml:space="preserve"> </w:t>
      </w:r>
    </w:p>
    <w:p w:rsidR="00313226" w:rsidRPr="004A689C" w:rsidRDefault="00313226" w:rsidP="00313226">
      <w:pPr>
        <w:rPr>
          <w:rFonts w:ascii="Times New Roman" w:hAnsi="Times New Roman"/>
          <w:szCs w:val="28"/>
        </w:rPr>
      </w:pPr>
      <w:r w:rsidRPr="004A689C">
        <w:rPr>
          <w:rFonts w:ascii="Times New Roman" w:hAnsi="Times New Roman"/>
          <w:szCs w:val="28"/>
        </w:rPr>
        <w:t xml:space="preserve">Nel gennaio 2020, il </w:t>
      </w:r>
      <w:r w:rsidR="00A1288A" w:rsidRPr="004A689C">
        <w:rPr>
          <w:rFonts w:ascii="Times New Roman" w:hAnsi="Times New Roman"/>
          <w:szCs w:val="28"/>
        </w:rPr>
        <w:t>D.P.COE.</w:t>
      </w:r>
      <w:r w:rsidRPr="004A689C">
        <w:rPr>
          <w:rFonts w:ascii="Times New Roman" w:hAnsi="Times New Roman"/>
          <w:szCs w:val="28"/>
        </w:rPr>
        <w:t xml:space="preserve"> ha richiesto all’Agenzia per la coesione territoriale ed all’A</w:t>
      </w:r>
      <w:r w:rsidR="00F24959" w:rsidRPr="004A689C">
        <w:rPr>
          <w:rFonts w:ascii="Times New Roman" w:hAnsi="Times New Roman"/>
          <w:szCs w:val="28"/>
        </w:rPr>
        <w:t>.</w:t>
      </w:r>
      <w:r w:rsidRPr="004A689C">
        <w:rPr>
          <w:rFonts w:ascii="Times New Roman" w:hAnsi="Times New Roman"/>
          <w:szCs w:val="28"/>
        </w:rPr>
        <w:t>N</w:t>
      </w:r>
      <w:r w:rsidR="00F24959" w:rsidRPr="004A689C">
        <w:rPr>
          <w:rFonts w:ascii="Times New Roman" w:hAnsi="Times New Roman"/>
          <w:szCs w:val="28"/>
        </w:rPr>
        <w:t>.</w:t>
      </w:r>
      <w:r w:rsidRPr="004A689C">
        <w:rPr>
          <w:rFonts w:ascii="Times New Roman" w:hAnsi="Times New Roman"/>
          <w:szCs w:val="28"/>
        </w:rPr>
        <w:t>P</w:t>
      </w:r>
      <w:r w:rsidR="00F24959" w:rsidRPr="004A689C">
        <w:rPr>
          <w:rFonts w:ascii="Times New Roman" w:hAnsi="Times New Roman"/>
          <w:szCs w:val="28"/>
        </w:rPr>
        <w:t>.</w:t>
      </w:r>
      <w:r w:rsidRPr="004A689C">
        <w:rPr>
          <w:rFonts w:ascii="Times New Roman" w:hAnsi="Times New Roman"/>
          <w:szCs w:val="28"/>
        </w:rPr>
        <w:t>A</w:t>
      </w:r>
      <w:r w:rsidR="00F24959" w:rsidRPr="004A689C">
        <w:rPr>
          <w:rFonts w:ascii="Times New Roman" w:hAnsi="Times New Roman"/>
          <w:szCs w:val="28"/>
        </w:rPr>
        <w:t>.</w:t>
      </w:r>
      <w:r w:rsidRPr="004A689C">
        <w:rPr>
          <w:rFonts w:ascii="Times New Roman" w:hAnsi="Times New Roman"/>
          <w:szCs w:val="28"/>
        </w:rPr>
        <w:t>L</w:t>
      </w:r>
      <w:r w:rsidR="00F24959" w:rsidRPr="004A689C">
        <w:rPr>
          <w:rFonts w:ascii="Times New Roman" w:hAnsi="Times New Roman"/>
          <w:szCs w:val="28"/>
        </w:rPr>
        <w:t>.</w:t>
      </w:r>
      <w:r w:rsidRPr="004A689C">
        <w:rPr>
          <w:rFonts w:ascii="Times New Roman" w:hAnsi="Times New Roman"/>
          <w:szCs w:val="28"/>
        </w:rPr>
        <w:t xml:space="preserve"> – Agenzia nazionale politiche attive lavoro di ricevere un elenco di progetti e programmi sulla gestione di fondi UE per i quali la P</w:t>
      </w:r>
      <w:r w:rsidR="00F24959" w:rsidRPr="004A689C">
        <w:rPr>
          <w:rFonts w:ascii="Times New Roman" w:hAnsi="Times New Roman"/>
          <w:szCs w:val="28"/>
        </w:rPr>
        <w:t>.</w:t>
      </w:r>
      <w:r w:rsidRPr="004A689C">
        <w:rPr>
          <w:rFonts w:ascii="Times New Roman" w:hAnsi="Times New Roman"/>
          <w:szCs w:val="28"/>
        </w:rPr>
        <w:t>C</w:t>
      </w:r>
      <w:r w:rsidR="00F24959" w:rsidRPr="004A689C">
        <w:rPr>
          <w:rFonts w:ascii="Times New Roman" w:hAnsi="Times New Roman"/>
          <w:szCs w:val="28"/>
        </w:rPr>
        <w:t>.</w:t>
      </w:r>
      <w:r w:rsidRPr="004A689C">
        <w:rPr>
          <w:rFonts w:ascii="Times New Roman" w:hAnsi="Times New Roman"/>
          <w:szCs w:val="28"/>
        </w:rPr>
        <w:t>M</w:t>
      </w:r>
      <w:r w:rsidR="00F24959" w:rsidRPr="004A689C">
        <w:rPr>
          <w:rFonts w:ascii="Times New Roman" w:hAnsi="Times New Roman"/>
          <w:szCs w:val="28"/>
        </w:rPr>
        <w:t>.</w:t>
      </w:r>
      <w:r w:rsidRPr="004A689C">
        <w:rPr>
          <w:rFonts w:ascii="Times New Roman" w:hAnsi="Times New Roman"/>
          <w:szCs w:val="28"/>
        </w:rPr>
        <w:t xml:space="preserve"> è soggetto beneficiario o riveste un ruolo diretto nell’ambito del sistema di </w:t>
      </w:r>
      <w:r w:rsidRPr="004A689C">
        <w:rPr>
          <w:rFonts w:ascii="Times New Roman" w:hAnsi="Times New Roman"/>
          <w:i/>
          <w:szCs w:val="28"/>
        </w:rPr>
        <w:t>governance.</w:t>
      </w:r>
      <w:r w:rsidRPr="004A689C">
        <w:rPr>
          <w:rFonts w:ascii="Times New Roman" w:hAnsi="Times New Roman"/>
          <w:szCs w:val="28"/>
        </w:rPr>
        <w:t xml:space="preserve"> </w:t>
      </w:r>
    </w:p>
    <w:p w:rsidR="00313226" w:rsidRPr="004A689C" w:rsidRDefault="00313226" w:rsidP="00313226">
      <w:pPr>
        <w:rPr>
          <w:rFonts w:ascii="Times New Roman" w:hAnsi="Times New Roman"/>
          <w:szCs w:val="28"/>
        </w:rPr>
      </w:pPr>
      <w:r w:rsidRPr="004A689C">
        <w:rPr>
          <w:rFonts w:ascii="Times New Roman" w:hAnsi="Times New Roman"/>
          <w:szCs w:val="28"/>
        </w:rPr>
        <w:t>Nel mese di novembre i</w:t>
      </w:r>
      <w:r w:rsidR="00F24959" w:rsidRPr="004A689C">
        <w:rPr>
          <w:rFonts w:ascii="Times New Roman" w:hAnsi="Times New Roman"/>
          <w:szCs w:val="28"/>
        </w:rPr>
        <w:t>l D.P.COE.</w:t>
      </w:r>
      <w:r w:rsidRPr="004A689C">
        <w:rPr>
          <w:rFonts w:ascii="Times New Roman" w:hAnsi="Times New Roman"/>
          <w:szCs w:val="28"/>
        </w:rPr>
        <w:t xml:space="preserve"> ha informato il R</w:t>
      </w:r>
      <w:r w:rsidR="00F24959" w:rsidRPr="004A689C">
        <w:rPr>
          <w:rFonts w:ascii="Times New Roman" w:hAnsi="Times New Roman"/>
          <w:szCs w:val="28"/>
        </w:rPr>
        <w:t>.</w:t>
      </w:r>
      <w:r w:rsidRPr="004A689C">
        <w:rPr>
          <w:rFonts w:ascii="Times New Roman" w:hAnsi="Times New Roman"/>
          <w:szCs w:val="28"/>
        </w:rPr>
        <w:t>P</w:t>
      </w:r>
      <w:r w:rsidR="00F24959" w:rsidRPr="004A689C">
        <w:rPr>
          <w:rFonts w:ascii="Times New Roman" w:hAnsi="Times New Roman"/>
          <w:szCs w:val="28"/>
        </w:rPr>
        <w:t>.</w:t>
      </w:r>
      <w:r w:rsidRPr="004A689C">
        <w:rPr>
          <w:rFonts w:ascii="Times New Roman" w:hAnsi="Times New Roman"/>
          <w:szCs w:val="28"/>
        </w:rPr>
        <w:t>C</w:t>
      </w:r>
      <w:r w:rsidR="00F24959" w:rsidRPr="004A689C">
        <w:rPr>
          <w:rFonts w:ascii="Times New Roman" w:hAnsi="Times New Roman"/>
          <w:szCs w:val="28"/>
        </w:rPr>
        <w:t>.</w:t>
      </w:r>
      <w:r w:rsidRPr="004A689C">
        <w:rPr>
          <w:rFonts w:ascii="Times New Roman" w:hAnsi="Times New Roman"/>
          <w:szCs w:val="28"/>
        </w:rPr>
        <w:t>T</w:t>
      </w:r>
      <w:r w:rsidR="00F24959" w:rsidRPr="004A689C">
        <w:rPr>
          <w:rFonts w:ascii="Times New Roman" w:hAnsi="Times New Roman"/>
          <w:szCs w:val="28"/>
        </w:rPr>
        <w:t>.</w:t>
      </w:r>
      <w:r w:rsidRPr="004A689C">
        <w:rPr>
          <w:rFonts w:ascii="Times New Roman" w:hAnsi="Times New Roman"/>
          <w:szCs w:val="28"/>
        </w:rPr>
        <w:t xml:space="preserve"> che l’Agenzia per la Coesione territoriale aveva trasme</w:t>
      </w:r>
      <w:r w:rsidR="00F220A6" w:rsidRPr="004A689C">
        <w:rPr>
          <w:rFonts w:ascii="Times New Roman" w:hAnsi="Times New Roman"/>
          <w:szCs w:val="28"/>
        </w:rPr>
        <w:t xml:space="preserve">sso le informazioni richieste. </w:t>
      </w:r>
    </w:p>
    <w:p w:rsidR="00313226" w:rsidRPr="004A689C" w:rsidRDefault="00313226" w:rsidP="00313226">
      <w:pPr>
        <w:rPr>
          <w:rFonts w:ascii="Times New Roman" w:hAnsi="Times New Roman"/>
          <w:szCs w:val="28"/>
        </w:rPr>
      </w:pPr>
      <w:r w:rsidRPr="004A689C">
        <w:rPr>
          <w:rFonts w:ascii="Times New Roman" w:hAnsi="Times New Roman"/>
          <w:szCs w:val="28"/>
        </w:rPr>
        <w:t>In continuità con l’iniziativa assunta nel 2020,</w:t>
      </w:r>
      <w:r w:rsidR="00D23BD3" w:rsidRPr="004A689C">
        <w:rPr>
          <w:rFonts w:ascii="Times New Roman" w:hAnsi="Times New Roman"/>
          <w:szCs w:val="28"/>
        </w:rPr>
        <w:t xml:space="preserve"> nel corso del</w:t>
      </w:r>
      <w:r w:rsidRPr="004A689C">
        <w:rPr>
          <w:rFonts w:ascii="Times New Roman" w:hAnsi="Times New Roman"/>
          <w:szCs w:val="28"/>
        </w:rPr>
        <w:t xml:space="preserve"> 2021</w:t>
      </w:r>
      <w:r w:rsidR="00D23BD3" w:rsidRPr="004A689C">
        <w:rPr>
          <w:rFonts w:ascii="Times New Roman" w:hAnsi="Times New Roman"/>
          <w:szCs w:val="28"/>
        </w:rPr>
        <w:t xml:space="preserve"> proseguirà il </w:t>
      </w:r>
      <w:r w:rsidRPr="004A689C">
        <w:rPr>
          <w:rFonts w:ascii="Times New Roman" w:hAnsi="Times New Roman"/>
          <w:szCs w:val="28"/>
        </w:rPr>
        <w:t>confronto con le Strutture P</w:t>
      </w:r>
      <w:r w:rsidR="00F24959" w:rsidRPr="004A689C">
        <w:rPr>
          <w:rFonts w:ascii="Times New Roman" w:hAnsi="Times New Roman"/>
          <w:szCs w:val="28"/>
        </w:rPr>
        <w:t>.</w:t>
      </w:r>
      <w:r w:rsidRPr="004A689C">
        <w:rPr>
          <w:rFonts w:ascii="Times New Roman" w:hAnsi="Times New Roman"/>
          <w:szCs w:val="28"/>
        </w:rPr>
        <w:t>C</w:t>
      </w:r>
      <w:r w:rsidR="00F24959" w:rsidRPr="004A689C">
        <w:rPr>
          <w:rFonts w:ascii="Times New Roman" w:hAnsi="Times New Roman"/>
          <w:szCs w:val="28"/>
        </w:rPr>
        <w:t>.</w:t>
      </w:r>
      <w:r w:rsidRPr="004A689C">
        <w:rPr>
          <w:rFonts w:ascii="Times New Roman" w:hAnsi="Times New Roman"/>
          <w:szCs w:val="28"/>
        </w:rPr>
        <w:t>M</w:t>
      </w:r>
      <w:r w:rsidR="00F24959" w:rsidRPr="004A689C">
        <w:rPr>
          <w:rFonts w:ascii="Times New Roman" w:hAnsi="Times New Roman"/>
          <w:szCs w:val="28"/>
        </w:rPr>
        <w:t>.</w:t>
      </w:r>
      <w:r w:rsidRPr="004A689C">
        <w:rPr>
          <w:rFonts w:ascii="Times New Roman" w:hAnsi="Times New Roman"/>
          <w:szCs w:val="28"/>
        </w:rPr>
        <w:t xml:space="preserve"> che sono soggetti beneficiari o che rivestono un ruolo diretto nell’am</w:t>
      </w:r>
      <w:r w:rsidR="00D23BD3" w:rsidRPr="004A689C">
        <w:rPr>
          <w:rFonts w:ascii="Times New Roman" w:hAnsi="Times New Roman"/>
          <w:szCs w:val="28"/>
        </w:rPr>
        <w:t xml:space="preserve">bito del sistema di </w:t>
      </w:r>
      <w:r w:rsidR="00D23BD3" w:rsidRPr="004A689C">
        <w:rPr>
          <w:rFonts w:ascii="Times New Roman" w:hAnsi="Times New Roman"/>
          <w:i/>
          <w:szCs w:val="28"/>
        </w:rPr>
        <w:t>governance</w:t>
      </w:r>
      <w:r w:rsidR="00D23BD3" w:rsidRPr="004A689C">
        <w:rPr>
          <w:rFonts w:ascii="Times New Roman" w:hAnsi="Times New Roman"/>
          <w:szCs w:val="28"/>
        </w:rPr>
        <w:t xml:space="preserve"> </w:t>
      </w:r>
      <w:r w:rsidRPr="004A689C">
        <w:rPr>
          <w:rFonts w:ascii="Times New Roman" w:hAnsi="Times New Roman"/>
          <w:szCs w:val="28"/>
        </w:rPr>
        <w:t xml:space="preserve">dei fondi strutturali, al fine di realizzare un approfondimento sui possibili rischi corruttivi connessi agli specifici processi e all’identificazione delle aree maggiormente esposte, così da individuare misure per la mitigazione di potenziali fenomeni corruttivi e per l’implementazione della trasparenza. </w:t>
      </w:r>
    </w:p>
    <w:p w:rsidR="00B87BAB" w:rsidRPr="004A689C" w:rsidRDefault="00653E32" w:rsidP="00B17FF0">
      <w:pPr>
        <w:pStyle w:val="Titolo1"/>
        <w:rPr>
          <w:rFonts w:ascii="Times New Roman" w:hAnsi="Times New Roman"/>
          <w:szCs w:val="28"/>
        </w:rPr>
      </w:pPr>
      <w:bookmarkStart w:id="58" w:name="_Toc66721234"/>
      <w:r w:rsidRPr="004A689C">
        <w:rPr>
          <w:rFonts w:ascii="Times New Roman" w:hAnsi="Times New Roman"/>
          <w:szCs w:val="28"/>
        </w:rPr>
        <w:t>Monitoraggio</w:t>
      </w:r>
      <w:r w:rsidR="00B87BAB" w:rsidRPr="004A689C">
        <w:rPr>
          <w:rFonts w:ascii="Times New Roman" w:hAnsi="Times New Roman"/>
          <w:szCs w:val="28"/>
        </w:rPr>
        <w:t xml:space="preserve"> </w:t>
      </w:r>
      <w:r w:rsidR="00807BD4" w:rsidRPr="004A689C">
        <w:rPr>
          <w:rFonts w:ascii="Times New Roman" w:hAnsi="Times New Roman"/>
          <w:szCs w:val="28"/>
        </w:rPr>
        <w:t xml:space="preserve">sull’applicazione delle </w:t>
      </w:r>
      <w:r w:rsidR="00B87BAB" w:rsidRPr="004A689C">
        <w:rPr>
          <w:rFonts w:ascii="Times New Roman" w:hAnsi="Times New Roman"/>
          <w:szCs w:val="28"/>
        </w:rPr>
        <w:t>misure di prevenzione</w:t>
      </w:r>
      <w:bookmarkEnd w:id="58"/>
    </w:p>
    <w:p w:rsidR="002C2B8D" w:rsidRPr="004A689C" w:rsidRDefault="002C2B8D" w:rsidP="002C2B8D">
      <w:pPr>
        <w:rPr>
          <w:rFonts w:ascii="Times New Roman" w:hAnsi="Times New Roman"/>
          <w:szCs w:val="28"/>
        </w:rPr>
      </w:pPr>
      <w:r w:rsidRPr="004A689C">
        <w:rPr>
          <w:rFonts w:ascii="Times New Roman" w:hAnsi="Times New Roman"/>
          <w:szCs w:val="28"/>
        </w:rPr>
        <w:t>I Capi delle Strutture relazionano al R</w:t>
      </w:r>
      <w:r w:rsidR="00921358" w:rsidRPr="004A689C">
        <w:rPr>
          <w:rFonts w:ascii="Times New Roman" w:hAnsi="Times New Roman"/>
          <w:szCs w:val="28"/>
        </w:rPr>
        <w:t xml:space="preserve">esponsabile </w:t>
      </w:r>
      <w:r w:rsidRPr="004A689C">
        <w:rPr>
          <w:rFonts w:ascii="Times New Roman" w:hAnsi="Times New Roman"/>
          <w:szCs w:val="28"/>
        </w:rPr>
        <w:t>sullo stato di attuazione delle misure di prevenzione entro il 30 novembre di ciascun anno.</w:t>
      </w:r>
      <w:r w:rsidR="001E3A35" w:rsidRPr="004A689C">
        <w:rPr>
          <w:rFonts w:ascii="Times New Roman" w:hAnsi="Times New Roman"/>
          <w:szCs w:val="28"/>
        </w:rPr>
        <w:t xml:space="preserve"> Nell’ambito di detta relazione provved</w:t>
      </w:r>
      <w:r w:rsidR="00FD48DD" w:rsidRPr="004A689C">
        <w:rPr>
          <w:rFonts w:ascii="Times New Roman" w:hAnsi="Times New Roman"/>
          <w:szCs w:val="28"/>
        </w:rPr>
        <w:t>ono</w:t>
      </w:r>
      <w:r w:rsidR="001E3A35" w:rsidRPr="004A689C">
        <w:rPr>
          <w:rFonts w:ascii="Times New Roman" w:hAnsi="Times New Roman"/>
          <w:szCs w:val="28"/>
        </w:rPr>
        <w:t xml:space="preserve"> a segnalare le </w:t>
      </w:r>
      <w:r w:rsidR="009970A9" w:rsidRPr="004A689C">
        <w:rPr>
          <w:rFonts w:ascii="Times New Roman" w:hAnsi="Times New Roman"/>
          <w:szCs w:val="28"/>
        </w:rPr>
        <w:t xml:space="preserve">eventuali </w:t>
      </w:r>
      <w:r w:rsidR="001E3A35" w:rsidRPr="004A689C">
        <w:rPr>
          <w:rFonts w:ascii="Times New Roman" w:hAnsi="Times New Roman"/>
          <w:szCs w:val="28"/>
        </w:rPr>
        <w:t xml:space="preserve">criticità </w:t>
      </w:r>
      <w:r w:rsidR="009970A9" w:rsidRPr="004A689C">
        <w:rPr>
          <w:rFonts w:ascii="Times New Roman" w:hAnsi="Times New Roman"/>
          <w:szCs w:val="28"/>
        </w:rPr>
        <w:t xml:space="preserve">sulla </w:t>
      </w:r>
      <w:r w:rsidR="001E3A35" w:rsidRPr="004A689C">
        <w:rPr>
          <w:rFonts w:ascii="Times New Roman" w:hAnsi="Times New Roman"/>
          <w:szCs w:val="28"/>
        </w:rPr>
        <w:t>sostenibilità economica e organizzativa</w:t>
      </w:r>
      <w:r w:rsidR="009970A9" w:rsidRPr="004A689C">
        <w:rPr>
          <w:rFonts w:ascii="Times New Roman" w:hAnsi="Times New Roman"/>
          <w:szCs w:val="28"/>
        </w:rPr>
        <w:t xml:space="preserve"> delle misure di prevenzione e sulla loro correlazione </w:t>
      </w:r>
      <w:r w:rsidR="001E3A35" w:rsidRPr="004A689C">
        <w:rPr>
          <w:rFonts w:ascii="Times New Roman" w:hAnsi="Times New Roman"/>
          <w:szCs w:val="28"/>
        </w:rPr>
        <w:t xml:space="preserve">alle caratteristiche specifiche dell’organizzazione. </w:t>
      </w:r>
      <w:r w:rsidRPr="004A689C">
        <w:rPr>
          <w:rFonts w:ascii="Times New Roman" w:hAnsi="Times New Roman"/>
          <w:szCs w:val="28"/>
        </w:rPr>
        <w:t xml:space="preserve"> Essi</w:t>
      </w:r>
      <w:r w:rsidR="00C15BBA" w:rsidRPr="004A689C">
        <w:rPr>
          <w:rFonts w:ascii="Times New Roman" w:hAnsi="Times New Roman"/>
          <w:szCs w:val="28"/>
        </w:rPr>
        <w:t>,</w:t>
      </w:r>
      <w:r w:rsidRPr="004A689C">
        <w:rPr>
          <w:rFonts w:ascii="Times New Roman" w:hAnsi="Times New Roman"/>
          <w:szCs w:val="28"/>
        </w:rPr>
        <w:t xml:space="preserve"> inoltre</w:t>
      </w:r>
      <w:r w:rsidR="00C15BBA" w:rsidRPr="004A689C">
        <w:rPr>
          <w:rFonts w:ascii="Times New Roman" w:hAnsi="Times New Roman"/>
          <w:szCs w:val="28"/>
        </w:rPr>
        <w:t>,</w:t>
      </w:r>
      <w:r w:rsidRPr="004A689C">
        <w:rPr>
          <w:rFonts w:ascii="Times New Roman" w:hAnsi="Times New Roman"/>
          <w:szCs w:val="28"/>
        </w:rPr>
        <w:t xml:space="preserve"> forniscono informazioni su specifiche misure e chiarimenti a richiesta del Responsabile in qualsiasi momento.</w:t>
      </w:r>
    </w:p>
    <w:p w:rsidR="002C2B8D" w:rsidRPr="004A689C" w:rsidRDefault="002C2B8D" w:rsidP="002C2B8D">
      <w:pPr>
        <w:rPr>
          <w:rFonts w:ascii="Times New Roman" w:hAnsi="Times New Roman"/>
          <w:szCs w:val="28"/>
        </w:rPr>
      </w:pPr>
      <w:r w:rsidRPr="004A689C">
        <w:rPr>
          <w:rFonts w:ascii="Times New Roman" w:hAnsi="Times New Roman"/>
          <w:szCs w:val="28"/>
        </w:rPr>
        <w:t xml:space="preserve">Le comunicazioni tra le Strutture ed il Responsabile avvengono attraverso la rete dei </w:t>
      </w:r>
      <w:r w:rsidR="00F24959" w:rsidRPr="004A689C">
        <w:rPr>
          <w:rFonts w:ascii="Times New Roman" w:hAnsi="Times New Roman"/>
          <w:szCs w:val="28"/>
        </w:rPr>
        <w:t>R</w:t>
      </w:r>
      <w:r w:rsidRPr="004A689C">
        <w:rPr>
          <w:rFonts w:ascii="Times New Roman" w:hAnsi="Times New Roman"/>
          <w:szCs w:val="28"/>
        </w:rPr>
        <w:t xml:space="preserve">eferenti. </w:t>
      </w:r>
    </w:p>
    <w:p w:rsidR="00CE402D" w:rsidRPr="004A689C" w:rsidRDefault="00CE402D" w:rsidP="00CE402D">
      <w:pPr>
        <w:rPr>
          <w:rFonts w:ascii="Times New Roman" w:hAnsi="Times New Roman"/>
          <w:szCs w:val="28"/>
        </w:rPr>
      </w:pPr>
      <w:r w:rsidRPr="004A689C">
        <w:rPr>
          <w:rFonts w:ascii="Times New Roman" w:hAnsi="Times New Roman"/>
          <w:szCs w:val="28"/>
        </w:rPr>
        <w:t xml:space="preserve">Le Strutture interessate da cessazioni di incarico dei dirigenti nel corso dell’anno trasmettono al Capo dell’U.C.I./R.P.C.T. una dichiarazione del Capo Struttura in merito al rispetto da parte del dirigente cessato degli adempimenti in materia di anticorruzione e trasparenza. La comunicazione è trasmessa al momento della cessazione dall’incarico. </w:t>
      </w:r>
    </w:p>
    <w:p w:rsidR="00A2422A" w:rsidRDefault="002C2B8D" w:rsidP="002C2B8D">
      <w:pPr>
        <w:rPr>
          <w:rFonts w:ascii="Times New Roman" w:hAnsi="Times New Roman"/>
          <w:szCs w:val="28"/>
        </w:rPr>
      </w:pPr>
      <w:r w:rsidRPr="004A689C">
        <w:rPr>
          <w:rFonts w:ascii="Times New Roman" w:hAnsi="Times New Roman"/>
          <w:szCs w:val="28"/>
        </w:rPr>
        <w:t xml:space="preserve">Sulla base dei monitoraggi, il Responsabile elabora la relazione annuale. Gli esiti dei monitoraggi sono inoltre utilizzati a fini di controllo e di impulso, per la valutazione della </w:t>
      </w:r>
      <w:r w:rsidRPr="004A689C">
        <w:rPr>
          <w:rFonts w:ascii="Times New Roman" w:hAnsi="Times New Roman"/>
          <w:i/>
          <w:szCs w:val="28"/>
        </w:rPr>
        <w:t>performance</w:t>
      </w:r>
      <w:r w:rsidRPr="004A689C">
        <w:rPr>
          <w:rFonts w:ascii="Times New Roman" w:hAnsi="Times New Roman"/>
          <w:szCs w:val="28"/>
        </w:rPr>
        <w:t xml:space="preserve"> dei dirigenti e per elaborare la proposta di</w:t>
      </w:r>
      <w:r w:rsidRPr="00CB5613">
        <w:rPr>
          <w:rFonts w:ascii="Times New Roman" w:hAnsi="Times New Roman"/>
          <w:szCs w:val="28"/>
        </w:rPr>
        <w:t xml:space="preserve"> aggiornamento annuale del </w:t>
      </w:r>
      <w:r w:rsidR="00920B60" w:rsidRPr="00CB5613">
        <w:rPr>
          <w:rFonts w:ascii="Times New Roman" w:hAnsi="Times New Roman"/>
          <w:szCs w:val="28"/>
        </w:rPr>
        <w:t>P.T.P.C.T.</w:t>
      </w:r>
      <w:r w:rsidRPr="00CB5613">
        <w:rPr>
          <w:rFonts w:ascii="Times New Roman" w:hAnsi="Times New Roman"/>
          <w:szCs w:val="28"/>
        </w:rPr>
        <w:t xml:space="preserve"> </w:t>
      </w:r>
    </w:p>
    <w:p w:rsidR="00807BD4" w:rsidRPr="00CB5613" w:rsidRDefault="00807BD4" w:rsidP="00B17FF0">
      <w:pPr>
        <w:pStyle w:val="Titolo1"/>
        <w:rPr>
          <w:rFonts w:ascii="Times New Roman" w:hAnsi="Times New Roman"/>
          <w:szCs w:val="28"/>
        </w:rPr>
      </w:pPr>
      <w:bookmarkStart w:id="59" w:name="_Toc468718389"/>
      <w:bookmarkStart w:id="60" w:name="_Toc66721235"/>
      <w:r w:rsidRPr="00CB5613">
        <w:rPr>
          <w:rFonts w:ascii="Times New Roman" w:hAnsi="Times New Roman"/>
          <w:szCs w:val="28"/>
        </w:rPr>
        <w:t>Ciclo della programmazione</w:t>
      </w:r>
      <w:bookmarkEnd w:id="59"/>
      <w:bookmarkEnd w:id="60"/>
    </w:p>
    <w:p w:rsidR="009D4920" w:rsidRPr="00CB5613" w:rsidRDefault="009D4920" w:rsidP="009D4920">
      <w:pPr>
        <w:rPr>
          <w:rFonts w:ascii="Times New Roman" w:hAnsi="Times New Roman"/>
          <w:szCs w:val="28"/>
        </w:rPr>
      </w:pPr>
      <w:r w:rsidRPr="00CB5613">
        <w:rPr>
          <w:rFonts w:ascii="Times New Roman" w:hAnsi="Times New Roman"/>
          <w:szCs w:val="28"/>
        </w:rPr>
        <w:t xml:space="preserve">Entro il terzo trimestre di ciascun anno, il Responsabile richiede ai Capi delle Strutture proposte per l’elaborazione del nuovo </w:t>
      </w:r>
      <w:r w:rsidR="00920B60" w:rsidRPr="00CB5613">
        <w:rPr>
          <w:rFonts w:ascii="Times New Roman" w:hAnsi="Times New Roman"/>
          <w:szCs w:val="28"/>
        </w:rPr>
        <w:t>P.T.P.C.T.</w:t>
      </w:r>
      <w:r w:rsidRPr="00CB5613">
        <w:rPr>
          <w:rFonts w:ascii="Times New Roman" w:hAnsi="Times New Roman"/>
          <w:szCs w:val="28"/>
        </w:rPr>
        <w:t xml:space="preserve"> ed eventuali indicazioni di rivalutazione del rischio.  </w:t>
      </w:r>
    </w:p>
    <w:p w:rsidR="00151209" w:rsidRDefault="009D4920" w:rsidP="007F4AAF">
      <w:r w:rsidRPr="00CB5613">
        <w:rPr>
          <w:rFonts w:ascii="Times New Roman" w:hAnsi="Times New Roman"/>
          <w:szCs w:val="28"/>
        </w:rPr>
        <w:t>Infatti, il coinvolgimento di tutti i dirigenti e del personale che a vario titolo sono responsabili delle attività all’interno della P.C.M., contribuisce a rafforzare un tessuto culturale favorevole e c</w:t>
      </w:r>
      <w:r w:rsidRPr="004A3574">
        <w:t>onsapevole alla prevenzione della corruzione.</w:t>
      </w:r>
    </w:p>
    <w:sectPr w:rsidR="00151209" w:rsidSect="007069FB">
      <w:footerReference w:type="default" r:id="rId15"/>
      <w:pgSz w:w="11900" w:h="16840"/>
      <w:pgMar w:top="1580" w:right="1127" w:bottom="1843" w:left="1680" w:header="0"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A7" w:rsidRDefault="00BA39A7" w:rsidP="00E61B9E">
      <w:r>
        <w:separator/>
      </w:r>
    </w:p>
  </w:endnote>
  <w:endnote w:type="continuationSeparator" w:id="0">
    <w:p w:rsidR="00BA39A7" w:rsidRDefault="00BA39A7" w:rsidP="00E6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5F" w:rsidRDefault="00E7375F">
    <w:pPr>
      <w:pStyle w:val="Pidipagina"/>
    </w:pPr>
  </w:p>
  <w:p w:rsidR="00E7375F" w:rsidRDefault="00E73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5F" w:rsidRDefault="00E7375F" w:rsidP="003A1587">
    <w:pPr>
      <w:pStyle w:val="Pidipagina"/>
      <w:jc w:val="left"/>
      <w:rPr>
        <w:sz w:val="16"/>
        <w:szCs w:val="16"/>
      </w:rPr>
    </w:pPr>
  </w:p>
  <w:p w:rsidR="00E7375F" w:rsidRDefault="00717821">
    <w:pPr>
      <w:pStyle w:val="Pidipagina"/>
      <w:jc w:val="center"/>
    </w:pPr>
    <w:sdt>
      <w:sdtPr>
        <w:id w:val="566154628"/>
        <w:docPartObj>
          <w:docPartGallery w:val="Page Numbers (Bottom of Page)"/>
          <w:docPartUnique/>
        </w:docPartObj>
      </w:sdtPr>
      <w:sdtEndPr/>
      <w:sdtContent>
        <w:r w:rsidR="00E7375F">
          <w:fldChar w:fldCharType="begin"/>
        </w:r>
        <w:r w:rsidR="00E7375F">
          <w:instrText xml:space="preserve"> PAGE   \* MERGEFORMAT </w:instrText>
        </w:r>
        <w:r w:rsidR="00E7375F">
          <w:fldChar w:fldCharType="separate"/>
        </w:r>
        <w:r w:rsidR="00E7375F">
          <w:rPr>
            <w:noProof/>
          </w:rPr>
          <w:t>63</w:t>
        </w:r>
        <w:r w:rsidR="00E7375F">
          <w:rPr>
            <w:noProof/>
          </w:rPr>
          <w:fldChar w:fldCharType="end"/>
        </w:r>
      </w:sdtContent>
    </w:sdt>
  </w:p>
  <w:p w:rsidR="00E7375F" w:rsidRDefault="00E73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A7" w:rsidRDefault="00BA39A7" w:rsidP="00E61B9E">
      <w:r>
        <w:separator/>
      </w:r>
    </w:p>
  </w:footnote>
  <w:footnote w:type="continuationSeparator" w:id="0">
    <w:p w:rsidR="00BA39A7" w:rsidRDefault="00BA39A7" w:rsidP="00E61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598F"/>
    <w:multiLevelType w:val="hybridMultilevel"/>
    <w:tmpl w:val="0518A5A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CAB4AFA"/>
    <w:multiLevelType w:val="multilevel"/>
    <w:tmpl w:val="4FA4C7CE"/>
    <w:lvl w:ilvl="0">
      <w:start w:val="2"/>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680" w:hanging="1440"/>
      </w:pPr>
      <w:rPr>
        <w:rFonts w:hint="default"/>
      </w:rPr>
    </w:lvl>
    <w:lvl w:ilvl="5">
      <w:start w:val="1"/>
      <w:numFmt w:val="decimal"/>
      <w:lvlText w:val="%1.%2.%3.%4.%5.%6."/>
      <w:lvlJc w:val="left"/>
      <w:pPr>
        <w:ind w:left="9600" w:hanging="180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3080" w:hanging="2160"/>
      </w:pPr>
      <w:rPr>
        <w:rFonts w:hint="default"/>
      </w:rPr>
    </w:lvl>
    <w:lvl w:ilvl="8">
      <w:start w:val="1"/>
      <w:numFmt w:val="decimal"/>
      <w:lvlText w:val="%1.%2.%3.%4.%5.%6.%7.%8.%9."/>
      <w:lvlJc w:val="left"/>
      <w:pPr>
        <w:ind w:left="15000" w:hanging="2520"/>
      </w:pPr>
      <w:rPr>
        <w:rFonts w:hint="default"/>
      </w:rPr>
    </w:lvl>
  </w:abstractNum>
  <w:abstractNum w:abstractNumId="2" w15:restartNumberingAfterBreak="0">
    <w:nsid w:val="2E2C17EE"/>
    <w:multiLevelType w:val="hybridMultilevel"/>
    <w:tmpl w:val="687CD84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ED85ED8"/>
    <w:multiLevelType w:val="hybridMultilevel"/>
    <w:tmpl w:val="3A3A54FA"/>
    <w:lvl w:ilvl="0" w:tplc="2B8631E4">
      <w:start w:val="4"/>
      <w:numFmt w:val="bullet"/>
      <w:lvlText w:val="-"/>
      <w:lvlJc w:val="left"/>
      <w:pPr>
        <w:ind w:left="644" w:hanging="360"/>
      </w:pPr>
      <w:rPr>
        <w:rFonts w:ascii="Bell MT" w:eastAsia="Times New Roman" w:hAnsi="Bell MT"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F66227F"/>
    <w:multiLevelType w:val="hybridMultilevel"/>
    <w:tmpl w:val="54829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5845ED"/>
    <w:multiLevelType w:val="multilevel"/>
    <w:tmpl w:val="97E82554"/>
    <w:lvl w:ilvl="0">
      <w:start w:val="1"/>
      <w:numFmt w:val="decimal"/>
      <w:pStyle w:val="Titolo1"/>
      <w:lvlText w:val="%1"/>
      <w:lvlJc w:val="left"/>
      <w:pPr>
        <w:ind w:left="1142" w:hanging="432"/>
      </w:pPr>
      <w:rPr>
        <w:rFonts w:hint="default"/>
      </w:rPr>
    </w:lvl>
    <w:lvl w:ilvl="1">
      <w:start w:val="1"/>
      <w:numFmt w:val="decimal"/>
      <w:pStyle w:val="Titolo2"/>
      <w:lvlText w:val="%1.%2"/>
      <w:lvlJc w:val="left"/>
      <w:pPr>
        <w:ind w:left="2136" w:hanging="576"/>
      </w:pPr>
      <w:rPr>
        <w:rFonts w:hint="default"/>
      </w:rPr>
    </w:lvl>
    <w:lvl w:ilvl="2">
      <w:start w:val="1"/>
      <w:numFmt w:val="decimal"/>
      <w:pStyle w:val="Titolo3"/>
      <w:lvlText w:val="%1.%2.%3"/>
      <w:lvlJc w:val="left"/>
      <w:pPr>
        <w:ind w:left="8516" w:hanging="720"/>
      </w:pPr>
      <w:rPr>
        <w:rFonts w:hint="default"/>
        <w:b w:val="0"/>
      </w:rPr>
    </w:lvl>
    <w:lvl w:ilvl="3">
      <w:start w:val="1"/>
      <w:numFmt w:val="decimal"/>
      <w:pStyle w:val="Titolo4"/>
      <w:lvlText w:val="%1.%2.%3.%4"/>
      <w:lvlJc w:val="left"/>
      <w:pPr>
        <w:ind w:left="1574" w:hanging="864"/>
      </w:pPr>
      <w:rPr>
        <w:rFonts w:hint="default"/>
        <w:b w:val="0"/>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15:restartNumberingAfterBreak="0">
    <w:nsid w:val="53DD1A02"/>
    <w:multiLevelType w:val="hybridMultilevel"/>
    <w:tmpl w:val="F49A78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8095FBE"/>
    <w:multiLevelType w:val="hybridMultilevel"/>
    <w:tmpl w:val="18D404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8D62FA6"/>
    <w:multiLevelType w:val="hybridMultilevel"/>
    <w:tmpl w:val="044A0342"/>
    <w:lvl w:ilvl="0" w:tplc="3D16C312">
      <w:start w:val="1"/>
      <w:numFmt w:val="lowerLetter"/>
      <w:lvlText w:val="%1)"/>
      <w:lvlJc w:val="left"/>
      <w:pPr>
        <w:ind w:left="992" w:hanging="708"/>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71383EC8"/>
    <w:multiLevelType w:val="multilevel"/>
    <w:tmpl w:val="52CA79A2"/>
    <w:styleLink w:val="Stile1"/>
    <w:lvl w:ilvl="0">
      <w:start w:val="1"/>
      <w:numFmt w:val="lowerLetter"/>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num w:numId="1">
    <w:abstractNumId w:val="9"/>
  </w:num>
  <w:num w:numId="2">
    <w:abstractNumId w:val="7"/>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1"/>
  </w:num>
  <w:num w:numId="11">
    <w:abstractNumId w:val="5"/>
    <w:lvlOverride w:ilvl="0">
      <w:startOverride w:val="5"/>
    </w:lvlOverride>
    <w:lvlOverride w:ilvl="1">
      <w:startOverride w:val="1"/>
    </w:lvlOverride>
    <w:lvlOverride w:ilvl="2">
      <w:startOverride w:val="18"/>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revisionView w:inkAnnotations="0"/>
  <w:defaultTabStop w:val="709"/>
  <w:hyphenationZone w:val="283"/>
  <w:drawingGridHorizontalSpacing w:val="140"/>
  <w:displayHorizontalDrawingGridEvery w:val="2"/>
  <w:characterSpacingControl w:val="doNotCompress"/>
  <w:hdrShapeDefaults>
    <o:shapedefaults v:ext="edit" spidmax="4097" fillcolor="#c0504d" strokecolor="#f2f2f2">
      <v:fill color="#c0504d"/>
      <v:stroke color="#f2f2f2" weight="3pt"/>
      <v:shadow on="t" color="#622423" opacity=".5" offset="-6pt,-6pt"/>
      <v:textbox style="layout-flow:vertic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94"/>
    <w:rsid w:val="00000C94"/>
    <w:rsid w:val="000015D5"/>
    <w:rsid w:val="0000181C"/>
    <w:rsid w:val="000025BD"/>
    <w:rsid w:val="00002C2C"/>
    <w:rsid w:val="00003614"/>
    <w:rsid w:val="00003D7D"/>
    <w:rsid w:val="00003E3C"/>
    <w:rsid w:val="00004730"/>
    <w:rsid w:val="00004EE5"/>
    <w:rsid w:val="000055E6"/>
    <w:rsid w:val="00006F64"/>
    <w:rsid w:val="00007367"/>
    <w:rsid w:val="000078E3"/>
    <w:rsid w:val="00007C81"/>
    <w:rsid w:val="00007F11"/>
    <w:rsid w:val="00007F3C"/>
    <w:rsid w:val="00007F4D"/>
    <w:rsid w:val="0001039D"/>
    <w:rsid w:val="0001055A"/>
    <w:rsid w:val="0001072A"/>
    <w:rsid w:val="0001101B"/>
    <w:rsid w:val="000115C0"/>
    <w:rsid w:val="00011D61"/>
    <w:rsid w:val="00012218"/>
    <w:rsid w:val="00012C40"/>
    <w:rsid w:val="00012D75"/>
    <w:rsid w:val="0001444D"/>
    <w:rsid w:val="000155B0"/>
    <w:rsid w:val="000155C1"/>
    <w:rsid w:val="000155C2"/>
    <w:rsid w:val="00015A61"/>
    <w:rsid w:val="00015A8E"/>
    <w:rsid w:val="00016DBC"/>
    <w:rsid w:val="00016F60"/>
    <w:rsid w:val="00017615"/>
    <w:rsid w:val="0002189F"/>
    <w:rsid w:val="00021ADE"/>
    <w:rsid w:val="00021C53"/>
    <w:rsid w:val="0002208E"/>
    <w:rsid w:val="00022CC6"/>
    <w:rsid w:val="00023535"/>
    <w:rsid w:val="0002437B"/>
    <w:rsid w:val="000256EB"/>
    <w:rsid w:val="00025906"/>
    <w:rsid w:val="00025A36"/>
    <w:rsid w:val="00026239"/>
    <w:rsid w:val="00026507"/>
    <w:rsid w:val="00026581"/>
    <w:rsid w:val="000268A9"/>
    <w:rsid w:val="00031E0F"/>
    <w:rsid w:val="00031E93"/>
    <w:rsid w:val="000323BF"/>
    <w:rsid w:val="00033140"/>
    <w:rsid w:val="000335A0"/>
    <w:rsid w:val="00033DAC"/>
    <w:rsid w:val="00033FDB"/>
    <w:rsid w:val="0003428C"/>
    <w:rsid w:val="00034B78"/>
    <w:rsid w:val="000353E0"/>
    <w:rsid w:val="00035C6F"/>
    <w:rsid w:val="00035FD7"/>
    <w:rsid w:val="000367FF"/>
    <w:rsid w:val="00036E81"/>
    <w:rsid w:val="00037347"/>
    <w:rsid w:val="00037BDC"/>
    <w:rsid w:val="00037D09"/>
    <w:rsid w:val="00040BC9"/>
    <w:rsid w:val="00041187"/>
    <w:rsid w:val="00041306"/>
    <w:rsid w:val="00041F28"/>
    <w:rsid w:val="00041F68"/>
    <w:rsid w:val="000423B3"/>
    <w:rsid w:val="00042A23"/>
    <w:rsid w:val="00042F45"/>
    <w:rsid w:val="0004308C"/>
    <w:rsid w:val="000430E4"/>
    <w:rsid w:val="000443C7"/>
    <w:rsid w:val="000449B2"/>
    <w:rsid w:val="00044F77"/>
    <w:rsid w:val="0004549F"/>
    <w:rsid w:val="000454C8"/>
    <w:rsid w:val="0004659C"/>
    <w:rsid w:val="00046793"/>
    <w:rsid w:val="000477C4"/>
    <w:rsid w:val="000500A7"/>
    <w:rsid w:val="00050E8D"/>
    <w:rsid w:val="00051589"/>
    <w:rsid w:val="00052051"/>
    <w:rsid w:val="000522E5"/>
    <w:rsid w:val="000523C6"/>
    <w:rsid w:val="00052ACF"/>
    <w:rsid w:val="00053F0A"/>
    <w:rsid w:val="00055329"/>
    <w:rsid w:val="000561E4"/>
    <w:rsid w:val="00056C10"/>
    <w:rsid w:val="00056CC7"/>
    <w:rsid w:val="00057120"/>
    <w:rsid w:val="00057DC2"/>
    <w:rsid w:val="00060551"/>
    <w:rsid w:val="00060750"/>
    <w:rsid w:val="00061318"/>
    <w:rsid w:val="0006131D"/>
    <w:rsid w:val="00061D79"/>
    <w:rsid w:val="00061EBB"/>
    <w:rsid w:val="000620C9"/>
    <w:rsid w:val="000621C4"/>
    <w:rsid w:val="00062C09"/>
    <w:rsid w:val="00062DB2"/>
    <w:rsid w:val="00063353"/>
    <w:rsid w:val="0006484A"/>
    <w:rsid w:val="00064CD2"/>
    <w:rsid w:val="00064F99"/>
    <w:rsid w:val="000656A9"/>
    <w:rsid w:val="00065A31"/>
    <w:rsid w:val="00065BF5"/>
    <w:rsid w:val="00066546"/>
    <w:rsid w:val="00066780"/>
    <w:rsid w:val="00066FFE"/>
    <w:rsid w:val="00067184"/>
    <w:rsid w:val="000703F9"/>
    <w:rsid w:val="00070A8C"/>
    <w:rsid w:val="00071698"/>
    <w:rsid w:val="00072851"/>
    <w:rsid w:val="000730E0"/>
    <w:rsid w:val="000735C6"/>
    <w:rsid w:val="0007381F"/>
    <w:rsid w:val="00073889"/>
    <w:rsid w:val="0007398A"/>
    <w:rsid w:val="00073A3C"/>
    <w:rsid w:val="00073AB0"/>
    <w:rsid w:val="00074286"/>
    <w:rsid w:val="0007491A"/>
    <w:rsid w:val="000754DB"/>
    <w:rsid w:val="00075664"/>
    <w:rsid w:val="000756EC"/>
    <w:rsid w:val="00075708"/>
    <w:rsid w:val="000757D4"/>
    <w:rsid w:val="000759C1"/>
    <w:rsid w:val="00075AAE"/>
    <w:rsid w:val="0007641C"/>
    <w:rsid w:val="0007658E"/>
    <w:rsid w:val="0007666E"/>
    <w:rsid w:val="00076890"/>
    <w:rsid w:val="00076996"/>
    <w:rsid w:val="000769E7"/>
    <w:rsid w:val="00076F03"/>
    <w:rsid w:val="000775DD"/>
    <w:rsid w:val="00080F1D"/>
    <w:rsid w:val="000818B3"/>
    <w:rsid w:val="00082655"/>
    <w:rsid w:val="00082D3A"/>
    <w:rsid w:val="000831C9"/>
    <w:rsid w:val="00084246"/>
    <w:rsid w:val="00085BBF"/>
    <w:rsid w:val="000869B8"/>
    <w:rsid w:val="00086DFA"/>
    <w:rsid w:val="000871BB"/>
    <w:rsid w:val="000871C8"/>
    <w:rsid w:val="00087319"/>
    <w:rsid w:val="00087690"/>
    <w:rsid w:val="0008790F"/>
    <w:rsid w:val="00087A70"/>
    <w:rsid w:val="00087F0F"/>
    <w:rsid w:val="000909E9"/>
    <w:rsid w:val="00090C1A"/>
    <w:rsid w:val="00090E29"/>
    <w:rsid w:val="00090FE4"/>
    <w:rsid w:val="00091CD5"/>
    <w:rsid w:val="00091DBD"/>
    <w:rsid w:val="000921C1"/>
    <w:rsid w:val="00092AFE"/>
    <w:rsid w:val="00095405"/>
    <w:rsid w:val="000955B8"/>
    <w:rsid w:val="000955E2"/>
    <w:rsid w:val="00095E27"/>
    <w:rsid w:val="0009672B"/>
    <w:rsid w:val="00096730"/>
    <w:rsid w:val="00096B28"/>
    <w:rsid w:val="00097125"/>
    <w:rsid w:val="00097385"/>
    <w:rsid w:val="00097E42"/>
    <w:rsid w:val="00097F53"/>
    <w:rsid w:val="00097FD4"/>
    <w:rsid w:val="000A0407"/>
    <w:rsid w:val="000A0BEE"/>
    <w:rsid w:val="000A0D7F"/>
    <w:rsid w:val="000A0DA4"/>
    <w:rsid w:val="000A1807"/>
    <w:rsid w:val="000A2097"/>
    <w:rsid w:val="000A2CE8"/>
    <w:rsid w:val="000A2FE9"/>
    <w:rsid w:val="000A3375"/>
    <w:rsid w:val="000A4F23"/>
    <w:rsid w:val="000A6426"/>
    <w:rsid w:val="000A64E7"/>
    <w:rsid w:val="000A79C4"/>
    <w:rsid w:val="000A7ED7"/>
    <w:rsid w:val="000B046C"/>
    <w:rsid w:val="000B10A6"/>
    <w:rsid w:val="000B1193"/>
    <w:rsid w:val="000B1249"/>
    <w:rsid w:val="000B15D5"/>
    <w:rsid w:val="000B3144"/>
    <w:rsid w:val="000B471C"/>
    <w:rsid w:val="000B5B03"/>
    <w:rsid w:val="000B5BB7"/>
    <w:rsid w:val="000B6276"/>
    <w:rsid w:val="000B6629"/>
    <w:rsid w:val="000B666D"/>
    <w:rsid w:val="000B6B1F"/>
    <w:rsid w:val="000B7ABF"/>
    <w:rsid w:val="000B7E8E"/>
    <w:rsid w:val="000C00E4"/>
    <w:rsid w:val="000C0C5D"/>
    <w:rsid w:val="000C11F7"/>
    <w:rsid w:val="000C146B"/>
    <w:rsid w:val="000C20A1"/>
    <w:rsid w:val="000C2384"/>
    <w:rsid w:val="000C24A4"/>
    <w:rsid w:val="000C290B"/>
    <w:rsid w:val="000C2964"/>
    <w:rsid w:val="000C3143"/>
    <w:rsid w:val="000C32CC"/>
    <w:rsid w:val="000C374A"/>
    <w:rsid w:val="000C40FB"/>
    <w:rsid w:val="000C5197"/>
    <w:rsid w:val="000C5F2A"/>
    <w:rsid w:val="000C6557"/>
    <w:rsid w:val="000C7288"/>
    <w:rsid w:val="000D132C"/>
    <w:rsid w:val="000D133D"/>
    <w:rsid w:val="000D25FB"/>
    <w:rsid w:val="000D26CA"/>
    <w:rsid w:val="000D3803"/>
    <w:rsid w:val="000D3B2F"/>
    <w:rsid w:val="000D4319"/>
    <w:rsid w:val="000D4342"/>
    <w:rsid w:val="000D4374"/>
    <w:rsid w:val="000D536F"/>
    <w:rsid w:val="000D56A6"/>
    <w:rsid w:val="000D5F91"/>
    <w:rsid w:val="000D5FE1"/>
    <w:rsid w:val="000D64BE"/>
    <w:rsid w:val="000E00F9"/>
    <w:rsid w:val="000E0A42"/>
    <w:rsid w:val="000E17C0"/>
    <w:rsid w:val="000E1973"/>
    <w:rsid w:val="000E1A41"/>
    <w:rsid w:val="000E1C75"/>
    <w:rsid w:val="000E1EE3"/>
    <w:rsid w:val="000E1FF4"/>
    <w:rsid w:val="000E282D"/>
    <w:rsid w:val="000E319E"/>
    <w:rsid w:val="000E36A9"/>
    <w:rsid w:val="000E4902"/>
    <w:rsid w:val="000E4AAE"/>
    <w:rsid w:val="000E4DB2"/>
    <w:rsid w:val="000E4E07"/>
    <w:rsid w:val="000E50D0"/>
    <w:rsid w:val="000E5F60"/>
    <w:rsid w:val="000E628A"/>
    <w:rsid w:val="000E6B2D"/>
    <w:rsid w:val="000F0795"/>
    <w:rsid w:val="000F0D58"/>
    <w:rsid w:val="000F0E31"/>
    <w:rsid w:val="000F1771"/>
    <w:rsid w:val="000F1D7D"/>
    <w:rsid w:val="000F200D"/>
    <w:rsid w:val="000F239C"/>
    <w:rsid w:val="000F2F80"/>
    <w:rsid w:val="000F474B"/>
    <w:rsid w:val="000F62DD"/>
    <w:rsid w:val="000F66D7"/>
    <w:rsid w:val="000F6C8D"/>
    <w:rsid w:val="000F7799"/>
    <w:rsid w:val="000F7CF8"/>
    <w:rsid w:val="00100FCF"/>
    <w:rsid w:val="00102FA1"/>
    <w:rsid w:val="001035E3"/>
    <w:rsid w:val="00104ECB"/>
    <w:rsid w:val="0010520E"/>
    <w:rsid w:val="001053AC"/>
    <w:rsid w:val="00105B1B"/>
    <w:rsid w:val="00107647"/>
    <w:rsid w:val="001077A2"/>
    <w:rsid w:val="00107F75"/>
    <w:rsid w:val="00111262"/>
    <w:rsid w:val="00111C3F"/>
    <w:rsid w:val="0011230C"/>
    <w:rsid w:val="00112881"/>
    <w:rsid w:val="001134FD"/>
    <w:rsid w:val="001136B1"/>
    <w:rsid w:val="00113D58"/>
    <w:rsid w:val="001140C0"/>
    <w:rsid w:val="00114B5E"/>
    <w:rsid w:val="00114C53"/>
    <w:rsid w:val="00114D7C"/>
    <w:rsid w:val="00114E39"/>
    <w:rsid w:val="00115509"/>
    <w:rsid w:val="00115866"/>
    <w:rsid w:val="00115A0F"/>
    <w:rsid w:val="0011667A"/>
    <w:rsid w:val="00116AB0"/>
    <w:rsid w:val="00117053"/>
    <w:rsid w:val="001178EC"/>
    <w:rsid w:val="00117AF5"/>
    <w:rsid w:val="00117AFC"/>
    <w:rsid w:val="00117CAF"/>
    <w:rsid w:val="00121046"/>
    <w:rsid w:val="0012199D"/>
    <w:rsid w:val="001221BC"/>
    <w:rsid w:val="00123065"/>
    <w:rsid w:val="0012325C"/>
    <w:rsid w:val="001239C7"/>
    <w:rsid w:val="00124EB9"/>
    <w:rsid w:val="00125791"/>
    <w:rsid w:val="00126C3C"/>
    <w:rsid w:val="00127066"/>
    <w:rsid w:val="001272A5"/>
    <w:rsid w:val="00127646"/>
    <w:rsid w:val="001303E3"/>
    <w:rsid w:val="00133186"/>
    <w:rsid w:val="001332E0"/>
    <w:rsid w:val="00133CFC"/>
    <w:rsid w:val="00134348"/>
    <w:rsid w:val="00134597"/>
    <w:rsid w:val="00135F56"/>
    <w:rsid w:val="00135F61"/>
    <w:rsid w:val="00136B2A"/>
    <w:rsid w:val="00137198"/>
    <w:rsid w:val="00141829"/>
    <w:rsid w:val="00141835"/>
    <w:rsid w:val="00141858"/>
    <w:rsid w:val="00142269"/>
    <w:rsid w:val="00142428"/>
    <w:rsid w:val="0014259D"/>
    <w:rsid w:val="00142DA8"/>
    <w:rsid w:val="00142ECF"/>
    <w:rsid w:val="0014390F"/>
    <w:rsid w:val="001445FB"/>
    <w:rsid w:val="00144F1F"/>
    <w:rsid w:val="00145C02"/>
    <w:rsid w:val="001465B9"/>
    <w:rsid w:val="00146668"/>
    <w:rsid w:val="0014667D"/>
    <w:rsid w:val="001470BB"/>
    <w:rsid w:val="00147A55"/>
    <w:rsid w:val="00147D79"/>
    <w:rsid w:val="001503C0"/>
    <w:rsid w:val="00151209"/>
    <w:rsid w:val="00151EA8"/>
    <w:rsid w:val="00152B60"/>
    <w:rsid w:val="00153D98"/>
    <w:rsid w:val="00155E52"/>
    <w:rsid w:val="0015628E"/>
    <w:rsid w:val="00156934"/>
    <w:rsid w:val="00157228"/>
    <w:rsid w:val="001578C9"/>
    <w:rsid w:val="00157A29"/>
    <w:rsid w:val="00157DBC"/>
    <w:rsid w:val="001600EC"/>
    <w:rsid w:val="001605DB"/>
    <w:rsid w:val="0016093C"/>
    <w:rsid w:val="00161A3C"/>
    <w:rsid w:val="00161DEA"/>
    <w:rsid w:val="0016251A"/>
    <w:rsid w:val="00162FEC"/>
    <w:rsid w:val="00163387"/>
    <w:rsid w:val="00163855"/>
    <w:rsid w:val="00163A35"/>
    <w:rsid w:val="00163C7C"/>
    <w:rsid w:val="00164A74"/>
    <w:rsid w:val="00165067"/>
    <w:rsid w:val="00165355"/>
    <w:rsid w:val="001661B9"/>
    <w:rsid w:val="00167489"/>
    <w:rsid w:val="001678B2"/>
    <w:rsid w:val="00167A01"/>
    <w:rsid w:val="001702C5"/>
    <w:rsid w:val="001711DE"/>
    <w:rsid w:val="001724D1"/>
    <w:rsid w:val="00172684"/>
    <w:rsid w:val="00172CB0"/>
    <w:rsid w:val="00174B1D"/>
    <w:rsid w:val="0017516D"/>
    <w:rsid w:val="00175520"/>
    <w:rsid w:val="001758B5"/>
    <w:rsid w:val="00175967"/>
    <w:rsid w:val="00175BBF"/>
    <w:rsid w:val="00175DAE"/>
    <w:rsid w:val="00175E0E"/>
    <w:rsid w:val="001764EC"/>
    <w:rsid w:val="001765F1"/>
    <w:rsid w:val="00176B12"/>
    <w:rsid w:val="0017731D"/>
    <w:rsid w:val="00180380"/>
    <w:rsid w:val="00180391"/>
    <w:rsid w:val="00180675"/>
    <w:rsid w:val="001807C8"/>
    <w:rsid w:val="00180C67"/>
    <w:rsid w:val="00181200"/>
    <w:rsid w:val="00181420"/>
    <w:rsid w:val="001816D5"/>
    <w:rsid w:val="00182492"/>
    <w:rsid w:val="00182583"/>
    <w:rsid w:val="001831BD"/>
    <w:rsid w:val="00183642"/>
    <w:rsid w:val="00184104"/>
    <w:rsid w:val="001846A6"/>
    <w:rsid w:val="0018485C"/>
    <w:rsid w:val="00184FB1"/>
    <w:rsid w:val="001850AB"/>
    <w:rsid w:val="00186497"/>
    <w:rsid w:val="001873FE"/>
    <w:rsid w:val="00187464"/>
    <w:rsid w:val="001874D7"/>
    <w:rsid w:val="001877FA"/>
    <w:rsid w:val="001878C6"/>
    <w:rsid w:val="00190456"/>
    <w:rsid w:val="0019047C"/>
    <w:rsid w:val="00190A40"/>
    <w:rsid w:val="00190EF1"/>
    <w:rsid w:val="00190FC8"/>
    <w:rsid w:val="001911DB"/>
    <w:rsid w:val="0019180C"/>
    <w:rsid w:val="001918C1"/>
    <w:rsid w:val="00191E6D"/>
    <w:rsid w:val="00192131"/>
    <w:rsid w:val="00193068"/>
    <w:rsid w:val="00193FBF"/>
    <w:rsid w:val="001945F2"/>
    <w:rsid w:val="0019548A"/>
    <w:rsid w:val="00195C56"/>
    <w:rsid w:val="00195E01"/>
    <w:rsid w:val="00196412"/>
    <w:rsid w:val="0019642B"/>
    <w:rsid w:val="0019645A"/>
    <w:rsid w:val="0019658C"/>
    <w:rsid w:val="0019678A"/>
    <w:rsid w:val="00197654"/>
    <w:rsid w:val="001976E8"/>
    <w:rsid w:val="00197F13"/>
    <w:rsid w:val="001A0548"/>
    <w:rsid w:val="001A0FCA"/>
    <w:rsid w:val="001A11B2"/>
    <w:rsid w:val="001A130C"/>
    <w:rsid w:val="001A2183"/>
    <w:rsid w:val="001A33D7"/>
    <w:rsid w:val="001A3805"/>
    <w:rsid w:val="001A4CF2"/>
    <w:rsid w:val="001A55C1"/>
    <w:rsid w:val="001A63AD"/>
    <w:rsid w:val="001A6558"/>
    <w:rsid w:val="001A6565"/>
    <w:rsid w:val="001A6D52"/>
    <w:rsid w:val="001A6DCB"/>
    <w:rsid w:val="001A70CA"/>
    <w:rsid w:val="001A7190"/>
    <w:rsid w:val="001A7366"/>
    <w:rsid w:val="001A78F5"/>
    <w:rsid w:val="001A7D56"/>
    <w:rsid w:val="001A7F2F"/>
    <w:rsid w:val="001B070B"/>
    <w:rsid w:val="001B09AE"/>
    <w:rsid w:val="001B0A58"/>
    <w:rsid w:val="001B0CCE"/>
    <w:rsid w:val="001B115B"/>
    <w:rsid w:val="001B2AE7"/>
    <w:rsid w:val="001B3C05"/>
    <w:rsid w:val="001B3EC9"/>
    <w:rsid w:val="001B48C6"/>
    <w:rsid w:val="001B4EA1"/>
    <w:rsid w:val="001B5B36"/>
    <w:rsid w:val="001B5E40"/>
    <w:rsid w:val="001B7196"/>
    <w:rsid w:val="001B75B7"/>
    <w:rsid w:val="001B7879"/>
    <w:rsid w:val="001B7D66"/>
    <w:rsid w:val="001C0481"/>
    <w:rsid w:val="001C07E1"/>
    <w:rsid w:val="001C0855"/>
    <w:rsid w:val="001C0C5B"/>
    <w:rsid w:val="001C1639"/>
    <w:rsid w:val="001C17D7"/>
    <w:rsid w:val="001C1D5F"/>
    <w:rsid w:val="001C238A"/>
    <w:rsid w:val="001C293E"/>
    <w:rsid w:val="001C3A21"/>
    <w:rsid w:val="001C487F"/>
    <w:rsid w:val="001C5249"/>
    <w:rsid w:val="001C5261"/>
    <w:rsid w:val="001C5544"/>
    <w:rsid w:val="001C7929"/>
    <w:rsid w:val="001C7AE1"/>
    <w:rsid w:val="001D0A1E"/>
    <w:rsid w:val="001D17D6"/>
    <w:rsid w:val="001D2203"/>
    <w:rsid w:val="001D27CA"/>
    <w:rsid w:val="001D2D7D"/>
    <w:rsid w:val="001D336C"/>
    <w:rsid w:val="001D34DA"/>
    <w:rsid w:val="001D51A8"/>
    <w:rsid w:val="001D6971"/>
    <w:rsid w:val="001D7145"/>
    <w:rsid w:val="001D784C"/>
    <w:rsid w:val="001D7AFF"/>
    <w:rsid w:val="001D7C9C"/>
    <w:rsid w:val="001E0A4F"/>
    <w:rsid w:val="001E0A82"/>
    <w:rsid w:val="001E0B8B"/>
    <w:rsid w:val="001E0C9C"/>
    <w:rsid w:val="001E115E"/>
    <w:rsid w:val="001E12BE"/>
    <w:rsid w:val="001E1CA5"/>
    <w:rsid w:val="001E2340"/>
    <w:rsid w:val="001E2C82"/>
    <w:rsid w:val="001E3058"/>
    <w:rsid w:val="001E39D2"/>
    <w:rsid w:val="001E3A35"/>
    <w:rsid w:val="001E5AF3"/>
    <w:rsid w:val="001E61AD"/>
    <w:rsid w:val="001E67BE"/>
    <w:rsid w:val="001E68DD"/>
    <w:rsid w:val="001E6AF5"/>
    <w:rsid w:val="001E6F53"/>
    <w:rsid w:val="001E6FDA"/>
    <w:rsid w:val="001E76B9"/>
    <w:rsid w:val="001E7869"/>
    <w:rsid w:val="001E7A7F"/>
    <w:rsid w:val="001E7D4D"/>
    <w:rsid w:val="001F0207"/>
    <w:rsid w:val="001F151A"/>
    <w:rsid w:val="001F1745"/>
    <w:rsid w:val="001F247A"/>
    <w:rsid w:val="001F2A02"/>
    <w:rsid w:val="001F2D9A"/>
    <w:rsid w:val="001F47BB"/>
    <w:rsid w:val="001F50DC"/>
    <w:rsid w:val="001F5158"/>
    <w:rsid w:val="001F702D"/>
    <w:rsid w:val="001F72CA"/>
    <w:rsid w:val="001F7318"/>
    <w:rsid w:val="00200B76"/>
    <w:rsid w:val="00200BAF"/>
    <w:rsid w:val="00200C96"/>
    <w:rsid w:val="00202284"/>
    <w:rsid w:val="00202BD6"/>
    <w:rsid w:val="00202F13"/>
    <w:rsid w:val="0020331A"/>
    <w:rsid w:val="00203F07"/>
    <w:rsid w:val="002047AE"/>
    <w:rsid w:val="002048B4"/>
    <w:rsid w:val="00204902"/>
    <w:rsid w:val="00205267"/>
    <w:rsid w:val="00206A2E"/>
    <w:rsid w:val="00207679"/>
    <w:rsid w:val="00207A0D"/>
    <w:rsid w:val="00207DBF"/>
    <w:rsid w:val="00211662"/>
    <w:rsid w:val="002124BD"/>
    <w:rsid w:val="00212846"/>
    <w:rsid w:val="00212BB2"/>
    <w:rsid w:val="00212DB1"/>
    <w:rsid w:val="00212F90"/>
    <w:rsid w:val="002131B2"/>
    <w:rsid w:val="0021365C"/>
    <w:rsid w:val="00213BDF"/>
    <w:rsid w:val="00213D0B"/>
    <w:rsid w:val="002145F4"/>
    <w:rsid w:val="00214C30"/>
    <w:rsid w:val="00214EF4"/>
    <w:rsid w:val="00215F01"/>
    <w:rsid w:val="00216421"/>
    <w:rsid w:val="002166EF"/>
    <w:rsid w:val="00216A9B"/>
    <w:rsid w:val="00216C9C"/>
    <w:rsid w:val="0021729E"/>
    <w:rsid w:val="0021798E"/>
    <w:rsid w:val="0022014E"/>
    <w:rsid w:val="00220A40"/>
    <w:rsid w:val="00221404"/>
    <w:rsid w:val="00222B12"/>
    <w:rsid w:val="00223B0C"/>
    <w:rsid w:val="00224294"/>
    <w:rsid w:val="0022598E"/>
    <w:rsid w:val="00225B1E"/>
    <w:rsid w:val="00226CA2"/>
    <w:rsid w:val="00227275"/>
    <w:rsid w:val="0022729D"/>
    <w:rsid w:val="0022758E"/>
    <w:rsid w:val="00227912"/>
    <w:rsid w:val="00230391"/>
    <w:rsid w:val="00230440"/>
    <w:rsid w:val="00230BB3"/>
    <w:rsid w:val="0023152C"/>
    <w:rsid w:val="00231D1C"/>
    <w:rsid w:val="00231E0D"/>
    <w:rsid w:val="00232672"/>
    <w:rsid w:val="00232A58"/>
    <w:rsid w:val="00232D2D"/>
    <w:rsid w:val="002334EF"/>
    <w:rsid w:val="00233CF7"/>
    <w:rsid w:val="00234A00"/>
    <w:rsid w:val="00235BCD"/>
    <w:rsid w:val="00235BF3"/>
    <w:rsid w:val="0023648D"/>
    <w:rsid w:val="00237714"/>
    <w:rsid w:val="0023795B"/>
    <w:rsid w:val="00240708"/>
    <w:rsid w:val="00240D72"/>
    <w:rsid w:val="002413F5"/>
    <w:rsid w:val="00242076"/>
    <w:rsid w:val="00244E42"/>
    <w:rsid w:val="00244F1E"/>
    <w:rsid w:val="00245053"/>
    <w:rsid w:val="00246092"/>
    <w:rsid w:val="0024615A"/>
    <w:rsid w:val="00246710"/>
    <w:rsid w:val="00246B7B"/>
    <w:rsid w:val="00246D79"/>
    <w:rsid w:val="0025103E"/>
    <w:rsid w:val="002513D1"/>
    <w:rsid w:val="00252552"/>
    <w:rsid w:val="002525A5"/>
    <w:rsid w:val="00252B19"/>
    <w:rsid w:val="002535FC"/>
    <w:rsid w:val="00253DBC"/>
    <w:rsid w:val="002544CA"/>
    <w:rsid w:val="00254824"/>
    <w:rsid w:val="00254DE4"/>
    <w:rsid w:val="00255956"/>
    <w:rsid w:val="0025771F"/>
    <w:rsid w:val="00257A56"/>
    <w:rsid w:val="00257FC0"/>
    <w:rsid w:val="002601E2"/>
    <w:rsid w:val="0026075D"/>
    <w:rsid w:val="00261415"/>
    <w:rsid w:val="0026165B"/>
    <w:rsid w:val="0026168C"/>
    <w:rsid w:val="00261EDF"/>
    <w:rsid w:val="0026209E"/>
    <w:rsid w:val="002628BF"/>
    <w:rsid w:val="00262C55"/>
    <w:rsid w:val="00262D8D"/>
    <w:rsid w:val="002631AC"/>
    <w:rsid w:val="00263755"/>
    <w:rsid w:val="00263AB2"/>
    <w:rsid w:val="00263EBF"/>
    <w:rsid w:val="002642EF"/>
    <w:rsid w:val="0026492B"/>
    <w:rsid w:val="00265156"/>
    <w:rsid w:val="00265A0F"/>
    <w:rsid w:val="002667E0"/>
    <w:rsid w:val="00266B31"/>
    <w:rsid w:val="00266CC5"/>
    <w:rsid w:val="00267390"/>
    <w:rsid w:val="00267648"/>
    <w:rsid w:val="0027050A"/>
    <w:rsid w:val="00270CC7"/>
    <w:rsid w:val="002710FC"/>
    <w:rsid w:val="0027125D"/>
    <w:rsid w:val="00271C92"/>
    <w:rsid w:val="0027265C"/>
    <w:rsid w:val="00272A4B"/>
    <w:rsid w:val="00274CE4"/>
    <w:rsid w:val="00274D26"/>
    <w:rsid w:val="00276855"/>
    <w:rsid w:val="002777AE"/>
    <w:rsid w:val="00280D7B"/>
    <w:rsid w:val="00280FF5"/>
    <w:rsid w:val="0028109E"/>
    <w:rsid w:val="002815AE"/>
    <w:rsid w:val="0028245C"/>
    <w:rsid w:val="00282F96"/>
    <w:rsid w:val="00283530"/>
    <w:rsid w:val="002837C7"/>
    <w:rsid w:val="0028392B"/>
    <w:rsid w:val="00283CE9"/>
    <w:rsid w:val="002841F1"/>
    <w:rsid w:val="00284596"/>
    <w:rsid w:val="002847D3"/>
    <w:rsid w:val="0028582C"/>
    <w:rsid w:val="00285CC8"/>
    <w:rsid w:val="00286924"/>
    <w:rsid w:val="00286B7C"/>
    <w:rsid w:val="00287352"/>
    <w:rsid w:val="002878BB"/>
    <w:rsid w:val="002878DB"/>
    <w:rsid w:val="00287D18"/>
    <w:rsid w:val="00290347"/>
    <w:rsid w:val="002911CE"/>
    <w:rsid w:val="00291379"/>
    <w:rsid w:val="00291493"/>
    <w:rsid w:val="002929FE"/>
    <w:rsid w:val="00292E9A"/>
    <w:rsid w:val="00292FCC"/>
    <w:rsid w:val="002932DE"/>
    <w:rsid w:val="002938C4"/>
    <w:rsid w:val="00293CF9"/>
    <w:rsid w:val="002949D8"/>
    <w:rsid w:val="00295B29"/>
    <w:rsid w:val="0029619F"/>
    <w:rsid w:val="002964A8"/>
    <w:rsid w:val="002969A4"/>
    <w:rsid w:val="002969B7"/>
    <w:rsid w:val="0029723F"/>
    <w:rsid w:val="002A02A0"/>
    <w:rsid w:val="002A0D91"/>
    <w:rsid w:val="002A1700"/>
    <w:rsid w:val="002A17C1"/>
    <w:rsid w:val="002A1C04"/>
    <w:rsid w:val="002A1CFE"/>
    <w:rsid w:val="002A2AF2"/>
    <w:rsid w:val="002A50E4"/>
    <w:rsid w:val="002A6D9B"/>
    <w:rsid w:val="002A724B"/>
    <w:rsid w:val="002B03C8"/>
    <w:rsid w:val="002B0DA5"/>
    <w:rsid w:val="002B10A6"/>
    <w:rsid w:val="002B1C50"/>
    <w:rsid w:val="002B1F49"/>
    <w:rsid w:val="002B30CA"/>
    <w:rsid w:val="002B50E3"/>
    <w:rsid w:val="002B5238"/>
    <w:rsid w:val="002B5666"/>
    <w:rsid w:val="002B5BBD"/>
    <w:rsid w:val="002B6F6B"/>
    <w:rsid w:val="002B77C6"/>
    <w:rsid w:val="002C0E7E"/>
    <w:rsid w:val="002C0F91"/>
    <w:rsid w:val="002C1357"/>
    <w:rsid w:val="002C1534"/>
    <w:rsid w:val="002C177F"/>
    <w:rsid w:val="002C20F4"/>
    <w:rsid w:val="002C23EB"/>
    <w:rsid w:val="002C23FC"/>
    <w:rsid w:val="002C2762"/>
    <w:rsid w:val="002C2B8D"/>
    <w:rsid w:val="002C340E"/>
    <w:rsid w:val="002C3568"/>
    <w:rsid w:val="002C3A24"/>
    <w:rsid w:val="002C4056"/>
    <w:rsid w:val="002C4317"/>
    <w:rsid w:val="002C4BC0"/>
    <w:rsid w:val="002C5456"/>
    <w:rsid w:val="002C5A72"/>
    <w:rsid w:val="002C5EBD"/>
    <w:rsid w:val="002C63F4"/>
    <w:rsid w:val="002C69A6"/>
    <w:rsid w:val="002D0B94"/>
    <w:rsid w:val="002D16D0"/>
    <w:rsid w:val="002D1927"/>
    <w:rsid w:val="002D19DF"/>
    <w:rsid w:val="002D1C01"/>
    <w:rsid w:val="002D1F49"/>
    <w:rsid w:val="002D22FB"/>
    <w:rsid w:val="002D274F"/>
    <w:rsid w:val="002D275A"/>
    <w:rsid w:val="002D3895"/>
    <w:rsid w:val="002D3B3A"/>
    <w:rsid w:val="002D3F06"/>
    <w:rsid w:val="002D4339"/>
    <w:rsid w:val="002D46EC"/>
    <w:rsid w:val="002D56D1"/>
    <w:rsid w:val="002D6340"/>
    <w:rsid w:val="002D63F7"/>
    <w:rsid w:val="002E0732"/>
    <w:rsid w:val="002E0859"/>
    <w:rsid w:val="002E1732"/>
    <w:rsid w:val="002E1926"/>
    <w:rsid w:val="002E1E8B"/>
    <w:rsid w:val="002E3395"/>
    <w:rsid w:val="002E3841"/>
    <w:rsid w:val="002E3A56"/>
    <w:rsid w:val="002E4AA8"/>
    <w:rsid w:val="002E4E35"/>
    <w:rsid w:val="002E5144"/>
    <w:rsid w:val="002E556D"/>
    <w:rsid w:val="002E5A6B"/>
    <w:rsid w:val="002E61F1"/>
    <w:rsid w:val="002E6423"/>
    <w:rsid w:val="002E7800"/>
    <w:rsid w:val="002E79E4"/>
    <w:rsid w:val="002E7DBA"/>
    <w:rsid w:val="002F0A04"/>
    <w:rsid w:val="002F0C52"/>
    <w:rsid w:val="002F1075"/>
    <w:rsid w:val="002F12CF"/>
    <w:rsid w:val="002F1437"/>
    <w:rsid w:val="002F15DF"/>
    <w:rsid w:val="002F1887"/>
    <w:rsid w:val="002F1C9C"/>
    <w:rsid w:val="002F1EE6"/>
    <w:rsid w:val="002F1FEC"/>
    <w:rsid w:val="002F2ABF"/>
    <w:rsid w:val="002F3378"/>
    <w:rsid w:val="002F3764"/>
    <w:rsid w:val="002F3ECA"/>
    <w:rsid w:val="002F3F1A"/>
    <w:rsid w:val="002F453E"/>
    <w:rsid w:val="002F4F6D"/>
    <w:rsid w:val="002F5531"/>
    <w:rsid w:val="002F5E27"/>
    <w:rsid w:val="002F73B0"/>
    <w:rsid w:val="002F7DEE"/>
    <w:rsid w:val="0030084E"/>
    <w:rsid w:val="003008BC"/>
    <w:rsid w:val="00300A4A"/>
    <w:rsid w:val="0030177A"/>
    <w:rsid w:val="00302399"/>
    <w:rsid w:val="0030239B"/>
    <w:rsid w:val="00302711"/>
    <w:rsid w:val="00302B09"/>
    <w:rsid w:val="0030309B"/>
    <w:rsid w:val="003030D0"/>
    <w:rsid w:val="00303BA8"/>
    <w:rsid w:val="00303C04"/>
    <w:rsid w:val="00304DB5"/>
    <w:rsid w:val="00304F3C"/>
    <w:rsid w:val="0030554C"/>
    <w:rsid w:val="0030662B"/>
    <w:rsid w:val="003100C7"/>
    <w:rsid w:val="00310666"/>
    <w:rsid w:val="00310D2C"/>
    <w:rsid w:val="00310E52"/>
    <w:rsid w:val="003124F4"/>
    <w:rsid w:val="00312515"/>
    <w:rsid w:val="00313226"/>
    <w:rsid w:val="003137A0"/>
    <w:rsid w:val="003137EC"/>
    <w:rsid w:val="00313A86"/>
    <w:rsid w:val="00313FC5"/>
    <w:rsid w:val="00314701"/>
    <w:rsid w:val="00314D1D"/>
    <w:rsid w:val="00315038"/>
    <w:rsid w:val="00315BC0"/>
    <w:rsid w:val="00316F58"/>
    <w:rsid w:val="003178D3"/>
    <w:rsid w:val="003179A4"/>
    <w:rsid w:val="0032068F"/>
    <w:rsid w:val="003214BF"/>
    <w:rsid w:val="00321D25"/>
    <w:rsid w:val="00321F5B"/>
    <w:rsid w:val="003228D9"/>
    <w:rsid w:val="003233D1"/>
    <w:rsid w:val="00324652"/>
    <w:rsid w:val="0032479B"/>
    <w:rsid w:val="0032496C"/>
    <w:rsid w:val="00324F81"/>
    <w:rsid w:val="00325658"/>
    <w:rsid w:val="003258CF"/>
    <w:rsid w:val="00325A0F"/>
    <w:rsid w:val="0032654B"/>
    <w:rsid w:val="00326B3D"/>
    <w:rsid w:val="00326F9D"/>
    <w:rsid w:val="003274A6"/>
    <w:rsid w:val="00327535"/>
    <w:rsid w:val="00327912"/>
    <w:rsid w:val="00327B1C"/>
    <w:rsid w:val="00327DC2"/>
    <w:rsid w:val="0033070B"/>
    <w:rsid w:val="00330D15"/>
    <w:rsid w:val="00331179"/>
    <w:rsid w:val="00331BD3"/>
    <w:rsid w:val="0033248C"/>
    <w:rsid w:val="003329C0"/>
    <w:rsid w:val="00332AAF"/>
    <w:rsid w:val="00332C7F"/>
    <w:rsid w:val="00333C47"/>
    <w:rsid w:val="003346ED"/>
    <w:rsid w:val="003355D9"/>
    <w:rsid w:val="003356FC"/>
    <w:rsid w:val="00337521"/>
    <w:rsid w:val="00337CC6"/>
    <w:rsid w:val="003401FC"/>
    <w:rsid w:val="00340427"/>
    <w:rsid w:val="00340DB2"/>
    <w:rsid w:val="003410AF"/>
    <w:rsid w:val="003416F6"/>
    <w:rsid w:val="00341939"/>
    <w:rsid w:val="003419DC"/>
    <w:rsid w:val="00341AD4"/>
    <w:rsid w:val="00341D9C"/>
    <w:rsid w:val="00343153"/>
    <w:rsid w:val="00344AC1"/>
    <w:rsid w:val="00344C82"/>
    <w:rsid w:val="00345084"/>
    <w:rsid w:val="003451DA"/>
    <w:rsid w:val="00345421"/>
    <w:rsid w:val="00345C14"/>
    <w:rsid w:val="00345DA5"/>
    <w:rsid w:val="00346D0B"/>
    <w:rsid w:val="003474A1"/>
    <w:rsid w:val="00350890"/>
    <w:rsid w:val="00350AF2"/>
    <w:rsid w:val="00350D45"/>
    <w:rsid w:val="00350DA2"/>
    <w:rsid w:val="003519FF"/>
    <w:rsid w:val="00352080"/>
    <w:rsid w:val="003526DB"/>
    <w:rsid w:val="00353A1B"/>
    <w:rsid w:val="00353B2E"/>
    <w:rsid w:val="003541D8"/>
    <w:rsid w:val="00354710"/>
    <w:rsid w:val="0035479F"/>
    <w:rsid w:val="003549BF"/>
    <w:rsid w:val="00354A81"/>
    <w:rsid w:val="00355BDB"/>
    <w:rsid w:val="00355E5E"/>
    <w:rsid w:val="003563CA"/>
    <w:rsid w:val="00356C98"/>
    <w:rsid w:val="003607B7"/>
    <w:rsid w:val="00360D1C"/>
    <w:rsid w:val="00360DCF"/>
    <w:rsid w:val="003610CF"/>
    <w:rsid w:val="00361153"/>
    <w:rsid w:val="0036133D"/>
    <w:rsid w:val="003630F6"/>
    <w:rsid w:val="003638D8"/>
    <w:rsid w:val="00364BF9"/>
    <w:rsid w:val="00365615"/>
    <w:rsid w:val="00365D82"/>
    <w:rsid w:val="0036607F"/>
    <w:rsid w:val="0036637F"/>
    <w:rsid w:val="003666D5"/>
    <w:rsid w:val="00366B60"/>
    <w:rsid w:val="0036700A"/>
    <w:rsid w:val="00367262"/>
    <w:rsid w:val="0036733F"/>
    <w:rsid w:val="00367FD0"/>
    <w:rsid w:val="00367FE0"/>
    <w:rsid w:val="00370143"/>
    <w:rsid w:val="0037070E"/>
    <w:rsid w:val="00370946"/>
    <w:rsid w:val="003709A9"/>
    <w:rsid w:val="00370BD2"/>
    <w:rsid w:val="0037154E"/>
    <w:rsid w:val="0037189B"/>
    <w:rsid w:val="003718BA"/>
    <w:rsid w:val="0037197C"/>
    <w:rsid w:val="003721D8"/>
    <w:rsid w:val="00372249"/>
    <w:rsid w:val="00372EFA"/>
    <w:rsid w:val="00373577"/>
    <w:rsid w:val="00373BE9"/>
    <w:rsid w:val="00374447"/>
    <w:rsid w:val="00374F31"/>
    <w:rsid w:val="003757F6"/>
    <w:rsid w:val="0037684B"/>
    <w:rsid w:val="003769A7"/>
    <w:rsid w:val="0037723B"/>
    <w:rsid w:val="00377C1D"/>
    <w:rsid w:val="00377E71"/>
    <w:rsid w:val="00377E93"/>
    <w:rsid w:val="0038070C"/>
    <w:rsid w:val="00380A95"/>
    <w:rsid w:val="0038118A"/>
    <w:rsid w:val="003813ED"/>
    <w:rsid w:val="00383017"/>
    <w:rsid w:val="00384004"/>
    <w:rsid w:val="003848B3"/>
    <w:rsid w:val="00384C17"/>
    <w:rsid w:val="00385BD5"/>
    <w:rsid w:val="003864D2"/>
    <w:rsid w:val="00386A55"/>
    <w:rsid w:val="003875E0"/>
    <w:rsid w:val="00387E7F"/>
    <w:rsid w:val="003902ED"/>
    <w:rsid w:val="00390996"/>
    <w:rsid w:val="003917BE"/>
    <w:rsid w:val="003920BD"/>
    <w:rsid w:val="00392133"/>
    <w:rsid w:val="003922D1"/>
    <w:rsid w:val="0039251D"/>
    <w:rsid w:val="00392D10"/>
    <w:rsid w:val="00393667"/>
    <w:rsid w:val="0039380D"/>
    <w:rsid w:val="00393E12"/>
    <w:rsid w:val="00395020"/>
    <w:rsid w:val="00395D02"/>
    <w:rsid w:val="00397FDB"/>
    <w:rsid w:val="003A018F"/>
    <w:rsid w:val="003A08CC"/>
    <w:rsid w:val="003A0BA3"/>
    <w:rsid w:val="003A1047"/>
    <w:rsid w:val="003A1587"/>
    <w:rsid w:val="003A19A9"/>
    <w:rsid w:val="003A2836"/>
    <w:rsid w:val="003A2A68"/>
    <w:rsid w:val="003A2F08"/>
    <w:rsid w:val="003A3305"/>
    <w:rsid w:val="003A3955"/>
    <w:rsid w:val="003A3B8D"/>
    <w:rsid w:val="003A4AEE"/>
    <w:rsid w:val="003A57DD"/>
    <w:rsid w:val="003A58E4"/>
    <w:rsid w:val="003A6961"/>
    <w:rsid w:val="003A6DB1"/>
    <w:rsid w:val="003A6E7E"/>
    <w:rsid w:val="003A7190"/>
    <w:rsid w:val="003B017C"/>
    <w:rsid w:val="003B15D9"/>
    <w:rsid w:val="003B237E"/>
    <w:rsid w:val="003B2C6A"/>
    <w:rsid w:val="003B35C0"/>
    <w:rsid w:val="003B5267"/>
    <w:rsid w:val="003B57A0"/>
    <w:rsid w:val="003B5F44"/>
    <w:rsid w:val="003B6715"/>
    <w:rsid w:val="003B69C5"/>
    <w:rsid w:val="003B6EEE"/>
    <w:rsid w:val="003B75DF"/>
    <w:rsid w:val="003C01E6"/>
    <w:rsid w:val="003C07D5"/>
    <w:rsid w:val="003C0E77"/>
    <w:rsid w:val="003C1D59"/>
    <w:rsid w:val="003C213F"/>
    <w:rsid w:val="003C2230"/>
    <w:rsid w:val="003C241D"/>
    <w:rsid w:val="003C26CE"/>
    <w:rsid w:val="003C2871"/>
    <w:rsid w:val="003C2874"/>
    <w:rsid w:val="003C2E59"/>
    <w:rsid w:val="003C317C"/>
    <w:rsid w:val="003C3694"/>
    <w:rsid w:val="003C3A83"/>
    <w:rsid w:val="003C3B00"/>
    <w:rsid w:val="003C43D9"/>
    <w:rsid w:val="003C47AD"/>
    <w:rsid w:val="003C4AE3"/>
    <w:rsid w:val="003C60F1"/>
    <w:rsid w:val="003C63AA"/>
    <w:rsid w:val="003C6B6E"/>
    <w:rsid w:val="003C6F54"/>
    <w:rsid w:val="003C7372"/>
    <w:rsid w:val="003C748A"/>
    <w:rsid w:val="003C753D"/>
    <w:rsid w:val="003C7B22"/>
    <w:rsid w:val="003D0453"/>
    <w:rsid w:val="003D1235"/>
    <w:rsid w:val="003D19A6"/>
    <w:rsid w:val="003D1B59"/>
    <w:rsid w:val="003D1CB6"/>
    <w:rsid w:val="003D3384"/>
    <w:rsid w:val="003D3421"/>
    <w:rsid w:val="003D36DD"/>
    <w:rsid w:val="003D4884"/>
    <w:rsid w:val="003D519C"/>
    <w:rsid w:val="003D5955"/>
    <w:rsid w:val="003D605A"/>
    <w:rsid w:val="003D662F"/>
    <w:rsid w:val="003D6800"/>
    <w:rsid w:val="003D6EDD"/>
    <w:rsid w:val="003D7581"/>
    <w:rsid w:val="003D7666"/>
    <w:rsid w:val="003D7A32"/>
    <w:rsid w:val="003E1A08"/>
    <w:rsid w:val="003E2C63"/>
    <w:rsid w:val="003E3E42"/>
    <w:rsid w:val="003E4075"/>
    <w:rsid w:val="003E4191"/>
    <w:rsid w:val="003E46A8"/>
    <w:rsid w:val="003E4FEF"/>
    <w:rsid w:val="003E5177"/>
    <w:rsid w:val="003E5FAD"/>
    <w:rsid w:val="003E622F"/>
    <w:rsid w:val="003E6875"/>
    <w:rsid w:val="003E6E66"/>
    <w:rsid w:val="003E7586"/>
    <w:rsid w:val="003F009E"/>
    <w:rsid w:val="003F0298"/>
    <w:rsid w:val="003F02F3"/>
    <w:rsid w:val="003F0D20"/>
    <w:rsid w:val="003F0EF5"/>
    <w:rsid w:val="003F239C"/>
    <w:rsid w:val="003F24CD"/>
    <w:rsid w:val="003F261A"/>
    <w:rsid w:val="003F2673"/>
    <w:rsid w:val="003F2C78"/>
    <w:rsid w:val="003F2D99"/>
    <w:rsid w:val="003F30DB"/>
    <w:rsid w:val="003F3183"/>
    <w:rsid w:val="003F37AB"/>
    <w:rsid w:val="003F392F"/>
    <w:rsid w:val="003F3E03"/>
    <w:rsid w:val="003F42B1"/>
    <w:rsid w:val="003F5716"/>
    <w:rsid w:val="003F5725"/>
    <w:rsid w:val="003F63A8"/>
    <w:rsid w:val="003F640A"/>
    <w:rsid w:val="003F6967"/>
    <w:rsid w:val="003F6F77"/>
    <w:rsid w:val="003F7163"/>
    <w:rsid w:val="003F7915"/>
    <w:rsid w:val="003F7A47"/>
    <w:rsid w:val="003F7C48"/>
    <w:rsid w:val="0040035F"/>
    <w:rsid w:val="00402997"/>
    <w:rsid w:val="00403308"/>
    <w:rsid w:val="00404224"/>
    <w:rsid w:val="0040526A"/>
    <w:rsid w:val="004053CD"/>
    <w:rsid w:val="00405845"/>
    <w:rsid w:val="00405BD7"/>
    <w:rsid w:val="00406868"/>
    <w:rsid w:val="00407400"/>
    <w:rsid w:val="00407818"/>
    <w:rsid w:val="004078ED"/>
    <w:rsid w:val="0041096C"/>
    <w:rsid w:val="00410AA8"/>
    <w:rsid w:val="00411777"/>
    <w:rsid w:val="00411D5F"/>
    <w:rsid w:val="00411E22"/>
    <w:rsid w:val="0041259B"/>
    <w:rsid w:val="00412805"/>
    <w:rsid w:val="0041321A"/>
    <w:rsid w:val="004132CD"/>
    <w:rsid w:val="00413FEE"/>
    <w:rsid w:val="004140D3"/>
    <w:rsid w:val="00414244"/>
    <w:rsid w:val="00414560"/>
    <w:rsid w:val="004146B4"/>
    <w:rsid w:val="00414BBD"/>
    <w:rsid w:val="004151D6"/>
    <w:rsid w:val="0041540D"/>
    <w:rsid w:val="004154BF"/>
    <w:rsid w:val="00416442"/>
    <w:rsid w:val="00417665"/>
    <w:rsid w:val="0041798A"/>
    <w:rsid w:val="00417A0F"/>
    <w:rsid w:val="00417FCA"/>
    <w:rsid w:val="00420396"/>
    <w:rsid w:val="00420436"/>
    <w:rsid w:val="00420466"/>
    <w:rsid w:val="004204DF"/>
    <w:rsid w:val="00420A0C"/>
    <w:rsid w:val="00420B11"/>
    <w:rsid w:val="00423661"/>
    <w:rsid w:val="004237B9"/>
    <w:rsid w:val="00424077"/>
    <w:rsid w:val="00424900"/>
    <w:rsid w:val="00426193"/>
    <w:rsid w:val="00430E0B"/>
    <w:rsid w:val="00431AED"/>
    <w:rsid w:val="00431D1A"/>
    <w:rsid w:val="00431E14"/>
    <w:rsid w:val="004320B4"/>
    <w:rsid w:val="004323A6"/>
    <w:rsid w:val="00433BF8"/>
    <w:rsid w:val="00433EB0"/>
    <w:rsid w:val="004341CE"/>
    <w:rsid w:val="0043480F"/>
    <w:rsid w:val="0043561F"/>
    <w:rsid w:val="0043584E"/>
    <w:rsid w:val="00435C32"/>
    <w:rsid w:val="00436213"/>
    <w:rsid w:val="004376BE"/>
    <w:rsid w:val="00437EEE"/>
    <w:rsid w:val="00440A2D"/>
    <w:rsid w:val="004438FD"/>
    <w:rsid w:val="0044520B"/>
    <w:rsid w:val="00445664"/>
    <w:rsid w:val="00445FFD"/>
    <w:rsid w:val="004468A8"/>
    <w:rsid w:val="00446CB2"/>
    <w:rsid w:val="00446D19"/>
    <w:rsid w:val="00447F40"/>
    <w:rsid w:val="00450195"/>
    <w:rsid w:val="00451475"/>
    <w:rsid w:val="0045150B"/>
    <w:rsid w:val="00451D1C"/>
    <w:rsid w:val="00451E19"/>
    <w:rsid w:val="004525B9"/>
    <w:rsid w:val="00452814"/>
    <w:rsid w:val="0045353A"/>
    <w:rsid w:val="00453AF5"/>
    <w:rsid w:val="00453CB8"/>
    <w:rsid w:val="00453F4C"/>
    <w:rsid w:val="004553AF"/>
    <w:rsid w:val="00455A0C"/>
    <w:rsid w:val="004564CA"/>
    <w:rsid w:val="00456B9B"/>
    <w:rsid w:val="00456FA5"/>
    <w:rsid w:val="0045784B"/>
    <w:rsid w:val="0045799D"/>
    <w:rsid w:val="00457D60"/>
    <w:rsid w:val="00460064"/>
    <w:rsid w:val="00460679"/>
    <w:rsid w:val="00461754"/>
    <w:rsid w:val="004617AD"/>
    <w:rsid w:val="004630D7"/>
    <w:rsid w:val="004631EB"/>
    <w:rsid w:val="00463B60"/>
    <w:rsid w:val="00464BA5"/>
    <w:rsid w:val="0046511B"/>
    <w:rsid w:val="00465981"/>
    <w:rsid w:val="00467E9F"/>
    <w:rsid w:val="004706BF"/>
    <w:rsid w:val="004709F7"/>
    <w:rsid w:val="00471AC5"/>
    <w:rsid w:val="00471C55"/>
    <w:rsid w:val="00472415"/>
    <w:rsid w:val="004727A3"/>
    <w:rsid w:val="0047381A"/>
    <w:rsid w:val="00473BF2"/>
    <w:rsid w:val="00475A1A"/>
    <w:rsid w:val="00475E47"/>
    <w:rsid w:val="00476980"/>
    <w:rsid w:val="0047700F"/>
    <w:rsid w:val="00477161"/>
    <w:rsid w:val="004771DC"/>
    <w:rsid w:val="004775B8"/>
    <w:rsid w:val="004778C5"/>
    <w:rsid w:val="00477E23"/>
    <w:rsid w:val="004802F2"/>
    <w:rsid w:val="00480559"/>
    <w:rsid w:val="00480EE0"/>
    <w:rsid w:val="00482777"/>
    <w:rsid w:val="00483C1C"/>
    <w:rsid w:val="00483E8C"/>
    <w:rsid w:val="0048438E"/>
    <w:rsid w:val="00485EDE"/>
    <w:rsid w:val="004864A4"/>
    <w:rsid w:val="004865C1"/>
    <w:rsid w:val="00486BB4"/>
    <w:rsid w:val="00486E87"/>
    <w:rsid w:val="00487287"/>
    <w:rsid w:val="0048798B"/>
    <w:rsid w:val="0049090F"/>
    <w:rsid w:val="00491472"/>
    <w:rsid w:val="004915D8"/>
    <w:rsid w:val="004916E0"/>
    <w:rsid w:val="00491862"/>
    <w:rsid w:val="0049194B"/>
    <w:rsid w:val="00491A00"/>
    <w:rsid w:val="00491ABE"/>
    <w:rsid w:val="00491D03"/>
    <w:rsid w:val="00493D26"/>
    <w:rsid w:val="00493F12"/>
    <w:rsid w:val="00494D6D"/>
    <w:rsid w:val="00495DF3"/>
    <w:rsid w:val="00496300"/>
    <w:rsid w:val="004967CB"/>
    <w:rsid w:val="004968FB"/>
    <w:rsid w:val="00496F3B"/>
    <w:rsid w:val="00497160"/>
    <w:rsid w:val="00497DC1"/>
    <w:rsid w:val="004A0C40"/>
    <w:rsid w:val="004A1B59"/>
    <w:rsid w:val="004A2080"/>
    <w:rsid w:val="004A3574"/>
    <w:rsid w:val="004A3608"/>
    <w:rsid w:val="004A3898"/>
    <w:rsid w:val="004A3CCF"/>
    <w:rsid w:val="004A436D"/>
    <w:rsid w:val="004A481B"/>
    <w:rsid w:val="004A5DFD"/>
    <w:rsid w:val="004A5E1B"/>
    <w:rsid w:val="004A689C"/>
    <w:rsid w:val="004A6E1E"/>
    <w:rsid w:val="004A7C77"/>
    <w:rsid w:val="004A7DE6"/>
    <w:rsid w:val="004B0547"/>
    <w:rsid w:val="004B0A96"/>
    <w:rsid w:val="004B0F90"/>
    <w:rsid w:val="004B12DC"/>
    <w:rsid w:val="004B15D9"/>
    <w:rsid w:val="004B1C9B"/>
    <w:rsid w:val="004B1FBE"/>
    <w:rsid w:val="004B2211"/>
    <w:rsid w:val="004B37D9"/>
    <w:rsid w:val="004B40F8"/>
    <w:rsid w:val="004B4AB6"/>
    <w:rsid w:val="004B4D6F"/>
    <w:rsid w:val="004B5C17"/>
    <w:rsid w:val="004B6925"/>
    <w:rsid w:val="004B6CB8"/>
    <w:rsid w:val="004B6F60"/>
    <w:rsid w:val="004B79E1"/>
    <w:rsid w:val="004C0344"/>
    <w:rsid w:val="004C050A"/>
    <w:rsid w:val="004C0895"/>
    <w:rsid w:val="004C22E7"/>
    <w:rsid w:val="004C2A2C"/>
    <w:rsid w:val="004C2BE2"/>
    <w:rsid w:val="004C3257"/>
    <w:rsid w:val="004C4740"/>
    <w:rsid w:val="004C5153"/>
    <w:rsid w:val="004C56C9"/>
    <w:rsid w:val="004C5B94"/>
    <w:rsid w:val="004C5BDC"/>
    <w:rsid w:val="004C684B"/>
    <w:rsid w:val="004C6F95"/>
    <w:rsid w:val="004C76F0"/>
    <w:rsid w:val="004D019C"/>
    <w:rsid w:val="004D0AA7"/>
    <w:rsid w:val="004D15C4"/>
    <w:rsid w:val="004D1BC0"/>
    <w:rsid w:val="004D1C41"/>
    <w:rsid w:val="004D2415"/>
    <w:rsid w:val="004D2BAC"/>
    <w:rsid w:val="004D3200"/>
    <w:rsid w:val="004D3665"/>
    <w:rsid w:val="004D3D83"/>
    <w:rsid w:val="004D4ADA"/>
    <w:rsid w:val="004D4DAB"/>
    <w:rsid w:val="004D4EE8"/>
    <w:rsid w:val="004D5357"/>
    <w:rsid w:val="004D5A9E"/>
    <w:rsid w:val="004D5BEA"/>
    <w:rsid w:val="004D5CA6"/>
    <w:rsid w:val="004D6859"/>
    <w:rsid w:val="004D6FFC"/>
    <w:rsid w:val="004D73E2"/>
    <w:rsid w:val="004D7667"/>
    <w:rsid w:val="004D76B9"/>
    <w:rsid w:val="004D7FCA"/>
    <w:rsid w:val="004E0077"/>
    <w:rsid w:val="004E00CA"/>
    <w:rsid w:val="004E06C9"/>
    <w:rsid w:val="004E0D3F"/>
    <w:rsid w:val="004E1831"/>
    <w:rsid w:val="004E199D"/>
    <w:rsid w:val="004E1CD4"/>
    <w:rsid w:val="004E1EEE"/>
    <w:rsid w:val="004E1FF8"/>
    <w:rsid w:val="004E212A"/>
    <w:rsid w:val="004E2578"/>
    <w:rsid w:val="004E2A6B"/>
    <w:rsid w:val="004E2E0E"/>
    <w:rsid w:val="004E3546"/>
    <w:rsid w:val="004E3569"/>
    <w:rsid w:val="004E3DFA"/>
    <w:rsid w:val="004E4529"/>
    <w:rsid w:val="004E4581"/>
    <w:rsid w:val="004E4B02"/>
    <w:rsid w:val="004E4BDE"/>
    <w:rsid w:val="004E4EBA"/>
    <w:rsid w:val="004E529F"/>
    <w:rsid w:val="004E5857"/>
    <w:rsid w:val="004E5B06"/>
    <w:rsid w:val="004E5FE2"/>
    <w:rsid w:val="004E625C"/>
    <w:rsid w:val="004E6906"/>
    <w:rsid w:val="004E70DC"/>
    <w:rsid w:val="004E78A9"/>
    <w:rsid w:val="004E7945"/>
    <w:rsid w:val="004E7F03"/>
    <w:rsid w:val="004F0361"/>
    <w:rsid w:val="004F0FF6"/>
    <w:rsid w:val="004F1199"/>
    <w:rsid w:val="004F250C"/>
    <w:rsid w:val="004F2600"/>
    <w:rsid w:val="004F3621"/>
    <w:rsid w:val="004F3E4B"/>
    <w:rsid w:val="004F44FF"/>
    <w:rsid w:val="004F4748"/>
    <w:rsid w:val="004F4947"/>
    <w:rsid w:val="004F4AD4"/>
    <w:rsid w:val="004F4C4A"/>
    <w:rsid w:val="004F5D25"/>
    <w:rsid w:val="004F603B"/>
    <w:rsid w:val="004F6B45"/>
    <w:rsid w:val="004F6E74"/>
    <w:rsid w:val="004F724F"/>
    <w:rsid w:val="004F7494"/>
    <w:rsid w:val="004F7F76"/>
    <w:rsid w:val="0050126E"/>
    <w:rsid w:val="00501552"/>
    <w:rsid w:val="00501969"/>
    <w:rsid w:val="00501BDE"/>
    <w:rsid w:val="00501E79"/>
    <w:rsid w:val="00505AE0"/>
    <w:rsid w:val="0050670D"/>
    <w:rsid w:val="00506B18"/>
    <w:rsid w:val="00506DEB"/>
    <w:rsid w:val="0050724B"/>
    <w:rsid w:val="00510AD0"/>
    <w:rsid w:val="00510EA5"/>
    <w:rsid w:val="005110B1"/>
    <w:rsid w:val="005117FE"/>
    <w:rsid w:val="00511C62"/>
    <w:rsid w:val="00511F29"/>
    <w:rsid w:val="0051291D"/>
    <w:rsid w:val="00513163"/>
    <w:rsid w:val="0051397A"/>
    <w:rsid w:val="00513E50"/>
    <w:rsid w:val="0051406F"/>
    <w:rsid w:val="005140F4"/>
    <w:rsid w:val="00515073"/>
    <w:rsid w:val="005152F7"/>
    <w:rsid w:val="005155AD"/>
    <w:rsid w:val="005157EB"/>
    <w:rsid w:val="00516B44"/>
    <w:rsid w:val="00516BEF"/>
    <w:rsid w:val="00516DA2"/>
    <w:rsid w:val="00516F53"/>
    <w:rsid w:val="00516FFE"/>
    <w:rsid w:val="00517364"/>
    <w:rsid w:val="005176A1"/>
    <w:rsid w:val="00517DEA"/>
    <w:rsid w:val="005201A4"/>
    <w:rsid w:val="00520FC8"/>
    <w:rsid w:val="00521527"/>
    <w:rsid w:val="005228B8"/>
    <w:rsid w:val="00523613"/>
    <w:rsid w:val="00523B82"/>
    <w:rsid w:val="00524011"/>
    <w:rsid w:val="00524F0D"/>
    <w:rsid w:val="005251AC"/>
    <w:rsid w:val="00525D77"/>
    <w:rsid w:val="00525EFA"/>
    <w:rsid w:val="0052653F"/>
    <w:rsid w:val="00526661"/>
    <w:rsid w:val="005272AF"/>
    <w:rsid w:val="00527E75"/>
    <w:rsid w:val="005303C3"/>
    <w:rsid w:val="0053069B"/>
    <w:rsid w:val="005307E6"/>
    <w:rsid w:val="00530C35"/>
    <w:rsid w:val="00530DB8"/>
    <w:rsid w:val="00531AC4"/>
    <w:rsid w:val="00531C1C"/>
    <w:rsid w:val="00531F33"/>
    <w:rsid w:val="00532E76"/>
    <w:rsid w:val="00533946"/>
    <w:rsid w:val="005344DD"/>
    <w:rsid w:val="00534EAD"/>
    <w:rsid w:val="0053529D"/>
    <w:rsid w:val="00535684"/>
    <w:rsid w:val="00535C85"/>
    <w:rsid w:val="00536237"/>
    <w:rsid w:val="00536EA9"/>
    <w:rsid w:val="00537746"/>
    <w:rsid w:val="00537AAC"/>
    <w:rsid w:val="00537B87"/>
    <w:rsid w:val="00541227"/>
    <w:rsid w:val="00541774"/>
    <w:rsid w:val="00541FF1"/>
    <w:rsid w:val="00542AA5"/>
    <w:rsid w:val="00543826"/>
    <w:rsid w:val="00543AAF"/>
    <w:rsid w:val="00544018"/>
    <w:rsid w:val="00544075"/>
    <w:rsid w:val="00544092"/>
    <w:rsid w:val="00544139"/>
    <w:rsid w:val="00544356"/>
    <w:rsid w:val="00544455"/>
    <w:rsid w:val="005448E2"/>
    <w:rsid w:val="0054613D"/>
    <w:rsid w:val="0054618A"/>
    <w:rsid w:val="0054678C"/>
    <w:rsid w:val="00546CA7"/>
    <w:rsid w:val="005474AA"/>
    <w:rsid w:val="00547BA2"/>
    <w:rsid w:val="00547FFA"/>
    <w:rsid w:val="005501F5"/>
    <w:rsid w:val="005505B8"/>
    <w:rsid w:val="0055102E"/>
    <w:rsid w:val="00552965"/>
    <w:rsid w:val="00552D17"/>
    <w:rsid w:val="005534B0"/>
    <w:rsid w:val="00554196"/>
    <w:rsid w:val="00554CB8"/>
    <w:rsid w:val="00555083"/>
    <w:rsid w:val="00555E87"/>
    <w:rsid w:val="00555EF5"/>
    <w:rsid w:val="00556ED0"/>
    <w:rsid w:val="00556FFB"/>
    <w:rsid w:val="005579AC"/>
    <w:rsid w:val="005601BE"/>
    <w:rsid w:val="00560E7C"/>
    <w:rsid w:val="005610EA"/>
    <w:rsid w:val="005617EF"/>
    <w:rsid w:val="00561F5B"/>
    <w:rsid w:val="00561FAF"/>
    <w:rsid w:val="005620BE"/>
    <w:rsid w:val="00562557"/>
    <w:rsid w:val="00562DE3"/>
    <w:rsid w:val="0056340F"/>
    <w:rsid w:val="00563B8B"/>
    <w:rsid w:val="00565596"/>
    <w:rsid w:val="0056592F"/>
    <w:rsid w:val="00566596"/>
    <w:rsid w:val="00566ACB"/>
    <w:rsid w:val="00566B55"/>
    <w:rsid w:val="005673B9"/>
    <w:rsid w:val="005675F2"/>
    <w:rsid w:val="0056763D"/>
    <w:rsid w:val="005715E7"/>
    <w:rsid w:val="0057177B"/>
    <w:rsid w:val="00571F0D"/>
    <w:rsid w:val="00572A74"/>
    <w:rsid w:val="00572A8C"/>
    <w:rsid w:val="00573442"/>
    <w:rsid w:val="00573AFB"/>
    <w:rsid w:val="0057528D"/>
    <w:rsid w:val="00575821"/>
    <w:rsid w:val="00575BBD"/>
    <w:rsid w:val="00575CE4"/>
    <w:rsid w:val="0057671E"/>
    <w:rsid w:val="005777FF"/>
    <w:rsid w:val="005779A1"/>
    <w:rsid w:val="00577EE4"/>
    <w:rsid w:val="005803F7"/>
    <w:rsid w:val="005809DD"/>
    <w:rsid w:val="00580FC5"/>
    <w:rsid w:val="00581715"/>
    <w:rsid w:val="00581883"/>
    <w:rsid w:val="00581DC3"/>
    <w:rsid w:val="00582289"/>
    <w:rsid w:val="00583009"/>
    <w:rsid w:val="0058325F"/>
    <w:rsid w:val="00583A08"/>
    <w:rsid w:val="00583E9F"/>
    <w:rsid w:val="00584088"/>
    <w:rsid w:val="00584288"/>
    <w:rsid w:val="005842E7"/>
    <w:rsid w:val="005843FB"/>
    <w:rsid w:val="005844F9"/>
    <w:rsid w:val="005848CE"/>
    <w:rsid w:val="00585515"/>
    <w:rsid w:val="00585B70"/>
    <w:rsid w:val="00585B9B"/>
    <w:rsid w:val="00585D6C"/>
    <w:rsid w:val="005870AE"/>
    <w:rsid w:val="0058758E"/>
    <w:rsid w:val="005879C0"/>
    <w:rsid w:val="005903F9"/>
    <w:rsid w:val="00590720"/>
    <w:rsid w:val="00590C4D"/>
    <w:rsid w:val="00590C87"/>
    <w:rsid w:val="00590FCF"/>
    <w:rsid w:val="00592844"/>
    <w:rsid w:val="00592ABF"/>
    <w:rsid w:val="005930AF"/>
    <w:rsid w:val="005944C3"/>
    <w:rsid w:val="00594578"/>
    <w:rsid w:val="0059468B"/>
    <w:rsid w:val="0059479B"/>
    <w:rsid w:val="00594B24"/>
    <w:rsid w:val="0059569F"/>
    <w:rsid w:val="00595DB5"/>
    <w:rsid w:val="00596ED9"/>
    <w:rsid w:val="00597CD1"/>
    <w:rsid w:val="005A013C"/>
    <w:rsid w:val="005A0B98"/>
    <w:rsid w:val="005A0F84"/>
    <w:rsid w:val="005A158F"/>
    <w:rsid w:val="005A1AC3"/>
    <w:rsid w:val="005A1C0C"/>
    <w:rsid w:val="005A1DE3"/>
    <w:rsid w:val="005A27D5"/>
    <w:rsid w:val="005A2D5A"/>
    <w:rsid w:val="005A4888"/>
    <w:rsid w:val="005A48FC"/>
    <w:rsid w:val="005A5071"/>
    <w:rsid w:val="005A564F"/>
    <w:rsid w:val="005A61DA"/>
    <w:rsid w:val="005A6BD7"/>
    <w:rsid w:val="005A6D15"/>
    <w:rsid w:val="005A7844"/>
    <w:rsid w:val="005A7BF1"/>
    <w:rsid w:val="005B0279"/>
    <w:rsid w:val="005B086B"/>
    <w:rsid w:val="005B097F"/>
    <w:rsid w:val="005B09C7"/>
    <w:rsid w:val="005B184D"/>
    <w:rsid w:val="005B1BC3"/>
    <w:rsid w:val="005B2192"/>
    <w:rsid w:val="005B2E19"/>
    <w:rsid w:val="005B3374"/>
    <w:rsid w:val="005B34D3"/>
    <w:rsid w:val="005B35FE"/>
    <w:rsid w:val="005B3FB9"/>
    <w:rsid w:val="005B466E"/>
    <w:rsid w:val="005B56C9"/>
    <w:rsid w:val="005B57B3"/>
    <w:rsid w:val="005B5A2D"/>
    <w:rsid w:val="005B63FB"/>
    <w:rsid w:val="005B64CE"/>
    <w:rsid w:val="005B6B0B"/>
    <w:rsid w:val="005B6B1F"/>
    <w:rsid w:val="005B79CF"/>
    <w:rsid w:val="005C0553"/>
    <w:rsid w:val="005C0578"/>
    <w:rsid w:val="005C09F4"/>
    <w:rsid w:val="005C0C38"/>
    <w:rsid w:val="005C0C41"/>
    <w:rsid w:val="005C135F"/>
    <w:rsid w:val="005C14E1"/>
    <w:rsid w:val="005C21D8"/>
    <w:rsid w:val="005C2260"/>
    <w:rsid w:val="005C23A2"/>
    <w:rsid w:val="005C2923"/>
    <w:rsid w:val="005C2B24"/>
    <w:rsid w:val="005C2E28"/>
    <w:rsid w:val="005C336B"/>
    <w:rsid w:val="005C35FD"/>
    <w:rsid w:val="005C3F48"/>
    <w:rsid w:val="005C4594"/>
    <w:rsid w:val="005C4E61"/>
    <w:rsid w:val="005C582E"/>
    <w:rsid w:val="005C5A6F"/>
    <w:rsid w:val="005C6EDE"/>
    <w:rsid w:val="005C741F"/>
    <w:rsid w:val="005C7842"/>
    <w:rsid w:val="005C7871"/>
    <w:rsid w:val="005D005F"/>
    <w:rsid w:val="005D06D8"/>
    <w:rsid w:val="005D098C"/>
    <w:rsid w:val="005D144F"/>
    <w:rsid w:val="005D1738"/>
    <w:rsid w:val="005D1CBF"/>
    <w:rsid w:val="005D1CC7"/>
    <w:rsid w:val="005D1DF5"/>
    <w:rsid w:val="005D23C0"/>
    <w:rsid w:val="005D2892"/>
    <w:rsid w:val="005D3DB9"/>
    <w:rsid w:val="005D40F0"/>
    <w:rsid w:val="005D4C9E"/>
    <w:rsid w:val="005D61FE"/>
    <w:rsid w:val="005D62B2"/>
    <w:rsid w:val="005D6541"/>
    <w:rsid w:val="005D6658"/>
    <w:rsid w:val="005D7BF1"/>
    <w:rsid w:val="005E023D"/>
    <w:rsid w:val="005E184F"/>
    <w:rsid w:val="005E1ADA"/>
    <w:rsid w:val="005E20CD"/>
    <w:rsid w:val="005E22C6"/>
    <w:rsid w:val="005E2B04"/>
    <w:rsid w:val="005E2DD0"/>
    <w:rsid w:val="005E3803"/>
    <w:rsid w:val="005E3976"/>
    <w:rsid w:val="005E43D8"/>
    <w:rsid w:val="005E4579"/>
    <w:rsid w:val="005E47AC"/>
    <w:rsid w:val="005E4959"/>
    <w:rsid w:val="005E4B24"/>
    <w:rsid w:val="005E5DEA"/>
    <w:rsid w:val="005E6758"/>
    <w:rsid w:val="005E6F8C"/>
    <w:rsid w:val="005E765D"/>
    <w:rsid w:val="005E7E44"/>
    <w:rsid w:val="005F0138"/>
    <w:rsid w:val="005F0408"/>
    <w:rsid w:val="005F086A"/>
    <w:rsid w:val="005F1002"/>
    <w:rsid w:val="005F11A6"/>
    <w:rsid w:val="005F128F"/>
    <w:rsid w:val="005F1A51"/>
    <w:rsid w:val="005F1AFD"/>
    <w:rsid w:val="005F21C5"/>
    <w:rsid w:val="005F2EB8"/>
    <w:rsid w:val="005F446A"/>
    <w:rsid w:val="005F5016"/>
    <w:rsid w:val="005F598C"/>
    <w:rsid w:val="005F5D17"/>
    <w:rsid w:val="005F609D"/>
    <w:rsid w:val="005F63B6"/>
    <w:rsid w:val="005F6F8D"/>
    <w:rsid w:val="005F769F"/>
    <w:rsid w:val="005F7B34"/>
    <w:rsid w:val="005F7B95"/>
    <w:rsid w:val="005F7E99"/>
    <w:rsid w:val="00601680"/>
    <w:rsid w:val="00601727"/>
    <w:rsid w:val="00601AB4"/>
    <w:rsid w:val="00601B5A"/>
    <w:rsid w:val="006028E2"/>
    <w:rsid w:val="00603E30"/>
    <w:rsid w:val="00604127"/>
    <w:rsid w:val="00604DAA"/>
    <w:rsid w:val="00604DD7"/>
    <w:rsid w:val="00605336"/>
    <w:rsid w:val="00605773"/>
    <w:rsid w:val="00605799"/>
    <w:rsid w:val="0060584B"/>
    <w:rsid w:val="00605DD5"/>
    <w:rsid w:val="00606B20"/>
    <w:rsid w:val="00606B6F"/>
    <w:rsid w:val="00607203"/>
    <w:rsid w:val="00607A03"/>
    <w:rsid w:val="00610123"/>
    <w:rsid w:val="00610303"/>
    <w:rsid w:val="00610A38"/>
    <w:rsid w:val="00610D1D"/>
    <w:rsid w:val="0061112B"/>
    <w:rsid w:val="00611892"/>
    <w:rsid w:val="006119A2"/>
    <w:rsid w:val="00612BA9"/>
    <w:rsid w:val="00613DCF"/>
    <w:rsid w:val="006148C5"/>
    <w:rsid w:val="00614E5C"/>
    <w:rsid w:val="0061517F"/>
    <w:rsid w:val="00615A6B"/>
    <w:rsid w:val="00615C4B"/>
    <w:rsid w:val="006160B4"/>
    <w:rsid w:val="00616990"/>
    <w:rsid w:val="006169DF"/>
    <w:rsid w:val="00616E4B"/>
    <w:rsid w:val="0061718F"/>
    <w:rsid w:val="00617F6E"/>
    <w:rsid w:val="006203D2"/>
    <w:rsid w:val="0062059C"/>
    <w:rsid w:val="00621059"/>
    <w:rsid w:val="006221CB"/>
    <w:rsid w:val="0062268F"/>
    <w:rsid w:val="0062284D"/>
    <w:rsid w:val="00623058"/>
    <w:rsid w:val="006232BA"/>
    <w:rsid w:val="0062429B"/>
    <w:rsid w:val="006249DA"/>
    <w:rsid w:val="00624BB7"/>
    <w:rsid w:val="0062523E"/>
    <w:rsid w:val="00625B15"/>
    <w:rsid w:val="00625BCA"/>
    <w:rsid w:val="00625E58"/>
    <w:rsid w:val="00627380"/>
    <w:rsid w:val="006275DC"/>
    <w:rsid w:val="00627C1F"/>
    <w:rsid w:val="006301EF"/>
    <w:rsid w:val="0063063A"/>
    <w:rsid w:val="00630911"/>
    <w:rsid w:val="0063095D"/>
    <w:rsid w:val="006322C0"/>
    <w:rsid w:val="0063242B"/>
    <w:rsid w:val="00632BD5"/>
    <w:rsid w:val="00632D5A"/>
    <w:rsid w:val="0063314A"/>
    <w:rsid w:val="0063370D"/>
    <w:rsid w:val="00633A5E"/>
    <w:rsid w:val="00633CEA"/>
    <w:rsid w:val="006346CB"/>
    <w:rsid w:val="00634BAF"/>
    <w:rsid w:val="00635AEF"/>
    <w:rsid w:val="00635E67"/>
    <w:rsid w:val="006361E7"/>
    <w:rsid w:val="00636821"/>
    <w:rsid w:val="00636FCD"/>
    <w:rsid w:val="0063723E"/>
    <w:rsid w:val="00641227"/>
    <w:rsid w:val="00642F24"/>
    <w:rsid w:val="006437AD"/>
    <w:rsid w:val="006439DC"/>
    <w:rsid w:val="00643E25"/>
    <w:rsid w:val="0064410D"/>
    <w:rsid w:val="00644203"/>
    <w:rsid w:val="00644DD0"/>
    <w:rsid w:val="00645565"/>
    <w:rsid w:val="00645DD3"/>
    <w:rsid w:val="006468B7"/>
    <w:rsid w:val="006470C5"/>
    <w:rsid w:val="0064789B"/>
    <w:rsid w:val="0065016D"/>
    <w:rsid w:val="00650BDC"/>
    <w:rsid w:val="006518C6"/>
    <w:rsid w:val="00652250"/>
    <w:rsid w:val="00652A5B"/>
    <w:rsid w:val="0065332A"/>
    <w:rsid w:val="00653833"/>
    <w:rsid w:val="006538C2"/>
    <w:rsid w:val="00653E32"/>
    <w:rsid w:val="0065408A"/>
    <w:rsid w:val="0065497B"/>
    <w:rsid w:val="006552DA"/>
    <w:rsid w:val="00661202"/>
    <w:rsid w:val="006617D4"/>
    <w:rsid w:val="00661898"/>
    <w:rsid w:val="00662E67"/>
    <w:rsid w:val="0066344E"/>
    <w:rsid w:val="00663814"/>
    <w:rsid w:val="00663EB0"/>
    <w:rsid w:val="0066612E"/>
    <w:rsid w:val="0066664D"/>
    <w:rsid w:val="00666991"/>
    <w:rsid w:val="00666AAF"/>
    <w:rsid w:val="00666E54"/>
    <w:rsid w:val="00667129"/>
    <w:rsid w:val="00667A17"/>
    <w:rsid w:val="00667BBC"/>
    <w:rsid w:val="0067201F"/>
    <w:rsid w:val="0067220C"/>
    <w:rsid w:val="00672DE0"/>
    <w:rsid w:val="0067437F"/>
    <w:rsid w:val="006746F0"/>
    <w:rsid w:val="00674B07"/>
    <w:rsid w:val="00675482"/>
    <w:rsid w:val="00675DAC"/>
    <w:rsid w:val="00676809"/>
    <w:rsid w:val="006771E7"/>
    <w:rsid w:val="006773D2"/>
    <w:rsid w:val="006808B1"/>
    <w:rsid w:val="00680C97"/>
    <w:rsid w:val="00680D96"/>
    <w:rsid w:val="006810F1"/>
    <w:rsid w:val="0068116A"/>
    <w:rsid w:val="00681445"/>
    <w:rsid w:val="00682865"/>
    <w:rsid w:val="00682E30"/>
    <w:rsid w:val="00683696"/>
    <w:rsid w:val="00683913"/>
    <w:rsid w:val="00683A21"/>
    <w:rsid w:val="00683B97"/>
    <w:rsid w:val="00684A06"/>
    <w:rsid w:val="00684F9A"/>
    <w:rsid w:val="00685369"/>
    <w:rsid w:val="006868E3"/>
    <w:rsid w:val="0068694D"/>
    <w:rsid w:val="00686CD7"/>
    <w:rsid w:val="0068745B"/>
    <w:rsid w:val="00687D5B"/>
    <w:rsid w:val="006900A2"/>
    <w:rsid w:val="00690112"/>
    <w:rsid w:val="00690C14"/>
    <w:rsid w:val="00690C74"/>
    <w:rsid w:val="00690DF2"/>
    <w:rsid w:val="00690E8E"/>
    <w:rsid w:val="0069152B"/>
    <w:rsid w:val="006917AB"/>
    <w:rsid w:val="006918F9"/>
    <w:rsid w:val="006923D0"/>
    <w:rsid w:val="00692433"/>
    <w:rsid w:val="0069281D"/>
    <w:rsid w:val="00692B09"/>
    <w:rsid w:val="00692CD1"/>
    <w:rsid w:val="00692DA2"/>
    <w:rsid w:val="00693AEB"/>
    <w:rsid w:val="00693B43"/>
    <w:rsid w:val="006948D3"/>
    <w:rsid w:val="00694CEF"/>
    <w:rsid w:val="00695583"/>
    <w:rsid w:val="00695760"/>
    <w:rsid w:val="006965A3"/>
    <w:rsid w:val="00696C21"/>
    <w:rsid w:val="00697459"/>
    <w:rsid w:val="00697812"/>
    <w:rsid w:val="00697848"/>
    <w:rsid w:val="00697EBF"/>
    <w:rsid w:val="006A0206"/>
    <w:rsid w:val="006A1B8D"/>
    <w:rsid w:val="006A2D94"/>
    <w:rsid w:val="006A3075"/>
    <w:rsid w:val="006A3247"/>
    <w:rsid w:val="006A32AA"/>
    <w:rsid w:val="006A4C48"/>
    <w:rsid w:val="006A57F3"/>
    <w:rsid w:val="006A5C2F"/>
    <w:rsid w:val="006A5EBA"/>
    <w:rsid w:val="006A5ECC"/>
    <w:rsid w:val="006A6330"/>
    <w:rsid w:val="006A6608"/>
    <w:rsid w:val="006A6950"/>
    <w:rsid w:val="006A6C49"/>
    <w:rsid w:val="006A6ECA"/>
    <w:rsid w:val="006A7149"/>
    <w:rsid w:val="006A764B"/>
    <w:rsid w:val="006A7724"/>
    <w:rsid w:val="006B04B1"/>
    <w:rsid w:val="006B0A3E"/>
    <w:rsid w:val="006B0E12"/>
    <w:rsid w:val="006B0E3D"/>
    <w:rsid w:val="006B166E"/>
    <w:rsid w:val="006B302C"/>
    <w:rsid w:val="006B3036"/>
    <w:rsid w:val="006B3B06"/>
    <w:rsid w:val="006B3DDB"/>
    <w:rsid w:val="006B40A3"/>
    <w:rsid w:val="006B54BA"/>
    <w:rsid w:val="006B586F"/>
    <w:rsid w:val="006B5875"/>
    <w:rsid w:val="006B5FC6"/>
    <w:rsid w:val="006B6C2B"/>
    <w:rsid w:val="006B7226"/>
    <w:rsid w:val="006B7BDC"/>
    <w:rsid w:val="006B7D3F"/>
    <w:rsid w:val="006C0BAD"/>
    <w:rsid w:val="006C1931"/>
    <w:rsid w:val="006C19C2"/>
    <w:rsid w:val="006C2A62"/>
    <w:rsid w:val="006C2EE4"/>
    <w:rsid w:val="006C316C"/>
    <w:rsid w:val="006C3B6F"/>
    <w:rsid w:val="006C3EB5"/>
    <w:rsid w:val="006C4B03"/>
    <w:rsid w:val="006C4FE7"/>
    <w:rsid w:val="006C51A8"/>
    <w:rsid w:val="006C5EE7"/>
    <w:rsid w:val="006C70DA"/>
    <w:rsid w:val="006D0B45"/>
    <w:rsid w:val="006D0C0C"/>
    <w:rsid w:val="006D0CBC"/>
    <w:rsid w:val="006D0D6A"/>
    <w:rsid w:val="006D1554"/>
    <w:rsid w:val="006D16E7"/>
    <w:rsid w:val="006D1E1E"/>
    <w:rsid w:val="006D2053"/>
    <w:rsid w:val="006D2EBA"/>
    <w:rsid w:val="006D33F1"/>
    <w:rsid w:val="006D3FD1"/>
    <w:rsid w:val="006D49D8"/>
    <w:rsid w:val="006D4D98"/>
    <w:rsid w:val="006D533A"/>
    <w:rsid w:val="006D5590"/>
    <w:rsid w:val="006D591B"/>
    <w:rsid w:val="006D5A29"/>
    <w:rsid w:val="006D60D0"/>
    <w:rsid w:val="006D653F"/>
    <w:rsid w:val="006D6EDF"/>
    <w:rsid w:val="006D71E3"/>
    <w:rsid w:val="006D75DB"/>
    <w:rsid w:val="006D7B57"/>
    <w:rsid w:val="006E0AC6"/>
    <w:rsid w:val="006E0E77"/>
    <w:rsid w:val="006E1951"/>
    <w:rsid w:val="006E1D56"/>
    <w:rsid w:val="006E25CD"/>
    <w:rsid w:val="006E2ACC"/>
    <w:rsid w:val="006E4416"/>
    <w:rsid w:val="006E5F50"/>
    <w:rsid w:val="006E6311"/>
    <w:rsid w:val="006F0E2B"/>
    <w:rsid w:val="006F0FC6"/>
    <w:rsid w:val="006F11D0"/>
    <w:rsid w:val="006F1DA6"/>
    <w:rsid w:val="006F217F"/>
    <w:rsid w:val="006F2353"/>
    <w:rsid w:val="006F23EE"/>
    <w:rsid w:val="006F2951"/>
    <w:rsid w:val="006F3972"/>
    <w:rsid w:val="006F3C7B"/>
    <w:rsid w:val="006F3C89"/>
    <w:rsid w:val="006F43B4"/>
    <w:rsid w:val="006F4D58"/>
    <w:rsid w:val="006F51A3"/>
    <w:rsid w:val="006F5872"/>
    <w:rsid w:val="006F6098"/>
    <w:rsid w:val="006F6459"/>
    <w:rsid w:val="006F6471"/>
    <w:rsid w:val="006F6B95"/>
    <w:rsid w:val="006F6F22"/>
    <w:rsid w:val="006F73ED"/>
    <w:rsid w:val="006F766D"/>
    <w:rsid w:val="006F76E1"/>
    <w:rsid w:val="007003EA"/>
    <w:rsid w:val="00700B33"/>
    <w:rsid w:val="00700D03"/>
    <w:rsid w:val="007014E9"/>
    <w:rsid w:val="00701817"/>
    <w:rsid w:val="00701AC5"/>
    <w:rsid w:val="00701DEC"/>
    <w:rsid w:val="0070204D"/>
    <w:rsid w:val="007023D4"/>
    <w:rsid w:val="007023FD"/>
    <w:rsid w:val="00702582"/>
    <w:rsid w:val="007028C5"/>
    <w:rsid w:val="007033D6"/>
    <w:rsid w:val="00703693"/>
    <w:rsid w:val="00703DD7"/>
    <w:rsid w:val="00704077"/>
    <w:rsid w:val="00704355"/>
    <w:rsid w:val="00704DCA"/>
    <w:rsid w:val="007058AD"/>
    <w:rsid w:val="007069FB"/>
    <w:rsid w:val="00707129"/>
    <w:rsid w:val="00707139"/>
    <w:rsid w:val="00707B60"/>
    <w:rsid w:val="007109C8"/>
    <w:rsid w:val="00710A9E"/>
    <w:rsid w:val="00710B7D"/>
    <w:rsid w:val="00710CE2"/>
    <w:rsid w:val="00710E22"/>
    <w:rsid w:val="00711FDB"/>
    <w:rsid w:val="00713487"/>
    <w:rsid w:val="0071363F"/>
    <w:rsid w:val="00714DB9"/>
    <w:rsid w:val="00714ECE"/>
    <w:rsid w:val="0071509A"/>
    <w:rsid w:val="007169D0"/>
    <w:rsid w:val="00716A6C"/>
    <w:rsid w:val="00716B6E"/>
    <w:rsid w:val="00717117"/>
    <w:rsid w:val="007171D8"/>
    <w:rsid w:val="00717821"/>
    <w:rsid w:val="00720071"/>
    <w:rsid w:val="007205FC"/>
    <w:rsid w:val="00720B74"/>
    <w:rsid w:val="00720C3C"/>
    <w:rsid w:val="00720D4C"/>
    <w:rsid w:val="00721AEB"/>
    <w:rsid w:val="00721FAD"/>
    <w:rsid w:val="00722150"/>
    <w:rsid w:val="0072232A"/>
    <w:rsid w:val="00722C76"/>
    <w:rsid w:val="00722DBD"/>
    <w:rsid w:val="0072331A"/>
    <w:rsid w:val="00724781"/>
    <w:rsid w:val="00725C68"/>
    <w:rsid w:val="0072617C"/>
    <w:rsid w:val="00726375"/>
    <w:rsid w:val="00727231"/>
    <w:rsid w:val="007275BF"/>
    <w:rsid w:val="00727CAC"/>
    <w:rsid w:val="00727EC6"/>
    <w:rsid w:val="00727EE5"/>
    <w:rsid w:val="007300B1"/>
    <w:rsid w:val="0073024D"/>
    <w:rsid w:val="0073048A"/>
    <w:rsid w:val="00730F19"/>
    <w:rsid w:val="00730F27"/>
    <w:rsid w:val="007319A3"/>
    <w:rsid w:val="00731AD7"/>
    <w:rsid w:val="0073269E"/>
    <w:rsid w:val="0073338F"/>
    <w:rsid w:val="00733481"/>
    <w:rsid w:val="00733683"/>
    <w:rsid w:val="00734115"/>
    <w:rsid w:val="007346E4"/>
    <w:rsid w:val="00735671"/>
    <w:rsid w:val="00735692"/>
    <w:rsid w:val="00735741"/>
    <w:rsid w:val="00736E45"/>
    <w:rsid w:val="00736EC2"/>
    <w:rsid w:val="00737A36"/>
    <w:rsid w:val="00737AA4"/>
    <w:rsid w:val="007405E7"/>
    <w:rsid w:val="00740608"/>
    <w:rsid w:val="00740B50"/>
    <w:rsid w:val="0074104A"/>
    <w:rsid w:val="00742B14"/>
    <w:rsid w:val="00742D20"/>
    <w:rsid w:val="00743330"/>
    <w:rsid w:val="00743430"/>
    <w:rsid w:val="007435E4"/>
    <w:rsid w:val="007444CE"/>
    <w:rsid w:val="00744608"/>
    <w:rsid w:val="00744708"/>
    <w:rsid w:val="00744813"/>
    <w:rsid w:val="007449E5"/>
    <w:rsid w:val="00744EFE"/>
    <w:rsid w:val="007456EA"/>
    <w:rsid w:val="00746453"/>
    <w:rsid w:val="00746741"/>
    <w:rsid w:val="00746F99"/>
    <w:rsid w:val="00747D4D"/>
    <w:rsid w:val="00750272"/>
    <w:rsid w:val="00750AB4"/>
    <w:rsid w:val="0075118D"/>
    <w:rsid w:val="007513DD"/>
    <w:rsid w:val="0075198F"/>
    <w:rsid w:val="00751B45"/>
    <w:rsid w:val="00751D2C"/>
    <w:rsid w:val="00751EDE"/>
    <w:rsid w:val="00752AF3"/>
    <w:rsid w:val="00753170"/>
    <w:rsid w:val="0075371E"/>
    <w:rsid w:val="00753DF7"/>
    <w:rsid w:val="007545E3"/>
    <w:rsid w:val="00754721"/>
    <w:rsid w:val="00754BFA"/>
    <w:rsid w:val="00754E51"/>
    <w:rsid w:val="0075523A"/>
    <w:rsid w:val="00755A5B"/>
    <w:rsid w:val="00755ACF"/>
    <w:rsid w:val="00755CB8"/>
    <w:rsid w:val="0075668B"/>
    <w:rsid w:val="00756954"/>
    <w:rsid w:val="007569ED"/>
    <w:rsid w:val="00756E5F"/>
    <w:rsid w:val="0075770E"/>
    <w:rsid w:val="00757D15"/>
    <w:rsid w:val="00757E85"/>
    <w:rsid w:val="00760165"/>
    <w:rsid w:val="00760615"/>
    <w:rsid w:val="0076098D"/>
    <w:rsid w:val="00760B50"/>
    <w:rsid w:val="00760DAA"/>
    <w:rsid w:val="00760E22"/>
    <w:rsid w:val="00764556"/>
    <w:rsid w:val="007658A6"/>
    <w:rsid w:val="00765A73"/>
    <w:rsid w:val="00765B6B"/>
    <w:rsid w:val="00766607"/>
    <w:rsid w:val="007703B2"/>
    <w:rsid w:val="00771532"/>
    <w:rsid w:val="00771567"/>
    <w:rsid w:val="0077174E"/>
    <w:rsid w:val="007720AA"/>
    <w:rsid w:val="0077316E"/>
    <w:rsid w:val="007735B7"/>
    <w:rsid w:val="007736DE"/>
    <w:rsid w:val="00774069"/>
    <w:rsid w:val="00774ADA"/>
    <w:rsid w:val="00774AF2"/>
    <w:rsid w:val="00775944"/>
    <w:rsid w:val="00775E76"/>
    <w:rsid w:val="00776B8C"/>
    <w:rsid w:val="00777C4A"/>
    <w:rsid w:val="007808EB"/>
    <w:rsid w:val="007818C3"/>
    <w:rsid w:val="00781A90"/>
    <w:rsid w:val="00781E15"/>
    <w:rsid w:val="00781E16"/>
    <w:rsid w:val="00781F46"/>
    <w:rsid w:val="00782403"/>
    <w:rsid w:val="007824A4"/>
    <w:rsid w:val="007831EE"/>
    <w:rsid w:val="00783699"/>
    <w:rsid w:val="00783B67"/>
    <w:rsid w:val="007843F9"/>
    <w:rsid w:val="0078534C"/>
    <w:rsid w:val="00785FFD"/>
    <w:rsid w:val="007861BA"/>
    <w:rsid w:val="00787C40"/>
    <w:rsid w:val="00790CE3"/>
    <w:rsid w:val="00790ECE"/>
    <w:rsid w:val="00791108"/>
    <w:rsid w:val="00791523"/>
    <w:rsid w:val="00791537"/>
    <w:rsid w:val="00791884"/>
    <w:rsid w:val="0079234E"/>
    <w:rsid w:val="007923EC"/>
    <w:rsid w:val="00792733"/>
    <w:rsid w:val="0079275E"/>
    <w:rsid w:val="00793977"/>
    <w:rsid w:val="0079444A"/>
    <w:rsid w:val="00794B18"/>
    <w:rsid w:val="0079502C"/>
    <w:rsid w:val="00795B7A"/>
    <w:rsid w:val="007962AB"/>
    <w:rsid w:val="00796B49"/>
    <w:rsid w:val="00796D6A"/>
    <w:rsid w:val="00796ED8"/>
    <w:rsid w:val="00797B70"/>
    <w:rsid w:val="007A0472"/>
    <w:rsid w:val="007A04AF"/>
    <w:rsid w:val="007A0576"/>
    <w:rsid w:val="007A0BF4"/>
    <w:rsid w:val="007A0F72"/>
    <w:rsid w:val="007A0FB6"/>
    <w:rsid w:val="007A1A57"/>
    <w:rsid w:val="007A1D9A"/>
    <w:rsid w:val="007A22BA"/>
    <w:rsid w:val="007A29AD"/>
    <w:rsid w:val="007A2DBC"/>
    <w:rsid w:val="007A3587"/>
    <w:rsid w:val="007A37B8"/>
    <w:rsid w:val="007A3A31"/>
    <w:rsid w:val="007A3DB5"/>
    <w:rsid w:val="007A41D8"/>
    <w:rsid w:val="007A4B8D"/>
    <w:rsid w:val="007A5BFD"/>
    <w:rsid w:val="007A623D"/>
    <w:rsid w:val="007A73E7"/>
    <w:rsid w:val="007A767F"/>
    <w:rsid w:val="007B1404"/>
    <w:rsid w:val="007B2271"/>
    <w:rsid w:val="007B237B"/>
    <w:rsid w:val="007B26F5"/>
    <w:rsid w:val="007B292C"/>
    <w:rsid w:val="007B3327"/>
    <w:rsid w:val="007B3731"/>
    <w:rsid w:val="007B3A67"/>
    <w:rsid w:val="007B3E20"/>
    <w:rsid w:val="007B46A9"/>
    <w:rsid w:val="007B5440"/>
    <w:rsid w:val="007B587A"/>
    <w:rsid w:val="007B6049"/>
    <w:rsid w:val="007B666B"/>
    <w:rsid w:val="007B6EF9"/>
    <w:rsid w:val="007B7F2D"/>
    <w:rsid w:val="007C02EE"/>
    <w:rsid w:val="007C1118"/>
    <w:rsid w:val="007C15DA"/>
    <w:rsid w:val="007C18EB"/>
    <w:rsid w:val="007C22DC"/>
    <w:rsid w:val="007C4267"/>
    <w:rsid w:val="007C44AC"/>
    <w:rsid w:val="007C4BB5"/>
    <w:rsid w:val="007C55F1"/>
    <w:rsid w:val="007C65F6"/>
    <w:rsid w:val="007C7B04"/>
    <w:rsid w:val="007C7F6C"/>
    <w:rsid w:val="007D02AA"/>
    <w:rsid w:val="007D0729"/>
    <w:rsid w:val="007D09A7"/>
    <w:rsid w:val="007D0C48"/>
    <w:rsid w:val="007D0DD0"/>
    <w:rsid w:val="007D1B0E"/>
    <w:rsid w:val="007D1D49"/>
    <w:rsid w:val="007D2E9E"/>
    <w:rsid w:val="007D45BB"/>
    <w:rsid w:val="007D48C1"/>
    <w:rsid w:val="007D4DD6"/>
    <w:rsid w:val="007D51C4"/>
    <w:rsid w:val="007D523B"/>
    <w:rsid w:val="007D5FCF"/>
    <w:rsid w:val="007D626A"/>
    <w:rsid w:val="007D6320"/>
    <w:rsid w:val="007D6B98"/>
    <w:rsid w:val="007D764F"/>
    <w:rsid w:val="007E0507"/>
    <w:rsid w:val="007E05AF"/>
    <w:rsid w:val="007E0846"/>
    <w:rsid w:val="007E0BE8"/>
    <w:rsid w:val="007E163E"/>
    <w:rsid w:val="007E1678"/>
    <w:rsid w:val="007E1BF2"/>
    <w:rsid w:val="007E1D3A"/>
    <w:rsid w:val="007E1DFB"/>
    <w:rsid w:val="007E2254"/>
    <w:rsid w:val="007E2528"/>
    <w:rsid w:val="007E2587"/>
    <w:rsid w:val="007E2CD5"/>
    <w:rsid w:val="007E38B8"/>
    <w:rsid w:val="007E3D03"/>
    <w:rsid w:val="007E49E0"/>
    <w:rsid w:val="007E53C3"/>
    <w:rsid w:val="007E5804"/>
    <w:rsid w:val="007E589A"/>
    <w:rsid w:val="007E7227"/>
    <w:rsid w:val="007E72A9"/>
    <w:rsid w:val="007E762F"/>
    <w:rsid w:val="007E76AC"/>
    <w:rsid w:val="007E7A24"/>
    <w:rsid w:val="007F0B01"/>
    <w:rsid w:val="007F0FAE"/>
    <w:rsid w:val="007F15B3"/>
    <w:rsid w:val="007F1714"/>
    <w:rsid w:val="007F242B"/>
    <w:rsid w:val="007F2AE4"/>
    <w:rsid w:val="007F2BBF"/>
    <w:rsid w:val="007F3091"/>
    <w:rsid w:val="007F32A2"/>
    <w:rsid w:val="007F426F"/>
    <w:rsid w:val="007F4437"/>
    <w:rsid w:val="007F4773"/>
    <w:rsid w:val="007F48C2"/>
    <w:rsid w:val="007F4AAF"/>
    <w:rsid w:val="007F4CE6"/>
    <w:rsid w:val="007F51C1"/>
    <w:rsid w:val="007F637E"/>
    <w:rsid w:val="007F6BBD"/>
    <w:rsid w:val="007F6CC8"/>
    <w:rsid w:val="007F6E73"/>
    <w:rsid w:val="007F769C"/>
    <w:rsid w:val="007F779A"/>
    <w:rsid w:val="007F7801"/>
    <w:rsid w:val="0080073A"/>
    <w:rsid w:val="00800772"/>
    <w:rsid w:val="00800D66"/>
    <w:rsid w:val="00800E06"/>
    <w:rsid w:val="00801983"/>
    <w:rsid w:val="00801BD0"/>
    <w:rsid w:val="00801CE7"/>
    <w:rsid w:val="0080249E"/>
    <w:rsid w:val="008024A2"/>
    <w:rsid w:val="008026BD"/>
    <w:rsid w:val="00802E4E"/>
    <w:rsid w:val="00803144"/>
    <w:rsid w:val="00803842"/>
    <w:rsid w:val="00804BB5"/>
    <w:rsid w:val="00804BFC"/>
    <w:rsid w:val="008052DE"/>
    <w:rsid w:val="00805402"/>
    <w:rsid w:val="008057E0"/>
    <w:rsid w:val="00806FC4"/>
    <w:rsid w:val="00806FF6"/>
    <w:rsid w:val="008071A9"/>
    <w:rsid w:val="008073B3"/>
    <w:rsid w:val="00807BD4"/>
    <w:rsid w:val="008101EB"/>
    <w:rsid w:val="00810952"/>
    <w:rsid w:val="00810C82"/>
    <w:rsid w:val="00812B9D"/>
    <w:rsid w:val="00813131"/>
    <w:rsid w:val="00813814"/>
    <w:rsid w:val="00814521"/>
    <w:rsid w:val="00815276"/>
    <w:rsid w:val="008165DE"/>
    <w:rsid w:val="00816840"/>
    <w:rsid w:val="00816E60"/>
    <w:rsid w:val="00817B1C"/>
    <w:rsid w:val="00817DC9"/>
    <w:rsid w:val="00817EEA"/>
    <w:rsid w:val="00817F7E"/>
    <w:rsid w:val="00820050"/>
    <w:rsid w:val="008202DF"/>
    <w:rsid w:val="00821483"/>
    <w:rsid w:val="008219EF"/>
    <w:rsid w:val="00822B41"/>
    <w:rsid w:val="0082370D"/>
    <w:rsid w:val="00823E6D"/>
    <w:rsid w:val="00823FA2"/>
    <w:rsid w:val="008245F9"/>
    <w:rsid w:val="00824E14"/>
    <w:rsid w:val="00825316"/>
    <w:rsid w:val="00826A0C"/>
    <w:rsid w:val="00827060"/>
    <w:rsid w:val="00827813"/>
    <w:rsid w:val="008301F5"/>
    <w:rsid w:val="00830AA2"/>
    <w:rsid w:val="00831BA1"/>
    <w:rsid w:val="00832098"/>
    <w:rsid w:val="008326E6"/>
    <w:rsid w:val="0083338D"/>
    <w:rsid w:val="00834201"/>
    <w:rsid w:val="008342DA"/>
    <w:rsid w:val="00834A89"/>
    <w:rsid w:val="00834B8E"/>
    <w:rsid w:val="00834C6C"/>
    <w:rsid w:val="00835489"/>
    <w:rsid w:val="00835768"/>
    <w:rsid w:val="00837172"/>
    <w:rsid w:val="00840ACD"/>
    <w:rsid w:val="00840C70"/>
    <w:rsid w:val="00840D31"/>
    <w:rsid w:val="00841781"/>
    <w:rsid w:val="00842A60"/>
    <w:rsid w:val="00843105"/>
    <w:rsid w:val="00843845"/>
    <w:rsid w:val="008438E2"/>
    <w:rsid w:val="00843B9F"/>
    <w:rsid w:val="008444A3"/>
    <w:rsid w:val="008448F4"/>
    <w:rsid w:val="00844BB6"/>
    <w:rsid w:val="00844E82"/>
    <w:rsid w:val="0084671E"/>
    <w:rsid w:val="00846E92"/>
    <w:rsid w:val="00847592"/>
    <w:rsid w:val="00850850"/>
    <w:rsid w:val="00850EC3"/>
    <w:rsid w:val="008516AE"/>
    <w:rsid w:val="00851710"/>
    <w:rsid w:val="00851A6D"/>
    <w:rsid w:val="0085231E"/>
    <w:rsid w:val="00852D63"/>
    <w:rsid w:val="0085398F"/>
    <w:rsid w:val="0085545F"/>
    <w:rsid w:val="00855A0B"/>
    <w:rsid w:val="00855FDF"/>
    <w:rsid w:val="0085635D"/>
    <w:rsid w:val="00856471"/>
    <w:rsid w:val="00856698"/>
    <w:rsid w:val="008567E9"/>
    <w:rsid w:val="008568A6"/>
    <w:rsid w:val="00857086"/>
    <w:rsid w:val="00857580"/>
    <w:rsid w:val="00857767"/>
    <w:rsid w:val="00857BF9"/>
    <w:rsid w:val="00860082"/>
    <w:rsid w:val="00860F96"/>
    <w:rsid w:val="0086108A"/>
    <w:rsid w:val="008611B0"/>
    <w:rsid w:val="00861FB9"/>
    <w:rsid w:val="008632F0"/>
    <w:rsid w:val="0086364E"/>
    <w:rsid w:val="008643D9"/>
    <w:rsid w:val="008645AD"/>
    <w:rsid w:val="008653EA"/>
    <w:rsid w:val="00865B39"/>
    <w:rsid w:val="00865C16"/>
    <w:rsid w:val="008668BF"/>
    <w:rsid w:val="00866B97"/>
    <w:rsid w:val="00866C6E"/>
    <w:rsid w:val="00867BBC"/>
    <w:rsid w:val="0087061B"/>
    <w:rsid w:val="008709B1"/>
    <w:rsid w:val="00870F48"/>
    <w:rsid w:val="00871138"/>
    <w:rsid w:val="008714A4"/>
    <w:rsid w:val="00871A54"/>
    <w:rsid w:val="008721EE"/>
    <w:rsid w:val="00872440"/>
    <w:rsid w:val="008729FC"/>
    <w:rsid w:val="00873133"/>
    <w:rsid w:val="0087346A"/>
    <w:rsid w:val="00873AF5"/>
    <w:rsid w:val="00873B72"/>
    <w:rsid w:val="00874122"/>
    <w:rsid w:val="008742C7"/>
    <w:rsid w:val="00874714"/>
    <w:rsid w:val="00874A1F"/>
    <w:rsid w:val="008751B1"/>
    <w:rsid w:val="008754BB"/>
    <w:rsid w:val="00875D68"/>
    <w:rsid w:val="00875EF1"/>
    <w:rsid w:val="00876C8D"/>
    <w:rsid w:val="00876EF6"/>
    <w:rsid w:val="0087711A"/>
    <w:rsid w:val="0087750A"/>
    <w:rsid w:val="00877DDD"/>
    <w:rsid w:val="0088022D"/>
    <w:rsid w:val="00880E87"/>
    <w:rsid w:val="00881594"/>
    <w:rsid w:val="008815E3"/>
    <w:rsid w:val="00881AE8"/>
    <w:rsid w:val="00882A61"/>
    <w:rsid w:val="0088353F"/>
    <w:rsid w:val="00884042"/>
    <w:rsid w:val="00885179"/>
    <w:rsid w:val="008861F1"/>
    <w:rsid w:val="00887980"/>
    <w:rsid w:val="00887E62"/>
    <w:rsid w:val="00890FB1"/>
    <w:rsid w:val="00891108"/>
    <w:rsid w:val="00891944"/>
    <w:rsid w:val="00891E79"/>
    <w:rsid w:val="008923EF"/>
    <w:rsid w:val="008925DC"/>
    <w:rsid w:val="00892F97"/>
    <w:rsid w:val="00893089"/>
    <w:rsid w:val="0089369D"/>
    <w:rsid w:val="00893B5C"/>
    <w:rsid w:val="00895B73"/>
    <w:rsid w:val="00896703"/>
    <w:rsid w:val="00896D98"/>
    <w:rsid w:val="00897FEC"/>
    <w:rsid w:val="008A027F"/>
    <w:rsid w:val="008A04D4"/>
    <w:rsid w:val="008A0944"/>
    <w:rsid w:val="008A0D7A"/>
    <w:rsid w:val="008A2304"/>
    <w:rsid w:val="008A2A01"/>
    <w:rsid w:val="008A3F5F"/>
    <w:rsid w:val="008A418D"/>
    <w:rsid w:val="008A4393"/>
    <w:rsid w:val="008A55E5"/>
    <w:rsid w:val="008A5AB3"/>
    <w:rsid w:val="008A5BCD"/>
    <w:rsid w:val="008A68A8"/>
    <w:rsid w:val="008A6E80"/>
    <w:rsid w:val="008A788F"/>
    <w:rsid w:val="008A7DF0"/>
    <w:rsid w:val="008B004A"/>
    <w:rsid w:val="008B0189"/>
    <w:rsid w:val="008B12CD"/>
    <w:rsid w:val="008B136C"/>
    <w:rsid w:val="008B1A9A"/>
    <w:rsid w:val="008B2471"/>
    <w:rsid w:val="008B24E8"/>
    <w:rsid w:val="008B277E"/>
    <w:rsid w:val="008B2D23"/>
    <w:rsid w:val="008B3888"/>
    <w:rsid w:val="008B46C4"/>
    <w:rsid w:val="008B596D"/>
    <w:rsid w:val="008B63EF"/>
    <w:rsid w:val="008B64C9"/>
    <w:rsid w:val="008B65A6"/>
    <w:rsid w:val="008B7827"/>
    <w:rsid w:val="008C0997"/>
    <w:rsid w:val="008C1998"/>
    <w:rsid w:val="008C1B18"/>
    <w:rsid w:val="008C22E4"/>
    <w:rsid w:val="008C2363"/>
    <w:rsid w:val="008C2F41"/>
    <w:rsid w:val="008C2F85"/>
    <w:rsid w:val="008C329D"/>
    <w:rsid w:val="008C3F77"/>
    <w:rsid w:val="008C4377"/>
    <w:rsid w:val="008C43A7"/>
    <w:rsid w:val="008C56AD"/>
    <w:rsid w:val="008C5C41"/>
    <w:rsid w:val="008C65DC"/>
    <w:rsid w:val="008C69B4"/>
    <w:rsid w:val="008C69CA"/>
    <w:rsid w:val="008C741C"/>
    <w:rsid w:val="008C74EC"/>
    <w:rsid w:val="008C79E9"/>
    <w:rsid w:val="008C7C1A"/>
    <w:rsid w:val="008D02A5"/>
    <w:rsid w:val="008D06CE"/>
    <w:rsid w:val="008D0F0A"/>
    <w:rsid w:val="008D1349"/>
    <w:rsid w:val="008D166C"/>
    <w:rsid w:val="008D1F78"/>
    <w:rsid w:val="008D2248"/>
    <w:rsid w:val="008D2346"/>
    <w:rsid w:val="008D2426"/>
    <w:rsid w:val="008D2834"/>
    <w:rsid w:val="008D2EDB"/>
    <w:rsid w:val="008D319B"/>
    <w:rsid w:val="008D40A0"/>
    <w:rsid w:val="008D4C09"/>
    <w:rsid w:val="008D500E"/>
    <w:rsid w:val="008D5646"/>
    <w:rsid w:val="008D5C71"/>
    <w:rsid w:val="008D623F"/>
    <w:rsid w:val="008D650E"/>
    <w:rsid w:val="008D6707"/>
    <w:rsid w:val="008D7244"/>
    <w:rsid w:val="008D73E4"/>
    <w:rsid w:val="008D7BAA"/>
    <w:rsid w:val="008D7D68"/>
    <w:rsid w:val="008E08C3"/>
    <w:rsid w:val="008E0908"/>
    <w:rsid w:val="008E0C51"/>
    <w:rsid w:val="008E0F25"/>
    <w:rsid w:val="008E0F3D"/>
    <w:rsid w:val="008E1475"/>
    <w:rsid w:val="008E14A1"/>
    <w:rsid w:val="008E1ADC"/>
    <w:rsid w:val="008E2685"/>
    <w:rsid w:val="008E2E6C"/>
    <w:rsid w:val="008E2ED9"/>
    <w:rsid w:val="008E40A9"/>
    <w:rsid w:val="008E4FA1"/>
    <w:rsid w:val="008E5521"/>
    <w:rsid w:val="008E56C2"/>
    <w:rsid w:val="008E5E2D"/>
    <w:rsid w:val="008E5E5B"/>
    <w:rsid w:val="008E6B15"/>
    <w:rsid w:val="008E7598"/>
    <w:rsid w:val="008E7AF5"/>
    <w:rsid w:val="008F25FE"/>
    <w:rsid w:val="008F312B"/>
    <w:rsid w:val="008F3326"/>
    <w:rsid w:val="008F4253"/>
    <w:rsid w:val="008F487B"/>
    <w:rsid w:val="008F4FF0"/>
    <w:rsid w:val="008F519B"/>
    <w:rsid w:val="008F51A1"/>
    <w:rsid w:val="008F54B4"/>
    <w:rsid w:val="008F5D83"/>
    <w:rsid w:val="008F63AE"/>
    <w:rsid w:val="008F6A65"/>
    <w:rsid w:val="008F7198"/>
    <w:rsid w:val="008F7491"/>
    <w:rsid w:val="008F7C6E"/>
    <w:rsid w:val="008F7CB7"/>
    <w:rsid w:val="008F7E04"/>
    <w:rsid w:val="00900196"/>
    <w:rsid w:val="009004EE"/>
    <w:rsid w:val="00900D7F"/>
    <w:rsid w:val="00900FB9"/>
    <w:rsid w:val="009010BA"/>
    <w:rsid w:val="00901240"/>
    <w:rsid w:val="009013A1"/>
    <w:rsid w:val="00901656"/>
    <w:rsid w:val="00901F65"/>
    <w:rsid w:val="009025DB"/>
    <w:rsid w:val="00904331"/>
    <w:rsid w:val="0090448D"/>
    <w:rsid w:val="00904B36"/>
    <w:rsid w:val="009052F6"/>
    <w:rsid w:val="009057C5"/>
    <w:rsid w:val="009057E1"/>
    <w:rsid w:val="00905A0F"/>
    <w:rsid w:val="00906055"/>
    <w:rsid w:val="009064C5"/>
    <w:rsid w:val="00906E63"/>
    <w:rsid w:val="0090731C"/>
    <w:rsid w:val="00907BFC"/>
    <w:rsid w:val="009101EE"/>
    <w:rsid w:val="00911E26"/>
    <w:rsid w:val="00912AD9"/>
    <w:rsid w:val="00912C2C"/>
    <w:rsid w:val="009131E3"/>
    <w:rsid w:val="009137AF"/>
    <w:rsid w:val="00913900"/>
    <w:rsid w:val="00913D43"/>
    <w:rsid w:val="00913F1B"/>
    <w:rsid w:val="00914370"/>
    <w:rsid w:val="00914530"/>
    <w:rsid w:val="00914B88"/>
    <w:rsid w:val="00915161"/>
    <w:rsid w:val="009157DE"/>
    <w:rsid w:val="00915997"/>
    <w:rsid w:val="0091613D"/>
    <w:rsid w:val="009162B1"/>
    <w:rsid w:val="00916443"/>
    <w:rsid w:val="00916F43"/>
    <w:rsid w:val="00917163"/>
    <w:rsid w:val="0091721F"/>
    <w:rsid w:val="009172FD"/>
    <w:rsid w:val="00917828"/>
    <w:rsid w:val="00917832"/>
    <w:rsid w:val="009178D2"/>
    <w:rsid w:val="00917C61"/>
    <w:rsid w:val="009200A8"/>
    <w:rsid w:val="00920176"/>
    <w:rsid w:val="009205A2"/>
    <w:rsid w:val="00920A73"/>
    <w:rsid w:val="00920B05"/>
    <w:rsid w:val="00920B60"/>
    <w:rsid w:val="00921358"/>
    <w:rsid w:val="00921889"/>
    <w:rsid w:val="00922CE3"/>
    <w:rsid w:val="00922E46"/>
    <w:rsid w:val="00922E64"/>
    <w:rsid w:val="0092320D"/>
    <w:rsid w:val="00924A7A"/>
    <w:rsid w:val="0092574E"/>
    <w:rsid w:val="009260C5"/>
    <w:rsid w:val="009264B4"/>
    <w:rsid w:val="00926FC5"/>
    <w:rsid w:val="009271ED"/>
    <w:rsid w:val="009277BC"/>
    <w:rsid w:val="00927BFB"/>
    <w:rsid w:val="009312F4"/>
    <w:rsid w:val="00931522"/>
    <w:rsid w:val="009317F6"/>
    <w:rsid w:val="00931C89"/>
    <w:rsid w:val="00932B77"/>
    <w:rsid w:val="00932D40"/>
    <w:rsid w:val="00932DA3"/>
    <w:rsid w:val="0093357C"/>
    <w:rsid w:val="0093435F"/>
    <w:rsid w:val="0093466B"/>
    <w:rsid w:val="0093517C"/>
    <w:rsid w:val="00935729"/>
    <w:rsid w:val="00935BAA"/>
    <w:rsid w:val="00935E0C"/>
    <w:rsid w:val="00936F2C"/>
    <w:rsid w:val="00937635"/>
    <w:rsid w:val="00942241"/>
    <w:rsid w:val="00942978"/>
    <w:rsid w:val="009431EA"/>
    <w:rsid w:val="00943427"/>
    <w:rsid w:val="0094435F"/>
    <w:rsid w:val="0094438B"/>
    <w:rsid w:val="009443A0"/>
    <w:rsid w:val="00944621"/>
    <w:rsid w:val="00944BA5"/>
    <w:rsid w:val="00944F58"/>
    <w:rsid w:val="009456A0"/>
    <w:rsid w:val="00945ECB"/>
    <w:rsid w:val="0094626A"/>
    <w:rsid w:val="00946C00"/>
    <w:rsid w:val="00946DA8"/>
    <w:rsid w:val="00946FAF"/>
    <w:rsid w:val="00946FD6"/>
    <w:rsid w:val="00950379"/>
    <w:rsid w:val="00951620"/>
    <w:rsid w:val="00951D7C"/>
    <w:rsid w:val="009521D3"/>
    <w:rsid w:val="009529D9"/>
    <w:rsid w:val="00952B98"/>
    <w:rsid w:val="0095302B"/>
    <w:rsid w:val="0095347A"/>
    <w:rsid w:val="00953D0B"/>
    <w:rsid w:val="00953F45"/>
    <w:rsid w:val="00954175"/>
    <w:rsid w:val="00955BFB"/>
    <w:rsid w:val="00955E20"/>
    <w:rsid w:val="00956C6C"/>
    <w:rsid w:val="00956D94"/>
    <w:rsid w:val="009571B8"/>
    <w:rsid w:val="00957544"/>
    <w:rsid w:val="009575EA"/>
    <w:rsid w:val="00957703"/>
    <w:rsid w:val="00957819"/>
    <w:rsid w:val="00957EB6"/>
    <w:rsid w:val="00957F32"/>
    <w:rsid w:val="009608F9"/>
    <w:rsid w:val="00960AD3"/>
    <w:rsid w:val="00960F6B"/>
    <w:rsid w:val="00960FA3"/>
    <w:rsid w:val="0096139B"/>
    <w:rsid w:val="009615B0"/>
    <w:rsid w:val="00962283"/>
    <w:rsid w:val="00962CCB"/>
    <w:rsid w:val="0096307B"/>
    <w:rsid w:val="009634D5"/>
    <w:rsid w:val="0096405E"/>
    <w:rsid w:val="00964A06"/>
    <w:rsid w:val="00964E07"/>
    <w:rsid w:val="009650E2"/>
    <w:rsid w:val="009659E6"/>
    <w:rsid w:val="00965D60"/>
    <w:rsid w:val="00967A00"/>
    <w:rsid w:val="009724F1"/>
    <w:rsid w:val="00972545"/>
    <w:rsid w:val="0097409B"/>
    <w:rsid w:val="009747B0"/>
    <w:rsid w:val="00974A01"/>
    <w:rsid w:val="00974A43"/>
    <w:rsid w:val="00975165"/>
    <w:rsid w:val="0097569F"/>
    <w:rsid w:val="00975725"/>
    <w:rsid w:val="009758CA"/>
    <w:rsid w:val="00975CE9"/>
    <w:rsid w:val="00975DCB"/>
    <w:rsid w:val="0097687F"/>
    <w:rsid w:val="00977115"/>
    <w:rsid w:val="00977190"/>
    <w:rsid w:val="009772E8"/>
    <w:rsid w:val="009777CC"/>
    <w:rsid w:val="00977BE3"/>
    <w:rsid w:val="0098097A"/>
    <w:rsid w:val="009818C4"/>
    <w:rsid w:val="00981C5F"/>
    <w:rsid w:val="00982219"/>
    <w:rsid w:val="00982860"/>
    <w:rsid w:val="009833F4"/>
    <w:rsid w:val="0098366C"/>
    <w:rsid w:val="00983913"/>
    <w:rsid w:val="00983A72"/>
    <w:rsid w:val="00983C5B"/>
    <w:rsid w:val="0098404C"/>
    <w:rsid w:val="00984733"/>
    <w:rsid w:val="00984A36"/>
    <w:rsid w:val="00984AE0"/>
    <w:rsid w:val="00984B52"/>
    <w:rsid w:val="009862A4"/>
    <w:rsid w:val="009862BA"/>
    <w:rsid w:val="009867B5"/>
    <w:rsid w:val="009869AE"/>
    <w:rsid w:val="00987383"/>
    <w:rsid w:val="00987525"/>
    <w:rsid w:val="00987AA9"/>
    <w:rsid w:val="00990B9D"/>
    <w:rsid w:val="00990C4A"/>
    <w:rsid w:val="00990D21"/>
    <w:rsid w:val="00990D6E"/>
    <w:rsid w:val="00991532"/>
    <w:rsid w:val="00991775"/>
    <w:rsid w:val="00991DA4"/>
    <w:rsid w:val="00992B4B"/>
    <w:rsid w:val="009930B3"/>
    <w:rsid w:val="00994218"/>
    <w:rsid w:val="0099423B"/>
    <w:rsid w:val="00994272"/>
    <w:rsid w:val="009948F6"/>
    <w:rsid w:val="00994C2A"/>
    <w:rsid w:val="00995661"/>
    <w:rsid w:val="0099567A"/>
    <w:rsid w:val="00995B34"/>
    <w:rsid w:val="009970A9"/>
    <w:rsid w:val="00997EE6"/>
    <w:rsid w:val="00997FD6"/>
    <w:rsid w:val="009A1E3F"/>
    <w:rsid w:val="009A2D61"/>
    <w:rsid w:val="009A3BAB"/>
    <w:rsid w:val="009A43CD"/>
    <w:rsid w:val="009A4E4E"/>
    <w:rsid w:val="009A626A"/>
    <w:rsid w:val="009A69E6"/>
    <w:rsid w:val="009A7285"/>
    <w:rsid w:val="009A75F5"/>
    <w:rsid w:val="009A7FFC"/>
    <w:rsid w:val="009B0599"/>
    <w:rsid w:val="009B07F8"/>
    <w:rsid w:val="009B1235"/>
    <w:rsid w:val="009B14D4"/>
    <w:rsid w:val="009B18AD"/>
    <w:rsid w:val="009B19F3"/>
    <w:rsid w:val="009B2173"/>
    <w:rsid w:val="009B28C9"/>
    <w:rsid w:val="009B300E"/>
    <w:rsid w:val="009B35E9"/>
    <w:rsid w:val="009B37A7"/>
    <w:rsid w:val="009B37E0"/>
    <w:rsid w:val="009B3E59"/>
    <w:rsid w:val="009B427C"/>
    <w:rsid w:val="009B49BE"/>
    <w:rsid w:val="009B4B6F"/>
    <w:rsid w:val="009B4E93"/>
    <w:rsid w:val="009B651C"/>
    <w:rsid w:val="009B67A5"/>
    <w:rsid w:val="009B7471"/>
    <w:rsid w:val="009B7770"/>
    <w:rsid w:val="009C05E6"/>
    <w:rsid w:val="009C0BC0"/>
    <w:rsid w:val="009C11CE"/>
    <w:rsid w:val="009C1D9E"/>
    <w:rsid w:val="009C20D0"/>
    <w:rsid w:val="009C2143"/>
    <w:rsid w:val="009C2611"/>
    <w:rsid w:val="009C279D"/>
    <w:rsid w:val="009C3C42"/>
    <w:rsid w:val="009C4A97"/>
    <w:rsid w:val="009C514C"/>
    <w:rsid w:val="009C5901"/>
    <w:rsid w:val="009C59C8"/>
    <w:rsid w:val="009C5C7D"/>
    <w:rsid w:val="009C6C92"/>
    <w:rsid w:val="009C6DAE"/>
    <w:rsid w:val="009D0211"/>
    <w:rsid w:val="009D02B4"/>
    <w:rsid w:val="009D1154"/>
    <w:rsid w:val="009D175B"/>
    <w:rsid w:val="009D1AFF"/>
    <w:rsid w:val="009D217D"/>
    <w:rsid w:val="009D240E"/>
    <w:rsid w:val="009D242D"/>
    <w:rsid w:val="009D3191"/>
    <w:rsid w:val="009D3AEC"/>
    <w:rsid w:val="009D438F"/>
    <w:rsid w:val="009D4920"/>
    <w:rsid w:val="009D4A67"/>
    <w:rsid w:val="009D4BD3"/>
    <w:rsid w:val="009D4DF9"/>
    <w:rsid w:val="009D56C6"/>
    <w:rsid w:val="009D6642"/>
    <w:rsid w:val="009D7AB6"/>
    <w:rsid w:val="009E1CBC"/>
    <w:rsid w:val="009E1E72"/>
    <w:rsid w:val="009E2826"/>
    <w:rsid w:val="009E3093"/>
    <w:rsid w:val="009E35D8"/>
    <w:rsid w:val="009E3776"/>
    <w:rsid w:val="009E3CE0"/>
    <w:rsid w:val="009E43B8"/>
    <w:rsid w:val="009E5617"/>
    <w:rsid w:val="009E59E2"/>
    <w:rsid w:val="009E5AAC"/>
    <w:rsid w:val="009E5CD5"/>
    <w:rsid w:val="009E6869"/>
    <w:rsid w:val="009E6929"/>
    <w:rsid w:val="009F06C7"/>
    <w:rsid w:val="009F0BC4"/>
    <w:rsid w:val="009F2566"/>
    <w:rsid w:val="009F2975"/>
    <w:rsid w:val="009F42C6"/>
    <w:rsid w:val="009F5907"/>
    <w:rsid w:val="009F59AB"/>
    <w:rsid w:val="009F6A6D"/>
    <w:rsid w:val="00A0024D"/>
    <w:rsid w:val="00A0033B"/>
    <w:rsid w:val="00A003E9"/>
    <w:rsid w:val="00A00470"/>
    <w:rsid w:val="00A005C6"/>
    <w:rsid w:val="00A00843"/>
    <w:rsid w:val="00A00E47"/>
    <w:rsid w:val="00A00E57"/>
    <w:rsid w:val="00A0184B"/>
    <w:rsid w:val="00A01C7F"/>
    <w:rsid w:val="00A020AC"/>
    <w:rsid w:val="00A02BF6"/>
    <w:rsid w:val="00A03200"/>
    <w:rsid w:val="00A03C7D"/>
    <w:rsid w:val="00A04112"/>
    <w:rsid w:val="00A04B5F"/>
    <w:rsid w:val="00A05145"/>
    <w:rsid w:val="00A058DE"/>
    <w:rsid w:val="00A05CC6"/>
    <w:rsid w:val="00A06635"/>
    <w:rsid w:val="00A066D6"/>
    <w:rsid w:val="00A0684C"/>
    <w:rsid w:val="00A07CE0"/>
    <w:rsid w:val="00A1022D"/>
    <w:rsid w:val="00A10D05"/>
    <w:rsid w:val="00A1128A"/>
    <w:rsid w:val="00A112E8"/>
    <w:rsid w:val="00A1288A"/>
    <w:rsid w:val="00A12AC6"/>
    <w:rsid w:val="00A12F44"/>
    <w:rsid w:val="00A13933"/>
    <w:rsid w:val="00A14CE3"/>
    <w:rsid w:val="00A1640F"/>
    <w:rsid w:val="00A16EAF"/>
    <w:rsid w:val="00A17655"/>
    <w:rsid w:val="00A17C15"/>
    <w:rsid w:val="00A17DAA"/>
    <w:rsid w:val="00A20185"/>
    <w:rsid w:val="00A20289"/>
    <w:rsid w:val="00A22565"/>
    <w:rsid w:val="00A227FA"/>
    <w:rsid w:val="00A2305E"/>
    <w:rsid w:val="00A23360"/>
    <w:rsid w:val="00A23F47"/>
    <w:rsid w:val="00A240A5"/>
    <w:rsid w:val="00A2422A"/>
    <w:rsid w:val="00A24C94"/>
    <w:rsid w:val="00A25535"/>
    <w:rsid w:val="00A258DE"/>
    <w:rsid w:val="00A25F23"/>
    <w:rsid w:val="00A260F1"/>
    <w:rsid w:val="00A26928"/>
    <w:rsid w:val="00A2704D"/>
    <w:rsid w:val="00A27B0C"/>
    <w:rsid w:val="00A27BC4"/>
    <w:rsid w:val="00A27C16"/>
    <w:rsid w:val="00A27FC9"/>
    <w:rsid w:val="00A30A36"/>
    <w:rsid w:val="00A31514"/>
    <w:rsid w:val="00A32B44"/>
    <w:rsid w:val="00A32F07"/>
    <w:rsid w:val="00A33302"/>
    <w:rsid w:val="00A3340F"/>
    <w:rsid w:val="00A33D44"/>
    <w:rsid w:val="00A35C40"/>
    <w:rsid w:val="00A3624A"/>
    <w:rsid w:val="00A36A0E"/>
    <w:rsid w:val="00A36C5F"/>
    <w:rsid w:val="00A40F80"/>
    <w:rsid w:val="00A4229F"/>
    <w:rsid w:val="00A425EB"/>
    <w:rsid w:val="00A42B28"/>
    <w:rsid w:val="00A42F11"/>
    <w:rsid w:val="00A436F9"/>
    <w:rsid w:val="00A43B59"/>
    <w:rsid w:val="00A43E2A"/>
    <w:rsid w:val="00A444F5"/>
    <w:rsid w:val="00A447D4"/>
    <w:rsid w:val="00A45E40"/>
    <w:rsid w:val="00A46276"/>
    <w:rsid w:val="00A466DC"/>
    <w:rsid w:val="00A4698E"/>
    <w:rsid w:val="00A471BE"/>
    <w:rsid w:val="00A47214"/>
    <w:rsid w:val="00A47E5E"/>
    <w:rsid w:val="00A507BD"/>
    <w:rsid w:val="00A508A0"/>
    <w:rsid w:val="00A509F3"/>
    <w:rsid w:val="00A513D8"/>
    <w:rsid w:val="00A519C5"/>
    <w:rsid w:val="00A52163"/>
    <w:rsid w:val="00A523E6"/>
    <w:rsid w:val="00A525AB"/>
    <w:rsid w:val="00A52D8C"/>
    <w:rsid w:val="00A52FC3"/>
    <w:rsid w:val="00A545BD"/>
    <w:rsid w:val="00A54974"/>
    <w:rsid w:val="00A54C2C"/>
    <w:rsid w:val="00A54E50"/>
    <w:rsid w:val="00A55058"/>
    <w:rsid w:val="00A55AA4"/>
    <w:rsid w:val="00A55E2A"/>
    <w:rsid w:val="00A55ED3"/>
    <w:rsid w:val="00A56117"/>
    <w:rsid w:val="00A57158"/>
    <w:rsid w:val="00A57CC4"/>
    <w:rsid w:val="00A6075F"/>
    <w:rsid w:val="00A60DBE"/>
    <w:rsid w:val="00A60EF6"/>
    <w:rsid w:val="00A610D8"/>
    <w:rsid w:val="00A625BF"/>
    <w:rsid w:val="00A6381A"/>
    <w:rsid w:val="00A6443D"/>
    <w:rsid w:val="00A64CB2"/>
    <w:rsid w:val="00A64DDF"/>
    <w:rsid w:val="00A651A6"/>
    <w:rsid w:val="00A659FF"/>
    <w:rsid w:val="00A6636C"/>
    <w:rsid w:val="00A664EB"/>
    <w:rsid w:val="00A668FB"/>
    <w:rsid w:val="00A66980"/>
    <w:rsid w:val="00A66BED"/>
    <w:rsid w:val="00A674F4"/>
    <w:rsid w:val="00A67A2F"/>
    <w:rsid w:val="00A70253"/>
    <w:rsid w:val="00A70911"/>
    <w:rsid w:val="00A70AD5"/>
    <w:rsid w:val="00A70F3E"/>
    <w:rsid w:val="00A7158E"/>
    <w:rsid w:val="00A718EB"/>
    <w:rsid w:val="00A71929"/>
    <w:rsid w:val="00A71BAA"/>
    <w:rsid w:val="00A731DA"/>
    <w:rsid w:val="00A73292"/>
    <w:rsid w:val="00A7369A"/>
    <w:rsid w:val="00A7449B"/>
    <w:rsid w:val="00A7551B"/>
    <w:rsid w:val="00A75989"/>
    <w:rsid w:val="00A76013"/>
    <w:rsid w:val="00A762C9"/>
    <w:rsid w:val="00A76C31"/>
    <w:rsid w:val="00A76C6A"/>
    <w:rsid w:val="00A773E0"/>
    <w:rsid w:val="00A77676"/>
    <w:rsid w:val="00A80177"/>
    <w:rsid w:val="00A807A8"/>
    <w:rsid w:val="00A80EC5"/>
    <w:rsid w:val="00A818C2"/>
    <w:rsid w:val="00A820FA"/>
    <w:rsid w:val="00A825B0"/>
    <w:rsid w:val="00A82860"/>
    <w:rsid w:val="00A82C28"/>
    <w:rsid w:val="00A84B24"/>
    <w:rsid w:val="00A85888"/>
    <w:rsid w:val="00A85D46"/>
    <w:rsid w:val="00A866B6"/>
    <w:rsid w:val="00A8678F"/>
    <w:rsid w:val="00A868C7"/>
    <w:rsid w:val="00A872EE"/>
    <w:rsid w:val="00A87354"/>
    <w:rsid w:val="00A8792F"/>
    <w:rsid w:val="00A87A05"/>
    <w:rsid w:val="00A87C24"/>
    <w:rsid w:val="00A91CA3"/>
    <w:rsid w:val="00A91D83"/>
    <w:rsid w:val="00A92B3C"/>
    <w:rsid w:val="00A930BB"/>
    <w:rsid w:val="00A93397"/>
    <w:rsid w:val="00A938B5"/>
    <w:rsid w:val="00A939E2"/>
    <w:rsid w:val="00A9478A"/>
    <w:rsid w:val="00A948F1"/>
    <w:rsid w:val="00A94C18"/>
    <w:rsid w:val="00A94E10"/>
    <w:rsid w:val="00A96DC3"/>
    <w:rsid w:val="00A96F60"/>
    <w:rsid w:val="00A972C2"/>
    <w:rsid w:val="00A9744E"/>
    <w:rsid w:val="00A97940"/>
    <w:rsid w:val="00AA08C3"/>
    <w:rsid w:val="00AA10B6"/>
    <w:rsid w:val="00AA1223"/>
    <w:rsid w:val="00AA2320"/>
    <w:rsid w:val="00AA2660"/>
    <w:rsid w:val="00AA2ADA"/>
    <w:rsid w:val="00AA3FB3"/>
    <w:rsid w:val="00AA4C7B"/>
    <w:rsid w:val="00AA51D7"/>
    <w:rsid w:val="00AA53AF"/>
    <w:rsid w:val="00AA57FE"/>
    <w:rsid w:val="00AA5AE0"/>
    <w:rsid w:val="00AA5B90"/>
    <w:rsid w:val="00AA5E5F"/>
    <w:rsid w:val="00AA6193"/>
    <w:rsid w:val="00AA6552"/>
    <w:rsid w:val="00AA70CC"/>
    <w:rsid w:val="00AA77CD"/>
    <w:rsid w:val="00AA787D"/>
    <w:rsid w:val="00AB05A0"/>
    <w:rsid w:val="00AB07C5"/>
    <w:rsid w:val="00AB1134"/>
    <w:rsid w:val="00AB1E39"/>
    <w:rsid w:val="00AB1F92"/>
    <w:rsid w:val="00AB21AE"/>
    <w:rsid w:val="00AB221A"/>
    <w:rsid w:val="00AB27F1"/>
    <w:rsid w:val="00AB2EDE"/>
    <w:rsid w:val="00AB3103"/>
    <w:rsid w:val="00AB3302"/>
    <w:rsid w:val="00AB352D"/>
    <w:rsid w:val="00AB3641"/>
    <w:rsid w:val="00AB37F7"/>
    <w:rsid w:val="00AB3AD5"/>
    <w:rsid w:val="00AB4B4C"/>
    <w:rsid w:val="00AB4F70"/>
    <w:rsid w:val="00AB515D"/>
    <w:rsid w:val="00AB591F"/>
    <w:rsid w:val="00AB5AA1"/>
    <w:rsid w:val="00AB638D"/>
    <w:rsid w:val="00AB678A"/>
    <w:rsid w:val="00AB76F8"/>
    <w:rsid w:val="00AC0398"/>
    <w:rsid w:val="00AC075F"/>
    <w:rsid w:val="00AC0921"/>
    <w:rsid w:val="00AC33DB"/>
    <w:rsid w:val="00AC36B7"/>
    <w:rsid w:val="00AC387C"/>
    <w:rsid w:val="00AC3A0D"/>
    <w:rsid w:val="00AC3A33"/>
    <w:rsid w:val="00AC3C5F"/>
    <w:rsid w:val="00AC4AEE"/>
    <w:rsid w:val="00AC4C16"/>
    <w:rsid w:val="00AC4CAF"/>
    <w:rsid w:val="00AC4CCC"/>
    <w:rsid w:val="00AC5154"/>
    <w:rsid w:val="00AC5E3F"/>
    <w:rsid w:val="00AC5E5B"/>
    <w:rsid w:val="00AC6867"/>
    <w:rsid w:val="00AC71E1"/>
    <w:rsid w:val="00AC7DCA"/>
    <w:rsid w:val="00AC7E3E"/>
    <w:rsid w:val="00AD0700"/>
    <w:rsid w:val="00AD0733"/>
    <w:rsid w:val="00AD088C"/>
    <w:rsid w:val="00AD0EB8"/>
    <w:rsid w:val="00AD0FCE"/>
    <w:rsid w:val="00AD1565"/>
    <w:rsid w:val="00AD20CD"/>
    <w:rsid w:val="00AD2FC8"/>
    <w:rsid w:val="00AD388E"/>
    <w:rsid w:val="00AD38D2"/>
    <w:rsid w:val="00AD3DC1"/>
    <w:rsid w:val="00AD3E54"/>
    <w:rsid w:val="00AD46CB"/>
    <w:rsid w:val="00AD6140"/>
    <w:rsid w:val="00AD6809"/>
    <w:rsid w:val="00AD6BEB"/>
    <w:rsid w:val="00AD6F63"/>
    <w:rsid w:val="00AD70D6"/>
    <w:rsid w:val="00AD7A27"/>
    <w:rsid w:val="00AE06D1"/>
    <w:rsid w:val="00AE0AAB"/>
    <w:rsid w:val="00AE0C64"/>
    <w:rsid w:val="00AE210A"/>
    <w:rsid w:val="00AE34A9"/>
    <w:rsid w:val="00AE3DF2"/>
    <w:rsid w:val="00AE3E60"/>
    <w:rsid w:val="00AE3EBD"/>
    <w:rsid w:val="00AE4F3A"/>
    <w:rsid w:val="00AE6179"/>
    <w:rsid w:val="00AE618F"/>
    <w:rsid w:val="00AE664F"/>
    <w:rsid w:val="00AE67BA"/>
    <w:rsid w:val="00AE6D16"/>
    <w:rsid w:val="00AE7814"/>
    <w:rsid w:val="00AF0CF8"/>
    <w:rsid w:val="00AF10C5"/>
    <w:rsid w:val="00AF1E6B"/>
    <w:rsid w:val="00AF2785"/>
    <w:rsid w:val="00AF2FF5"/>
    <w:rsid w:val="00AF4388"/>
    <w:rsid w:val="00AF44A3"/>
    <w:rsid w:val="00AF4F56"/>
    <w:rsid w:val="00AF5341"/>
    <w:rsid w:val="00AF5924"/>
    <w:rsid w:val="00AF70D9"/>
    <w:rsid w:val="00B0089A"/>
    <w:rsid w:val="00B00B3C"/>
    <w:rsid w:val="00B00E54"/>
    <w:rsid w:val="00B01173"/>
    <w:rsid w:val="00B01596"/>
    <w:rsid w:val="00B016A1"/>
    <w:rsid w:val="00B017C5"/>
    <w:rsid w:val="00B02034"/>
    <w:rsid w:val="00B022A4"/>
    <w:rsid w:val="00B02C9E"/>
    <w:rsid w:val="00B037B0"/>
    <w:rsid w:val="00B0390D"/>
    <w:rsid w:val="00B040BC"/>
    <w:rsid w:val="00B05346"/>
    <w:rsid w:val="00B05402"/>
    <w:rsid w:val="00B05AAB"/>
    <w:rsid w:val="00B05DFC"/>
    <w:rsid w:val="00B0708B"/>
    <w:rsid w:val="00B0797C"/>
    <w:rsid w:val="00B10BAB"/>
    <w:rsid w:val="00B10E9B"/>
    <w:rsid w:val="00B11F74"/>
    <w:rsid w:val="00B120C5"/>
    <w:rsid w:val="00B124C6"/>
    <w:rsid w:val="00B128B3"/>
    <w:rsid w:val="00B12FB0"/>
    <w:rsid w:val="00B1348D"/>
    <w:rsid w:val="00B1349F"/>
    <w:rsid w:val="00B13650"/>
    <w:rsid w:val="00B15C5F"/>
    <w:rsid w:val="00B15DAF"/>
    <w:rsid w:val="00B17F63"/>
    <w:rsid w:val="00B17FF0"/>
    <w:rsid w:val="00B202B5"/>
    <w:rsid w:val="00B2103D"/>
    <w:rsid w:val="00B2178B"/>
    <w:rsid w:val="00B22E27"/>
    <w:rsid w:val="00B23372"/>
    <w:rsid w:val="00B24177"/>
    <w:rsid w:val="00B241C7"/>
    <w:rsid w:val="00B244BC"/>
    <w:rsid w:val="00B245E4"/>
    <w:rsid w:val="00B24906"/>
    <w:rsid w:val="00B24E97"/>
    <w:rsid w:val="00B25DC6"/>
    <w:rsid w:val="00B26925"/>
    <w:rsid w:val="00B27826"/>
    <w:rsid w:val="00B2785B"/>
    <w:rsid w:val="00B27934"/>
    <w:rsid w:val="00B301BF"/>
    <w:rsid w:val="00B30ECE"/>
    <w:rsid w:val="00B31233"/>
    <w:rsid w:val="00B31B43"/>
    <w:rsid w:val="00B3230E"/>
    <w:rsid w:val="00B32AFF"/>
    <w:rsid w:val="00B33176"/>
    <w:rsid w:val="00B334D9"/>
    <w:rsid w:val="00B33C93"/>
    <w:rsid w:val="00B34686"/>
    <w:rsid w:val="00B34A03"/>
    <w:rsid w:val="00B34ABC"/>
    <w:rsid w:val="00B34B06"/>
    <w:rsid w:val="00B350F8"/>
    <w:rsid w:val="00B3561C"/>
    <w:rsid w:val="00B3583E"/>
    <w:rsid w:val="00B35EAC"/>
    <w:rsid w:val="00B35FF1"/>
    <w:rsid w:val="00B36287"/>
    <w:rsid w:val="00B400A7"/>
    <w:rsid w:val="00B40154"/>
    <w:rsid w:val="00B40BD4"/>
    <w:rsid w:val="00B41217"/>
    <w:rsid w:val="00B41A35"/>
    <w:rsid w:val="00B41C3D"/>
    <w:rsid w:val="00B422EC"/>
    <w:rsid w:val="00B43829"/>
    <w:rsid w:val="00B43C58"/>
    <w:rsid w:val="00B44177"/>
    <w:rsid w:val="00B44544"/>
    <w:rsid w:val="00B44A53"/>
    <w:rsid w:val="00B44B21"/>
    <w:rsid w:val="00B453F8"/>
    <w:rsid w:val="00B457D0"/>
    <w:rsid w:val="00B45DB0"/>
    <w:rsid w:val="00B46B9C"/>
    <w:rsid w:val="00B46BE6"/>
    <w:rsid w:val="00B47561"/>
    <w:rsid w:val="00B47A18"/>
    <w:rsid w:val="00B47A42"/>
    <w:rsid w:val="00B51343"/>
    <w:rsid w:val="00B5157E"/>
    <w:rsid w:val="00B51D1D"/>
    <w:rsid w:val="00B51D92"/>
    <w:rsid w:val="00B528C9"/>
    <w:rsid w:val="00B53041"/>
    <w:rsid w:val="00B53E31"/>
    <w:rsid w:val="00B54101"/>
    <w:rsid w:val="00B54991"/>
    <w:rsid w:val="00B54ACD"/>
    <w:rsid w:val="00B54EBA"/>
    <w:rsid w:val="00B54EF3"/>
    <w:rsid w:val="00B550A5"/>
    <w:rsid w:val="00B551B6"/>
    <w:rsid w:val="00B56498"/>
    <w:rsid w:val="00B569E9"/>
    <w:rsid w:val="00B575B1"/>
    <w:rsid w:val="00B57889"/>
    <w:rsid w:val="00B57FE8"/>
    <w:rsid w:val="00B60060"/>
    <w:rsid w:val="00B6045D"/>
    <w:rsid w:val="00B60540"/>
    <w:rsid w:val="00B6056F"/>
    <w:rsid w:val="00B60D06"/>
    <w:rsid w:val="00B60D7B"/>
    <w:rsid w:val="00B61CEE"/>
    <w:rsid w:val="00B61EC1"/>
    <w:rsid w:val="00B621AA"/>
    <w:rsid w:val="00B62B3C"/>
    <w:rsid w:val="00B63C2E"/>
    <w:rsid w:val="00B63E69"/>
    <w:rsid w:val="00B643A7"/>
    <w:rsid w:val="00B64E2A"/>
    <w:rsid w:val="00B650BA"/>
    <w:rsid w:val="00B654B0"/>
    <w:rsid w:val="00B656C6"/>
    <w:rsid w:val="00B65896"/>
    <w:rsid w:val="00B65CB9"/>
    <w:rsid w:val="00B65F9F"/>
    <w:rsid w:val="00B65FC8"/>
    <w:rsid w:val="00B66ADB"/>
    <w:rsid w:val="00B66D2C"/>
    <w:rsid w:val="00B6749E"/>
    <w:rsid w:val="00B67B02"/>
    <w:rsid w:val="00B7049F"/>
    <w:rsid w:val="00B71014"/>
    <w:rsid w:val="00B72A79"/>
    <w:rsid w:val="00B72CD6"/>
    <w:rsid w:val="00B732A8"/>
    <w:rsid w:val="00B73551"/>
    <w:rsid w:val="00B73902"/>
    <w:rsid w:val="00B7392D"/>
    <w:rsid w:val="00B749BB"/>
    <w:rsid w:val="00B74A17"/>
    <w:rsid w:val="00B756C1"/>
    <w:rsid w:val="00B75AC4"/>
    <w:rsid w:val="00B75F42"/>
    <w:rsid w:val="00B77271"/>
    <w:rsid w:val="00B77A22"/>
    <w:rsid w:val="00B77FE6"/>
    <w:rsid w:val="00B80078"/>
    <w:rsid w:val="00B80B46"/>
    <w:rsid w:val="00B81ABF"/>
    <w:rsid w:val="00B828C8"/>
    <w:rsid w:val="00B830B3"/>
    <w:rsid w:val="00B8321D"/>
    <w:rsid w:val="00B83222"/>
    <w:rsid w:val="00B83BA3"/>
    <w:rsid w:val="00B843CE"/>
    <w:rsid w:val="00B8463B"/>
    <w:rsid w:val="00B84C5A"/>
    <w:rsid w:val="00B85002"/>
    <w:rsid w:val="00B857E1"/>
    <w:rsid w:val="00B85B17"/>
    <w:rsid w:val="00B85C3A"/>
    <w:rsid w:val="00B85D6C"/>
    <w:rsid w:val="00B87689"/>
    <w:rsid w:val="00B87BAB"/>
    <w:rsid w:val="00B87D82"/>
    <w:rsid w:val="00B91247"/>
    <w:rsid w:val="00B91481"/>
    <w:rsid w:val="00B91537"/>
    <w:rsid w:val="00B9194A"/>
    <w:rsid w:val="00B91FA6"/>
    <w:rsid w:val="00B920B9"/>
    <w:rsid w:val="00B921C9"/>
    <w:rsid w:val="00B9226D"/>
    <w:rsid w:val="00B92EE0"/>
    <w:rsid w:val="00B946A9"/>
    <w:rsid w:val="00B95242"/>
    <w:rsid w:val="00B955D3"/>
    <w:rsid w:val="00B95871"/>
    <w:rsid w:val="00B95A4C"/>
    <w:rsid w:val="00B96403"/>
    <w:rsid w:val="00B96E4D"/>
    <w:rsid w:val="00B975C3"/>
    <w:rsid w:val="00B977CB"/>
    <w:rsid w:val="00BA055A"/>
    <w:rsid w:val="00BA0B7C"/>
    <w:rsid w:val="00BA14E1"/>
    <w:rsid w:val="00BA16C1"/>
    <w:rsid w:val="00BA1EA3"/>
    <w:rsid w:val="00BA21D9"/>
    <w:rsid w:val="00BA2AB2"/>
    <w:rsid w:val="00BA2DFA"/>
    <w:rsid w:val="00BA2E43"/>
    <w:rsid w:val="00BA3520"/>
    <w:rsid w:val="00BA3606"/>
    <w:rsid w:val="00BA39A7"/>
    <w:rsid w:val="00BA3F46"/>
    <w:rsid w:val="00BA4C6A"/>
    <w:rsid w:val="00BA4CC5"/>
    <w:rsid w:val="00BA5866"/>
    <w:rsid w:val="00BA66B2"/>
    <w:rsid w:val="00BA66B5"/>
    <w:rsid w:val="00BA71C5"/>
    <w:rsid w:val="00BA7F9D"/>
    <w:rsid w:val="00BB001F"/>
    <w:rsid w:val="00BB0279"/>
    <w:rsid w:val="00BB05B3"/>
    <w:rsid w:val="00BB06BA"/>
    <w:rsid w:val="00BB08A0"/>
    <w:rsid w:val="00BB1F8F"/>
    <w:rsid w:val="00BB24FB"/>
    <w:rsid w:val="00BB28C7"/>
    <w:rsid w:val="00BB2D3D"/>
    <w:rsid w:val="00BB2F3B"/>
    <w:rsid w:val="00BB4285"/>
    <w:rsid w:val="00BB4FD6"/>
    <w:rsid w:val="00BB51A4"/>
    <w:rsid w:val="00BB58A1"/>
    <w:rsid w:val="00BB59CA"/>
    <w:rsid w:val="00BB61E0"/>
    <w:rsid w:val="00BB634F"/>
    <w:rsid w:val="00BB6CA0"/>
    <w:rsid w:val="00BB6E03"/>
    <w:rsid w:val="00BB6EBA"/>
    <w:rsid w:val="00BC0E80"/>
    <w:rsid w:val="00BC102C"/>
    <w:rsid w:val="00BC1836"/>
    <w:rsid w:val="00BC1D12"/>
    <w:rsid w:val="00BC1E4D"/>
    <w:rsid w:val="00BC2428"/>
    <w:rsid w:val="00BC2C67"/>
    <w:rsid w:val="00BC30C5"/>
    <w:rsid w:val="00BC47A4"/>
    <w:rsid w:val="00BC50F7"/>
    <w:rsid w:val="00BC574B"/>
    <w:rsid w:val="00BC5AF2"/>
    <w:rsid w:val="00BC5D06"/>
    <w:rsid w:val="00BC653D"/>
    <w:rsid w:val="00BC668E"/>
    <w:rsid w:val="00BC6BC5"/>
    <w:rsid w:val="00BC6C77"/>
    <w:rsid w:val="00BC7557"/>
    <w:rsid w:val="00BC78CC"/>
    <w:rsid w:val="00BD032A"/>
    <w:rsid w:val="00BD0408"/>
    <w:rsid w:val="00BD097B"/>
    <w:rsid w:val="00BD0D2B"/>
    <w:rsid w:val="00BD12D3"/>
    <w:rsid w:val="00BD13F7"/>
    <w:rsid w:val="00BD1583"/>
    <w:rsid w:val="00BD1B13"/>
    <w:rsid w:val="00BD1FC6"/>
    <w:rsid w:val="00BD2095"/>
    <w:rsid w:val="00BD26C9"/>
    <w:rsid w:val="00BD2EC5"/>
    <w:rsid w:val="00BD4A5D"/>
    <w:rsid w:val="00BD5B59"/>
    <w:rsid w:val="00BD67DC"/>
    <w:rsid w:val="00BD7837"/>
    <w:rsid w:val="00BE089B"/>
    <w:rsid w:val="00BE1541"/>
    <w:rsid w:val="00BE17E9"/>
    <w:rsid w:val="00BE1BF2"/>
    <w:rsid w:val="00BE1D33"/>
    <w:rsid w:val="00BE2FF5"/>
    <w:rsid w:val="00BE4B52"/>
    <w:rsid w:val="00BE5B4E"/>
    <w:rsid w:val="00BE5F27"/>
    <w:rsid w:val="00BE68A6"/>
    <w:rsid w:val="00BE772C"/>
    <w:rsid w:val="00BE7AB8"/>
    <w:rsid w:val="00BF0CA3"/>
    <w:rsid w:val="00BF13DA"/>
    <w:rsid w:val="00BF1572"/>
    <w:rsid w:val="00BF2F88"/>
    <w:rsid w:val="00BF397F"/>
    <w:rsid w:val="00BF5430"/>
    <w:rsid w:val="00BF5EF0"/>
    <w:rsid w:val="00BF663C"/>
    <w:rsid w:val="00BF6B9A"/>
    <w:rsid w:val="00BF760C"/>
    <w:rsid w:val="00BF773D"/>
    <w:rsid w:val="00BF7B36"/>
    <w:rsid w:val="00BF7DAB"/>
    <w:rsid w:val="00C00835"/>
    <w:rsid w:val="00C00A39"/>
    <w:rsid w:val="00C03178"/>
    <w:rsid w:val="00C03194"/>
    <w:rsid w:val="00C03F64"/>
    <w:rsid w:val="00C05787"/>
    <w:rsid w:val="00C05914"/>
    <w:rsid w:val="00C05E32"/>
    <w:rsid w:val="00C061FF"/>
    <w:rsid w:val="00C06B8A"/>
    <w:rsid w:val="00C06BB8"/>
    <w:rsid w:val="00C06E49"/>
    <w:rsid w:val="00C07052"/>
    <w:rsid w:val="00C07185"/>
    <w:rsid w:val="00C1031B"/>
    <w:rsid w:val="00C10905"/>
    <w:rsid w:val="00C11191"/>
    <w:rsid w:val="00C1185F"/>
    <w:rsid w:val="00C118C2"/>
    <w:rsid w:val="00C11EB7"/>
    <w:rsid w:val="00C12DA7"/>
    <w:rsid w:val="00C1311C"/>
    <w:rsid w:val="00C13F59"/>
    <w:rsid w:val="00C13FDA"/>
    <w:rsid w:val="00C1434C"/>
    <w:rsid w:val="00C14CDF"/>
    <w:rsid w:val="00C15327"/>
    <w:rsid w:val="00C155B3"/>
    <w:rsid w:val="00C15BBA"/>
    <w:rsid w:val="00C16D36"/>
    <w:rsid w:val="00C17B1D"/>
    <w:rsid w:val="00C17E51"/>
    <w:rsid w:val="00C17EA6"/>
    <w:rsid w:val="00C201C7"/>
    <w:rsid w:val="00C208BE"/>
    <w:rsid w:val="00C2091C"/>
    <w:rsid w:val="00C214C9"/>
    <w:rsid w:val="00C21A69"/>
    <w:rsid w:val="00C22005"/>
    <w:rsid w:val="00C22513"/>
    <w:rsid w:val="00C2260A"/>
    <w:rsid w:val="00C22DDB"/>
    <w:rsid w:val="00C239F3"/>
    <w:rsid w:val="00C24C00"/>
    <w:rsid w:val="00C24CFB"/>
    <w:rsid w:val="00C256FD"/>
    <w:rsid w:val="00C25D75"/>
    <w:rsid w:val="00C266E0"/>
    <w:rsid w:val="00C26A7C"/>
    <w:rsid w:val="00C26DF9"/>
    <w:rsid w:val="00C26E80"/>
    <w:rsid w:val="00C2755D"/>
    <w:rsid w:val="00C27DB0"/>
    <w:rsid w:val="00C3036F"/>
    <w:rsid w:val="00C30E07"/>
    <w:rsid w:val="00C310E1"/>
    <w:rsid w:val="00C3141A"/>
    <w:rsid w:val="00C315B0"/>
    <w:rsid w:val="00C317BB"/>
    <w:rsid w:val="00C3254A"/>
    <w:rsid w:val="00C32FAF"/>
    <w:rsid w:val="00C3300E"/>
    <w:rsid w:val="00C3372F"/>
    <w:rsid w:val="00C33A09"/>
    <w:rsid w:val="00C346DD"/>
    <w:rsid w:val="00C35B9C"/>
    <w:rsid w:val="00C36578"/>
    <w:rsid w:val="00C374DF"/>
    <w:rsid w:val="00C3750B"/>
    <w:rsid w:val="00C375E2"/>
    <w:rsid w:val="00C40017"/>
    <w:rsid w:val="00C409FE"/>
    <w:rsid w:val="00C40B7B"/>
    <w:rsid w:val="00C40F1C"/>
    <w:rsid w:val="00C42D93"/>
    <w:rsid w:val="00C42DA6"/>
    <w:rsid w:val="00C43671"/>
    <w:rsid w:val="00C43DAD"/>
    <w:rsid w:val="00C440AF"/>
    <w:rsid w:val="00C44A7E"/>
    <w:rsid w:val="00C458CB"/>
    <w:rsid w:val="00C466A1"/>
    <w:rsid w:val="00C466FF"/>
    <w:rsid w:val="00C46F79"/>
    <w:rsid w:val="00C47897"/>
    <w:rsid w:val="00C50991"/>
    <w:rsid w:val="00C5137A"/>
    <w:rsid w:val="00C516CC"/>
    <w:rsid w:val="00C51C91"/>
    <w:rsid w:val="00C52526"/>
    <w:rsid w:val="00C5274D"/>
    <w:rsid w:val="00C529DD"/>
    <w:rsid w:val="00C53641"/>
    <w:rsid w:val="00C54855"/>
    <w:rsid w:val="00C566FD"/>
    <w:rsid w:val="00C57104"/>
    <w:rsid w:val="00C579AF"/>
    <w:rsid w:val="00C60A6A"/>
    <w:rsid w:val="00C61867"/>
    <w:rsid w:val="00C61B57"/>
    <w:rsid w:val="00C61B85"/>
    <w:rsid w:val="00C61CB0"/>
    <w:rsid w:val="00C61ED8"/>
    <w:rsid w:val="00C624EA"/>
    <w:rsid w:val="00C62A92"/>
    <w:rsid w:val="00C63149"/>
    <w:rsid w:val="00C6326F"/>
    <w:rsid w:val="00C6373F"/>
    <w:rsid w:val="00C647D4"/>
    <w:rsid w:val="00C64CF1"/>
    <w:rsid w:val="00C6512A"/>
    <w:rsid w:val="00C6522F"/>
    <w:rsid w:val="00C65995"/>
    <w:rsid w:val="00C65A99"/>
    <w:rsid w:val="00C661E3"/>
    <w:rsid w:val="00C667B1"/>
    <w:rsid w:val="00C67BE4"/>
    <w:rsid w:val="00C70434"/>
    <w:rsid w:val="00C70888"/>
    <w:rsid w:val="00C70ABF"/>
    <w:rsid w:val="00C70B11"/>
    <w:rsid w:val="00C71529"/>
    <w:rsid w:val="00C71B61"/>
    <w:rsid w:val="00C71C05"/>
    <w:rsid w:val="00C71E06"/>
    <w:rsid w:val="00C72091"/>
    <w:rsid w:val="00C72E17"/>
    <w:rsid w:val="00C733F2"/>
    <w:rsid w:val="00C737E4"/>
    <w:rsid w:val="00C73B20"/>
    <w:rsid w:val="00C73D20"/>
    <w:rsid w:val="00C73DAD"/>
    <w:rsid w:val="00C7401F"/>
    <w:rsid w:val="00C754BD"/>
    <w:rsid w:val="00C75674"/>
    <w:rsid w:val="00C759E7"/>
    <w:rsid w:val="00C75E3F"/>
    <w:rsid w:val="00C7628E"/>
    <w:rsid w:val="00C76997"/>
    <w:rsid w:val="00C76A18"/>
    <w:rsid w:val="00C76F49"/>
    <w:rsid w:val="00C77806"/>
    <w:rsid w:val="00C7783A"/>
    <w:rsid w:val="00C77F66"/>
    <w:rsid w:val="00C80C01"/>
    <w:rsid w:val="00C818A1"/>
    <w:rsid w:val="00C82884"/>
    <w:rsid w:val="00C83180"/>
    <w:rsid w:val="00C83198"/>
    <w:rsid w:val="00C83599"/>
    <w:rsid w:val="00C83904"/>
    <w:rsid w:val="00C840DC"/>
    <w:rsid w:val="00C84189"/>
    <w:rsid w:val="00C84714"/>
    <w:rsid w:val="00C861A5"/>
    <w:rsid w:val="00C87F3F"/>
    <w:rsid w:val="00C90F3B"/>
    <w:rsid w:val="00C91004"/>
    <w:rsid w:val="00C915D4"/>
    <w:rsid w:val="00C91CDE"/>
    <w:rsid w:val="00C91EAF"/>
    <w:rsid w:val="00C921B6"/>
    <w:rsid w:val="00C92271"/>
    <w:rsid w:val="00C92815"/>
    <w:rsid w:val="00C92C7F"/>
    <w:rsid w:val="00C9355E"/>
    <w:rsid w:val="00C93E52"/>
    <w:rsid w:val="00C948ED"/>
    <w:rsid w:val="00C95046"/>
    <w:rsid w:val="00C95433"/>
    <w:rsid w:val="00C95487"/>
    <w:rsid w:val="00C95637"/>
    <w:rsid w:val="00C9684C"/>
    <w:rsid w:val="00C96CD0"/>
    <w:rsid w:val="00C97523"/>
    <w:rsid w:val="00CA0980"/>
    <w:rsid w:val="00CA12FB"/>
    <w:rsid w:val="00CA15A5"/>
    <w:rsid w:val="00CA1751"/>
    <w:rsid w:val="00CA2A7D"/>
    <w:rsid w:val="00CA2B75"/>
    <w:rsid w:val="00CA2CE4"/>
    <w:rsid w:val="00CA30AB"/>
    <w:rsid w:val="00CA3442"/>
    <w:rsid w:val="00CA3A4D"/>
    <w:rsid w:val="00CA3B38"/>
    <w:rsid w:val="00CA3E32"/>
    <w:rsid w:val="00CA4D16"/>
    <w:rsid w:val="00CA4EBC"/>
    <w:rsid w:val="00CA5979"/>
    <w:rsid w:val="00CA642A"/>
    <w:rsid w:val="00CA68B7"/>
    <w:rsid w:val="00CA6920"/>
    <w:rsid w:val="00CA6D98"/>
    <w:rsid w:val="00CA6E52"/>
    <w:rsid w:val="00CA7087"/>
    <w:rsid w:val="00CA7997"/>
    <w:rsid w:val="00CA7C15"/>
    <w:rsid w:val="00CB1117"/>
    <w:rsid w:val="00CB1A8B"/>
    <w:rsid w:val="00CB2664"/>
    <w:rsid w:val="00CB2E93"/>
    <w:rsid w:val="00CB4134"/>
    <w:rsid w:val="00CB4E9C"/>
    <w:rsid w:val="00CB5399"/>
    <w:rsid w:val="00CB5516"/>
    <w:rsid w:val="00CB5613"/>
    <w:rsid w:val="00CB5B78"/>
    <w:rsid w:val="00CB5EC0"/>
    <w:rsid w:val="00CC017B"/>
    <w:rsid w:val="00CC0316"/>
    <w:rsid w:val="00CC0517"/>
    <w:rsid w:val="00CC0EB2"/>
    <w:rsid w:val="00CC10F0"/>
    <w:rsid w:val="00CC1351"/>
    <w:rsid w:val="00CC2AB6"/>
    <w:rsid w:val="00CC2ADF"/>
    <w:rsid w:val="00CC31E3"/>
    <w:rsid w:val="00CC352C"/>
    <w:rsid w:val="00CC37DD"/>
    <w:rsid w:val="00CC4511"/>
    <w:rsid w:val="00CC48DD"/>
    <w:rsid w:val="00CC537C"/>
    <w:rsid w:val="00CC6781"/>
    <w:rsid w:val="00CC6CE9"/>
    <w:rsid w:val="00CC6DA7"/>
    <w:rsid w:val="00CC6DD1"/>
    <w:rsid w:val="00CC752A"/>
    <w:rsid w:val="00CD1213"/>
    <w:rsid w:val="00CD169B"/>
    <w:rsid w:val="00CD1EDF"/>
    <w:rsid w:val="00CD2EA0"/>
    <w:rsid w:val="00CD51E8"/>
    <w:rsid w:val="00CD60CB"/>
    <w:rsid w:val="00CD6188"/>
    <w:rsid w:val="00CD68AD"/>
    <w:rsid w:val="00CD6B58"/>
    <w:rsid w:val="00CD736C"/>
    <w:rsid w:val="00CE078B"/>
    <w:rsid w:val="00CE135F"/>
    <w:rsid w:val="00CE1C52"/>
    <w:rsid w:val="00CE202B"/>
    <w:rsid w:val="00CE402D"/>
    <w:rsid w:val="00CE41F6"/>
    <w:rsid w:val="00CE4ED9"/>
    <w:rsid w:val="00CE51AA"/>
    <w:rsid w:val="00CE5670"/>
    <w:rsid w:val="00CE5727"/>
    <w:rsid w:val="00CE629D"/>
    <w:rsid w:val="00CE715F"/>
    <w:rsid w:val="00CF1392"/>
    <w:rsid w:val="00CF16C0"/>
    <w:rsid w:val="00CF394A"/>
    <w:rsid w:val="00CF3B27"/>
    <w:rsid w:val="00CF430E"/>
    <w:rsid w:val="00CF451D"/>
    <w:rsid w:val="00CF5324"/>
    <w:rsid w:val="00CF587B"/>
    <w:rsid w:val="00CF64DB"/>
    <w:rsid w:val="00CF69F7"/>
    <w:rsid w:val="00D00640"/>
    <w:rsid w:val="00D008A6"/>
    <w:rsid w:val="00D01175"/>
    <w:rsid w:val="00D0130D"/>
    <w:rsid w:val="00D01B45"/>
    <w:rsid w:val="00D02B26"/>
    <w:rsid w:val="00D03628"/>
    <w:rsid w:val="00D03DA0"/>
    <w:rsid w:val="00D052A3"/>
    <w:rsid w:val="00D06686"/>
    <w:rsid w:val="00D067E3"/>
    <w:rsid w:val="00D069AA"/>
    <w:rsid w:val="00D06D26"/>
    <w:rsid w:val="00D0762C"/>
    <w:rsid w:val="00D07AB2"/>
    <w:rsid w:val="00D07CF6"/>
    <w:rsid w:val="00D1104F"/>
    <w:rsid w:val="00D1124B"/>
    <w:rsid w:val="00D117F9"/>
    <w:rsid w:val="00D1265E"/>
    <w:rsid w:val="00D127D2"/>
    <w:rsid w:val="00D12D06"/>
    <w:rsid w:val="00D12D6D"/>
    <w:rsid w:val="00D1308A"/>
    <w:rsid w:val="00D1368A"/>
    <w:rsid w:val="00D13FEB"/>
    <w:rsid w:val="00D14F99"/>
    <w:rsid w:val="00D15BBF"/>
    <w:rsid w:val="00D15C75"/>
    <w:rsid w:val="00D15FC5"/>
    <w:rsid w:val="00D16885"/>
    <w:rsid w:val="00D170EE"/>
    <w:rsid w:val="00D1736E"/>
    <w:rsid w:val="00D17658"/>
    <w:rsid w:val="00D17E3F"/>
    <w:rsid w:val="00D209EF"/>
    <w:rsid w:val="00D211B7"/>
    <w:rsid w:val="00D2133A"/>
    <w:rsid w:val="00D220B9"/>
    <w:rsid w:val="00D22376"/>
    <w:rsid w:val="00D229A6"/>
    <w:rsid w:val="00D2324E"/>
    <w:rsid w:val="00D23450"/>
    <w:rsid w:val="00D2358D"/>
    <w:rsid w:val="00D23B43"/>
    <w:rsid w:val="00D23BD3"/>
    <w:rsid w:val="00D242B7"/>
    <w:rsid w:val="00D25173"/>
    <w:rsid w:val="00D26194"/>
    <w:rsid w:val="00D26ED8"/>
    <w:rsid w:val="00D30451"/>
    <w:rsid w:val="00D305F5"/>
    <w:rsid w:val="00D30A83"/>
    <w:rsid w:val="00D3129B"/>
    <w:rsid w:val="00D319AE"/>
    <w:rsid w:val="00D319F4"/>
    <w:rsid w:val="00D32028"/>
    <w:rsid w:val="00D323EC"/>
    <w:rsid w:val="00D3272B"/>
    <w:rsid w:val="00D327BB"/>
    <w:rsid w:val="00D32A4A"/>
    <w:rsid w:val="00D33EEC"/>
    <w:rsid w:val="00D368D7"/>
    <w:rsid w:val="00D36B84"/>
    <w:rsid w:val="00D37B84"/>
    <w:rsid w:val="00D37F3E"/>
    <w:rsid w:val="00D404CD"/>
    <w:rsid w:val="00D4108B"/>
    <w:rsid w:val="00D41127"/>
    <w:rsid w:val="00D41529"/>
    <w:rsid w:val="00D4199E"/>
    <w:rsid w:val="00D41AA3"/>
    <w:rsid w:val="00D4217A"/>
    <w:rsid w:val="00D43041"/>
    <w:rsid w:val="00D4350A"/>
    <w:rsid w:val="00D43868"/>
    <w:rsid w:val="00D439EF"/>
    <w:rsid w:val="00D44FDD"/>
    <w:rsid w:val="00D4505C"/>
    <w:rsid w:val="00D45CD5"/>
    <w:rsid w:val="00D461D4"/>
    <w:rsid w:val="00D468AC"/>
    <w:rsid w:val="00D46EF5"/>
    <w:rsid w:val="00D504AE"/>
    <w:rsid w:val="00D513C3"/>
    <w:rsid w:val="00D51446"/>
    <w:rsid w:val="00D51D8A"/>
    <w:rsid w:val="00D51E05"/>
    <w:rsid w:val="00D5262B"/>
    <w:rsid w:val="00D53A1C"/>
    <w:rsid w:val="00D53E34"/>
    <w:rsid w:val="00D54330"/>
    <w:rsid w:val="00D550E1"/>
    <w:rsid w:val="00D55FC1"/>
    <w:rsid w:val="00D560E7"/>
    <w:rsid w:val="00D56487"/>
    <w:rsid w:val="00D564F3"/>
    <w:rsid w:val="00D571F8"/>
    <w:rsid w:val="00D574D0"/>
    <w:rsid w:val="00D5766E"/>
    <w:rsid w:val="00D5771A"/>
    <w:rsid w:val="00D579FD"/>
    <w:rsid w:val="00D57FF9"/>
    <w:rsid w:val="00D62062"/>
    <w:rsid w:val="00D62764"/>
    <w:rsid w:val="00D62C12"/>
    <w:rsid w:val="00D62D6B"/>
    <w:rsid w:val="00D635CE"/>
    <w:rsid w:val="00D6450B"/>
    <w:rsid w:val="00D649CE"/>
    <w:rsid w:val="00D64E2F"/>
    <w:rsid w:val="00D6512F"/>
    <w:rsid w:val="00D6571B"/>
    <w:rsid w:val="00D70BD7"/>
    <w:rsid w:val="00D70FA2"/>
    <w:rsid w:val="00D71003"/>
    <w:rsid w:val="00D7265F"/>
    <w:rsid w:val="00D7294D"/>
    <w:rsid w:val="00D731C2"/>
    <w:rsid w:val="00D734EA"/>
    <w:rsid w:val="00D73C3D"/>
    <w:rsid w:val="00D7451C"/>
    <w:rsid w:val="00D7603D"/>
    <w:rsid w:val="00D76225"/>
    <w:rsid w:val="00D76622"/>
    <w:rsid w:val="00D76CE2"/>
    <w:rsid w:val="00D777F7"/>
    <w:rsid w:val="00D77941"/>
    <w:rsid w:val="00D80EAE"/>
    <w:rsid w:val="00D82E0D"/>
    <w:rsid w:val="00D838E2"/>
    <w:rsid w:val="00D842ED"/>
    <w:rsid w:val="00D84FCF"/>
    <w:rsid w:val="00D858FD"/>
    <w:rsid w:val="00D85FD1"/>
    <w:rsid w:val="00D867BE"/>
    <w:rsid w:val="00D8690B"/>
    <w:rsid w:val="00D87663"/>
    <w:rsid w:val="00D87992"/>
    <w:rsid w:val="00D87E41"/>
    <w:rsid w:val="00D9195A"/>
    <w:rsid w:val="00D91DDD"/>
    <w:rsid w:val="00D92A53"/>
    <w:rsid w:val="00D92AB1"/>
    <w:rsid w:val="00D932CC"/>
    <w:rsid w:val="00D93813"/>
    <w:rsid w:val="00D938E1"/>
    <w:rsid w:val="00D94630"/>
    <w:rsid w:val="00D946D7"/>
    <w:rsid w:val="00D95069"/>
    <w:rsid w:val="00D9508D"/>
    <w:rsid w:val="00D95E88"/>
    <w:rsid w:val="00D96ECC"/>
    <w:rsid w:val="00D97370"/>
    <w:rsid w:val="00D97549"/>
    <w:rsid w:val="00D979C5"/>
    <w:rsid w:val="00DA0546"/>
    <w:rsid w:val="00DA0C7D"/>
    <w:rsid w:val="00DA0EC1"/>
    <w:rsid w:val="00DA1277"/>
    <w:rsid w:val="00DA139C"/>
    <w:rsid w:val="00DA1A02"/>
    <w:rsid w:val="00DA1D67"/>
    <w:rsid w:val="00DA2578"/>
    <w:rsid w:val="00DA2E53"/>
    <w:rsid w:val="00DA31CA"/>
    <w:rsid w:val="00DA37E5"/>
    <w:rsid w:val="00DA391E"/>
    <w:rsid w:val="00DA3E53"/>
    <w:rsid w:val="00DA630F"/>
    <w:rsid w:val="00DA6403"/>
    <w:rsid w:val="00DA643B"/>
    <w:rsid w:val="00DA6BEF"/>
    <w:rsid w:val="00DA6D2D"/>
    <w:rsid w:val="00DB079D"/>
    <w:rsid w:val="00DB0FD7"/>
    <w:rsid w:val="00DB10FB"/>
    <w:rsid w:val="00DB1F55"/>
    <w:rsid w:val="00DB2051"/>
    <w:rsid w:val="00DB269B"/>
    <w:rsid w:val="00DB29BB"/>
    <w:rsid w:val="00DB38DD"/>
    <w:rsid w:val="00DB39CF"/>
    <w:rsid w:val="00DB4500"/>
    <w:rsid w:val="00DB5201"/>
    <w:rsid w:val="00DB583A"/>
    <w:rsid w:val="00DB59E9"/>
    <w:rsid w:val="00DB5A28"/>
    <w:rsid w:val="00DB5FC8"/>
    <w:rsid w:val="00DB6E6E"/>
    <w:rsid w:val="00DB7B75"/>
    <w:rsid w:val="00DC0082"/>
    <w:rsid w:val="00DC066A"/>
    <w:rsid w:val="00DC09AC"/>
    <w:rsid w:val="00DC0BBD"/>
    <w:rsid w:val="00DC0C48"/>
    <w:rsid w:val="00DC0E80"/>
    <w:rsid w:val="00DC1C70"/>
    <w:rsid w:val="00DC1D7F"/>
    <w:rsid w:val="00DC1E65"/>
    <w:rsid w:val="00DC204D"/>
    <w:rsid w:val="00DC251C"/>
    <w:rsid w:val="00DC3031"/>
    <w:rsid w:val="00DC3641"/>
    <w:rsid w:val="00DC38B2"/>
    <w:rsid w:val="00DC44CC"/>
    <w:rsid w:val="00DC4749"/>
    <w:rsid w:val="00DC4AA9"/>
    <w:rsid w:val="00DC580E"/>
    <w:rsid w:val="00DC5BE4"/>
    <w:rsid w:val="00DC6293"/>
    <w:rsid w:val="00DC745A"/>
    <w:rsid w:val="00DC778D"/>
    <w:rsid w:val="00DC79BC"/>
    <w:rsid w:val="00DD0D46"/>
    <w:rsid w:val="00DD1856"/>
    <w:rsid w:val="00DD19BC"/>
    <w:rsid w:val="00DD1C9A"/>
    <w:rsid w:val="00DD2E3C"/>
    <w:rsid w:val="00DD315A"/>
    <w:rsid w:val="00DD34FC"/>
    <w:rsid w:val="00DD365F"/>
    <w:rsid w:val="00DD3855"/>
    <w:rsid w:val="00DD3983"/>
    <w:rsid w:val="00DD4649"/>
    <w:rsid w:val="00DD5516"/>
    <w:rsid w:val="00DD58C7"/>
    <w:rsid w:val="00DD5B6B"/>
    <w:rsid w:val="00DD5F06"/>
    <w:rsid w:val="00DD707D"/>
    <w:rsid w:val="00DD7601"/>
    <w:rsid w:val="00DD7794"/>
    <w:rsid w:val="00DD78FB"/>
    <w:rsid w:val="00DE048E"/>
    <w:rsid w:val="00DE05E2"/>
    <w:rsid w:val="00DE0C4D"/>
    <w:rsid w:val="00DE128E"/>
    <w:rsid w:val="00DE1291"/>
    <w:rsid w:val="00DE18BA"/>
    <w:rsid w:val="00DE1B54"/>
    <w:rsid w:val="00DE20C4"/>
    <w:rsid w:val="00DE20EC"/>
    <w:rsid w:val="00DE28BC"/>
    <w:rsid w:val="00DE3998"/>
    <w:rsid w:val="00DE3D80"/>
    <w:rsid w:val="00DE4310"/>
    <w:rsid w:val="00DE4BF0"/>
    <w:rsid w:val="00DE54BE"/>
    <w:rsid w:val="00DE55E6"/>
    <w:rsid w:val="00DE5F68"/>
    <w:rsid w:val="00DE622F"/>
    <w:rsid w:val="00DE6906"/>
    <w:rsid w:val="00DE7C40"/>
    <w:rsid w:val="00DF05A2"/>
    <w:rsid w:val="00DF2487"/>
    <w:rsid w:val="00DF278F"/>
    <w:rsid w:val="00DF29FD"/>
    <w:rsid w:val="00DF33A9"/>
    <w:rsid w:val="00DF49B5"/>
    <w:rsid w:val="00DF4D1D"/>
    <w:rsid w:val="00DF4EB1"/>
    <w:rsid w:val="00DF510F"/>
    <w:rsid w:val="00DF531F"/>
    <w:rsid w:val="00DF5903"/>
    <w:rsid w:val="00DF5920"/>
    <w:rsid w:val="00DF6104"/>
    <w:rsid w:val="00DF675E"/>
    <w:rsid w:val="00DF6917"/>
    <w:rsid w:val="00DF6C89"/>
    <w:rsid w:val="00DF76C7"/>
    <w:rsid w:val="00DF7973"/>
    <w:rsid w:val="00DF7A2E"/>
    <w:rsid w:val="00E0032F"/>
    <w:rsid w:val="00E00FAB"/>
    <w:rsid w:val="00E01194"/>
    <w:rsid w:val="00E0149F"/>
    <w:rsid w:val="00E01539"/>
    <w:rsid w:val="00E016B2"/>
    <w:rsid w:val="00E028E0"/>
    <w:rsid w:val="00E03D44"/>
    <w:rsid w:val="00E05858"/>
    <w:rsid w:val="00E05A22"/>
    <w:rsid w:val="00E0612E"/>
    <w:rsid w:val="00E06499"/>
    <w:rsid w:val="00E06A41"/>
    <w:rsid w:val="00E06DD5"/>
    <w:rsid w:val="00E071AD"/>
    <w:rsid w:val="00E076CB"/>
    <w:rsid w:val="00E10376"/>
    <w:rsid w:val="00E10D02"/>
    <w:rsid w:val="00E115D5"/>
    <w:rsid w:val="00E128C7"/>
    <w:rsid w:val="00E134AB"/>
    <w:rsid w:val="00E134B5"/>
    <w:rsid w:val="00E13611"/>
    <w:rsid w:val="00E1379B"/>
    <w:rsid w:val="00E13A27"/>
    <w:rsid w:val="00E145AD"/>
    <w:rsid w:val="00E15000"/>
    <w:rsid w:val="00E153ED"/>
    <w:rsid w:val="00E159BE"/>
    <w:rsid w:val="00E15AC9"/>
    <w:rsid w:val="00E16326"/>
    <w:rsid w:val="00E1667C"/>
    <w:rsid w:val="00E20A3B"/>
    <w:rsid w:val="00E21034"/>
    <w:rsid w:val="00E219A6"/>
    <w:rsid w:val="00E219AD"/>
    <w:rsid w:val="00E21BD3"/>
    <w:rsid w:val="00E21C13"/>
    <w:rsid w:val="00E2299D"/>
    <w:rsid w:val="00E23529"/>
    <w:rsid w:val="00E23613"/>
    <w:rsid w:val="00E23AF0"/>
    <w:rsid w:val="00E23E6B"/>
    <w:rsid w:val="00E23F46"/>
    <w:rsid w:val="00E244A1"/>
    <w:rsid w:val="00E24CB8"/>
    <w:rsid w:val="00E251F0"/>
    <w:rsid w:val="00E25A0F"/>
    <w:rsid w:val="00E25B6E"/>
    <w:rsid w:val="00E26459"/>
    <w:rsid w:val="00E26E97"/>
    <w:rsid w:val="00E27026"/>
    <w:rsid w:val="00E27310"/>
    <w:rsid w:val="00E279C7"/>
    <w:rsid w:val="00E30574"/>
    <w:rsid w:val="00E30956"/>
    <w:rsid w:val="00E31028"/>
    <w:rsid w:val="00E31BF0"/>
    <w:rsid w:val="00E329C2"/>
    <w:rsid w:val="00E32CAE"/>
    <w:rsid w:val="00E33565"/>
    <w:rsid w:val="00E3373A"/>
    <w:rsid w:val="00E33BAD"/>
    <w:rsid w:val="00E33EAC"/>
    <w:rsid w:val="00E34368"/>
    <w:rsid w:val="00E34B79"/>
    <w:rsid w:val="00E34F74"/>
    <w:rsid w:val="00E362FE"/>
    <w:rsid w:val="00E36AEB"/>
    <w:rsid w:val="00E36E10"/>
    <w:rsid w:val="00E37623"/>
    <w:rsid w:val="00E3771A"/>
    <w:rsid w:val="00E37A22"/>
    <w:rsid w:val="00E4061D"/>
    <w:rsid w:val="00E408CB"/>
    <w:rsid w:val="00E408FD"/>
    <w:rsid w:val="00E415BD"/>
    <w:rsid w:val="00E416DC"/>
    <w:rsid w:val="00E424DA"/>
    <w:rsid w:val="00E42DA6"/>
    <w:rsid w:val="00E42F05"/>
    <w:rsid w:val="00E4327A"/>
    <w:rsid w:val="00E43365"/>
    <w:rsid w:val="00E43DF7"/>
    <w:rsid w:val="00E4418A"/>
    <w:rsid w:val="00E44268"/>
    <w:rsid w:val="00E44DFD"/>
    <w:rsid w:val="00E45B26"/>
    <w:rsid w:val="00E4713A"/>
    <w:rsid w:val="00E47211"/>
    <w:rsid w:val="00E479A5"/>
    <w:rsid w:val="00E47B71"/>
    <w:rsid w:val="00E511EA"/>
    <w:rsid w:val="00E5133E"/>
    <w:rsid w:val="00E514D6"/>
    <w:rsid w:val="00E5303A"/>
    <w:rsid w:val="00E5308B"/>
    <w:rsid w:val="00E53173"/>
    <w:rsid w:val="00E533CF"/>
    <w:rsid w:val="00E53502"/>
    <w:rsid w:val="00E54583"/>
    <w:rsid w:val="00E5462F"/>
    <w:rsid w:val="00E54A33"/>
    <w:rsid w:val="00E54CFA"/>
    <w:rsid w:val="00E554EB"/>
    <w:rsid w:val="00E562BC"/>
    <w:rsid w:val="00E5638B"/>
    <w:rsid w:val="00E563E0"/>
    <w:rsid w:val="00E56829"/>
    <w:rsid w:val="00E568F2"/>
    <w:rsid w:val="00E571D5"/>
    <w:rsid w:val="00E57546"/>
    <w:rsid w:val="00E57C26"/>
    <w:rsid w:val="00E57FA3"/>
    <w:rsid w:val="00E605A4"/>
    <w:rsid w:val="00E60F20"/>
    <w:rsid w:val="00E61B9E"/>
    <w:rsid w:val="00E62143"/>
    <w:rsid w:val="00E6363B"/>
    <w:rsid w:val="00E63F24"/>
    <w:rsid w:val="00E6450A"/>
    <w:rsid w:val="00E666AA"/>
    <w:rsid w:val="00E669BA"/>
    <w:rsid w:val="00E67073"/>
    <w:rsid w:val="00E672A7"/>
    <w:rsid w:val="00E67F22"/>
    <w:rsid w:val="00E70CE3"/>
    <w:rsid w:val="00E70E06"/>
    <w:rsid w:val="00E716A6"/>
    <w:rsid w:val="00E71BDC"/>
    <w:rsid w:val="00E71E33"/>
    <w:rsid w:val="00E720EF"/>
    <w:rsid w:val="00E725B6"/>
    <w:rsid w:val="00E72C7B"/>
    <w:rsid w:val="00E7375F"/>
    <w:rsid w:val="00E742DE"/>
    <w:rsid w:val="00E7508D"/>
    <w:rsid w:val="00E756C5"/>
    <w:rsid w:val="00E7648E"/>
    <w:rsid w:val="00E765DE"/>
    <w:rsid w:val="00E767FB"/>
    <w:rsid w:val="00E76849"/>
    <w:rsid w:val="00E76C70"/>
    <w:rsid w:val="00E76CAE"/>
    <w:rsid w:val="00E77383"/>
    <w:rsid w:val="00E8005E"/>
    <w:rsid w:val="00E800E1"/>
    <w:rsid w:val="00E806E6"/>
    <w:rsid w:val="00E807C3"/>
    <w:rsid w:val="00E80FDA"/>
    <w:rsid w:val="00E815E3"/>
    <w:rsid w:val="00E81BF6"/>
    <w:rsid w:val="00E8250E"/>
    <w:rsid w:val="00E827B4"/>
    <w:rsid w:val="00E82AAB"/>
    <w:rsid w:val="00E82BC7"/>
    <w:rsid w:val="00E82D6F"/>
    <w:rsid w:val="00E82EE2"/>
    <w:rsid w:val="00E83664"/>
    <w:rsid w:val="00E83B24"/>
    <w:rsid w:val="00E842C3"/>
    <w:rsid w:val="00E84729"/>
    <w:rsid w:val="00E856A7"/>
    <w:rsid w:val="00E8584F"/>
    <w:rsid w:val="00E85C1A"/>
    <w:rsid w:val="00E85FEF"/>
    <w:rsid w:val="00E86225"/>
    <w:rsid w:val="00E862C8"/>
    <w:rsid w:val="00E86C3B"/>
    <w:rsid w:val="00E879B2"/>
    <w:rsid w:val="00E87D3C"/>
    <w:rsid w:val="00E90729"/>
    <w:rsid w:val="00E913A4"/>
    <w:rsid w:val="00E91901"/>
    <w:rsid w:val="00E91FE7"/>
    <w:rsid w:val="00E92099"/>
    <w:rsid w:val="00E92470"/>
    <w:rsid w:val="00E9291A"/>
    <w:rsid w:val="00E92EB6"/>
    <w:rsid w:val="00E9319B"/>
    <w:rsid w:val="00E93F21"/>
    <w:rsid w:val="00E940C6"/>
    <w:rsid w:val="00E94D52"/>
    <w:rsid w:val="00E957B8"/>
    <w:rsid w:val="00E957F0"/>
    <w:rsid w:val="00E9653D"/>
    <w:rsid w:val="00E96A02"/>
    <w:rsid w:val="00E96BA8"/>
    <w:rsid w:val="00E97042"/>
    <w:rsid w:val="00EA0038"/>
    <w:rsid w:val="00EA0079"/>
    <w:rsid w:val="00EA070C"/>
    <w:rsid w:val="00EA0982"/>
    <w:rsid w:val="00EA1458"/>
    <w:rsid w:val="00EA1B51"/>
    <w:rsid w:val="00EA1D4F"/>
    <w:rsid w:val="00EA1DAF"/>
    <w:rsid w:val="00EA2D7A"/>
    <w:rsid w:val="00EA2F66"/>
    <w:rsid w:val="00EA3AA4"/>
    <w:rsid w:val="00EA3E74"/>
    <w:rsid w:val="00EA4931"/>
    <w:rsid w:val="00EA4CD4"/>
    <w:rsid w:val="00EA4DA2"/>
    <w:rsid w:val="00EA4F4A"/>
    <w:rsid w:val="00EA5F17"/>
    <w:rsid w:val="00EA6619"/>
    <w:rsid w:val="00EA7CF1"/>
    <w:rsid w:val="00EB0934"/>
    <w:rsid w:val="00EB0A99"/>
    <w:rsid w:val="00EB149C"/>
    <w:rsid w:val="00EB17DC"/>
    <w:rsid w:val="00EB1F19"/>
    <w:rsid w:val="00EB258C"/>
    <w:rsid w:val="00EB2622"/>
    <w:rsid w:val="00EB3421"/>
    <w:rsid w:val="00EB3531"/>
    <w:rsid w:val="00EB3654"/>
    <w:rsid w:val="00EB4AA2"/>
    <w:rsid w:val="00EB4B6F"/>
    <w:rsid w:val="00EB54E1"/>
    <w:rsid w:val="00EB5A37"/>
    <w:rsid w:val="00EB5E63"/>
    <w:rsid w:val="00EB6196"/>
    <w:rsid w:val="00EB722B"/>
    <w:rsid w:val="00EB73A4"/>
    <w:rsid w:val="00EC02F5"/>
    <w:rsid w:val="00EC080A"/>
    <w:rsid w:val="00EC1B4E"/>
    <w:rsid w:val="00EC1DE3"/>
    <w:rsid w:val="00EC2069"/>
    <w:rsid w:val="00EC2D69"/>
    <w:rsid w:val="00EC2DDF"/>
    <w:rsid w:val="00EC38BF"/>
    <w:rsid w:val="00EC395F"/>
    <w:rsid w:val="00EC3B52"/>
    <w:rsid w:val="00EC4217"/>
    <w:rsid w:val="00EC584C"/>
    <w:rsid w:val="00EC5EA4"/>
    <w:rsid w:val="00EC640E"/>
    <w:rsid w:val="00EC66D1"/>
    <w:rsid w:val="00EC7494"/>
    <w:rsid w:val="00ED0322"/>
    <w:rsid w:val="00ED0535"/>
    <w:rsid w:val="00ED0589"/>
    <w:rsid w:val="00ED0F4C"/>
    <w:rsid w:val="00ED107E"/>
    <w:rsid w:val="00ED1146"/>
    <w:rsid w:val="00ED1548"/>
    <w:rsid w:val="00ED1737"/>
    <w:rsid w:val="00ED1B2E"/>
    <w:rsid w:val="00ED2442"/>
    <w:rsid w:val="00ED270B"/>
    <w:rsid w:val="00ED3061"/>
    <w:rsid w:val="00ED3DCC"/>
    <w:rsid w:val="00ED424A"/>
    <w:rsid w:val="00ED489C"/>
    <w:rsid w:val="00ED4B4D"/>
    <w:rsid w:val="00ED5966"/>
    <w:rsid w:val="00ED5A7A"/>
    <w:rsid w:val="00ED6020"/>
    <w:rsid w:val="00ED60A5"/>
    <w:rsid w:val="00ED6208"/>
    <w:rsid w:val="00ED66A2"/>
    <w:rsid w:val="00ED6AC3"/>
    <w:rsid w:val="00ED77AF"/>
    <w:rsid w:val="00EE0419"/>
    <w:rsid w:val="00EE04A4"/>
    <w:rsid w:val="00EE0672"/>
    <w:rsid w:val="00EE0B7B"/>
    <w:rsid w:val="00EE0DA2"/>
    <w:rsid w:val="00EE21FC"/>
    <w:rsid w:val="00EE2614"/>
    <w:rsid w:val="00EE29B4"/>
    <w:rsid w:val="00EE2DE5"/>
    <w:rsid w:val="00EE431C"/>
    <w:rsid w:val="00EE4587"/>
    <w:rsid w:val="00EE48F0"/>
    <w:rsid w:val="00EE5E33"/>
    <w:rsid w:val="00EE6F55"/>
    <w:rsid w:val="00EE7606"/>
    <w:rsid w:val="00EE789F"/>
    <w:rsid w:val="00EE7F4B"/>
    <w:rsid w:val="00EF00A6"/>
    <w:rsid w:val="00EF0177"/>
    <w:rsid w:val="00EF0475"/>
    <w:rsid w:val="00EF1454"/>
    <w:rsid w:val="00EF1C0D"/>
    <w:rsid w:val="00EF2046"/>
    <w:rsid w:val="00EF291B"/>
    <w:rsid w:val="00EF392F"/>
    <w:rsid w:val="00EF3AFF"/>
    <w:rsid w:val="00EF3B11"/>
    <w:rsid w:val="00EF446B"/>
    <w:rsid w:val="00EF4615"/>
    <w:rsid w:val="00EF488C"/>
    <w:rsid w:val="00EF6129"/>
    <w:rsid w:val="00EF66A8"/>
    <w:rsid w:val="00EF6729"/>
    <w:rsid w:val="00EF6886"/>
    <w:rsid w:val="00EF697E"/>
    <w:rsid w:val="00EF6B00"/>
    <w:rsid w:val="00EF6F51"/>
    <w:rsid w:val="00EF775E"/>
    <w:rsid w:val="00EF7947"/>
    <w:rsid w:val="00F00489"/>
    <w:rsid w:val="00F0078C"/>
    <w:rsid w:val="00F007BA"/>
    <w:rsid w:val="00F0265F"/>
    <w:rsid w:val="00F03725"/>
    <w:rsid w:val="00F04491"/>
    <w:rsid w:val="00F04865"/>
    <w:rsid w:val="00F06452"/>
    <w:rsid w:val="00F07549"/>
    <w:rsid w:val="00F10ABD"/>
    <w:rsid w:val="00F10D96"/>
    <w:rsid w:val="00F11922"/>
    <w:rsid w:val="00F12A24"/>
    <w:rsid w:val="00F13C35"/>
    <w:rsid w:val="00F140D7"/>
    <w:rsid w:val="00F1470C"/>
    <w:rsid w:val="00F148AF"/>
    <w:rsid w:val="00F15B47"/>
    <w:rsid w:val="00F1666D"/>
    <w:rsid w:val="00F16F8C"/>
    <w:rsid w:val="00F17246"/>
    <w:rsid w:val="00F176D8"/>
    <w:rsid w:val="00F177FF"/>
    <w:rsid w:val="00F17FB3"/>
    <w:rsid w:val="00F20B74"/>
    <w:rsid w:val="00F20B76"/>
    <w:rsid w:val="00F214E7"/>
    <w:rsid w:val="00F214FB"/>
    <w:rsid w:val="00F2168F"/>
    <w:rsid w:val="00F21789"/>
    <w:rsid w:val="00F220A6"/>
    <w:rsid w:val="00F220C6"/>
    <w:rsid w:val="00F223A8"/>
    <w:rsid w:val="00F223AC"/>
    <w:rsid w:val="00F22688"/>
    <w:rsid w:val="00F22AB7"/>
    <w:rsid w:val="00F2342B"/>
    <w:rsid w:val="00F2351F"/>
    <w:rsid w:val="00F23932"/>
    <w:rsid w:val="00F239F5"/>
    <w:rsid w:val="00F2483F"/>
    <w:rsid w:val="00F248DC"/>
    <w:rsid w:val="00F24959"/>
    <w:rsid w:val="00F249F6"/>
    <w:rsid w:val="00F2502E"/>
    <w:rsid w:val="00F256CC"/>
    <w:rsid w:val="00F26817"/>
    <w:rsid w:val="00F26B55"/>
    <w:rsid w:val="00F2796E"/>
    <w:rsid w:val="00F30433"/>
    <w:rsid w:val="00F30440"/>
    <w:rsid w:val="00F307EB"/>
    <w:rsid w:val="00F30AF5"/>
    <w:rsid w:val="00F30D80"/>
    <w:rsid w:val="00F31125"/>
    <w:rsid w:val="00F3180A"/>
    <w:rsid w:val="00F31BDF"/>
    <w:rsid w:val="00F328C4"/>
    <w:rsid w:val="00F334D6"/>
    <w:rsid w:val="00F339F9"/>
    <w:rsid w:val="00F33E45"/>
    <w:rsid w:val="00F349A2"/>
    <w:rsid w:val="00F349F1"/>
    <w:rsid w:val="00F34C51"/>
    <w:rsid w:val="00F35AA5"/>
    <w:rsid w:val="00F36260"/>
    <w:rsid w:val="00F36963"/>
    <w:rsid w:val="00F37068"/>
    <w:rsid w:val="00F400C8"/>
    <w:rsid w:val="00F40385"/>
    <w:rsid w:val="00F40673"/>
    <w:rsid w:val="00F40FF2"/>
    <w:rsid w:val="00F413A8"/>
    <w:rsid w:val="00F41CAB"/>
    <w:rsid w:val="00F42152"/>
    <w:rsid w:val="00F426F4"/>
    <w:rsid w:val="00F42A27"/>
    <w:rsid w:val="00F4354C"/>
    <w:rsid w:val="00F43E1D"/>
    <w:rsid w:val="00F458A7"/>
    <w:rsid w:val="00F45E35"/>
    <w:rsid w:val="00F469D1"/>
    <w:rsid w:val="00F46AB1"/>
    <w:rsid w:val="00F470AA"/>
    <w:rsid w:val="00F471F5"/>
    <w:rsid w:val="00F47310"/>
    <w:rsid w:val="00F47D67"/>
    <w:rsid w:val="00F50345"/>
    <w:rsid w:val="00F5086F"/>
    <w:rsid w:val="00F51C1C"/>
    <w:rsid w:val="00F53329"/>
    <w:rsid w:val="00F53516"/>
    <w:rsid w:val="00F53916"/>
    <w:rsid w:val="00F56120"/>
    <w:rsid w:val="00F56191"/>
    <w:rsid w:val="00F56411"/>
    <w:rsid w:val="00F567E1"/>
    <w:rsid w:val="00F571D1"/>
    <w:rsid w:val="00F574A8"/>
    <w:rsid w:val="00F57824"/>
    <w:rsid w:val="00F57B09"/>
    <w:rsid w:val="00F600E4"/>
    <w:rsid w:val="00F607D5"/>
    <w:rsid w:val="00F60AC0"/>
    <w:rsid w:val="00F610A9"/>
    <w:rsid w:val="00F6203F"/>
    <w:rsid w:val="00F62D89"/>
    <w:rsid w:val="00F652F9"/>
    <w:rsid w:val="00F65D3B"/>
    <w:rsid w:val="00F65E11"/>
    <w:rsid w:val="00F66738"/>
    <w:rsid w:val="00F66ACA"/>
    <w:rsid w:val="00F71083"/>
    <w:rsid w:val="00F71545"/>
    <w:rsid w:val="00F72737"/>
    <w:rsid w:val="00F727AC"/>
    <w:rsid w:val="00F735ED"/>
    <w:rsid w:val="00F735F2"/>
    <w:rsid w:val="00F7407E"/>
    <w:rsid w:val="00F74EA4"/>
    <w:rsid w:val="00F762C9"/>
    <w:rsid w:val="00F770D0"/>
    <w:rsid w:val="00F77572"/>
    <w:rsid w:val="00F77B98"/>
    <w:rsid w:val="00F8011B"/>
    <w:rsid w:val="00F81AFB"/>
    <w:rsid w:val="00F81F9D"/>
    <w:rsid w:val="00F8428E"/>
    <w:rsid w:val="00F85355"/>
    <w:rsid w:val="00F85E7F"/>
    <w:rsid w:val="00F863D3"/>
    <w:rsid w:val="00F86515"/>
    <w:rsid w:val="00F86604"/>
    <w:rsid w:val="00F86813"/>
    <w:rsid w:val="00F86C37"/>
    <w:rsid w:val="00F86CBA"/>
    <w:rsid w:val="00F87D48"/>
    <w:rsid w:val="00F9030A"/>
    <w:rsid w:val="00F91079"/>
    <w:rsid w:val="00F91631"/>
    <w:rsid w:val="00F918C2"/>
    <w:rsid w:val="00F91EB0"/>
    <w:rsid w:val="00F92246"/>
    <w:rsid w:val="00F9276B"/>
    <w:rsid w:val="00F927BA"/>
    <w:rsid w:val="00F93896"/>
    <w:rsid w:val="00F942B7"/>
    <w:rsid w:val="00F94538"/>
    <w:rsid w:val="00F94A7F"/>
    <w:rsid w:val="00F94FE4"/>
    <w:rsid w:val="00F959FA"/>
    <w:rsid w:val="00F95B21"/>
    <w:rsid w:val="00F96405"/>
    <w:rsid w:val="00F96F72"/>
    <w:rsid w:val="00FA0B29"/>
    <w:rsid w:val="00FA0CAE"/>
    <w:rsid w:val="00FA0D25"/>
    <w:rsid w:val="00FA1607"/>
    <w:rsid w:val="00FA1952"/>
    <w:rsid w:val="00FA1DA1"/>
    <w:rsid w:val="00FA1EE2"/>
    <w:rsid w:val="00FA2CED"/>
    <w:rsid w:val="00FA2D03"/>
    <w:rsid w:val="00FA3068"/>
    <w:rsid w:val="00FA332B"/>
    <w:rsid w:val="00FA36EB"/>
    <w:rsid w:val="00FA3CBB"/>
    <w:rsid w:val="00FA3D3C"/>
    <w:rsid w:val="00FA4AA7"/>
    <w:rsid w:val="00FA53C8"/>
    <w:rsid w:val="00FA5DD0"/>
    <w:rsid w:val="00FA6A6C"/>
    <w:rsid w:val="00FA75A9"/>
    <w:rsid w:val="00FA78B1"/>
    <w:rsid w:val="00FA78EA"/>
    <w:rsid w:val="00FA7C7C"/>
    <w:rsid w:val="00FB07F0"/>
    <w:rsid w:val="00FB106A"/>
    <w:rsid w:val="00FB1426"/>
    <w:rsid w:val="00FB1780"/>
    <w:rsid w:val="00FB1986"/>
    <w:rsid w:val="00FB25AD"/>
    <w:rsid w:val="00FB29F4"/>
    <w:rsid w:val="00FB3102"/>
    <w:rsid w:val="00FB337D"/>
    <w:rsid w:val="00FB3A47"/>
    <w:rsid w:val="00FB3E7D"/>
    <w:rsid w:val="00FB459B"/>
    <w:rsid w:val="00FB4740"/>
    <w:rsid w:val="00FB4DB3"/>
    <w:rsid w:val="00FB5469"/>
    <w:rsid w:val="00FB5B12"/>
    <w:rsid w:val="00FB6874"/>
    <w:rsid w:val="00FB68C6"/>
    <w:rsid w:val="00FB6933"/>
    <w:rsid w:val="00FB6A01"/>
    <w:rsid w:val="00FB6C88"/>
    <w:rsid w:val="00FB76A8"/>
    <w:rsid w:val="00FB7A70"/>
    <w:rsid w:val="00FC0E92"/>
    <w:rsid w:val="00FC12A8"/>
    <w:rsid w:val="00FC1E23"/>
    <w:rsid w:val="00FC254D"/>
    <w:rsid w:val="00FC315A"/>
    <w:rsid w:val="00FC37A4"/>
    <w:rsid w:val="00FC3B10"/>
    <w:rsid w:val="00FC3EF7"/>
    <w:rsid w:val="00FC3FA3"/>
    <w:rsid w:val="00FC4670"/>
    <w:rsid w:val="00FC513C"/>
    <w:rsid w:val="00FC5AA6"/>
    <w:rsid w:val="00FC5FE4"/>
    <w:rsid w:val="00FC636E"/>
    <w:rsid w:val="00FC7346"/>
    <w:rsid w:val="00FC735A"/>
    <w:rsid w:val="00FC7745"/>
    <w:rsid w:val="00FC78D9"/>
    <w:rsid w:val="00FD00D1"/>
    <w:rsid w:val="00FD0AF1"/>
    <w:rsid w:val="00FD0F15"/>
    <w:rsid w:val="00FD0F61"/>
    <w:rsid w:val="00FD14CE"/>
    <w:rsid w:val="00FD1783"/>
    <w:rsid w:val="00FD1A2E"/>
    <w:rsid w:val="00FD1C67"/>
    <w:rsid w:val="00FD1FDF"/>
    <w:rsid w:val="00FD2486"/>
    <w:rsid w:val="00FD3806"/>
    <w:rsid w:val="00FD48DD"/>
    <w:rsid w:val="00FD52C0"/>
    <w:rsid w:val="00FD55B1"/>
    <w:rsid w:val="00FD6B81"/>
    <w:rsid w:val="00FD6C31"/>
    <w:rsid w:val="00FD6D3E"/>
    <w:rsid w:val="00FD6D8C"/>
    <w:rsid w:val="00FD6EDA"/>
    <w:rsid w:val="00FE0314"/>
    <w:rsid w:val="00FE0352"/>
    <w:rsid w:val="00FE09B9"/>
    <w:rsid w:val="00FE0A6F"/>
    <w:rsid w:val="00FE139A"/>
    <w:rsid w:val="00FE1ADA"/>
    <w:rsid w:val="00FE1EAC"/>
    <w:rsid w:val="00FE294F"/>
    <w:rsid w:val="00FE5417"/>
    <w:rsid w:val="00FE5C00"/>
    <w:rsid w:val="00FE5EBA"/>
    <w:rsid w:val="00FE677A"/>
    <w:rsid w:val="00FE6ABE"/>
    <w:rsid w:val="00FE749C"/>
    <w:rsid w:val="00FE7D6C"/>
    <w:rsid w:val="00FF02B2"/>
    <w:rsid w:val="00FF03A1"/>
    <w:rsid w:val="00FF05C3"/>
    <w:rsid w:val="00FF0C05"/>
    <w:rsid w:val="00FF1D31"/>
    <w:rsid w:val="00FF267C"/>
    <w:rsid w:val="00FF26D9"/>
    <w:rsid w:val="00FF2719"/>
    <w:rsid w:val="00FF2A4A"/>
    <w:rsid w:val="00FF3641"/>
    <w:rsid w:val="00FF367D"/>
    <w:rsid w:val="00FF4272"/>
    <w:rsid w:val="00FF45E8"/>
    <w:rsid w:val="00FF48E2"/>
    <w:rsid w:val="00FF5287"/>
    <w:rsid w:val="00FF5347"/>
    <w:rsid w:val="00FF5422"/>
    <w:rsid w:val="00FF58CD"/>
    <w:rsid w:val="00FF5A66"/>
    <w:rsid w:val="00FF5CA1"/>
    <w:rsid w:val="00FF65B4"/>
    <w:rsid w:val="00FF6AA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color="#c0504d" strokecolor="#f2f2f2">
      <v:fill color="#c0504d"/>
      <v:stroke color="#f2f2f2" weight="3pt"/>
      <v:shadow on="t" color="#622423" opacity=".5" offset="-6pt,-6pt"/>
      <v:textbox style="layout-flow:vertical"/>
    </o:shapedefaults>
    <o:shapelayout v:ext="edit">
      <o:idmap v:ext="edit" data="1"/>
    </o:shapelayout>
  </w:shapeDefaults>
  <w:decimalSymbol w:val=","/>
  <w:listSeparator w:val=";"/>
  <w15:docId w15:val="{3A7F09A1-D42D-4507-B018-E25A7972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1D9C"/>
    <w:pPr>
      <w:ind w:firstLine="284"/>
      <w:jc w:val="both"/>
    </w:pPr>
    <w:rPr>
      <w:rFonts w:ascii="Bell MT" w:eastAsia="Times New Roman" w:hAnsi="Bell MT"/>
      <w:sz w:val="28"/>
      <w:szCs w:val="24"/>
    </w:rPr>
  </w:style>
  <w:style w:type="paragraph" w:styleId="Titolo1">
    <w:name w:val="heading 1"/>
    <w:basedOn w:val="Normale"/>
    <w:next w:val="Normale"/>
    <w:link w:val="Titolo1Carattere"/>
    <w:uiPriority w:val="9"/>
    <w:qFormat/>
    <w:rsid w:val="008742C7"/>
    <w:pPr>
      <w:keepNext/>
      <w:keepLines/>
      <w:numPr>
        <w:numId w:val="7"/>
      </w:numPr>
      <w:spacing w:before="240" w:after="240"/>
      <w:outlineLvl w:val="0"/>
    </w:pPr>
    <w:rPr>
      <w:b/>
      <w:bCs/>
      <w:szCs w:val="32"/>
    </w:rPr>
  </w:style>
  <w:style w:type="paragraph" w:styleId="Titolo2">
    <w:name w:val="heading 2"/>
    <w:basedOn w:val="Normale"/>
    <w:next w:val="Normale"/>
    <w:link w:val="Titolo2Carattere"/>
    <w:uiPriority w:val="9"/>
    <w:unhideWhenUsed/>
    <w:qFormat/>
    <w:rsid w:val="008742C7"/>
    <w:pPr>
      <w:keepNext/>
      <w:keepLines/>
      <w:numPr>
        <w:ilvl w:val="1"/>
        <w:numId w:val="7"/>
      </w:numPr>
      <w:spacing w:before="240" w:after="240"/>
      <w:outlineLvl w:val="1"/>
    </w:pPr>
    <w:rPr>
      <w:b/>
      <w:bCs/>
      <w:i/>
      <w:szCs w:val="26"/>
    </w:rPr>
  </w:style>
  <w:style w:type="paragraph" w:styleId="Titolo3">
    <w:name w:val="heading 3"/>
    <w:basedOn w:val="Normale"/>
    <w:next w:val="Normale"/>
    <w:link w:val="Titolo3Carattere"/>
    <w:uiPriority w:val="9"/>
    <w:unhideWhenUsed/>
    <w:qFormat/>
    <w:rsid w:val="008742C7"/>
    <w:pPr>
      <w:keepNext/>
      <w:keepLines/>
      <w:numPr>
        <w:ilvl w:val="2"/>
        <w:numId w:val="7"/>
      </w:numPr>
      <w:spacing w:before="240" w:after="240"/>
      <w:ind w:left="7241"/>
      <w:outlineLvl w:val="2"/>
    </w:pPr>
    <w:rPr>
      <w:bCs/>
    </w:rPr>
  </w:style>
  <w:style w:type="paragraph" w:styleId="Titolo4">
    <w:name w:val="heading 4"/>
    <w:basedOn w:val="Normale"/>
    <w:next w:val="Normale"/>
    <w:link w:val="Titolo4Carattere"/>
    <w:uiPriority w:val="9"/>
    <w:unhideWhenUsed/>
    <w:qFormat/>
    <w:rsid w:val="00AD088C"/>
    <w:pPr>
      <w:keepNext/>
      <w:keepLines/>
      <w:numPr>
        <w:ilvl w:val="3"/>
        <w:numId w:val="7"/>
      </w:numPr>
      <w:spacing w:before="200"/>
      <w:outlineLvl w:val="3"/>
    </w:pPr>
    <w:rPr>
      <w:bCs/>
      <w:iCs/>
    </w:rPr>
  </w:style>
  <w:style w:type="paragraph" w:styleId="Titolo5">
    <w:name w:val="heading 5"/>
    <w:basedOn w:val="Normale"/>
    <w:next w:val="Normale"/>
    <w:link w:val="Titolo5Carattere"/>
    <w:uiPriority w:val="9"/>
    <w:semiHidden/>
    <w:unhideWhenUsed/>
    <w:qFormat/>
    <w:rsid w:val="007C7F6C"/>
    <w:pPr>
      <w:keepNext/>
      <w:keepLines/>
      <w:numPr>
        <w:ilvl w:val="4"/>
        <w:numId w:val="7"/>
      </w:numPr>
      <w:spacing w:before="200"/>
      <w:outlineLvl w:val="4"/>
    </w:pPr>
    <w:rPr>
      <w:rFonts w:ascii="Cambria" w:hAnsi="Cambria"/>
      <w:color w:val="243F60"/>
    </w:rPr>
  </w:style>
  <w:style w:type="paragraph" w:styleId="Titolo6">
    <w:name w:val="heading 6"/>
    <w:basedOn w:val="Normale"/>
    <w:next w:val="Normale"/>
    <w:link w:val="Titolo6Carattere"/>
    <w:uiPriority w:val="9"/>
    <w:semiHidden/>
    <w:unhideWhenUsed/>
    <w:qFormat/>
    <w:rsid w:val="007C7F6C"/>
    <w:pPr>
      <w:keepNext/>
      <w:keepLines/>
      <w:numPr>
        <w:ilvl w:val="5"/>
        <w:numId w:val="7"/>
      </w:numPr>
      <w:spacing w:before="200"/>
      <w:outlineLvl w:val="5"/>
    </w:pPr>
    <w:rPr>
      <w:rFonts w:ascii="Cambria" w:hAnsi="Cambria"/>
      <w:i/>
      <w:iCs/>
      <w:color w:val="243F60"/>
    </w:rPr>
  </w:style>
  <w:style w:type="paragraph" w:styleId="Titolo7">
    <w:name w:val="heading 7"/>
    <w:basedOn w:val="Normale"/>
    <w:next w:val="Normale"/>
    <w:link w:val="Titolo7Carattere"/>
    <w:uiPriority w:val="9"/>
    <w:semiHidden/>
    <w:unhideWhenUsed/>
    <w:qFormat/>
    <w:rsid w:val="007C7F6C"/>
    <w:pPr>
      <w:keepNext/>
      <w:keepLines/>
      <w:numPr>
        <w:ilvl w:val="6"/>
        <w:numId w:val="7"/>
      </w:numPr>
      <w:spacing w:before="200"/>
      <w:outlineLvl w:val="6"/>
    </w:pPr>
    <w:rPr>
      <w:rFonts w:ascii="Cambria" w:hAnsi="Cambria"/>
      <w:i/>
      <w:iCs/>
      <w:color w:val="404040"/>
    </w:rPr>
  </w:style>
  <w:style w:type="paragraph" w:styleId="Titolo8">
    <w:name w:val="heading 8"/>
    <w:basedOn w:val="Normale"/>
    <w:next w:val="Normale"/>
    <w:link w:val="Titolo8Carattere"/>
    <w:uiPriority w:val="9"/>
    <w:semiHidden/>
    <w:unhideWhenUsed/>
    <w:qFormat/>
    <w:rsid w:val="007C7F6C"/>
    <w:pPr>
      <w:keepNext/>
      <w:keepLines/>
      <w:numPr>
        <w:ilvl w:val="7"/>
        <w:numId w:val="7"/>
      </w:numPr>
      <w:spacing w:before="200"/>
      <w:outlineLvl w:val="7"/>
    </w:pPr>
    <w:rPr>
      <w:rFonts w:ascii="Cambria" w:hAnsi="Cambria"/>
      <w:color w:val="404040"/>
      <w:sz w:val="20"/>
      <w:szCs w:val="20"/>
    </w:rPr>
  </w:style>
  <w:style w:type="paragraph" w:styleId="Titolo9">
    <w:name w:val="heading 9"/>
    <w:basedOn w:val="Normale"/>
    <w:next w:val="Normale"/>
    <w:link w:val="Titolo9Carattere"/>
    <w:uiPriority w:val="9"/>
    <w:semiHidden/>
    <w:unhideWhenUsed/>
    <w:qFormat/>
    <w:rsid w:val="007C7F6C"/>
    <w:pPr>
      <w:keepNext/>
      <w:keepLines/>
      <w:numPr>
        <w:ilvl w:val="8"/>
        <w:numId w:val="7"/>
      </w:numPr>
      <w:spacing w:before="200"/>
      <w:outlineLvl w:val="8"/>
    </w:pPr>
    <w:rPr>
      <w:rFonts w:ascii="Cambria"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1E26"/>
    <w:pPr>
      <w:ind w:left="720"/>
      <w:contextualSpacing/>
    </w:pPr>
  </w:style>
  <w:style w:type="paragraph" w:styleId="Intestazione">
    <w:name w:val="header"/>
    <w:basedOn w:val="Normale"/>
    <w:link w:val="IntestazioneCarattere"/>
    <w:uiPriority w:val="99"/>
    <w:unhideWhenUsed/>
    <w:rsid w:val="00E61B9E"/>
    <w:pPr>
      <w:tabs>
        <w:tab w:val="center" w:pos="4819"/>
        <w:tab w:val="right" w:pos="9638"/>
      </w:tabs>
    </w:pPr>
  </w:style>
  <w:style w:type="character" w:customStyle="1" w:styleId="IntestazioneCarattere">
    <w:name w:val="Intestazione Carattere"/>
    <w:basedOn w:val="Carpredefinitoparagrafo"/>
    <w:link w:val="Intestazione"/>
    <w:uiPriority w:val="99"/>
    <w:rsid w:val="00E61B9E"/>
    <w:rPr>
      <w:rFonts w:ascii="Times New Roman" w:eastAsia="Times New Roman" w:hAnsi="Times New Roman"/>
      <w:sz w:val="24"/>
      <w:szCs w:val="24"/>
    </w:rPr>
  </w:style>
  <w:style w:type="paragraph" w:styleId="Pidipagina">
    <w:name w:val="footer"/>
    <w:basedOn w:val="Normale"/>
    <w:link w:val="PidipaginaCarattere"/>
    <w:uiPriority w:val="99"/>
    <w:unhideWhenUsed/>
    <w:rsid w:val="00E61B9E"/>
    <w:pPr>
      <w:tabs>
        <w:tab w:val="center" w:pos="4819"/>
        <w:tab w:val="right" w:pos="9638"/>
      </w:tabs>
    </w:pPr>
  </w:style>
  <w:style w:type="character" w:customStyle="1" w:styleId="PidipaginaCarattere">
    <w:name w:val="Piè di pagina Carattere"/>
    <w:basedOn w:val="Carpredefinitoparagrafo"/>
    <w:link w:val="Pidipagina"/>
    <w:uiPriority w:val="99"/>
    <w:rsid w:val="00E61B9E"/>
    <w:rPr>
      <w:rFonts w:ascii="Times New Roman" w:eastAsia="Times New Roman" w:hAnsi="Times New Roman"/>
      <w:sz w:val="24"/>
      <w:szCs w:val="24"/>
    </w:rPr>
  </w:style>
  <w:style w:type="character" w:styleId="Collegamentoipertestuale">
    <w:name w:val="Hyperlink"/>
    <w:basedOn w:val="Carpredefinitoparagrafo"/>
    <w:uiPriority w:val="99"/>
    <w:unhideWhenUsed/>
    <w:rsid w:val="003549BF"/>
    <w:rPr>
      <w:color w:val="0000FF"/>
      <w:u w:val="single"/>
    </w:rPr>
  </w:style>
  <w:style w:type="numbering" w:customStyle="1" w:styleId="Stile1">
    <w:name w:val="Stile1"/>
    <w:uiPriority w:val="99"/>
    <w:rsid w:val="00781A90"/>
    <w:pPr>
      <w:numPr>
        <w:numId w:val="1"/>
      </w:numPr>
    </w:pPr>
  </w:style>
  <w:style w:type="paragraph" w:customStyle="1" w:styleId="Default">
    <w:name w:val="Default"/>
    <w:rsid w:val="008024A2"/>
    <w:pPr>
      <w:autoSpaceDE w:val="0"/>
      <w:autoSpaceDN w:val="0"/>
      <w:adjustRightInd w:val="0"/>
    </w:pPr>
    <w:rPr>
      <w:rFonts w:ascii="Times New Roman" w:hAnsi="Times New Roman"/>
      <w:color w:val="000000"/>
      <w:sz w:val="24"/>
      <w:szCs w:val="24"/>
    </w:rPr>
  </w:style>
  <w:style w:type="paragraph" w:styleId="NormaleWeb">
    <w:name w:val="Normal (Web)"/>
    <w:basedOn w:val="Normale"/>
    <w:uiPriority w:val="99"/>
    <w:unhideWhenUsed/>
    <w:rsid w:val="008024A2"/>
    <w:pPr>
      <w:spacing w:before="100" w:beforeAutospacing="1" w:after="100" w:afterAutospacing="1"/>
    </w:pPr>
  </w:style>
  <w:style w:type="character" w:customStyle="1" w:styleId="st1">
    <w:name w:val="st1"/>
    <w:basedOn w:val="Carpredefinitoparagrafo"/>
    <w:rsid w:val="008024A2"/>
  </w:style>
  <w:style w:type="character" w:customStyle="1" w:styleId="longtext">
    <w:name w:val="long_text"/>
    <w:basedOn w:val="Carpredefinitoparagrafo"/>
    <w:rsid w:val="008024A2"/>
  </w:style>
  <w:style w:type="paragraph" w:styleId="Testofumetto">
    <w:name w:val="Balloon Text"/>
    <w:basedOn w:val="Normale"/>
    <w:link w:val="TestofumettoCarattere"/>
    <w:uiPriority w:val="99"/>
    <w:semiHidden/>
    <w:unhideWhenUsed/>
    <w:rsid w:val="00E879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79B2"/>
    <w:rPr>
      <w:rFonts w:ascii="Tahoma" w:eastAsia="Times New Roman" w:hAnsi="Tahoma" w:cs="Tahoma"/>
      <w:sz w:val="16"/>
      <w:szCs w:val="16"/>
    </w:rPr>
  </w:style>
  <w:style w:type="paragraph" w:styleId="Testonormale">
    <w:name w:val="Plain Text"/>
    <w:basedOn w:val="Normale"/>
    <w:link w:val="TestonormaleCarattere"/>
    <w:uiPriority w:val="99"/>
    <w:rsid w:val="00DA0C7D"/>
    <w:rPr>
      <w:rFonts w:ascii="Courier New" w:hAnsi="Courier New"/>
      <w:sz w:val="20"/>
      <w:szCs w:val="20"/>
    </w:rPr>
  </w:style>
  <w:style w:type="character" w:customStyle="1" w:styleId="TestonormaleCarattere">
    <w:name w:val="Testo normale Carattere"/>
    <w:basedOn w:val="Carpredefinitoparagrafo"/>
    <w:link w:val="Testonormale"/>
    <w:uiPriority w:val="99"/>
    <w:rsid w:val="00DA0C7D"/>
    <w:rPr>
      <w:rFonts w:ascii="Courier New" w:eastAsia="Times New Roman" w:hAnsi="Courier New"/>
    </w:rPr>
  </w:style>
  <w:style w:type="character" w:customStyle="1" w:styleId="Titolo1Carattere">
    <w:name w:val="Titolo 1 Carattere"/>
    <w:basedOn w:val="Carpredefinitoparagrafo"/>
    <w:link w:val="Titolo1"/>
    <w:uiPriority w:val="9"/>
    <w:rsid w:val="008742C7"/>
    <w:rPr>
      <w:rFonts w:ascii="Bell MT" w:eastAsia="Times New Roman" w:hAnsi="Bell MT"/>
      <w:b/>
      <w:bCs/>
      <w:sz w:val="28"/>
      <w:szCs w:val="32"/>
    </w:rPr>
  </w:style>
  <w:style w:type="paragraph" w:styleId="Sommario1">
    <w:name w:val="toc 1"/>
    <w:basedOn w:val="Normale"/>
    <w:next w:val="Normale"/>
    <w:autoRedefine/>
    <w:uiPriority w:val="39"/>
    <w:unhideWhenUsed/>
    <w:qFormat/>
    <w:rsid w:val="0023648D"/>
    <w:pPr>
      <w:tabs>
        <w:tab w:val="right" w:leader="dot" w:pos="9838"/>
      </w:tabs>
      <w:spacing w:before="120"/>
      <w:ind w:left="560" w:hanging="276"/>
    </w:pPr>
    <w:rPr>
      <w:b/>
      <w:noProof/>
      <w:sz w:val="22"/>
      <w:szCs w:val="22"/>
    </w:rPr>
  </w:style>
  <w:style w:type="character" w:customStyle="1" w:styleId="Titolo2Carattere">
    <w:name w:val="Titolo 2 Carattere"/>
    <w:basedOn w:val="Carpredefinitoparagrafo"/>
    <w:link w:val="Titolo2"/>
    <w:uiPriority w:val="9"/>
    <w:rsid w:val="008742C7"/>
    <w:rPr>
      <w:rFonts w:ascii="Bell MT" w:eastAsia="Times New Roman" w:hAnsi="Bell MT"/>
      <w:b/>
      <w:bCs/>
      <w:i/>
      <w:sz w:val="28"/>
      <w:szCs w:val="26"/>
    </w:rPr>
  </w:style>
  <w:style w:type="character" w:customStyle="1" w:styleId="Titolo3Carattere">
    <w:name w:val="Titolo 3 Carattere"/>
    <w:basedOn w:val="Carpredefinitoparagrafo"/>
    <w:link w:val="Titolo3"/>
    <w:uiPriority w:val="9"/>
    <w:rsid w:val="008742C7"/>
    <w:rPr>
      <w:rFonts w:ascii="Bell MT" w:eastAsia="Times New Roman" w:hAnsi="Bell MT"/>
      <w:bCs/>
      <w:sz w:val="28"/>
      <w:szCs w:val="24"/>
    </w:rPr>
  </w:style>
  <w:style w:type="character" w:customStyle="1" w:styleId="Titolo4Carattere">
    <w:name w:val="Titolo 4 Carattere"/>
    <w:basedOn w:val="Carpredefinitoparagrafo"/>
    <w:link w:val="Titolo4"/>
    <w:uiPriority w:val="9"/>
    <w:rsid w:val="00AD088C"/>
    <w:rPr>
      <w:rFonts w:ascii="Bell MT" w:eastAsia="Times New Roman" w:hAnsi="Bell MT"/>
      <w:bCs/>
      <w:iCs/>
      <w:sz w:val="28"/>
      <w:szCs w:val="24"/>
    </w:rPr>
  </w:style>
  <w:style w:type="character" w:customStyle="1" w:styleId="Titolo5Carattere">
    <w:name w:val="Titolo 5 Carattere"/>
    <w:basedOn w:val="Carpredefinitoparagrafo"/>
    <w:link w:val="Titolo5"/>
    <w:uiPriority w:val="9"/>
    <w:semiHidden/>
    <w:rsid w:val="007C7F6C"/>
    <w:rPr>
      <w:rFonts w:ascii="Cambria" w:eastAsia="Times New Roman" w:hAnsi="Cambria"/>
      <w:color w:val="243F60"/>
      <w:sz w:val="28"/>
      <w:szCs w:val="24"/>
    </w:rPr>
  </w:style>
  <w:style w:type="character" w:customStyle="1" w:styleId="Titolo6Carattere">
    <w:name w:val="Titolo 6 Carattere"/>
    <w:basedOn w:val="Carpredefinitoparagrafo"/>
    <w:link w:val="Titolo6"/>
    <w:uiPriority w:val="9"/>
    <w:semiHidden/>
    <w:rsid w:val="007C7F6C"/>
    <w:rPr>
      <w:rFonts w:ascii="Cambria" w:eastAsia="Times New Roman" w:hAnsi="Cambria"/>
      <w:i/>
      <w:iCs/>
      <w:color w:val="243F60"/>
      <w:sz w:val="28"/>
      <w:szCs w:val="24"/>
    </w:rPr>
  </w:style>
  <w:style w:type="character" w:customStyle="1" w:styleId="Titolo7Carattere">
    <w:name w:val="Titolo 7 Carattere"/>
    <w:basedOn w:val="Carpredefinitoparagrafo"/>
    <w:link w:val="Titolo7"/>
    <w:uiPriority w:val="9"/>
    <w:semiHidden/>
    <w:rsid w:val="007C7F6C"/>
    <w:rPr>
      <w:rFonts w:ascii="Cambria" w:eastAsia="Times New Roman" w:hAnsi="Cambria"/>
      <w:i/>
      <w:iCs/>
      <w:color w:val="404040"/>
      <w:sz w:val="28"/>
      <w:szCs w:val="24"/>
    </w:rPr>
  </w:style>
  <w:style w:type="character" w:customStyle="1" w:styleId="Titolo8Carattere">
    <w:name w:val="Titolo 8 Carattere"/>
    <w:basedOn w:val="Carpredefinitoparagrafo"/>
    <w:link w:val="Titolo8"/>
    <w:uiPriority w:val="9"/>
    <w:semiHidden/>
    <w:rsid w:val="007C7F6C"/>
    <w:rPr>
      <w:rFonts w:ascii="Cambria" w:eastAsia="Times New Roman" w:hAnsi="Cambria"/>
      <w:color w:val="404040"/>
    </w:rPr>
  </w:style>
  <w:style w:type="character" w:customStyle="1" w:styleId="Titolo9Carattere">
    <w:name w:val="Titolo 9 Carattere"/>
    <w:basedOn w:val="Carpredefinitoparagrafo"/>
    <w:link w:val="Titolo9"/>
    <w:uiPriority w:val="9"/>
    <w:semiHidden/>
    <w:rsid w:val="007C7F6C"/>
    <w:rPr>
      <w:rFonts w:ascii="Cambria" w:eastAsia="Times New Roman" w:hAnsi="Cambria"/>
      <w:i/>
      <w:iCs/>
      <w:color w:val="404040"/>
    </w:rPr>
  </w:style>
  <w:style w:type="paragraph" w:styleId="Sommario2">
    <w:name w:val="toc 2"/>
    <w:basedOn w:val="Normale"/>
    <w:next w:val="Normale"/>
    <w:autoRedefine/>
    <w:uiPriority w:val="39"/>
    <w:unhideWhenUsed/>
    <w:qFormat/>
    <w:rsid w:val="00E44268"/>
    <w:pPr>
      <w:tabs>
        <w:tab w:val="left" w:pos="1116"/>
        <w:tab w:val="right" w:leader="dot" w:pos="9838"/>
      </w:tabs>
      <w:ind w:right="-285" w:firstLine="0"/>
      <w:jc w:val="left"/>
    </w:pPr>
    <w:rPr>
      <w:b/>
      <w:noProof/>
      <w:sz w:val="22"/>
      <w:szCs w:val="22"/>
    </w:rPr>
  </w:style>
  <w:style w:type="paragraph" w:styleId="Sommario3">
    <w:name w:val="toc 3"/>
    <w:basedOn w:val="Normale"/>
    <w:next w:val="Normale"/>
    <w:autoRedefine/>
    <w:uiPriority w:val="39"/>
    <w:unhideWhenUsed/>
    <w:qFormat/>
    <w:rsid w:val="0045784B"/>
    <w:pPr>
      <w:tabs>
        <w:tab w:val="left" w:pos="1661"/>
        <w:tab w:val="right" w:leader="dot" w:pos="9838"/>
      </w:tabs>
      <w:ind w:left="1701" w:hanging="1701"/>
      <w:jc w:val="left"/>
    </w:pPr>
    <w:rPr>
      <w:bCs/>
      <w:noProof/>
      <w:sz w:val="22"/>
      <w:szCs w:val="22"/>
    </w:rPr>
  </w:style>
  <w:style w:type="paragraph" w:styleId="Sommario4">
    <w:name w:val="toc 4"/>
    <w:basedOn w:val="Normale"/>
    <w:next w:val="Normale"/>
    <w:autoRedefine/>
    <w:uiPriority w:val="39"/>
    <w:unhideWhenUsed/>
    <w:rsid w:val="009162B1"/>
    <w:pPr>
      <w:ind w:left="840"/>
      <w:jc w:val="left"/>
    </w:pPr>
    <w:rPr>
      <w:rFonts w:ascii="Calibri" w:hAnsi="Calibri"/>
      <w:sz w:val="20"/>
      <w:szCs w:val="20"/>
    </w:rPr>
  </w:style>
  <w:style w:type="paragraph" w:styleId="Sommario5">
    <w:name w:val="toc 5"/>
    <w:basedOn w:val="Normale"/>
    <w:next w:val="Normale"/>
    <w:autoRedefine/>
    <w:uiPriority w:val="39"/>
    <w:unhideWhenUsed/>
    <w:rsid w:val="009162B1"/>
    <w:pPr>
      <w:ind w:left="1120"/>
      <w:jc w:val="left"/>
    </w:pPr>
    <w:rPr>
      <w:rFonts w:ascii="Calibri" w:hAnsi="Calibri"/>
      <w:sz w:val="20"/>
      <w:szCs w:val="20"/>
    </w:rPr>
  </w:style>
  <w:style w:type="paragraph" w:styleId="Sommario6">
    <w:name w:val="toc 6"/>
    <w:basedOn w:val="Normale"/>
    <w:next w:val="Normale"/>
    <w:autoRedefine/>
    <w:uiPriority w:val="39"/>
    <w:unhideWhenUsed/>
    <w:rsid w:val="009162B1"/>
    <w:pPr>
      <w:ind w:left="1400"/>
      <w:jc w:val="left"/>
    </w:pPr>
    <w:rPr>
      <w:rFonts w:ascii="Calibri" w:hAnsi="Calibri"/>
      <w:sz w:val="20"/>
      <w:szCs w:val="20"/>
    </w:rPr>
  </w:style>
  <w:style w:type="paragraph" w:styleId="Sommario7">
    <w:name w:val="toc 7"/>
    <w:basedOn w:val="Normale"/>
    <w:next w:val="Normale"/>
    <w:autoRedefine/>
    <w:uiPriority w:val="39"/>
    <w:unhideWhenUsed/>
    <w:rsid w:val="009162B1"/>
    <w:pPr>
      <w:ind w:left="1680"/>
      <w:jc w:val="left"/>
    </w:pPr>
    <w:rPr>
      <w:rFonts w:ascii="Calibri" w:hAnsi="Calibri"/>
      <w:sz w:val="20"/>
      <w:szCs w:val="20"/>
    </w:rPr>
  </w:style>
  <w:style w:type="paragraph" w:styleId="Sommario8">
    <w:name w:val="toc 8"/>
    <w:basedOn w:val="Normale"/>
    <w:next w:val="Normale"/>
    <w:autoRedefine/>
    <w:uiPriority w:val="39"/>
    <w:unhideWhenUsed/>
    <w:rsid w:val="009162B1"/>
    <w:pPr>
      <w:ind w:left="1960"/>
      <w:jc w:val="left"/>
    </w:pPr>
    <w:rPr>
      <w:rFonts w:ascii="Calibri" w:hAnsi="Calibri"/>
      <w:sz w:val="20"/>
      <w:szCs w:val="20"/>
    </w:rPr>
  </w:style>
  <w:style w:type="paragraph" w:styleId="Sommario9">
    <w:name w:val="toc 9"/>
    <w:basedOn w:val="Normale"/>
    <w:next w:val="Normale"/>
    <w:autoRedefine/>
    <w:uiPriority w:val="39"/>
    <w:unhideWhenUsed/>
    <w:rsid w:val="009162B1"/>
    <w:pPr>
      <w:ind w:left="2240"/>
      <w:jc w:val="left"/>
    </w:pPr>
    <w:rPr>
      <w:rFonts w:ascii="Calibri" w:hAnsi="Calibri"/>
      <w:sz w:val="20"/>
      <w:szCs w:val="20"/>
    </w:rPr>
  </w:style>
  <w:style w:type="paragraph" w:styleId="Testonotaapidipagina">
    <w:name w:val="footnote text"/>
    <w:basedOn w:val="Normale"/>
    <w:link w:val="TestonotaapidipaginaCarattere"/>
    <w:uiPriority w:val="99"/>
    <w:unhideWhenUsed/>
    <w:rsid w:val="00AD2FC8"/>
    <w:rPr>
      <w:sz w:val="24"/>
    </w:rPr>
  </w:style>
  <w:style w:type="character" w:customStyle="1" w:styleId="TestonotaapidipaginaCarattere">
    <w:name w:val="Testo nota a piè di pagina Carattere"/>
    <w:basedOn w:val="Carpredefinitoparagrafo"/>
    <w:link w:val="Testonotaapidipagina"/>
    <w:uiPriority w:val="99"/>
    <w:rsid w:val="00AD2FC8"/>
    <w:rPr>
      <w:rFonts w:ascii="Bell MT" w:eastAsia="Times New Roman" w:hAnsi="Bell MT"/>
      <w:sz w:val="24"/>
      <w:szCs w:val="24"/>
    </w:rPr>
  </w:style>
  <w:style w:type="character" w:styleId="Rimandonotaapidipagina">
    <w:name w:val="footnote reference"/>
    <w:basedOn w:val="Carpredefinitoparagrafo"/>
    <w:uiPriority w:val="99"/>
    <w:unhideWhenUsed/>
    <w:rsid w:val="00AD2FC8"/>
    <w:rPr>
      <w:vertAlign w:val="superscript"/>
    </w:rPr>
  </w:style>
  <w:style w:type="table" w:styleId="Grigliatabella">
    <w:name w:val="Table Grid"/>
    <w:basedOn w:val="Tabellanormale"/>
    <w:uiPriority w:val="59"/>
    <w:rsid w:val="0036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573AFB"/>
    <w:pPr>
      <w:spacing w:after="200"/>
    </w:pPr>
    <w:rPr>
      <w:b/>
      <w:bCs/>
      <w:color w:val="4F81BD"/>
      <w:szCs w:val="18"/>
    </w:rPr>
  </w:style>
  <w:style w:type="table" w:customStyle="1" w:styleId="Elencochiaro-Colore11">
    <w:name w:val="Elenco chiaro - Colore 11"/>
    <w:basedOn w:val="Tabellanormale"/>
    <w:uiPriority w:val="61"/>
    <w:rsid w:val="000E1FF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ellaacolori2">
    <w:name w:val="Table Colorful 2"/>
    <w:basedOn w:val="Tabellanormale"/>
    <w:rsid w:val="001945F2"/>
    <w:pPr>
      <w:spacing w:after="200" w:line="360" w:lineRule="auto"/>
      <w:jc w:val="both"/>
    </w:pPr>
    <w:rPr>
      <w:rFonts w:eastAsia="Times New Roman"/>
      <w:sz w:val="22"/>
      <w:szCs w:val="22"/>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paragraph" w:styleId="Titolosommario">
    <w:name w:val="TOC Heading"/>
    <w:basedOn w:val="Titolo1"/>
    <w:next w:val="Normale"/>
    <w:uiPriority w:val="39"/>
    <w:unhideWhenUsed/>
    <w:qFormat/>
    <w:rsid w:val="005B2E19"/>
    <w:pPr>
      <w:numPr>
        <w:numId w:val="0"/>
      </w:numPr>
      <w:spacing w:before="480" w:after="0" w:line="276" w:lineRule="auto"/>
      <w:jc w:val="left"/>
      <w:outlineLvl w:val="9"/>
    </w:pPr>
    <w:rPr>
      <w:rFonts w:ascii="Cambria" w:hAnsi="Cambria"/>
      <w:color w:val="365F91"/>
      <w:szCs w:val="28"/>
      <w:lang w:eastAsia="en-US"/>
    </w:rPr>
  </w:style>
  <w:style w:type="table" w:customStyle="1" w:styleId="Elencochiaro-Colore12">
    <w:name w:val="Elenco chiaro - Colore 12"/>
    <w:basedOn w:val="Tabellanormale"/>
    <w:uiPriority w:val="61"/>
    <w:rsid w:val="00995B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fasigrassetto">
    <w:name w:val="Strong"/>
    <w:basedOn w:val="Carpredefinitoparagrafo"/>
    <w:uiPriority w:val="22"/>
    <w:qFormat/>
    <w:rsid w:val="0007398A"/>
    <w:rPr>
      <w:b/>
      <w:bCs/>
    </w:rPr>
  </w:style>
  <w:style w:type="paragraph" w:styleId="Nessunaspaziatura">
    <w:name w:val="No Spacing"/>
    <w:link w:val="NessunaspaziaturaCarattere"/>
    <w:uiPriority w:val="1"/>
    <w:qFormat/>
    <w:rsid w:val="0007398A"/>
    <w:rPr>
      <w:rFonts w:eastAsia="Times New Roman"/>
      <w:sz w:val="22"/>
      <w:szCs w:val="22"/>
    </w:rPr>
  </w:style>
  <w:style w:type="character" w:customStyle="1" w:styleId="NessunaspaziaturaCarattere">
    <w:name w:val="Nessuna spaziatura Carattere"/>
    <w:basedOn w:val="Carpredefinitoparagrafo"/>
    <w:link w:val="Nessunaspaziatura"/>
    <w:uiPriority w:val="1"/>
    <w:rsid w:val="00C77F66"/>
    <w:rPr>
      <w:rFonts w:eastAsia="Times New Roman"/>
      <w:sz w:val="22"/>
      <w:szCs w:val="22"/>
    </w:rPr>
  </w:style>
  <w:style w:type="paragraph" w:customStyle="1" w:styleId="Titolosommario1">
    <w:name w:val="Titolo sommario1"/>
    <w:basedOn w:val="Titolo1"/>
    <w:next w:val="Normale"/>
    <w:uiPriority w:val="39"/>
    <w:unhideWhenUsed/>
    <w:qFormat/>
    <w:rsid w:val="00C77F66"/>
    <w:pPr>
      <w:numPr>
        <w:numId w:val="0"/>
      </w:numPr>
      <w:spacing w:before="480" w:after="80" w:line="276" w:lineRule="auto"/>
      <w:jc w:val="left"/>
      <w:outlineLvl w:val="9"/>
    </w:pPr>
    <w:rPr>
      <w:rFonts w:ascii="Cambria" w:eastAsia="MS Gothic" w:hAnsi="Cambria"/>
      <w:color w:val="365F91"/>
      <w:szCs w:val="28"/>
    </w:rPr>
  </w:style>
  <w:style w:type="paragraph" w:styleId="Corpotesto">
    <w:name w:val="Body Text"/>
    <w:basedOn w:val="Normale"/>
    <w:link w:val="CorpotestoCarattere"/>
    <w:uiPriority w:val="1"/>
    <w:qFormat/>
    <w:rsid w:val="00C77F66"/>
    <w:pPr>
      <w:widowControl w:val="0"/>
      <w:spacing w:after="80"/>
      <w:ind w:left="304" w:firstLine="0"/>
      <w:jc w:val="left"/>
    </w:pPr>
    <w:rPr>
      <w:rFonts w:ascii="Times New Roman" w:hAnsi="Times New Roman"/>
      <w:szCs w:val="28"/>
      <w:lang w:val="en-US"/>
    </w:rPr>
  </w:style>
  <w:style w:type="character" w:customStyle="1" w:styleId="CorpotestoCarattere">
    <w:name w:val="Corpo testo Carattere"/>
    <w:basedOn w:val="Carpredefinitoparagrafo"/>
    <w:link w:val="Corpotesto"/>
    <w:uiPriority w:val="1"/>
    <w:rsid w:val="00C77F66"/>
    <w:rPr>
      <w:rFonts w:ascii="Times New Roman" w:eastAsia="Times New Roman" w:hAnsi="Times New Roman"/>
      <w:sz w:val="28"/>
      <w:szCs w:val="28"/>
      <w:lang w:val="en-US"/>
    </w:rPr>
  </w:style>
  <w:style w:type="paragraph" w:customStyle="1" w:styleId="Titolo11">
    <w:name w:val="Titolo 11"/>
    <w:basedOn w:val="Normale"/>
    <w:uiPriority w:val="1"/>
    <w:qFormat/>
    <w:rsid w:val="00C77F66"/>
    <w:pPr>
      <w:widowControl w:val="0"/>
      <w:spacing w:after="80"/>
      <w:ind w:left="1012" w:hanging="348"/>
      <w:jc w:val="left"/>
      <w:outlineLvl w:val="1"/>
    </w:pPr>
    <w:rPr>
      <w:rFonts w:ascii="Times New Roman" w:hAnsi="Times New Roman"/>
      <w:b/>
      <w:bCs/>
      <w:sz w:val="32"/>
      <w:szCs w:val="32"/>
      <w:lang w:val="en-US"/>
    </w:rPr>
  </w:style>
  <w:style w:type="paragraph" w:customStyle="1" w:styleId="Titolo21">
    <w:name w:val="Titolo 21"/>
    <w:basedOn w:val="Normale"/>
    <w:uiPriority w:val="1"/>
    <w:qFormat/>
    <w:rsid w:val="00C77F66"/>
    <w:pPr>
      <w:widowControl w:val="0"/>
      <w:spacing w:after="80"/>
      <w:ind w:left="304" w:hanging="430"/>
      <w:jc w:val="left"/>
      <w:outlineLvl w:val="2"/>
    </w:pPr>
    <w:rPr>
      <w:rFonts w:ascii="Times New Roman" w:hAnsi="Times New Roman"/>
      <w:b/>
      <w:bCs/>
      <w:szCs w:val="28"/>
      <w:lang w:val="en-US"/>
    </w:rPr>
  </w:style>
  <w:style w:type="paragraph" w:customStyle="1" w:styleId="Elencoacolori-Colore11">
    <w:name w:val="Elenco a colori - Colore 11"/>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TableParagraph">
    <w:name w:val="Table Paragraph"/>
    <w:basedOn w:val="Normale"/>
    <w:uiPriority w:val="1"/>
    <w:qFormat/>
    <w:rsid w:val="00C77F66"/>
    <w:pPr>
      <w:widowControl w:val="0"/>
      <w:spacing w:after="80"/>
      <w:ind w:firstLine="0"/>
      <w:jc w:val="left"/>
    </w:pPr>
    <w:rPr>
      <w:rFonts w:ascii="Calibri" w:eastAsia="Calibri" w:hAnsi="Calibri"/>
      <w:sz w:val="22"/>
      <w:szCs w:val="22"/>
      <w:lang w:val="en-US"/>
    </w:rPr>
  </w:style>
  <w:style w:type="paragraph" w:customStyle="1" w:styleId="Grigliamedia21">
    <w:name w:val="Griglia media 21"/>
    <w:uiPriority w:val="1"/>
    <w:qFormat/>
    <w:rsid w:val="00C77F66"/>
    <w:pPr>
      <w:widowControl w:val="0"/>
      <w:spacing w:after="80"/>
    </w:pPr>
    <w:rPr>
      <w:sz w:val="22"/>
      <w:szCs w:val="22"/>
      <w:lang w:val="en-US"/>
    </w:rPr>
  </w:style>
  <w:style w:type="character" w:styleId="Collegamentovisitato">
    <w:name w:val="FollowedHyperlink"/>
    <w:basedOn w:val="Carpredefinitoparagrafo"/>
    <w:uiPriority w:val="99"/>
    <w:semiHidden/>
    <w:unhideWhenUsed/>
    <w:rsid w:val="00BD0408"/>
    <w:rPr>
      <w:color w:val="800080" w:themeColor="followedHyperlink"/>
      <w:u w:val="single"/>
    </w:rPr>
  </w:style>
  <w:style w:type="character" w:styleId="Rimandocommento">
    <w:name w:val="annotation reference"/>
    <w:basedOn w:val="Carpredefinitoparagrafo"/>
    <w:uiPriority w:val="99"/>
    <w:semiHidden/>
    <w:unhideWhenUsed/>
    <w:rsid w:val="00983C5B"/>
    <w:rPr>
      <w:sz w:val="16"/>
      <w:szCs w:val="16"/>
    </w:rPr>
  </w:style>
  <w:style w:type="paragraph" w:styleId="Testocommento">
    <w:name w:val="annotation text"/>
    <w:basedOn w:val="Normale"/>
    <w:link w:val="TestocommentoCarattere"/>
    <w:uiPriority w:val="99"/>
    <w:semiHidden/>
    <w:unhideWhenUsed/>
    <w:rsid w:val="00983C5B"/>
    <w:rPr>
      <w:sz w:val="20"/>
      <w:szCs w:val="20"/>
    </w:rPr>
  </w:style>
  <w:style w:type="character" w:customStyle="1" w:styleId="TestocommentoCarattere">
    <w:name w:val="Testo commento Carattere"/>
    <w:basedOn w:val="Carpredefinitoparagrafo"/>
    <w:link w:val="Testocommento"/>
    <w:uiPriority w:val="99"/>
    <w:semiHidden/>
    <w:rsid w:val="00983C5B"/>
    <w:rPr>
      <w:rFonts w:ascii="Bell MT" w:eastAsia="Times New Roman" w:hAnsi="Bell MT"/>
    </w:rPr>
  </w:style>
  <w:style w:type="paragraph" w:styleId="Soggettocommento">
    <w:name w:val="annotation subject"/>
    <w:basedOn w:val="Testocommento"/>
    <w:next w:val="Testocommento"/>
    <w:link w:val="SoggettocommentoCarattere"/>
    <w:uiPriority w:val="99"/>
    <w:semiHidden/>
    <w:unhideWhenUsed/>
    <w:rsid w:val="00983C5B"/>
    <w:rPr>
      <w:b/>
      <w:bCs/>
    </w:rPr>
  </w:style>
  <w:style w:type="character" w:customStyle="1" w:styleId="SoggettocommentoCarattere">
    <w:name w:val="Soggetto commento Carattere"/>
    <w:basedOn w:val="TestocommentoCarattere"/>
    <w:link w:val="Soggettocommento"/>
    <w:uiPriority w:val="99"/>
    <w:semiHidden/>
    <w:rsid w:val="00983C5B"/>
    <w:rPr>
      <w:rFonts w:ascii="Bell MT" w:eastAsia="Times New Roman" w:hAnsi="Bell MT"/>
      <w:b/>
      <w:bCs/>
    </w:rPr>
  </w:style>
  <w:style w:type="paragraph" w:styleId="Revisione">
    <w:name w:val="Revision"/>
    <w:hidden/>
    <w:uiPriority w:val="99"/>
    <w:semiHidden/>
    <w:rsid w:val="00255956"/>
    <w:rPr>
      <w:rFonts w:ascii="Bell MT" w:eastAsia="Times New Roman" w:hAnsi="Bell MT"/>
      <w:sz w:val="28"/>
      <w:szCs w:val="24"/>
    </w:rPr>
  </w:style>
  <w:style w:type="character" w:customStyle="1" w:styleId="Menzionenonrisolta1">
    <w:name w:val="Menzione non risolta1"/>
    <w:basedOn w:val="Carpredefinitoparagrafo"/>
    <w:uiPriority w:val="99"/>
    <w:semiHidden/>
    <w:unhideWhenUsed/>
    <w:rsid w:val="0054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892">
      <w:bodyDiv w:val="1"/>
      <w:marLeft w:val="0"/>
      <w:marRight w:val="0"/>
      <w:marTop w:val="0"/>
      <w:marBottom w:val="0"/>
      <w:divBdr>
        <w:top w:val="none" w:sz="0" w:space="0" w:color="auto"/>
        <w:left w:val="none" w:sz="0" w:space="0" w:color="auto"/>
        <w:bottom w:val="none" w:sz="0" w:space="0" w:color="auto"/>
        <w:right w:val="none" w:sz="0" w:space="0" w:color="auto"/>
      </w:divBdr>
      <w:divsChild>
        <w:div w:id="363873632">
          <w:marLeft w:val="547"/>
          <w:marRight w:val="0"/>
          <w:marTop w:val="0"/>
          <w:marBottom w:val="0"/>
          <w:divBdr>
            <w:top w:val="none" w:sz="0" w:space="0" w:color="auto"/>
            <w:left w:val="none" w:sz="0" w:space="0" w:color="auto"/>
            <w:bottom w:val="none" w:sz="0" w:space="0" w:color="auto"/>
            <w:right w:val="none" w:sz="0" w:space="0" w:color="auto"/>
          </w:divBdr>
        </w:div>
      </w:divsChild>
    </w:div>
    <w:div w:id="106632186">
      <w:bodyDiv w:val="1"/>
      <w:marLeft w:val="0"/>
      <w:marRight w:val="0"/>
      <w:marTop w:val="0"/>
      <w:marBottom w:val="0"/>
      <w:divBdr>
        <w:top w:val="none" w:sz="0" w:space="0" w:color="auto"/>
        <w:left w:val="none" w:sz="0" w:space="0" w:color="auto"/>
        <w:bottom w:val="none" w:sz="0" w:space="0" w:color="auto"/>
        <w:right w:val="none" w:sz="0" w:space="0" w:color="auto"/>
      </w:divBdr>
    </w:div>
    <w:div w:id="231551642">
      <w:bodyDiv w:val="1"/>
      <w:marLeft w:val="0"/>
      <w:marRight w:val="0"/>
      <w:marTop w:val="0"/>
      <w:marBottom w:val="0"/>
      <w:divBdr>
        <w:top w:val="none" w:sz="0" w:space="0" w:color="auto"/>
        <w:left w:val="none" w:sz="0" w:space="0" w:color="auto"/>
        <w:bottom w:val="none" w:sz="0" w:space="0" w:color="auto"/>
        <w:right w:val="none" w:sz="0" w:space="0" w:color="auto"/>
      </w:divBdr>
    </w:div>
    <w:div w:id="292710655">
      <w:bodyDiv w:val="1"/>
      <w:marLeft w:val="0"/>
      <w:marRight w:val="0"/>
      <w:marTop w:val="0"/>
      <w:marBottom w:val="0"/>
      <w:divBdr>
        <w:top w:val="none" w:sz="0" w:space="0" w:color="auto"/>
        <w:left w:val="none" w:sz="0" w:space="0" w:color="auto"/>
        <w:bottom w:val="none" w:sz="0" w:space="0" w:color="auto"/>
        <w:right w:val="none" w:sz="0" w:space="0" w:color="auto"/>
      </w:divBdr>
    </w:div>
    <w:div w:id="316300386">
      <w:bodyDiv w:val="1"/>
      <w:marLeft w:val="0"/>
      <w:marRight w:val="0"/>
      <w:marTop w:val="0"/>
      <w:marBottom w:val="0"/>
      <w:divBdr>
        <w:top w:val="none" w:sz="0" w:space="0" w:color="auto"/>
        <w:left w:val="none" w:sz="0" w:space="0" w:color="auto"/>
        <w:bottom w:val="none" w:sz="0" w:space="0" w:color="auto"/>
        <w:right w:val="none" w:sz="0" w:space="0" w:color="auto"/>
      </w:divBdr>
    </w:div>
    <w:div w:id="372270609">
      <w:bodyDiv w:val="1"/>
      <w:marLeft w:val="0"/>
      <w:marRight w:val="0"/>
      <w:marTop w:val="0"/>
      <w:marBottom w:val="0"/>
      <w:divBdr>
        <w:top w:val="none" w:sz="0" w:space="0" w:color="auto"/>
        <w:left w:val="none" w:sz="0" w:space="0" w:color="auto"/>
        <w:bottom w:val="none" w:sz="0" w:space="0" w:color="auto"/>
        <w:right w:val="none" w:sz="0" w:space="0" w:color="auto"/>
      </w:divBdr>
    </w:div>
    <w:div w:id="412625482">
      <w:bodyDiv w:val="1"/>
      <w:marLeft w:val="0"/>
      <w:marRight w:val="0"/>
      <w:marTop w:val="0"/>
      <w:marBottom w:val="0"/>
      <w:divBdr>
        <w:top w:val="none" w:sz="0" w:space="0" w:color="auto"/>
        <w:left w:val="none" w:sz="0" w:space="0" w:color="auto"/>
        <w:bottom w:val="none" w:sz="0" w:space="0" w:color="auto"/>
        <w:right w:val="none" w:sz="0" w:space="0" w:color="auto"/>
      </w:divBdr>
    </w:div>
    <w:div w:id="439571233">
      <w:bodyDiv w:val="1"/>
      <w:marLeft w:val="0"/>
      <w:marRight w:val="0"/>
      <w:marTop w:val="0"/>
      <w:marBottom w:val="0"/>
      <w:divBdr>
        <w:top w:val="none" w:sz="0" w:space="0" w:color="auto"/>
        <w:left w:val="none" w:sz="0" w:space="0" w:color="auto"/>
        <w:bottom w:val="none" w:sz="0" w:space="0" w:color="auto"/>
        <w:right w:val="none" w:sz="0" w:space="0" w:color="auto"/>
      </w:divBdr>
    </w:div>
    <w:div w:id="508375525">
      <w:bodyDiv w:val="1"/>
      <w:marLeft w:val="0"/>
      <w:marRight w:val="0"/>
      <w:marTop w:val="0"/>
      <w:marBottom w:val="0"/>
      <w:divBdr>
        <w:top w:val="none" w:sz="0" w:space="0" w:color="auto"/>
        <w:left w:val="none" w:sz="0" w:space="0" w:color="auto"/>
        <w:bottom w:val="none" w:sz="0" w:space="0" w:color="auto"/>
        <w:right w:val="none" w:sz="0" w:space="0" w:color="auto"/>
      </w:divBdr>
    </w:div>
    <w:div w:id="513540648">
      <w:bodyDiv w:val="1"/>
      <w:marLeft w:val="0"/>
      <w:marRight w:val="0"/>
      <w:marTop w:val="0"/>
      <w:marBottom w:val="0"/>
      <w:divBdr>
        <w:top w:val="none" w:sz="0" w:space="0" w:color="auto"/>
        <w:left w:val="none" w:sz="0" w:space="0" w:color="auto"/>
        <w:bottom w:val="none" w:sz="0" w:space="0" w:color="auto"/>
        <w:right w:val="none" w:sz="0" w:space="0" w:color="auto"/>
      </w:divBdr>
    </w:div>
    <w:div w:id="602612317">
      <w:bodyDiv w:val="1"/>
      <w:marLeft w:val="0"/>
      <w:marRight w:val="0"/>
      <w:marTop w:val="0"/>
      <w:marBottom w:val="0"/>
      <w:divBdr>
        <w:top w:val="none" w:sz="0" w:space="0" w:color="auto"/>
        <w:left w:val="none" w:sz="0" w:space="0" w:color="auto"/>
        <w:bottom w:val="none" w:sz="0" w:space="0" w:color="auto"/>
        <w:right w:val="none" w:sz="0" w:space="0" w:color="auto"/>
      </w:divBdr>
      <w:divsChild>
        <w:div w:id="419522935">
          <w:marLeft w:val="0"/>
          <w:marRight w:val="0"/>
          <w:marTop w:val="0"/>
          <w:marBottom w:val="0"/>
          <w:divBdr>
            <w:top w:val="none" w:sz="0" w:space="0" w:color="auto"/>
            <w:left w:val="none" w:sz="0" w:space="0" w:color="auto"/>
            <w:bottom w:val="none" w:sz="0" w:space="0" w:color="auto"/>
            <w:right w:val="none" w:sz="0" w:space="0" w:color="auto"/>
          </w:divBdr>
        </w:div>
        <w:div w:id="2121141473">
          <w:marLeft w:val="0"/>
          <w:marRight w:val="0"/>
          <w:marTop w:val="0"/>
          <w:marBottom w:val="0"/>
          <w:divBdr>
            <w:top w:val="none" w:sz="0" w:space="0" w:color="auto"/>
            <w:left w:val="none" w:sz="0" w:space="0" w:color="auto"/>
            <w:bottom w:val="none" w:sz="0" w:space="0" w:color="auto"/>
            <w:right w:val="none" w:sz="0" w:space="0" w:color="auto"/>
          </w:divBdr>
        </w:div>
      </w:divsChild>
    </w:div>
    <w:div w:id="604459421">
      <w:bodyDiv w:val="1"/>
      <w:marLeft w:val="0"/>
      <w:marRight w:val="0"/>
      <w:marTop w:val="0"/>
      <w:marBottom w:val="0"/>
      <w:divBdr>
        <w:top w:val="none" w:sz="0" w:space="0" w:color="auto"/>
        <w:left w:val="none" w:sz="0" w:space="0" w:color="auto"/>
        <w:bottom w:val="none" w:sz="0" w:space="0" w:color="auto"/>
        <w:right w:val="none" w:sz="0" w:space="0" w:color="auto"/>
      </w:divBdr>
    </w:div>
    <w:div w:id="643587470">
      <w:bodyDiv w:val="1"/>
      <w:marLeft w:val="0"/>
      <w:marRight w:val="0"/>
      <w:marTop w:val="0"/>
      <w:marBottom w:val="0"/>
      <w:divBdr>
        <w:top w:val="none" w:sz="0" w:space="0" w:color="auto"/>
        <w:left w:val="none" w:sz="0" w:space="0" w:color="auto"/>
        <w:bottom w:val="none" w:sz="0" w:space="0" w:color="auto"/>
        <w:right w:val="none" w:sz="0" w:space="0" w:color="auto"/>
      </w:divBdr>
    </w:div>
    <w:div w:id="650914787">
      <w:bodyDiv w:val="1"/>
      <w:marLeft w:val="0"/>
      <w:marRight w:val="0"/>
      <w:marTop w:val="0"/>
      <w:marBottom w:val="0"/>
      <w:divBdr>
        <w:top w:val="none" w:sz="0" w:space="0" w:color="auto"/>
        <w:left w:val="none" w:sz="0" w:space="0" w:color="auto"/>
        <w:bottom w:val="none" w:sz="0" w:space="0" w:color="auto"/>
        <w:right w:val="none" w:sz="0" w:space="0" w:color="auto"/>
      </w:divBdr>
      <w:divsChild>
        <w:div w:id="1752778484">
          <w:marLeft w:val="0"/>
          <w:marRight w:val="0"/>
          <w:marTop w:val="0"/>
          <w:marBottom w:val="0"/>
          <w:divBdr>
            <w:top w:val="none" w:sz="0" w:space="0" w:color="auto"/>
            <w:left w:val="none" w:sz="0" w:space="0" w:color="auto"/>
            <w:bottom w:val="none" w:sz="0" w:space="0" w:color="auto"/>
            <w:right w:val="none" w:sz="0" w:space="0" w:color="auto"/>
          </w:divBdr>
          <w:divsChild>
            <w:div w:id="584269447">
              <w:marLeft w:val="0"/>
              <w:marRight w:val="0"/>
              <w:marTop w:val="0"/>
              <w:marBottom w:val="0"/>
              <w:divBdr>
                <w:top w:val="none" w:sz="0" w:space="0" w:color="auto"/>
                <w:left w:val="none" w:sz="0" w:space="0" w:color="auto"/>
                <w:bottom w:val="none" w:sz="0" w:space="0" w:color="auto"/>
                <w:right w:val="none" w:sz="0" w:space="0" w:color="auto"/>
              </w:divBdr>
              <w:divsChild>
                <w:div w:id="341054643">
                  <w:marLeft w:val="0"/>
                  <w:marRight w:val="0"/>
                  <w:marTop w:val="0"/>
                  <w:marBottom w:val="0"/>
                  <w:divBdr>
                    <w:top w:val="none" w:sz="0" w:space="0" w:color="auto"/>
                    <w:left w:val="none" w:sz="0" w:space="0" w:color="auto"/>
                    <w:bottom w:val="none" w:sz="0" w:space="0" w:color="auto"/>
                    <w:right w:val="none" w:sz="0" w:space="0" w:color="auto"/>
                  </w:divBdr>
                  <w:divsChild>
                    <w:div w:id="13901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81330">
      <w:bodyDiv w:val="1"/>
      <w:marLeft w:val="0"/>
      <w:marRight w:val="0"/>
      <w:marTop w:val="0"/>
      <w:marBottom w:val="0"/>
      <w:divBdr>
        <w:top w:val="none" w:sz="0" w:space="0" w:color="auto"/>
        <w:left w:val="none" w:sz="0" w:space="0" w:color="auto"/>
        <w:bottom w:val="none" w:sz="0" w:space="0" w:color="auto"/>
        <w:right w:val="none" w:sz="0" w:space="0" w:color="auto"/>
      </w:divBdr>
    </w:div>
    <w:div w:id="702481097">
      <w:bodyDiv w:val="1"/>
      <w:marLeft w:val="0"/>
      <w:marRight w:val="0"/>
      <w:marTop w:val="0"/>
      <w:marBottom w:val="0"/>
      <w:divBdr>
        <w:top w:val="none" w:sz="0" w:space="0" w:color="auto"/>
        <w:left w:val="none" w:sz="0" w:space="0" w:color="auto"/>
        <w:bottom w:val="none" w:sz="0" w:space="0" w:color="auto"/>
        <w:right w:val="none" w:sz="0" w:space="0" w:color="auto"/>
      </w:divBdr>
    </w:div>
    <w:div w:id="754981379">
      <w:bodyDiv w:val="1"/>
      <w:marLeft w:val="0"/>
      <w:marRight w:val="0"/>
      <w:marTop w:val="0"/>
      <w:marBottom w:val="0"/>
      <w:divBdr>
        <w:top w:val="none" w:sz="0" w:space="0" w:color="auto"/>
        <w:left w:val="none" w:sz="0" w:space="0" w:color="auto"/>
        <w:bottom w:val="none" w:sz="0" w:space="0" w:color="auto"/>
        <w:right w:val="none" w:sz="0" w:space="0" w:color="auto"/>
      </w:divBdr>
    </w:div>
    <w:div w:id="785736006">
      <w:bodyDiv w:val="1"/>
      <w:marLeft w:val="0"/>
      <w:marRight w:val="0"/>
      <w:marTop w:val="0"/>
      <w:marBottom w:val="0"/>
      <w:divBdr>
        <w:top w:val="none" w:sz="0" w:space="0" w:color="auto"/>
        <w:left w:val="none" w:sz="0" w:space="0" w:color="auto"/>
        <w:bottom w:val="none" w:sz="0" w:space="0" w:color="auto"/>
        <w:right w:val="none" w:sz="0" w:space="0" w:color="auto"/>
      </w:divBdr>
    </w:div>
    <w:div w:id="905916629">
      <w:bodyDiv w:val="1"/>
      <w:marLeft w:val="0"/>
      <w:marRight w:val="0"/>
      <w:marTop w:val="0"/>
      <w:marBottom w:val="0"/>
      <w:divBdr>
        <w:top w:val="none" w:sz="0" w:space="0" w:color="auto"/>
        <w:left w:val="none" w:sz="0" w:space="0" w:color="auto"/>
        <w:bottom w:val="none" w:sz="0" w:space="0" w:color="auto"/>
        <w:right w:val="none" w:sz="0" w:space="0" w:color="auto"/>
      </w:divBdr>
    </w:div>
    <w:div w:id="915092821">
      <w:bodyDiv w:val="1"/>
      <w:marLeft w:val="0"/>
      <w:marRight w:val="0"/>
      <w:marTop w:val="0"/>
      <w:marBottom w:val="0"/>
      <w:divBdr>
        <w:top w:val="none" w:sz="0" w:space="0" w:color="auto"/>
        <w:left w:val="none" w:sz="0" w:space="0" w:color="auto"/>
        <w:bottom w:val="none" w:sz="0" w:space="0" w:color="auto"/>
        <w:right w:val="none" w:sz="0" w:space="0" w:color="auto"/>
      </w:divBdr>
    </w:div>
    <w:div w:id="953101240">
      <w:bodyDiv w:val="1"/>
      <w:marLeft w:val="0"/>
      <w:marRight w:val="0"/>
      <w:marTop w:val="0"/>
      <w:marBottom w:val="0"/>
      <w:divBdr>
        <w:top w:val="none" w:sz="0" w:space="0" w:color="auto"/>
        <w:left w:val="none" w:sz="0" w:space="0" w:color="auto"/>
        <w:bottom w:val="none" w:sz="0" w:space="0" w:color="auto"/>
        <w:right w:val="none" w:sz="0" w:space="0" w:color="auto"/>
      </w:divBdr>
    </w:div>
    <w:div w:id="967971702">
      <w:bodyDiv w:val="1"/>
      <w:marLeft w:val="0"/>
      <w:marRight w:val="0"/>
      <w:marTop w:val="0"/>
      <w:marBottom w:val="0"/>
      <w:divBdr>
        <w:top w:val="none" w:sz="0" w:space="0" w:color="auto"/>
        <w:left w:val="none" w:sz="0" w:space="0" w:color="auto"/>
        <w:bottom w:val="none" w:sz="0" w:space="0" w:color="auto"/>
        <w:right w:val="none" w:sz="0" w:space="0" w:color="auto"/>
      </w:divBdr>
    </w:div>
    <w:div w:id="993484895">
      <w:bodyDiv w:val="1"/>
      <w:marLeft w:val="0"/>
      <w:marRight w:val="0"/>
      <w:marTop w:val="0"/>
      <w:marBottom w:val="0"/>
      <w:divBdr>
        <w:top w:val="none" w:sz="0" w:space="0" w:color="auto"/>
        <w:left w:val="none" w:sz="0" w:space="0" w:color="auto"/>
        <w:bottom w:val="none" w:sz="0" w:space="0" w:color="auto"/>
        <w:right w:val="none" w:sz="0" w:space="0" w:color="auto"/>
      </w:divBdr>
      <w:divsChild>
        <w:div w:id="459034504">
          <w:marLeft w:val="0"/>
          <w:marRight w:val="0"/>
          <w:marTop w:val="0"/>
          <w:marBottom w:val="0"/>
          <w:divBdr>
            <w:top w:val="none" w:sz="0" w:space="0" w:color="auto"/>
            <w:left w:val="none" w:sz="0" w:space="0" w:color="auto"/>
            <w:bottom w:val="none" w:sz="0" w:space="0" w:color="auto"/>
            <w:right w:val="none" w:sz="0" w:space="0" w:color="auto"/>
          </w:divBdr>
        </w:div>
        <w:div w:id="1110473636">
          <w:marLeft w:val="0"/>
          <w:marRight w:val="0"/>
          <w:marTop w:val="0"/>
          <w:marBottom w:val="0"/>
          <w:divBdr>
            <w:top w:val="none" w:sz="0" w:space="0" w:color="auto"/>
            <w:left w:val="none" w:sz="0" w:space="0" w:color="auto"/>
            <w:bottom w:val="none" w:sz="0" w:space="0" w:color="auto"/>
            <w:right w:val="none" w:sz="0" w:space="0" w:color="auto"/>
          </w:divBdr>
        </w:div>
        <w:div w:id="1941717405">
          <w:marLeft w:val="0"/>
          <w:marRight w:val="0"/>
          <w:marTop w:val="0"/>
          <w:marBottom w:val="0"/>
          <w:divBdr>
            <w:top w:val="none" w:sz="0" w:space="0" w:color="auto"/>
            <w:left w:val="none" w:sz="0" w:space="0" w:color="auto"/>
            <w:bottom w:val="none" w:sz="0" w:space="0" w:color="auto"/>
            <w:right w:val="none" w:sz="0" w:space="0" w:color="auto"/>
          </w:divBdr>
        </w:div>
        <w:div w:id="2073500591">
          <w:marLeft w:val="0"/>
          <w:marRight w:val="0"/>
          <w:marTop w:val="0"/>
          <w:marBottom w:val="0"/>
          <w:divBdr>
            <w:top w:val="none" w:sz="0" w:space="0" w:color="auto"/>
            <w:left w:val="none" w:sz="0" w:space="0" w:color="auto"/>
            <w:bottom w:val="none" w:sz="0" w:space="0" w:color="auto"/>
            <w:right w:val="none" w:sz="0" w:space="0" w:color="auto"/>
          </w:divBdr>
        </w:div>
      </w:divsChild>
    </w:div>
    <w:div w:id="1019700757">
      <w:bodyDiv w:val="1"/>
      <w:marLeft w:val="0"/>
      <w:marRight w:val="0"/>
      <w:marTop w:val="0"/>
      <w:marBottom w:val="0"/>
      <w:divBdr>
        <w:top w:val="none" w:sz="0" w:space="0" w:color="auto"/>
        <w:left w:val="none" w:sz="0" w:space="0" w:color="auto"/>
        <w:bottom w:val="none" w:sz="0" w:space="0" w:color="auto"/>
        <w:right w:val="none" w:sz="0" w:space="0" w:color="auto"/>
      </w:divBdr>
    </w:div>
    <w:div w:id="1051274606">
      <w:bodyDiv w:val="1"/>
      <w:marLeft w:val="0"/>
      <w:marRight w:val="0"/>
      <w:marTop w:val="0"/>
      <w:marBottom w:val="0"/>
      <w:divBdr>
        <w:top w:val="none" w:sz="0" w:space="0" w:color="auto"/>
        <w:left w:val="none" w:sz="0" w:space="0" w:color="auto"/>
        <w:bottom w:val="none" w:sz="0" w:space="0" w:color="auto"/>
        <w:right w:val="none" w:sz="0" w:space="0" w:color="auto"/>
      </w:divBdr>
      <w:divsChild>
        <w:div w:id="468473407">
          <w:marLeft w:val="547"/>
          <w:marRight w:val="0"/>
          <w:marTop w:val="0"/>
          <w:marBottom w:val="0"/>
          <w:divBdr>
            <w:top w:val="none" w:sz="0" w:space="0" w:color="auto"/>
            <w:left w:val="none" w:sz="0" w:space="0" w:color="auto"/>
            <w:bottom w:val="none" w:sz="0" w:space="0" w:color="auto"/>
            <w:right w:val="none" w:sz="0" w:space="0" w:color="auto"/>
          </w:divBdr>
        </w:div>
      </w:divsChild>
    </w:div>
    <w:div w:id="1075858267">
      <w:bodyDiv w:val="1"/>
      <w:marLeft w:val="0"/>
      <w:marRight w:val="0"/>
      <w:marTop w:val="0"/>
      <w:marBottom w:val="0"/>
      <w:divBdr>
        <w:top w:val="none" w:sz="0" w:space="0" w:color="auto"/>
        <w:left w:val="none" w:sz="0" w:space="0" w:color="auto"/>
        <w:bottom w:val="none" w:sz="0" w:space="0" w:color="auto"/>
        <w:right w:val="none" w:sz="0" w:space="0" w:color="auto"/>
      </w:divBdr>
    </w:div>
    <w:div w:id="1160392324">
      <w:bodyDiv w:val="1"/>
      <w:marLeft w:val="0"/>
      <w:marRight w:val="0"/>
      <w:marTop w:val="0"/>
      <w:marBottom w:val="0"/>
      <w:divBdr>
        <w:top w:val="none" w:sz="0" w:space="0" w:color="auto"/>
        <w:left w:val="none" w:sz="0" w:space="0" w:color="auto"/>
        <w:bottom w:val="none" w:sz="0" w:space="0" w:color="auto"/>
        <w:right w:val="none" w:sz="0" w:space="0" w:color="auto"/>
      </w:divBdr>
    </w:div>
    <w:div w:id="1186165513">
      <w:bodyDiv w:val="1"/>
      <w:marLeft w:val="0"/>
      <w:marRight w:val="0"/>
      <w:marTop w:val="0"/>
      <w:marBottom w:val="0"/>
      <w:divBdr>
        <w:top w:val="none" w:sz="0" w:space="0" w:color="auto"/>
        <w:left w:val="none" w:sz="0" w:space="0" w:color="auto"/>
        <w:bottom w:val="none" w:sz="0" w:space="0" w:color="auto"/>
        <w:right w:val="none" w:sz="0" w:space="0" w:color="auto"/>
      </w:divBdr>
    </w:div>
    <w:div w:id="1252742696">
      <w:bodyDiv w:val="1"/>
      <w:marLeft w:val="0"/>
      <w:marRight w:val="0"/>
      <w:marTop w:val="0"/>
      <w:marBottom w:val="0"/>
      <w:divBdr>
        <w:top w:val="none" w:sz="0" w:space="0" w:color="auto"/>
        <w:left w:val="none" w:sz="0" w:space="0" w:color="auto"/>
        <w:bottom w:val="none" w:sz="0" w:space="0" w:color="auto"/>
        <w:right w:val="none" w:sz="0" w:space="0" w:color="auto"/>
      </w:divBdr>
    </w:div>
    <w:div w:id="1416828679">
      <w:bodyDiv w:val="1"/>
      <w:marLeft w:val="0"/>
      <w:marRight w:val="0"/>
      <w:marTop w:val="0"/>
      <w:marBottom w:val="0"/>
      <w:divBdr>
        <w:top w:val="none" w:sz="0" w:space="0" w:color="auto"/>
        <w:left w:val="none" w:sz="0" w:space="0" w:color="auto"/>
        <w:bottom w:val="none" w:sz="0" w:space="0" w:color="auto"/>
        <w:right w:val="none" w:sz="0" w:space="0" w:color="auto"/>
      </w:divBdr>
    </w:div>
    <w:div w:id="1419861524">
      <w:bodyDiv w:val="1"/>
      <w:marLeft w:val="0"/>
      <w:marRight w:val="0"/>
      <w:marTop w:val="0"/>
      <w:marBottom w:val="0"/>
      <w:divBdr>
        <w:top w:val="none" w:sz="0" w:space="0" w:color="auto"/>
        <w:left w:val="none" w:sz="0" w:space="0" w:color="auto"/>
        <w:bottom w:val="none" w:sz="0" w:space="0" w:color="auto"/>
        <w:right w:val="none" w:sz="0" w:space="0" w:color="auto"/>
      </w:divBdr>
    </w:div>
    <w:div w:id="1435594352">
      <w:bodyDiv w:val="1"/>
      <w:marLeft w:val="0"/>
      <w:marRight w:val="0"/>
      <w:marTop w:val="0"/>
      <w:marBottom w:val="0"/>
      <w:divBdr>
        <w:top w:val="none" w:sz="0" w:space="0" w:color="auto"/>
        <w:left w:val="none" w:sz="0" w:space="0" w:color="auto"/>
        <w:bottom w:val="none" w:sz="0" w:space="0" w:color="auto"/>
        <w:right w:val="none" w:sz="0" w:space="0" w:color="auto"/>
      </w:divBdr>
    </w:div>
    <w:div w:id="1500004027">
      <w:bodyDiv w:val="1"/>
      <w:marLeft w:val="0"/>
      <w:marRight w:val="0"/>
      <w:marTop w:val="0"/>
      <w:marBottom w:val="0"/>
      <w:divBdr>
        <w:top w:val="none" w:sz="0" w:space="0" w:color="auto"/>
        <w:left w:val="none" w:sz="0" w:space="0" w:color="auto"/>
        <w:bottom w:val="none" w:sz="0" w:space="0" w:color="auto"/>
        <w:right w:val="none" w:sz="0" w:space="0" w:color="auto"/>
      </w:divBdr>
    </w:div>
    <w:div w:id="1567490296">
      <w:bodyDiv w:val="1"/>
      <w:marLeft w:val="0"/>
      <w:marRight w:val="0"/>
      <w:marTop w:val="0"/>
      <w:marBottom w:val="0"/>
      <w:divBdr>
        <w:top w:val="none" w:sz="0" w:space="0" w:color="auto"/>
        <w:left w:val="none" w:sz="0" w:space="0" w:color="auto"/>
        <w:bottom w:val="none" w:sz="0" w:space="0" w:color="auto"/>
        <w:right w:val="none" w:sz="0" w:space="0" w:color="auto"/>
      </w:divBdr>
      <w:divsChild>
        <w:div w:id="198396545">
          <w:marLeft w:val="0"/>
          <w:marRight w:val="0"/>
          <w:marTop w:val="0"/>
          <w:marBottom w:val="0"/>
          <w:divBdr>
            <w:top w:val="none" w:sz="0" w:space="0" w:color="auto"/>
            <w:left w:val="none" w:sz="0" w:space="0" w:color="auto"/>
            <w:bottom w:val="none" w:sz="0" w:space="0" w:color="auto"/>
            <w:right w:val="none" w:sz="0" w:space="0" w:color="auto"/>
          </w:divBdr>
        </w:div>
        <w:div w:id="1882593832">
          <w:marLeft w:val="0"/>
          <w:marRight w:val="0"/>
          <w:marTop w:val="0"/>
          <w:marBottom w:val="0"/>
          <w:divBdr>
            <w:top w:val="none" w:sz="0" w:space="0" w:color="auto"/>
            <w:left w:val="none" w:sz="0" w:space="0" w:color="auto"/>
            <w:bottom w:val="none" w:sz="0" w:space="0" w:color="auto"/>
            <w:right w:val="none" w:sz="0" w:space="0" w:color="auto"/>
          </w:divBdr>
        </w:div>
      </w:divsChild>
    </w:div>
    <w:div w:id="1623222215">
      <w:bodyDiv w:val="1"/>
      <w:marLeft w:val="0"/>
      <w:marRight w:val="0"/>
      <w:marTop w:val="0"/>
      <w:marBottom w:val="0"/>
      <w:divBdr>
        <w:top w:val="none" w:sz="0" w:space="0" w:color="auto"/>
        <w:left w:val="none" w:sz="0" w:space="0" w:color="auto"/>
        <w:bottom w:val="none" w:sz="0" w:space="0" w:color="auto"/>
        <w:right w:val="none" w:sz="0" w:space="0" w:color="auto"/>
      </w:divBdr>
      <w:divsChild>
        <w:div w:id="738018328">
          <w:marLeft w:val="0"/>
          <w:marRight w:val="0"/>
          <w:marTop w:val="0"/>
          <w:marBottom w:val="0"/>
          <w:divBdr>
            <w:top w:val="none" w:sz="0" w:space="0" w:color="auto"/>
            <w:left w:val="none" w:sz="0" w:space="0" w:color="auto"/>
            <w:bottom w:val="none" w:sz="0" w:space="0" w:color="auto"/>
            <w:right w:val="none" w:sz="0" w:space="0" w:color="auto"/>
          </w:divBdr>
          <w:divsChild>
            <w:div w:id="1878659741">
              <w:marLeft w:val="0"/>
              <w:marRight w:val="0"/>
              <w:marTop w:val="0"/>
              <w:marBottom w:val="0"/>
              <w:divBdr>
                <w:top w:val="none" w:sz="0" w:space="0" w:color="auto"/>
                <w:left w:val="none" w:sz="0" w:space="0" w:color="auto"/>
                <w:bottom w:val="none" w:sz="0" w:space="0" w:color="auto"/>
                <w:right w:val="none" w:sz="0" w:space="0" w:color="auto"/>
              </w:divBdr>
              <w:divsChild>
                <w:div w:id="1414817939">
                  <w:marLeft w:val="0"/>
                  <w:marRight w:val="0"/>
                  <w:marTop w:val="0"/>
                  <w:marBottom w:val="0"/>
                  <w:divBdr>
                    <w:top w:val="none" w:sz="0" w:space="0" w:color="auto"/>
                    <w:left w:val="none" w:sz="0" w:space="0" w:color="auto"/>
                    <w:bottom w:val="none" w:sz="0" w:space="0" w:color="auto"/>
                    <w:right w:val="none" w:sz="0" w:space="0" w:color="auto"/>
                  </w:divBdr>
                  <w:divsChild>
                    <w:div w:id="17780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3774">
      <w:bodyDiv w:val="1"/>
      <w:marLeft w:val="0"/>
      <w:marRight w:val="0"/>
      <w:marTop w:val="0"/>
      <w:marBottom w:val="0"/>
      <w:divBdr>
        <w:top w:val="none" w:sz="0" w:space="0" w:color="auto"/>
        <w:left w:val="none" w:sz="0" w:space="0" w:color="auto"/>
        <w:bottom w:val="none" w:sz="0" w:space="0" w:color="auto"/>
        <w:right w:val="none" w:sz="0" w:space="0" w:color="auto"/>
      </w:divBdr>
    </w:div>
    <w:div w:id="1685552065">
      <w:bodyDiv w:val="1"/>
      <w:marLeft w:val="0"/>
      <w:marRight w:val="0"/>
      <w:marTop w:val="0"/>
      <w:marBottom w:val="0"/>
      <w:divBdr>
        <w:top w:val="none" w:sz="0" w:space="0" w:color="auto"/>
        <w:left w:val="none" w:sz="0" w:space="0" w:color="auto"/>
        <w:bottom w:val="none" w:sz="0" w:space="0" w:color="auto"/>
        <w:right w:val="none" w:sz="0" w:space="0" w:color="auto"/>
      </w:divBdr>
    </w:div>
    <w:div w:id="1700472158">
      <w:bodyDiv w:val="1"/>
      <w:marLeft w:val="0"/>
      <w:marRight w:val="0"/>
      <w:marTop w:val="0"/>
      <w:marBottom w:val="0"/>
      <w:divBdr>
        <w:top w:val="none" w:sz="0" w:space="0" w:color="auto"/>
        <w:left w:val="none" w:sz="0" w:space="0" w:color="auto"/>
        <w:bottom w:val="none" w:sz="0" w:space="0" w:color="auto"/>
        <w:right w:val="none" w:sz="0" w:space="0" w:color="auto"/>
      </w:divBdr>
    </w:div>
    <w:div w:id="1707869742">
      <w:bodyDiv w:val="1"/>
      <w:marLeft w:val="0"/>
      <w:marRight w:val="0"/>
      <w:marTop w:val="0"/>
      <w:marBottom w:val="0"/>
      <w:divBdr>
        <w:top w:val="none" w:sz="0" w:space="0" w:color="auto"/>
        <w:left w:val="none" w:sz="0" w:space="0" w:color="auto"/>
        <w:bottom w:val="none" w:sz="0" w:space="0" w:color="auto"/>
        <w:right w:val="none" w:sz="0" w:space="0" w:color="auto"/>
      </w:divBdr>
    </w:div>
    <w:div w:id="1717777737">
      <w:bodyDiv w:val="1"/>
      <w:marLeft w:val="0"/>
      <w:marRight w:val="0"/>
      <w:marTop w:val="0"/>
      <w:marBottom w:val="0"/>
      <w:divBdr>
        <w:top w:val="none" w:sz="0" w:space="0" w:color="auto"/>
        <w:left w:val="none" w:sz="0" w:space="0" w:color="auto"/>
        <w:bottom w:val="none" w:sz="0" w:space="0" w:color="auto"/>
        <w:right w:val="none" w:sz="0" w:space="0" w:color="auto"/>
      </w:divBdr>
    </w:div>
    <w:div w:id="1745254951">
      <w:bodyDiv w:val="1"/>
      <w:marLeft w:val="0"/>
      <w:marRight w:val="0"/>
      <w:marTop w:val="0"/>
      <w:marBottom w:val="0"/>
      <w:divBdr>
        <w:top w:val="none" w:sz="0" w:space="0" w:color="auto"/>
        <w:left w:val="none" w:sz="0" w:space="0" w:color="auto"/>
        <w:bottom w:val="none" w:sz="0" w:space="0" w:color="auto"/>
        <w:right w:val="none" w:sz="0" w:space="0" w:color="auto"/>
      </w:divBdr>
    </w:div>
    <w:div w:id="1832987766">
      <w:bodyDiv w:val="1"/>
      <w:marLeft w:val="0"/>
      <w:marRight w:val="0"/>
      <w:marTop w:val="0"/>
      <w:marBottom w:val="0"/>
      <w:divBdr>
        <w:top w:val="none" w:sz="0" w:space="0" w:color="auto"/>
        <w:left w:val="none" w:sz="0" w:space="0" w:color="auto"/>
        <w:bottom w:val="none" w:sz="0" w:space="0" w:color="auto"/>
        <w:right w:val="none" w:sz="0" w:space="0" w:color="auto"/>
      </w:divBdr>
    </w:div>
    <w:div w:id="1872842565">
      <w:bodyDiv w:val="1"/>
      <w:marLeft w:val="0"/>
      <w:marRight w:val="0"/>
      <w:marTop w:val="0"/>
      <w:marBottom w:val="0"/>
      <w:divBdr>
        <w:top w:val="none" w:sz="0" w:space="0" w:color="auto"/>
        <w:left w:val="none" w:sz="0" w:space="0" w:color="auto"/>
        <w:bottom w:val="none" w:sz="0" w:space="0" w:color="auto"/>
        <w:right w:val="none" w:sz="0" w:space="0" w:color="auto"/>
      </w:divBdr>
    </w:div>
    <w:div w:id="1949893477">
      <w:bodyDiv w:val="1"/>
      <w:marLeft w:val="0"/>
      <w:marRight w:val="0"/>
      <w:marTop w:val="0"/>
      <w:marBottom w:val="0"/>
      <w:divBdr>
        <w:top w:val="none" w:sz="0" w:space="0" w:color="auto"/>
        <w:left w:val="none" w:sz="0" w:space="0" w:color="auto"/>
        <w:bottom w:val="none" w:sz="0" w:space="0" w:color="auto"/>
        <w:right w:val="none" w:sz="0" w:space="0" w:color="auto"/>
      </w:divBdr>
    </w:div>
    <w:div w:id="1990286622">
      <w:bodyDiv w:val="1"/>
      <w:marLeft w:val="0"/>
      <w:marRight w:val="0"/>
      <w:marTop w:val="0"/>
      <w:marBottom w:val="0"/>
      <w:divBdr>
        <w:top w:val="none" w:sz="0" w:space="0" w:color="auto"/>
        <w:left w:val="none" w:sz="0" w:space="0" w:color="auto"/>
        <w:bottom w:val="none" w:sz="0" w:space="0" w:color="auto"/>
        <w:right w:val="none" w:sz="0" w:space="0" w:color="auto"/>
      </w:divBdr>
      <w:divsChild>
        <w:div w:id="978846386">
          <w:marLeft w:val="547"/>
          <w:marRight w:val="0"/>
          <w:marTop w:val="0"/>
          <w:marBottom w:val="0"/>
          <w:divBdr>
            <w:top w:val="none" w:sz="0" w:space="0" w:color="auto"/>
            <w:left w:val="none" w:sz="0" w:space="0" w:color="auto"/>
            <w:bottom w:val="none" w:sz="0" w:space="0" w:color="auto"/>
            <w:right w:val="none" w:sz="0" w:space="0" w:color="auto"/>
          </w:divBdr>
        </w:div>
      </w:divsChild>
    </w:div>
    <w:div w:id="21473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zionepubblica.gov.it/lavoro-pubblico-e-organizzazione-pa/rapporto-di-lavoro-pubblico/incompatibilita-cumulo-di-impiegh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2.jpg@01D6FAE8.B006F1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F3E6E3-A79D-4534-9813-34743CFD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19515</Words>
  <Characters>111239</Characters>
  <Application>Microsoft Office Word</Application>
  <DocSecurity>4</DocSecurity>
  <Lines>926</Lines>
  <Paragraphs>260</Paragraphs>
  <ScaleCrop>false</ScaleCrop>
  <HeadingPairs>
    <vt:vector size="2" baseType="variant">
      <vt:variant>
        <vt:lpstr>Titolo</vt:lpstr>
      </vt:variant>
      <vt:variant>
        <vt:i4>1</vt:i4>
      </vt:variant>
    </vt:vector>
  </HeadingPairs>
  <TitlesOfParts>
    <vt:vector size="1" baseType="lpstr">
      <vt:lpstr/>
    </vt:vector>
  </TitlesOfParts>
  <Company>PCM</Company>
  <LinksUpToDate>false</LinksUpToDate>
  <CharactersWithSpaces>130494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dc:creator>
  <cp:lastModifiedBy>Genghi Flavio</cp:lastModifiedBy>
  <cp:revision>2</cp:revision>
  <cp:lastPrinted>2021-03-15T11:13:00Z</cp:lastPrinted>
  <dcterms:created xsi:type="dcterms:W3CDTF">2021-04-07T08:43:00Z</dcterms:created>
  <dcterms:modified xsi:type="dcterms:W3CDTF">2021-04-07T08:43:00Z</dcterms:modified>
</cp:coreProperties>
</file>