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9CC6" w14:textId="6F3BC544" w:rsidR="00773871" w:rsidRDefault="00773871" w:rsidP="00773871"/>
    <w:tbl>
      <w:tblPr>
        <w:tblpPr w:leftFromText="141" w:rightFromText="141" w:vertAnchor="page" w:horzAnchor="margin" w:tblpXSpec="center" w:tblpY="2761"/>
        <w:tblW w:w="43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96"/>
        <w:gridCol w:w="819"/>
        <w:gridCol w:w="1245"/>
        <w:gridCol w:w="191"/>
        <w:gridCol w:w="970"/>
        <w:gridCol w:w="836"/>
        <w:gridCol w:w="189"/>
        <w:gridCol w:w="188"/>
      </w:tblGrid>
      <w:tr w:rsidR="00773871" w:rsidRPr="00B50AD7" w14:paraId="4648A8E2" w14:textId="77777777" w:rsidTr="00244F58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94195" w14:textId="77777777" w:rsidR="00773871" w:rsidRDefault="00773871" w:rsidP="00244F58">
            <w:pPr>
              <w:pStyle w:val="Intestazione"/>
            </w:pPr>
          </w:p>
          <w:p w14:paraId="4745A91A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5CAC371B" w14:textId="77777777" w:rsidR="00AF6EB0" w:rsidRDefault="00AF6EB0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56751838" w14:textId="6F4563B3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FORMAT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 w:rsidR="005B0A4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LIST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DELL’AMMINISTRAZIONE CENTRALE TITOLARE DI MISURE PNRR</w:t>
            </w:r>
          </w:p>
          <w:p w14:paraId="652F0B03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PER LA VERIFICA DELL’ASSENZA DELLA </w:t>
            </w:r>
            <w:r w:rsidRPr="00001EF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DUPLICAZIONE DEI FINANZIAMENTI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2"/>
            </w:r>
          </w:p>
          <w:p w14:paraId="58C656CB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4BFC8861" w14:textId="77777777" w:rsidR="00773871" w:rsidRPr="009E2B0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</w:pPr>
            <w:r w:rsidRPr="009E2B01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(propedeutica alla</w:t>
            </w:r>
            <w:r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 xml:space="preserve"> </w:t>
            </w:r>
            <w:r w:rsidRPr="009E2B01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 xml:space="preserve">rendicontazione di </w:t>
            </w:r>
            <w:r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M</w:t>
            </w:r>
            <w:r w:rsidRPr="009E2B01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lang w:eastAsia="it-IT"/>
              </w:rPr>
              <w:t>isura)</w:t>
            </w:r>
          </w:p>
          <w:p w14:paraId="3208DAE3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  <w:p w14:paraId="18C214A7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F0A81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2EDC6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773871" w:rsidRPr="00B50AD7" w14:paraId="6002E5C0" w14:textId="77777777" w:rsidTr="00244F58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CBC7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7DCB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F88D2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C358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773871" w:rsidRPr="00B50AD7" w14:paraId="69CE2FD5" w14:textId="77777777" w:rsidTr="00244F58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EE69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B0F0F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6EEB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4F740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773871" w:rsidRPr="00B50AD7" w14:paraId="2C36C71F" w14:textId="77777777" w:rsidTr="00244F58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DF990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BD478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BA31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D9EEC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773871" w:rsidRPr="00B50AD7" w14:paraId="295E2167" w14:textId="77777777" w:rsidTr="00244F58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1CA66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E989A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14DA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9BEEC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773871" w:rsidRPr="00B50AD7" w14:paraId="599A5AD2" w14:textId="77777777" w:rsidTr="00244F58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432B4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9E567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27B3C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E65F7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AA546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4187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59C60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01E3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5AB3" w14:textId="77777777" w:rsidR="00773871" w:rsidRPr="00B50AD7" w:rsidRDefault="00773871" w:rsidP="00244F58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</w:tbl>
    <w:tbl>
      <w:tblPr>
        <w:tblW w:w="54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061"/>
        <w:gridCol w:w="472"/>
        <w:gridCol w:w="517"/>
        <w:gridCol w:w="45"/>
        <w:gridCol w:w="584"/>
        <w:gridCol w:w="2011"/>
        <w:gridCol w:w="1747"/>
        <w:gridCol w:w="2361"/>
      </w:tblGrid>
      <w:tr w:rsidR="00773871" w:rsidRPr="00B50AD7" w14:paraId="21619BB0" w14:textId="77777777" w:rsidTr="00244F58">
        <w:trPr>
          <w:cantSplit/>
          <w:trHeight w:val="341"/>
          <w:tblHeader/>
          <w:jc w:val="center"/>
        </w:trPr>
        <w:tc>
          <w:tcPr>
            <w:tcW w:w="1183" w:type="pct"/>
            <w:gridSpan w:val="2"/>
            <w:shd w:val="clear" w:color="000000" w:fill="1F497D"/>
            <w:vAlign w:val="center"/>
          </w:tcPr>
          <w:p w14:paraId="119B034F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Punti di controllo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000000" w:fill="1F497D"/>
            <w:vAlign w:val="center"/>
          </w:tcPr>
          <w:p w14:paraId="02DA9916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000000" w:fill="1F497D"/>
            <w:vAlign w:val="center"/>
          </w:tcPr>
          <w:p w14:paraId="172F9AFD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  <w:shd w:val="clear" w:color="000000" w:fill="1F497D"/>
            <w:vAlign w:val="center"/>
          </w:tcPr>
          <w:p w14:paraId="1859A605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992" w:type="pct"/>
            <w:shd w:val="clear" w:color="000000" w:fill="1F497D"/>
            <w:vAlign w:val="center"/>
          </w:tcPr>
          <w:p w14:paraId="4242CA95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  <w:r w:rsidRPr="00AC12AF"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3"/>
            </w:r>
          </w:p>
        </w:tc>
        <w:tc>
          <w:tcPr>
            <w:tcW w:w="862" w:type="pct"/>
            <w:shd w:val="clear" w:color="000000" w:fill="1F497D"/>
            <w:vAlign w:val="center"/>
          </w:tcPr>
          <w:p w14:paraId="17629BE2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/</w:t>
            </w:r>
          </w:p>
          <w:p w14:paraId="3D02FA34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Commenti</w:t>
            </w:r>
          </w:p>
        </w:tc>
        <w:tc>
          <w:tcPr>
            <w:tcW w:w="1165" w:type="pct"/>
            <w:shd w:val="clear" w:color="000000" w:fill="1F497D"/>
            <w:vAlign w:val="center"/>
          </w:tcPr>
          <w:p w14:paraId="36457335" w14:textId="77777777" w:rsidR="00773871" w:rsidRPr="00B50AD7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A8547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 controllo</w:t>
            </w:r>
            <w:r w:rsidRPr="00B50AD7" w:rsidDel="00DA607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</w:tr>
      <w:tr w:rsidR="00773871" w:rsidRPr="00C5015D" w14:paraId="2F68EBB9" w14:textId="77777777" w:rsidTr="00244F58">
        <w:trPr>
          <w:trHeight w:val="319"/>
          <w:jc w:val="center"/>
        </w:trPr>
        <w:tc>
          <w:tcPr>
            <w:tcW w:w="5000" w:type="pct"/>
            <w:gridSpan w:val="9"/>
            <w:vAlign w:val="center"/>
          </w:tcPr>
          <w:p w14:paraId="389E63D6" w14:textId="77777777" w:rsidR="00773871" w:rsidRPr="00C35BAC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r w:rsidRPr="00C35BA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Controlli formali</w:t>
            </w:r>
          </w:p>
        </w:tc>
      </w:tr>
      <w:tr w:rsidR="00773871" w:rsidRPr="00C5015D" w14:paraId="2B956EB7" w14:textId="77777777" w:rsidTr="00244F58">
        <w:trPr>
          <w:trHeight w:val="899"/>
          <w:jc w:val="center"/>
        </w:trPr>
        <w:tc>
          <w:tcPr>
            <w:tcW w:w="166" w:type="pct"/>
            <w:vAlign w:val="center"/>
          </w:tcPr>
          <w:p w14:paraId="6727F005" w14:textId="77777777" w:rsidR="00773871" w:rsidRPr="002226AB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1017" w:type="pct"/>
            <w:vAlign w:val="center"/>
          </w:tcPr>
          <w:p w14:paraId="022FEB87" w14:textId="77777777" w:rsidR="00773871" w:rsidRPr="00365CA7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L’ “Attestazione delle verifiche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effettuate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sul Rendiconto di progetto” contenente l’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item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di controllo “assenza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” è stata correttamente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compilata,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su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 sistema informativo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ReGiS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dal Soggetto attuatore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(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>in fase di rendicontazione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3" w:type="pct"/>
            <w:vAlign w:val="center"/>
          </w:tcPr>
          <w:p w14:paraId="036B4940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45E5E05D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1EDD1E87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23E8E7ED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>Attestazione delle verifiche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effettuate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sul Rendiconto di progetto</w:t>
            </w:r>
          </w:p>
        </w:tc>
        <w:tc>
          <w:tcPr>
            <w:tcW w:w="862" w:type="pct"/>
          </w:tcPr>
          <w:p w14:paraId="3916427E" w14:textId="77777777" w:rsidR="00773871" w:rsidRPr="00584DB1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2601BBFC" w14:textId="77777777" w:rsidR="00773871" w:rsidRPr="00584DB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la presenza del 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flag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relativo all’area di controllo “assenza della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”, sul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l’“Attestazione delle verifiche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effettuate 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>sul Rendiconto di progetto”</w:t>
            </w:r>
          </w:p>
        </w:tc>
      </w:tr>
      <w:tr w:rsidR="00773871" w:rsidRPr="00C5015D" w14:paraId="6387110A" w14:textId="77777777" w:rsidTr="00773871">
        <w:trPr>
          <w:trHeight w:val="3185"/>
          <w:jc w:val="center"/>
        </w:trPr>
        <w:tc>
          <w:tcPr>
            <w:tcW w:w="166" w:type="pct"/>
            <w:vAlign w:val="center"/>
          </w:tcPr>
          <w:p w14:paraId="1EC536DA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lastRenderedPageBreak/>
              <w:t>2</w:t>
            </w:r>
          </w:p>
        </w:tc>
        <w:tc>
          <w:tcPr>
            <w:tcW w:w="1017" w:type="pct"/>
            <w:vAlign w:val="center"/>
          </w:tcPr>
          <w:p w14:paraId="0ED610E8" w14:textId="72F88150" w:rsidR="00773871" w:rsidRPr="00584DB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È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presente sul sistema informativo ReGiS la documentazione probatoria prodotta dal Soggetto</w:t>
            </w:r>
            <w:r w:rsidRPr="00C35BAC">
              <w:rPr>
                <w:rFonts w:ascii="Garamond" w:eastAsia="Times New Roman" w:hAnsi="Garamond" w:cs="Times New Roman"/>
                <w:bCs/>
                <w:lang w:eastAsia="it-IT"/>
              </w:rPr>
              <w:t xml:space="preserve"> attuatore per attesta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re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l’assenza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sulle spese esposte a rendicontazione?</w:t>
            </w:r>
          </w:p>
        </w:tc>
        <w:tc>
          <w:tcPr>
            <w:tcW w:w="233" w:type="pct"/>
            <w:vAlign w:val="center"/>
          </w:tcPr>
          <w:p w14:paraId="4553413D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25FA9A67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1A0221B6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5ED3F0BF" w14:textId="365F5FA2" w:rsidR="00773871" w:rsidRDefault="0080268E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D</w:t>
            </w:r>
            <w:r w:rsidR="00773871">
              <w:rPr>
                <w:rFonts w:ascii="Garamond" w:eastAsia="Times New Roman" w:hAnsi="Garamond" w:cs="Times New Roman"/>
                <w:bCs/>
                <w:lang w:eastAsia="it-IT"/>
              </w:rPr>
              <w:t xml:space="preserve">ichiarazione assenza </w:t>
            </w:r>
            <w:r w:rsidR="00773871"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  <w:p w14:paraId="03C7C0FB" w14:textId="77777777" w:rsidR="00773871" w:rsidRPr="00A536F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r w:rsidRPr="00A536F8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Check-list</w:t>
            </w:r>
          </w:p>
          <w:p w14:paraId="21431EC0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163946">
              <w:rPr>
                <w:rFonts w:ascii="Garamond" w:eastAsia="Times New Roman" w:hAnsi="Garamond" w:cs="Times New Roman"/>
                <w:bCs/>
                <w:lang w:eastAsia="it-IT"/>
              </w:rPr>
              <w:t>Verbale</w:t>
            </w:r>
          </w:p>
          <w:p w14:paraId="26FF5CC1" w14:textId="77777777" w:rsidR="00773871" w:rsidRPr="0012494C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A536F8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Report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estratto dalla Piattaforma</w:t>
            </w:r>
            <w:r w:rsidRPr="00163946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PIAF (eventuale)</w:t>
            </w:r>
          </w:p>
        </w:tc>
        <w:tc>
          <w:tcPr>
            <w:tcW w:w="862" w:type="pct"/>
          </w:tcPr>
          <w:p w14:paraId="2D962A03" w14:textId="77777777" w:rsidR="00773871" w:rsidRPr="00640B3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74D67D05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la presenza, sul sistema informativo ReGiS, della documentazione utile prodotta dal Soggetto attuatore per attestare l’assenza della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sulle spese esposte a rendicontazione</w:t>
            </w:r>
          </w:p>
        </w:tc>
      </w:tr>
      <w:tr w:rsidR="00773871" w:rsidRPr="00C5015D" w14:paraId="1FF5F5A9" w14:textId="77777777" w:rsidTr="00244F58">
        <w:trPr>
          <w:trHeight w:val="432"/>
          <w:jc w:val="center"/>
        </w:trPr>
        <w:tc>
          <w:tcPr>
            <w:tcW w:w="5000" w:type="pct"/>
            <w:gridSpan w:val="9"/>
            <w:vAlign w:val="center"/>
          </w:tcPr>
          <w:p w14:paraId="4FA59FF2" w14:textId="77777777" w:rsidR="00773871" w:rsidRPr="00C35BAC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</w:pPr>
            <w:r w:rsidRPr="00C35BA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Controlli sostanziali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(anche a campione)</w:t>
            </w:r>
          </w:p>
        </w:tc>
      </w:tr>
      <w:tr w:rsidR="00773871" w:rsidRPr="00C5015D" w14:paraId="16CF0AE5" w14:textId="77777777" w:rsidTr="00244F58">
        <w:trPr>
          <w:trHeight w:val="899"/>
          <w:jc w:val="center"/>
        </w:trPr>
        <w:tc>
          <w:tcPr>
            <w:tcW w:w="166" w:type="pct"/>
            <w:vAlign w:val="center"/>
          </w:tcPr>
          <w:p w14:paraId="39DE19B4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1017" w:type="pct"/>
            <w:vAlign w:val="center"/>
          </w:tcPr>
          <w:p w14:paraId="188CE8E8" w14:textId="4E3F8D90" w:rsidR="00773871" w:rsidRPr="00A214BD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584DB1">
              <w:rPr>
                <w:rFonts w:ascii="Garamond" w:eastAsia="Times New Roman" w:hAnsi="Garamond" w:cs="Times New Roman"/>
                <w:bCs/>
                <w:lang w:eastAsia="it-IT"/>
              </w:rPr>
              <w:t xml:space="preserve">È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stata fornita dal Soggetto attuatore, </w:t>
            </w:r>
            <w:r w:rsidRPr="007F1361">
              <w:rPr>
                <w:rFonts w:ascii="Garamond" w:eastAsia="Times New Roman" w:hAnsi="Garamond" w:cs="Times New Roman"/>
                <w:bCs/>
                <w:lang w:eastAsia="it-IT"/>
              </w:rPr>
              <w:t xml:space="preserve">in fase di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presentazione della proposta progettuale, l</w:t>
            </w:r>
            <w:r w:rsidR="0080268E">
              <w:rPr>
                <w:rFonts w:ascii="Garamond" w:eastAsia="Times New Roman" w:hAnsi="Garamond" w:cs="Times New Roman"/>
                <w:bCs/>
                <w:lang w:eastAsia="it-IT"/>
              </w:rPr>
              <w:t xml:space="preserve">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dichiarazione di </w:t>
            </w:r>
            <w:r w:rsidRPr="007F1361">
              <w:rPr>
                <w:rFonts w:ascii="Garamond" w:eastAsia="Times New Roman" w:hAnsi="Garamond" w:cs="Times New Roman"/>
                <w:bCs/>
                <w:lang w:eastAsia="it-IT"/>
              </w:rPr>
              <w:t>assenza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7F136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3" w:type="pct"/>
            <w:vAlign w:val="center"/>
          </w:tcPr>
          <w:p w14:paraId="70CFCFF0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6F692B36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30ABAEBA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455AF601" w14:textId="773A8EF3" w:rsidR="00773871" w:rsidRDefault="0080268E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D</w:t>
            </w:r>
            <w:r w:rsidR="00773871">
              <w:rPr>
                <w:rFonts w:ascii="Garamond" w:eastAsia="Times New Roman" w:hAnsi="Garamond" w:cs="Times New Roman"/>
                <w:bCs/>
                <w:lang w:eastAsia="it-IT"/>
              </w:rPr>
              <w:t xml:space="preserve">ichiarazione assenza </w:t>
            </w:r>
            <w:r w:rsidR="00773871"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="00773871">
              <w:rPr>
                <w:rFonts w:ascii="Garamond" w:eastAsia="Times New Roman" w:hAnsi="Garamond" w:cs="Times New Roman"/>
                <w:bCs/>
                <w:lang w:eastAsia="it-IT"/>
              </w:rPr>
              <w:t xml:space="preserve"> della proposta progettuale</w:t>
            </w:r>
          </w:p>
          <w:p w14:paraId="4D9C556F" w14:textId="77777777" w:rsidR="00773871" w:rsidRPr="00FD0A7A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</w:p>
        </w:tc>
        <w:tc>
          <w:tcPr>
            <w:tcW w:w="862" w:type="pct"/>
          </w:tcPr>
          <w:p w14:paraId="018671B3" w14:textId="77777777" w:rsidR="00773871" w:rsidRPr="00640B3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1DC4827F" w14:textId="3ABA69BD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Verificare la presenza dell</w:t>
            </w:r>
            <w:r w:rsidR="0080268E">
              <w:rPr>
                <w:rFonts w:ascii="Garamond" w:eastAsia="Times New Roman" w:hAnsi="Garamond" w:cs="Times New Roman"/>
                <w:bCs/>
                <w:lang w:eastAsia="it-IT"/>
              </w:rPr>
              <w:t xml:space="preserve">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dichiarazione prodotta dal Soggetto attuatore per attestare l’assenza della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della proposta progettuale</w:t>
            </w:r>
          </w:p>
        </w:tc>
      </w:tr>
      <w:tr w:rsidR="00773871" w:rsidRPr="00C5015D" w14:paraId="70531D22" w14:textId="77777777" w:rsidTr="00244F58">
        <w:trPr>
          <w:trHeight w:val="899"/>
          <w:jc w:val="center"/>
        </w:trPr>
        <w:tc>
          <w:tcPr>
            <w:tcW w:w="166" w:type="pct"/>
            <w:vAlign w:val="center"/>
          </w:tcPr>
          <w:p w14:paraId="1FE1C07B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1017" w:type="pct"/>
            <w:vAlign w:val="center"/>
          </w:tcPr>
          <w:p w14:paraId="32A2033E" w14:textId="77777777" w:rsidR="00773871" w:rsidRPr="00584DB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La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spesa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 oggetto di controllo, sommata alle spese precedentemente pagate, rientra nel limite dell’importo del contratto di riferimento approvato?</w:t>
            </w:r>
          </w:p>
        </w:tc>
        <w:tc>
          <w:tcPr>
            <w:tcW w:w="233" w:type="pct"/>
            <w:vAlign w:val="center"/>
          </w:tcPr>
          <w:p w14:paraId="0C632779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52EE02CB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0FEDFFED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387FDE8C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Giustificativo di spesa (es. fattura)</w:t>
            </w:r>
          </w:p>
          <w:p w14:paraId="1C896439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Contratto di acquisto/fornitura/ opere/ecc.</w:t>
            </w:r>
          </w:p>
          <w:p w14:paraId="5DD69D7F" w14:textId="77777777" w:rsidR="00773871" w:rsidRPr="0012494C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Mandato di pagamento</w:t>
            </w:r>
          </w:p>
        </w:tc>
        <w:tc>
          <w:tcPr>
            <w:tcW w:w="862" w:type="pct"/>
          </w:tcPr>
          <w:p w14:paraId="0D64F339" w14:textId="77777777" w:rsidR="00773871" w:rsidRPr="00640B3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74D37C43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che la 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spesa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controllata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>, sommata alle spese precedentemente pagate, rientr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i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 nel limite dell’importo del contratto di riferimento approvato</w:t>
            </w:r>
          </w:p>
        </w:tc>
      </w:tr>
      <w:tr w:rsidR="00773871" w:rsidRPr="00C5015D" w14:paraId="4284C5AA" w14:textId="77777777" w:rsidTr="00244F58">
        <w:trPr>
          <w:trHeight w:val="899"/>
          <w:jc w:val="center"/>
        </w:trPr>
        <w:tc>
          <w:tcPr>
            <w:tcW w:w="166" w:type="pct"/>
            <w:vAlign w:val="center"/>
          </w:tcPr>
          <w:p w14:paraId="3F9198DD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1017" w:type="pct"/>
            <w:vAlign w:val="center"/>
          </w:tcPr>
          <w:p w14:paraId="4FA22555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È stato verificato che la prestazione/fornitura/lavoro oggetto della fattura/documentazione giustificativa non sia stata oggetto di precedenti pagamenti?</w:t>
            </w:r>
          </w:p>
        </w:tc>
        <w:tc>
          <w:tcPr>
            <w:tcW w:w="233" w:type="pct"/>
            <w:vAlign w:val="center"/>
          </w:tcPr>
          <w:p w14:paraId="1A7F1FEC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19F865BF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69640F06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3EA153B0" w14:textId="77777777" w:rsidR="00773871" w:rsidRPr="00C35BAC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Giustificativo di spesa (es. fattura)</w:t>
            </w:r>
          </w:p>
          <w:p w14:paraId="4E14601A" w14:textId="77777777" w:rsidR="00773871" w:rsidRPr="00A536F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A536F8">
              <w:rPr>
                <w:rFonts w:ascii="Garamond" w:eastAsia="Times New Roman" w:hAnsi="Garamond" w:cs="Times New Roman"/>
                <w:bCs/>
                <w:lang w:eastAsia="it-IT"/>
              </w:rPr>
              <w:t>SAL</w:t>
            </w:r>
          </w:p>
        </w:tc>
        <w:tc>
          <w:tcPr>
            <w:tcW w:w="862" w:type="pct"/>
          </w:tcPr>
          <w:p w14:paraId="7EB7A520" w14:textId="77777777" w:rsidR="00773871" w:rsidRPr="00640B3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6646BB1A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che 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>la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>fattura/documentazione giustificativa non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riguardi prestazioni/forniture/lavori 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>oggetto di precedenti pagamenti</w:t>
            </w:r>
          </w:p>
        </w:tc>
      </w:tr>
      <w:tr w:rsidR="00773871" w:rsidRPr="00C5015D" w14:paraId="143BBACE" w14:textId="77777777" w:rsidTr="00244F58">
        <w:trPr>
          <w:trHeight w:val="899"/>
          <w:jc w:val="center"/>
        </w:trPr>
        <w:tc>
          <w:tcPr>
            <w:tcW w:w="166" w:type="pct"/>
            <w:vAlign w:val="center"/>
          </w:tcPr>
          <w:p w14:paraId="7A9FCFD7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1017" w:type="pct"/>
            <w:vAlign w:val="center"/>
          </w:tcPr>
          <w:p w14:paraId="5FF55713" w14:textId="77777777" w:rsidR="00773871" w:rsidRPr="00A214BD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A decorrere dal 06/06/2014 (nei confronti di Ministeri, Agenzie fiscali ed Enti di previdenza individuate dall'ISTAT) e dal 31/03/2015 (nei confronti di tutte le 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 xml:space="preserve">altre Amministrazioni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pubbliche e locali), 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fattura è stata emessa in forma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to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elettronic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o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(come previsto dall'art. 1 co. 209</w:t>
            </w:r>
            <w:r w:rsidRPr="00A214BD">
              <w:rPr>
                <w:rFonts w:ascii="Garamond" w:eastAsia="Times New Roman" w:hAnsi="Garamond" w:cs="Times New Roman"/>
                <w:bCs/>
                <w:lang w:eastAsia="it-IT"/>
              </w:rPr>
              <w:t xml:space="preserve"> - 214 L. 244/2007)?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</w:p>
        </w:tc>
        <w:tc>
          <w:tcPr>
            <w:tcW w:w="233" w:type="pct"/>
            <w:vAlign w:val="center"/>
          </w:tcPr>
          <w:p w14:paraId="621A6A5D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2A6F524B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0BB4DF4A" w14:textId="77777777" w:rsidR="00773871" w:rsidRPr="00640B3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34E6DDC5" w14:textId="77777777" w:rsidR="00773871" w:rsidRPr="00C35BAC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C35BAC">
              <w:rPr>
                <w:rFonts w:ascii="Garamond" w:eastAsia="Times New Roman" w:hAnsi="Garamond" w:cs="Times New Roman"/>
                <w:bCs/>
                <w:lang w:eastAsia="it-IT"/>
              </w:rPr>
              <w:t>Giustificativo di spesa (es. fattura)</w:t>
            </w:r>
          </w:p>
        </w:tc>
        <w:tc>
          <w:tcPr>
            <w:tcW w:w="862" w:type="pct"/>
          </w:tcPr>
          <w:p w14:paraId="17D697C6" w14:textId="77777777" w:rsidR="00773871" w:rsidRPr="00640B3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1E894C2A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Verificare che la fattura sia stata emessa in formato elettronico</w:t>
            </w:r>
          </w:p>
        </w:tc>
      </w:tr>
      <w:tr w:rsidR="00773871" w:rsidRPr="00B50AD7" w14:paraId="75A65DF2" w14:textId="77777777" w:rsidTr="00244F58">
        <w:trPr>
          <w:trHeight w:val="1196"/>
          <w:jc w:val="center"/>
        </w:trPr>
        <w:tc>
          <w:tcPr>
            <w:tcW w:w="166" w:type="pct"/>
            <w:vAlign w:val="center"/>
          </w:tcPr>
          <w:p w14:paraId="527A389E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1017" w:type="pct"/>
            <w:vAlign w:val="center"/>
          </w:tcPr>
          <w:p w14:paraId="35DADFB0" w14:textId="77777777" w:rsidR="00773871" w:rsidRPr="00CB7510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Gli atti di impegno giuridicamente vincolanti (es. contratto) riportano il corretto riferimento</w:t>
            </w:r>
            <w:r w:rsidRPr="00D71163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al CUP, al CIG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(ove applicabile), </w:t>
            </w:r>
            <w:r w:rsidRPr="00D71163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al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 xml:space="preserve"> titolo dell’intervento e al </w:t>
            </w:r>
            <w:r w:rsidRPr="00D71163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finanziamento da parte dell’Unione europea - Next Generation EU?</w:t>
            </w:r>
          </w:p>
        </w:tc>
        <w:tc>
          <w:tcPr>
            <w:tcW w:w="233" w:type="pct"/>
            <w:vAlign w:val="center"/>
          </w:tcPr>
          <w:p w14:paraId="28C4380F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0AA7581E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50EC2102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0DBB26B7" w14:textId="77777777" w:rsidR="00773871" w:rsidRDefault="00773871" w:rsidP="00244F58">
            <w:pPr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Atti di impegno giuridicamente vincolanti (es. contratto)</w:t>
            </w:r>
          </w:p>
        </w:tc>
        <w:tc>
          <w:tcPr>
            <w:tcW w:w="862" w:type="pct"/>
          </w:tcPr>
          <w:p w14:paraId="5FC8FDEA" w14:textId="77777777" w:rsidR="00773871" w:rsidRPr="007A092E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3CC1E621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>erifica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 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correttezza del CUP, CIG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 titolo dell’intervento e della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 descrizione del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la fonte finanziaria all’interno degli</w:t>
            </w:r>
            <w:r w:rsidRPr="00E34874">
              <w:rPr>
                <w:rFonts w:ascii="Garamond" w:eastAsia="Times New Roman" w:hAnsi="Garamond" w:cs="Times New Roman"/>
                <w:bCs/>
                <w:lang w:eastAsia="it-IT"/>
              </w:rPr>
              <w:t xml:space="preserve"> atti di impegno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giuridicamente vincolanti</w:t>
            </w:r>
          </w:p>
        </w:tc>
      </w:tr>
      <w:tr w:rsidR="00773871" w:rsidRPr="00B50AD7" w14:paraId="5AAB4CAB" w14:textId="77777777" w:rsidTr="00244F58">
        <w:trPr>
          <w:trHeight w:val="557"/>
          <w:jc w:val="center"/>
        </w:trPr>
        <w:tc>
          <w:tcPr>
            <w:tcW w:w="166" w:type="pct"/>
            <w:vAlign w:val="center"/>
          </w:tcPr>
          <w:p w14:paraId="0A6F0494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017" w:type="pct"/>
            <w:vAlign w:val="center"/>
          </w:tcPr>
          <w:p w14:paraId="600F5863" w14:textId="77777777" w:rsidR="00773871" w:rsidRPr="009E2B01" w:rsidDel="00A85476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I documenti giustificativi di spesa riportano il corretto riferimento al CUP, al CIG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, al titolo dell’intervento e al finanziamento da parte dell’Unione europea - Next Generation EU?</w:t>
            </w:r>
          </w:p>
        </w:tc>
        <w:tc>
          <w:tcPr>
            <w:tcW w:w="233" w:type="pct"/>
            <w:vAlign w:val="center"/>
          </w:tcPr>
          <w:p w14:paraId="47BEB7C3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7A9C9FF5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65B17E53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65482DF6" w14:textId="77777777" w:rsidR="00773871" w:rsidRPr="00F341D3" w:rsidRDefault="00773871" w:rsidP="00244F58">
            <w:pPr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C35BAC">
              <w:rPr>
                <w:rFonts w:ascii="Garamond" w:eastAsia="Times New Roman" w:hAnsi="Garamond" w:cs="Times New Roman"/>
                <w:bCs/>
                <w:lang w:eastAsia="it-IT"/>
              </w:rPr>
              <w:t>Giustificativo di spesa (es. fattura)</w:t>
            </w:r>
          </w:p>
        </w:tc>
        <w:tc>
          <w:tcPr>
            <w:tcW w:w="862" w:type="pct"/>
          </w:tcPr>
          <w:p w14:paraId="1D182138" w14:textId="77777777" w:rsidR="00773871" w:rsidRPr="007A092E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41BF1592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>erifica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 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correttezza del CUP, CIG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 titolo dell’intervento e della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 descrizione del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la fonte finanziaria</w:t>
            </w:r>
            <w:r w:rsidDel="006E4500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all’interno dei documenti giustificativi di spesa</w:t>
            </w:r>
          </w:p>
        </w:tc>
      </w:tr>
      <w:tr w:rsidR="00773871" w:rsidRPr="00B50AD7" w14:paraId="1A2252CC" w14:textId="77777777" w:rsidTr="00244F58">
        <w:trPr>
          <w:trHeight w:val="494"/>
          <w:jc w:val="center"/>
        </w:trPr>
        <w:tc>
          <w:tcPr>
            <w:tcW w:w="166" w:type="pct"/>
            <w:vAlign w:val="center"/>
          </w:tcPr>
          <w:p w14:paraId="78A912A9" w14:textId="77777777" w:rsidR="00773871" w:rsidRPr="002226AB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017" w:type="pct"/>
            <w:vAlign w:val="center"/>
          </w:tcPr>
          <w:p w14:paraId="093DD5BC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Gli atti di liquidazione e gli ordinativi di pagamento riportano il corretto riferimento al CUP, al CIG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, al conto corrente per la tracciabilità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dei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flussi finanziari, al titolo dell’intervento e al finanziamento da parte dell’Unione europea - Next Generation EU?</w:t>
            </w:r>
          </w:p>
        </w:tc>
        <w:tc>
          <w:tcPr>
            <w:tcW w:w="233" w:type="pct"/>
            <w:vAlign w:val="center"/>
          </w:tcPr>
          <w:p w14:paraId="243D35FC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5B4CD039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2CDD0615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363F1245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- </w:t>
            </w:r>
            <w:r w:rsidRPr="00D4314E">
              <w:rPr>
                <w:rFonts w:ascii="Garamond" w:eastAsia="Times New Roman" w:hAnsi="Garamond" w:cs="Times New Roman"/>
                <w:bCs/>
                <w:lang w:eastAsia="it-IT"/>
              </w:rPr>
              <w:t>Atti di liquidazione</w:t>
            </w:r>
          </w:p>
          <w:p w14:paraId="2CACB536" w14:textId="77777777" w:rsidR="00773871" w:rsidRPr="00B67C15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- </w:t>
            </w:r>
            <w:r w:rsidRPr="00B67C15">
              <w:rPr>
                <w:rFonts w:ascii="Garamond" w:eastAsia="Times New Roman" w:hAnsi="Garamond" w:cs="Times New Roman"/>
                <w:bCs/>
                <w:lang w:eastAsia="it-IT"/>
              </w:rPr>
              <w:t>Ordinativi di pagamento</w:t>
            </w:r>
          </w:p>
        </w:tc>
        <w:tc>
          <w:tcPr>
            <w:tcW w:w="862" w:type="pct"/>
          </w:tcPr>
          <w:p w14:paraId="78B0B1C7" w14:textId="77777777" w:rsidR="00773871" w:rsidRPr="007A092E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2DA12557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>erifica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 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correttezza del CUP, CIG 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(ove applicabile)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, conto corrente, titolo dell’intervento e della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 descrizione del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la fonte finanziaria, all’interno degli atti di liquidazione e degli ordinativi di pagamento</w:t>
            </w:r>
          </w:p>
        </w:tc>
      </w:tr>
      <w:tr w:rsidR="00773871" w:rsidRPr="00B50AD7" w14:paraId="6BCCFA6F" w14:textId="77777777" w:rsidTr="00244F58">
        <w:trPr>
          <w:trHeight w:val="986"/>
          <w:jc w:val="center"/>
        </w:trPr>
        <w:tc>
          <w:tcPr>
            <w:tcW w:w="166" w:type="pct"/>
            <w:vAlign w:val="center"/>
          </w:tcPr>
          <w:p w14:paraId="31CF2DEF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10</w:t>
            </w:r>
          </w:p>
        </w:tc>
        <w:tc>
          <w:tcPr>
            <w:tcW w:w="1017" w:type="pct"/>
            <w:vAlign w:val="center"/>
          </w:tcPr>
          <w:p w14:paraId="7421EAC9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Nel caso di “progetti in essere”, se i documenti giustificativi di spesa e di pagamento riportano i riferimenti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alla precedente fonte di finanziamento, è stata predisposta idonea documentazione (es. atto di riconducibilità) in cui si dichiara l’assenza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3" w:type="pct"/>
            <w:vAlign w:val="center"/>
          </w:tcPr>
          <w:p w14:paraId="54390D5D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2BC29BCD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63DFDA57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1DC837C4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Atto amministrativo di riconducibilità o documento analogo</w:t>
            </w:r>
          </w:p>
          <w:p w14:paraId="25100CDB" w14:textId="77777777" w:rsidR="00773871" w:rsidRPr="002E17A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Altro</w:t>
            </w:r>
          </w:p>
        </w:tc>
        <w:tc>
          <w:tcPr>
            <w:tcW w:w="862" w:type="pct"/>
          </w:tcPr>
          <w:p w14:paraId="73C9FF4D" w14:textId="77777777" w:rsidR="00773871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275433B2" w14:textId="77777777" w:rsidR="00773871" w:rsidRPr="007A092E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644FFDEB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>erifica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 </w:t>
            </w:r>
            <w:r w:rsidRPr="000B33F8">
              <w:rPr>
                <w:rFonts w:ascii="Garamond" w:eastAsia="Times New Roman" w:hAnsi="Garamond" w:cs="Times New Roman"/>
                <w:bCs/>
                <w:lang w:eastAsia="it-IT"/>
              </w:rPr>
              <w:t xml:space="preserve">la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coerenza della documentazione predisposta ai fini della dichiarazione di assenza della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delle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spese/pagamenti sostenuti</w:t>
            </w:r>
          </w:p>
        </w:tc>
      </w:tr>
      <w:tr w:rsidR="00773871" w:rsidRPr="00B50AD7" w14:paraId="63E442DC" w14:textId="77777777" w:rsidTr="00244F58">
        <w:trPr>
          <w:trHeight w:val="986"/>
          <w:jc w:val="center"/>
        </w:trPr>
        <w:tc>
          <w:tcPr>
            <w:tcW w:w="166" w:type="pct"/>
            <w:vAlign w:val="center"/>
          </w:tcPr>
          <w:p w14:paraId="31B05AE7" w14:textId="77777777" w:rsidR="00773871" w:rsidRPr="002E17A8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1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017" w:type="pct"/>
            <w:vAlign w:val="center"/>
          </w:tcPr>
          <w:p w14:paraId="559C1D05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 xml:space="preserve">È stato consultato il portale </w:t>
            </w:r>
            <w:hyperlink r:id="rId7" w:history="1">
              <w:r w:rsidRPr="002E17A8">
                <w:rPr>
                  <w:rFonts w:ascii="Garamond" w:eastAsia="Times New Roman" w:hAnsi="Garamond" w:cs="Times New Roman"/>
                  <w:bCs/>
                  <w:lang w:eastAsia="it-IT"/>
                </w:rPr>
                <w:t>opencup.gov.it</w:t>
              </w:r>
            </w:hyperlink>
          </w:p>
          <w:p w14:paraId="61121F22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per verificare se il CUP del progetto selezionato e finanziato sia abbinato anche ad altre fonti di finanziamento (comunitarie e/o nazionali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/regionali/locali/altra fonte</w:t>
            </w: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)?</w:t>
            </w:r>
          </w:p>
        </w:tc>
        <w:tc>
          <w:tcPr>
            <w:tcW w:w="233" w:type="pct"/>
            <w:vAlign w:val="center"/>
          </w:tcPr>
          <w:p w14:paraId="0F413EC9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551259EB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3C106F5A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5D8CA783" w14:textId="77777777" w:rsidR="00773871" w:rsidRPr="002E17A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val="en-US"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val="en-US" w:eastAsia="it-IT"/>
              </w:rPr>
              <w:t xml:space="preserve">Portale </w:t>
            </w:r>
            <w:r w:rsidRPr="002E17A8">
              <w:rPr>
                <w:rFonts w:ascii="Garamond" w:eastAsia="Times New Roman" w:hAnsi="Garamond" w:cs="Times New Roman"/>
                <w:bCs/>
                <w:i/>
                <w:iCs/>
                <w:lang w:val="en-US" w:eastAsia="it-IT"/>
              </w:rPr>
              <w:t xml:space="preserve">web </w:t>
            </w:r>
            <w:hyperlink r:id="rId8" w:history="1">
              <w:r w:rsidRPr="002E17A8">
                <w:rPr>
                  <w:rFonts w:ascii="Garamond" w:eastAsia="Times New Roman" w:hAnsi="Garamond" w:cs="Times New Roman"/>
                  <w:bCs/>
                  <w:lang w:val="en-US" w:eastAsia="it-IT"/>
                </w:rPr>
                <w:t>opencup.gov.it</w:t>
              </w:r>
            </w:hyperlink>
          </w:p>
          <w:p w14:paraId="780321EE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</w:p>
        </w:tc>
        <w:tc>
          <w:tcPr>
            <w:tcW w:w="862" w:type="pct"/>
          </w:tcPr>
          <w:p w14:paraId="2B39A365" w14:textId="77777777" w:rsidR="00773871" w:rsidRPr="002E17A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5D3E1DF3" w14:textId="77777777" w:rsidR="00773871" w:rsidRPr="002E17A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330FDF53" w14:textId="77777777" w:rsidR="00773871" w:rsidRPr="002E17A8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02F74A26" w14:textId="77777777" w:rsidR="00773871" w:rsidRPr="002E17A8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Verificare sul portale che il progetto, oggetto di rendicontazione, non sia abbinato anche ad altre fonti di finanziamento (comunitarie 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/o</w:t>
            </w: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 xml:space="preserve"> nazionali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/regionali/locali/altra fonte</w:t>
            </w: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). In caso positivo, inserire la motivazione dell’esclusione del rischio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</w:tc>
      </w:tr>
      <w:tr w:rsidR="00773871" w:rsidRPr="00B50AD7" w14:paraId="24713279" w14:textId="77777777" w:rsidTr="00244F58">
        <w:trPr>
          <w:trHeight w:val="854"/>
          <w:jc w:val="center"/>
        </w:trPr>
        <w:tc>
          <w:tcPr>
            <w:tcW w:w="166" w:type="pct"/>
            <w:vAlign w:val="center"/>
          </w:tcPr>
          <w:p w14:paraId="46E5CE76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12</w:t>
            </w:r>
          </w:p>
        </w:tc>
        <w:tc>
          <w:tcPr>
            <w:tcW w:w="1017" w:type="pct"/>
            <w:vAlign w:val="center"/>
          </w:tcPr>
          <w:p w14:paraId="792E5BDB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In esito alle analisi delle informazioni estratte dalla Piattaforma antifrode nazionale (PIAF-IT), sezione “Dati finanziari”, sul Soggetto attuatore e, nei casi in cui sussista il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fondato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sospetto di un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, sui Soggetti realizzatori presenti nel Rendiconto di Progetto, emergono progettualità analoghe a quelle finanziate con l’RRF e potenzialmente finanziate con altre fonti di finanziamento?</w:t>
            </w:r>
          </w:p>
        </w:tc>
        <w:tc>
          <w:tcPr>
            <w:tcW w:w="233" w:type="pct"/>
            <w:vAlign w:val="center"/>
          </w:tcPr>
          <w:p w14:paraId="0286DC58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0ABFD225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7BED956E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648A9270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Piattaforma PIAF – Scheda informativa</w:t>
            </w:r>
          </w:p>
        </w:tc>
        <w:tc>
          <w:tcPr>
            <w:tcW w:w="862" w:type="pct"/>
          </w:tcPr>
          <w:p w14:paraId="3320BC90" w14:textId="77777777" w:rsidR="00773871" w:rsidRPr="00DC150B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09EEAD0B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la presenza di eventuali progettualità analoghe a quelle finanziate </w:t>
            </w:r>
            <w:r w:rsidRPr="00DD2D78">
              <w:rPr>
                <w:rFonts w:ascii="Garamond" w:eastAsia="Times New Roman" w:hAnsi="Garamond" w:cs="Times New Roman"/>
                <w:bCs/>
                <w:lang w:eastAsia="it-IT"/>
              </w:rPr>
              <w:t xml:space="preserve">con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l’RRF per il Soggetto attuatore e, </w:t>
            </w:r>
            <w:r w:rsidRPr="00AC12AF">
              <w:rPr>
                <w:rFonts w:ascii="Garamond" w:eastAsia="Times New Roman" w:hAnsi="Garamond" w:cs="Times New Roman"/>
                <w:bCs/>
                <w:lang w:eastAsia="it-IT"/>
              </w:rPr>
              <w:t>nei casi in cui sussista il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fondato</w:t>
            </w:r>
            <w:r w:rsidRPr="00AC12AF">
              <w:rPr>
                <w:rFonts w:ascii="Garamond" w:eastAsia="Times New Roman" w:hAnsi="Garamond" w:cs="Times New Roman"/>
                <w:bCs/>
                <w:lang w:eastAsia="it-IT"/>
              </w:rPr>
              <w:t xml:space="preserve"> sospetto di un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a</w:t>
            </w:r>
            <w:r w:rsidRPr="00AC12AF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, per il </w:t>
            </w:r>
            <w:r w:rsidRPr="00DD2D78">
              <w:rPr>
                <w:rFonts w:ascii="Garamond" w:eastAsia="Times New Roman" w:hAnsi="Garamond" w:cs="Times New Roman"/>
                <w:bCs/>
                <w:lang w:eastAsia="it-IT"/>
              </w:rPr>
              <w:t>Soggett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o</w:t>
            </w:r>
            <w:r w:rsidRPr="00DD2D78">
              <w:rPr>
                <w:rFonts w:ascii="Garamond" w:eastAsia="Times New Roman" w:hAnsi="Garamond" w:cs="Times New Roman"/>
                <w:bCs/>
                <w:lang w:eastAsia="it-IT"/>
              </w:rPr>
              <w:t xml:space="preserve"> realizzator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e, </w:t>
            </w:r>
            <w:r w:rsidRPr="00DD2D78">
              <w:rPr>
                <w:rFonts w:ascii="Garamond" w:eastAsia="Times New Roman" w:hAnsi="Garamond" w:cs="Times New Roman"/>
                <w:bCs/>
                <w:lang w:eastAsia="it-IT"/>
              </w:rPr>
              <w:t xml:space="preserve">e potenzialmente finanziate con altri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fonti di finanziamento</w:t>
            </w:r>
            <w:r w:rsidRPr="00DD2D78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(comunitarie e/o nazionali).</w:t>
            </w:r>
            <w:r w:rsidRPr="00A536F8">
              <w:rPr>
                <w:rFonts w:ascii="Garamond" w:eastAsia="Times New Roman" w:hAnsi="Garamond" w:cs="Times New Roman"/>
                <w:bCs/>
                <w:lang w:eastAsia="it-IT"/>
              </w:rPr>
              <w:t xml:space="preserve"> In caso positiv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o</w:t>
            </w:r>
            <w:r w:rsidRPr="00A536F8">
              <w:rPr>
                <w:rFonts w:ascii="Garamond" w:eastAsia="Times New Roman" w:hAnsi="Garamond" w:cs="Times New Roman"/>
                <w:bCs/>
                <w:lang w:eastAsia="it-IT"/>
              </w:rPr>
              <w:t xml:space="preserve">, inserire la motivazione dell’esclusione del rischio di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</w:tc>
      </w:tr>
      <w:tr w:rsidR="00773871" w:rsidRPr="00B50AD7" w14:paraId="7504CE40" w14:textId="77777777" w:rsidTr="00244F58">
        <w:trPr>
          <w:trHeight w:val="854"/>
          <w:jc w:val="center"/>
        </w:trPr>
        <w:tc>
          <w:tcPr>
            <w:tcW w:w="166" w:type="pct"/>
            <w:vAlign w:val="center"/>
          </w:tcPr>
          <w:p w14:paraId="25AA1DA1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13</w:t>
            </w:r>
          </w:p>
        </w:tc>
        <w:tc>
          <w:tcPr>
            <w:tcW w:w="1017" w:type="pct"/>
            <w:vAlign w:val="center"/>
          </w:tcPr>
          <w:p w14:paraId="0A3F82E2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Nel caso in cui vi sia il sospetto che il progetto sia associato anche ad altra fonte di 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finanziamento, si è proceduto ad acquisire documentazione integrativa dal Soggetto attuatore, al fine di escludere l’esistenza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3" w:type="pct"/>
            <w:vAlign w:val="center"/>
          </w:tcPr>
          <w:p w14:paraId="418CBFF7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4FAD327B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42768B06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58C04610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- Atto di ammissione a finanziamento ed eventuali rimodulazioni</w:t>
            </w:r>
          </w:p>
          <w:p w14:paraId="634CA854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- Scheda di progetto</w:t>
            </w:r>
          </w:p>
          <w:p w14:paraId="0EE29A86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- Atto di approvazione del quadro economico</w:t>
            </w:r>
          </w:p>
          <w:p w14:paraId="264ED1C2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- Altro</w:t>
            </w:r>
          </w:p>
        </w:tc>
        <w:tc>
          <w:tcPr>
            <w:tcW w:w="862" w:type="pct"/>
          </w:tcPr>
          <w:p w14:paraId="38D1D977" w14:textId="77777777" w:rsidR="00773871" w:rsidRPr="00DC150B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659089D6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</w:t>
            </w:r>
            <w:r w:rsidRPr="002226AB">
              <w:rPr>
                <w:rFonts w:ascii="Garamond" w:eastAsia="Times New Roman" w:hAnsi="Garamond" w:cs="Times New Roman"/>
                <w:bCs/>
                <w:lang w:eastAsia="it-IT"/>
              </w:rPr>
              <w:t xml:space="preserve">erificare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la presenza della </w:t>
            </w:r>
            <w:r w:rsidRPr="002226AB">
              <w:rPr>
                <w:rFonts w:ascii="Garamond" w:eastAsia="Times New Roman" w:hAnsi="Garamond" w:cs="Times New Roman"/>
                <w:bCs/>
                <w:lang w:eastAsia="it-IT"/>
              </w:rPr>
              <w:t xml:space="preserve">ulteriore documentazione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ricevuta dal Soggetto attuatore.  In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caso positivo, verificare la documentazione integrativa ricevuta e i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nserire la motivazione dell’esclusione del rischio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</w:tc>
      </w:tr>
      <w:tr w:rsidR="00773871" w:rsidRPr="00B50AD7" w14:paraId="7606B5FB" w14:textId="77777777" w:rsidTr="00244F58">
        <w:trPr>
          <w:trHeight w:val="854"/>
          <w:jc w:val="center"/>
        </w:trPr>
        <w:tc>
          <w:tcPr>
            <w:tcW w:w="166" w:type="pct"/>
            <w:vAlign w:val="center"/>
          </w:tcPr>
          <w:p w14:paraId="54696296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lastRenderedPageBreak/>
              <w:t>14</w:t>
            </w:r>
          </w:p>
        </w:tc>
        <w:tc>
          <w:tcPr>
            <w:tcW w:w="1017" w:type="pct"/>
            <w:vAlign w:val="center"/>
          </w:tcPr>
          <w:p w14:paraId="69F7FFB6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Nel caso in cui vi sia il sospetto che il progetto sia associato anche ad altre fonti di finanziamento, e il Soggetto attuatore non abbia fornito documentazione sufficiente a scongiurare il rischio 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ella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, è stato possibile acquisire e istruire dall’Organismo/Ente/Amministrazione che ha concesso il contributo UE (diverso dall’RRF) la documentazione a valere su altre fonti finanziarie, al fine di escludere l’esistenza </w:t>
            </w:r>
            <w:proofErr w:type="gramStart"/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del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</w:t>
            </w:r>
            <w:proofErr w:type="gramEnd"/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 xml:space="preserve"> dei finanziamenti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233" w:type="pct"/>
            <w:vAlign w:val="center"/>
          </w:tcPr>
          <w:p w14:paraId="6A19E68B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7EAE653E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036EFA4E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538542B3" w14:textId="77777777" w:rsidR="00773871" w:rsidRPr="002E17A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Atto di ammissione a finanziamento ed eventuali rimodulazioni.</w:t>
            </w:r>
          </w:p>
          <w:p w14:paraId="3A5CA7FE" w14:textId="77777777" w:rsidR="00773871" w:rsidRPr="002E17A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Scheda di progetto</w:t>
            </w:r>
          </w:p>
          <w:p w14:paraId="0FA58262" w14:textId="77777777" w:rsidR="00773871" w:rsidRPr="002E17A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2E17A8">
              <w:rPr>
                <w:rFonts w:ascii="Garamond" w:eastAsia="Times New Roman" w:hAnsi="Garamond" w:cs="Times New Roman"/>
                <w:bCs/>
                <w:lang w:eastAsia="it-IT"/>
              </w:rPr>
              <w:t>Atto di approvazione del quadro economico</w:t>
            </w:r>
          </w:p>
          <w:p w14:paraId="5B87AB89" w14:textId="77777777" w:rsidR="00773871" w:rsidRPr="002E17A8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Altro</w:t>
            </w:r>
          </w:p>
        </w:tc>
        <w:tc>
          <w:tcPr>
            <w:tcW w:w="862" w:type="pct"/>
          </w:tcPr>
          <w:p w14:paraId="7ECCA0F9" w14:textId="77777777" w:rsidR="00773871" w:rsidRPr="00DC150B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0B487A7A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Verificare la presenza di interlocuzioni con </w:t>
            </w:r>
            <w:r w:rsidRPr="009E31A4">
              <w:rPr>
                <w:rFonts w:ascii="Garamond" w:eastAsia="Times New Roman" w:hAnsi="Garamond" w:cs="Times New Roman"/>
                <w:bCs/>
                <w:lang w:eastAsia="it-IT"/>
              </w:rPr>
              <w:t xml:space="preserve">l’Organismo/Ente/Amministrazione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che </w:t>
            </w:r>
            <w:r w:rsidRPr="00ED1670">
              <w:rPr>
                <w:rFonts w:ascii="Garamond" w:eastAsia="Times New Roman" w:hAnsi="Garamond" w:cs="Times New Roman"/>
                <w:bCs/>
                <w:lang w:eastAsia="it-IT"/>
              </w:rPr>
              <w:t>ha concesso il contributo (diverso dall’RRF)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. In caso positivo, verificare la documentazione integrativa ricevuta e i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 xml:space="preserve">nserire la motivazione dell’esclusione del rischio di </w:t>
            </w:r>
            <w:r w:rsidRPr="00001EF0">
              <w:rPr>
                <w:rFonts w:ascii="Garamond" w:eastAsia="Times New Roman" w:hAnsi="Garamond" w:cs="Times New Roman"/>
                <w:bCs/>
                <w:lang w:eastAsia="it-IT"/>
              </w:rPr>
              <w:t>duplicazione dei finanziamenti</w:t>
            </w:r>
          </w:p>
          <w:p w14:paraId="768F6446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</w:p>
        </w:tc>
      </w:tr>
      <w:tr w:rsidR="00773871" w:rsidRPr="00B50AD7" w14:paraId="416DF363" w14:textId="77777777" w:rsidTr="00244F58">
        <w:trPr>
          <w:trHeight w:val="854"/>
          <w:jc w:val="center"/>
        </w:trPr>
        <w:tc>
          <w:tcPr>
            <w:tcW w:w="166" w:type="pct"/>
            <w:vAlign w:val="center"/>
          </w:tcPr>
          <w:p w14:paraId="7A805564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15</w:t>
            </w:r>
          </w:p>
        </w:tc>
        <w:tc>
          <w:tcPr>
            <w:tcW w:w="1017" w:type="pct"/>
            <w:vAlign w:val="center"/>
          </w:tcPr>
          <w:p w14:paraId="2858DD3C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È stato verificato che le attività oggetto di rendicontazione a valere su altre fonti di finanziamento UE, non concorrano al raggiungimento di 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milestone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/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target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previsti dal Piano per la Misura di riferimento, in coerenza con la proposta progettuale e con l’</w:t>
            </w:r>
            <w:proofErr w:type="spellStart"/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Annex</w:t>
            </w:r>
            <w:proofErr w:type="spellEnd"/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CID? </w:t>
            </w:r>
          </w:p>
        </w:tc>
        <w:tc>
          <w:tcPr>
            <w:tcW w:w="233" w:type="pct"/>
            <w:vAlign w:val="center"/>
          </w:tcPr>
          <w:p w14:paraId="742BFCAB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56891CF6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6528F87C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6FD19532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Atto di ammissione a finanziamento ed eventuali rimodulazioni.</w:t>
            </w:r>
          </w:p>
          <w:p w14:paraId="56558B6F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Scheda di progetto</w:t>
            </w:r>
          </w:p>
          <w:p w14:paraId="2AD30D4C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Atto di approvazione del quadro economico</w:t>
            </w:r>
          </w:p>
          <w:p w14:paraId="7DB1ECA1" w14:textId="77777777" w:rsidR="00773871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Rendicontazione</w:t>
            </w:r>
          </w:p>
          <w:p w14:paraId="2DCFDC64" w14:textId="77777777" w:rsidR="00773871" w:rsidRPr="0035557B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Relazioni di 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attuazione</w:t>
            </w:r>
          </w:p>
          <w:p w14:paraId="1A46C491" w14:textId="77777777" w:rsidR="00773871" w:rsidRPr="0035557B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proofErr w:type="spellStart"/>
            <w:r w:rsidRPr="002E17A8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Annex</w:t>
            </w:r>
            <w:proofErr w:type="spellEnd"/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CID</w:t>
            </w:r>
          </w:p>
          <w:p w14:paraId="27EFB928" w14:textId="77777777" w:rsidR="00773871" w:rsidRPr="0035557B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lastRenderedPageBreak/>
              <w:t>D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.M.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 xml:space="preserve"> 6 agosto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2021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proofErr w:type="spellStart"/>
            <w:proofErr w:type="gramStart"/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ss.mm.ii</w:t>
            </w:r>
            <w:proofErr w:type="spellEnd"/>
            <w:proofErr w:type="gramEnd"/>
          </w:p>
          <w:p w14:paraId="329EFC23" w14:textId="77777777" w:rsidR="00773871" w:rsidRPr="007A092E" w:rsidRDefault="00773871" w:rsidP="0077387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2_Co</w:t>
            </w:r>
            <w:r w:rsidRPr="0035557B">
              <w:rPr>
                <w:rFonts w:ascii="Garamond" w:eastAsia="Times New Roman" w:hAnsi="Garamond" w:cs="Times New Roman"/>
                <w:bCs/>
                <w:lang w:eastAsia="it-IT"/>
              </w:rPr>
              <w:t>sting</w:t>
            </w:r>
          </w:p>
        </w:tc>
        <w:tc>
          <w:tcPr>
            <w:tcW w:w="862" w:type="pct"/>
          </w:tcPr>
          <w:p w14:paraId="183BA4EE" w14:textId="77777777" w:rsidR="00773871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  <w:p w14:paraId="43330C9C" w14:textId="77777777" w:rsidR="00773871" w:rsidRPr="00DC150B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1877A7D2" w14:textId="77777777" w:rsidR="00773871" w:rsidRPr="00DC150B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11274D">
              <w:rPr>
                <w:rFonts w:ascii="Garamond" w:eastAsia="Times New Roman" w:hAnsi="Garamond" w:cs="Times New Roman"/>
                <w:bCs/>
                <w:lang w:eastAsia="it-IT"/>
              </w:rPr>
              <w:t>Verificare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che</w:t>
            </w:r>
            <w:r w:rsidRPr="0011274D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le attività oggetto di rendicontazione (spesa), finanziate da fonti comunitarie (diverse dall’RRF), </w:t>
            </w:r>
            <w:r w:rsidRPr="008B57D8">
              <w:rPr>
                <w:rFonts w:ascii="Garamond" w:eastAsia="Times New Roman" w:hAnsi="Garamond" w:cs="Times New Roman"/>
                <w:bCs/>
                <w:lang w:eastAsia="it-IT"/>
              </w:rPr>
              <w:t xml:space="preserve">non concorrano al raggiungimento di </w:t>
            </w:r>
            <w:r w:rsidRPr="00AB2E62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milestone</w:t>
            </w:r>
            <w:r w:rsidRPr="008B57D8">
              <w:rPr>
                <w:rFonts w:ascii="Garamond" w:eastAsia="Times New Roman" w:hAnsi="Garamond" w:cs="Times New Roman"/>
                <w:bCs/>
                <w:lang w:eastAsia="it-IT"/>
              </w:rPr>
              <w:t>/</w:t>
            </w:r>
            <w:r w:rsidRPr="00AB2E62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target</w:t>
            </w:r>
            <w:r w:rsidRPr="008B57D8">
              <w:rPr>
                <w:rFonts w:ascii="Garamond" w:eastAsia="Times New Roman" w:hAnsi="Garamond" w:cs="Times New Roman"/>
                <w:bCs/>
                <w:lang w:eastAsia="it-IT"/>
              </w:rPr>
              <w:t xml:space="preserve"> previsti dal Piano per la Misura di riferimento, in coerenza con la proposta progettuale e con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l’</w:t>
            </w:r>
            <w:proofErr w:type="spellStart"/>
            <w:r w:rsidRPr="00B67C15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Annex</w:t>
            </w:r>
            <w:proofErr w:type="spellEnd"/>
            <w:r w:rsidRPr="008B57D8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</w:t>
            </w:r>
          </w:p>
        </w:tc>
      </w:tr>
      <w:tr w:rsidR="00773871" w:rsidRPr="00B50AD7" w14:paraId="4BABAFFC" w14:textId="77777777" w:rsidTr="00244F58">
        <w:trPr>
          <w:trHeight w:val="854"/>
          <w:jc w:val="center"/>
        </w:trPr>
        <w:tc>
          <w:tcPr>
            <w:tcW w:w="166" w:type="pct"/>
            <w:vAlign w:val="center"/>
          </w:tcPr>
          <w:p w14:paraId="321EFD79" w14:textId="77777777" w:rsidR="00773871" w:rsidRDefault="00773871" w:rsidP="00244F5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16</w:t>
            </w:r>
          </w:p>
        </w:tc>
        <w:tc>
          <w:tcPr>
            <w:tcW w:w="1017" w:type="pct"/>
            <w:vAlign w:val="center"/>
          </w:tcPr>
          <w:p w14:paraId="69EEE2FF" w14:textId="77777777" w:rsidR="00773871" w:rsidRPr="009E2B0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>Nel caso in cui la Misura PNRR sulla quale è stata finanziata la progettualità oggetto di verifica sia finanziata anche da altri fondi UE, è stata implementata la relativa sezione di ReGiS (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Catalogo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“Gestione Programma”, </w:t>
            </w:r>
            <w:proofErr w:type="spellStart"/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Tile</w:t>
            </w:r>
            <w:proofErr w:type="spellEnd"/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“Iniziative del piano”, </w:t>
            </w:r>
            <w:r w:rsidRPr="009E2B01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Sezione</w:t>
            </w:r>
            <w:r w:rsidRPr="009E2B01">
              <w:rPr>
                <w:rFonts w:ascii="Garamond" w:eastAsia="Times New Roman" w:hAnsi="Garamond" w:cs="Times New Roman"/>
                <w:bCs/>
                <w:lang w:eastAsia="it-IT"/>
              </w:rPr>
              <w:t xml:space="preserve"> “Altri Fondi UE”)?</w:t>
            </w:r>
          </w:p>
        </w:tc>
        <w:tc>
          <w:tcPr>
            <w:tcW w:w="233" w:type="pct"/>
            <w:vAlign w:val="center"/>
          </w:tcPr>
          <w:p w14:paraId="0C873AE3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77" w:type="pct"/>
            <w:gridSpan w:val="2"/>
            <w:vAlign w:val="center"/>
          </w:tcPr>
          <w:p w14:paraId="3AEADFAC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88" w:type="pct"/>
            <w:vAlign w:val="center"/>
          </w:tcPr>
          <w:p w14:paraId="5F938EB7" w14:textId="77777777" w:rsidR="00773871" w:rsidRPr="007A092E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992" w:type="pct"/>
            <w:vAlign w:val="center"/>
          </w:tcPr>
          <w:p w14:paraId="3AD6FC64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Sistema informativo ReGiS</w:t>
            </w:r>
          </w:p>
        </w:tc>
        <w:tc>
          <w:tcPr>
            <w:tcW w:w="862" w:type="pct"/>
          </w:tcPr>
          <w:p w14:paraId="649D501C" w14:textId="77777777" w:rsidR="00773871" w:rsidRPr="00DC150B" w:rsidRDefault="00773871" w:rsidP="00244F5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165" w:type="pct"/>
            <w:vAlign w:val="center"/>
          </w:tcPr>
          <w:p w14:paraId="02171C77" w14:textId="77777777" w:rsidR="00773871" w:rsidRDefault="00773871" w:rsidP="00244F5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Verificare l’implementazione della sezione ReGiS “Altri fondi UE”</w:t>
            </w:r>
          </w:p>
        </w:tc>
      </w:tr>
    </w:tbl>
    <w:p w14:paraId="561990FD" w14:textId="77777777" w:rsidR="005E004F" w:rsidRDefault="005E004F"/>
    <w:sectPr w:rsidR="005E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7E10" w14:textId="77777777" w:rsidR="001E3E51" w:rsidRDefault="001E3E51" w:rsidP="00773871">
      <w:pPr>
        <w:spacing w:after="0" w:line="240" w:lineRule="auto"/>
      </w:pPr>
      <w:r>
        <w:separator/>
      </w:r>
    </w:p>
  </w:endnote>
  <w:endnote w:type="continuationSeparator" w:id="0">
    <w:p w14:paraId="2B413A9A" w14:textId="77777777" w:rsidR="001E3E51" w:rsidRDefault="001E3E51" w:rsidP="00773871">
      <w:pPr>
        <w:spacing w:after="0" w:line="240" w:lineRule="auto"/>
      </w:pPr>
      <w:r>
        <w:continuationSeparator/>
      </w:r>
    </w:p>
  </w:endnote>
  <w:endnote w:type="continuationNotice" w:id="1">
    <w:p w14:paraId="2C4FA328" w14:textId="77777777" w:rsidR="001E3E51" w:rsidRDefault="001E3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3159" w14:textId="77777777" w:rsidR="001E3E51" w:rsidRDefault="001E3E51" w:rsidP="00773871">
      <w:pPr>
        <w:spacing w:after="0" w:line="240" w:lineRule="auto"/>
      </w:pPr>
      <w:r>
        <w:separator/>
      </w:r>
    </w:p>
  </w:footnote>
  <w:footnote w:type="continuationSeparator" w:id="0">
    <w:p w14:paraId="2EA7FB95" w14:textId="77777777" w:rsidR="001E3E51" w:rsidRDefault="001E3E51" w:rsidP="00773871">
      <w:pPr>
        <w:spacing w:after="0" w:line="240" w:lineRule="auto"/>
      </w:pPr>
      <w:r>
        <w:continuationSeparator/>
      </w:r>
    </w:p>
  </w:footnote>
  <w:footnote w:type="continuationNotice" w:id="1">
    <w:p w14:paraId="1767EF79" w14:textId="77777777" w:rsidR="001E3E51" w:rsidRDefault="001E3E51">
      <w:pPr>
        <w:spacing w:after="0" w:line="240" w:lineRule="auto"/>
      </w:pPr>
    </w:p>
  </w:footnote>
  <w:footnote w:id="2">
    <w:p w14:paraId="6F66E3B6" w14:textId="77777777" w:rsidR="00773871" w:rsidRPr="00A36EBB" w:rsidRDefault="00773871" w:rsidP="00773871">
      <w:pPr>
        <w:pStyle w:val="Testonotaapidipagina"/>
        <w:ind w:left="-450" w:right="-36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</w:rPr>
        <w:t xml:space="preserve">Tale </w:t>
      </w:r>
      <w:r w:rsidRPr="00801C0A">
        <w:rPr>
          <w:rFonts w:ascii="Garamond" w:hAnsi="Garamond"/>
          <w:i/>
          <w:iCs/>
        </w:rPr>
        <w:t>format</w:t>
      </w:r>
      <w:r w:rsidRPr="00801C0A">
        <w:rPr>
          <w:rFonts w:ascii="Garamond" w:hAnsi="Garamond"/>
        </w:rPr>
        <w:t xml:space="preserve"> può essere utilizzato come strumento autonomo per lo svolgimento delle verifiche sul</w:t>
      </w:r>
      <w:r>
        <w:rPr>
          <w:rFonts w:ascii="Garamond" w:hAnsi="Garamond"/>
        </w:rPr>
        <w:t>la</w:t>
      </w:r>
      <w:r w:rsidRPr="00801C0A">
        <w:rPr>
          <w:rFonts w:ascii="Garamond" w:hAnsi="Garamond"/>
        </w:rPr>
        <w:t xml:space="preserve"> </w:t>
      </w:r>
      <w:r>
        <w:rPr>
          <w:rFonts w:ascii="Garamond" w:hAnsi="Garamond"/>
        </w:rPr>
        <w:t>duplicazione dei finanziamenti</w:t>
      </w:r>
      <w:r w:rsidRPr="00801C0A">
        <w:rPr>
          <w:rFonts w:ascii="Garamond" w:hAnsi="Garamond"/>
        </w:rPr>
        <w:t xml:space="preserve"> (effettuate nell’ambito dei controlli sostanziali a campione) oppure, nel caso in cui l’Amministrazione </w:t>
      </w:r>
      <w:r>
        <w:rPr>
          <w:rFonts w:ascii="Garamond" w:hAnsi="Garamond"/>
        </w:rPr>
        <w:t xml:space="preserve">centrale titolare di Misure PNRR </w:t>
      </w:r>
      <w:r w:rsidRPr="00801C0A">
        <w:rPr>
          <w:rFonts w:ascii="Garamond" w:hAnsi="Garamond"/>
        </w:rPr>
        <w:t xml:space="preserve">abbia già propri strumenti di controllo (es. </w:t>
      </w:r>
      <w:r w:rsidRPr="00801C0A">
        <w:rPr>
          <w:rFonts w:ascii="Garamond" w:hAnsi="Garamond"/>
          <w:i/>
          <w:iCs/>
        </w:rPr>
        <w:t>check list</w:t>
      </w:r>
      <w:r w:rsidRPr="00801C0A">
        <w:rPr>
          <w:rFonts w:ascii="Garamond" w:hAnsi="Garamond"/>
        </w:rPr>
        <w:t xml:space="preserve">) per la verifica dell’assenza </w:t>
      </w:r>
      <w:r>
        <w:rPr>
          <w:rFonts w:ascii="Garamond" w:hAnsi="Garamond"/>
        </w:rPr>
        <w:t>della duplicazione dei finanziamenti</w:t>
      </w:r>
      <w:r w:rsidRPr="00801C0A">
        <w:rPr>
          <w:rFonts w:ascii="Garamond" w:hAnsi="Garamond"/>
        </w:rPr>
        <w:t>, l’Amministrazione stessa potrà valutare di mantener</w:t>
      </w:r>
      <w:r>
        <w:rPr>
          <w:rFonts w:ascii="Garamond" w:hAnsi="Garamond"/>
        </w:rPr>
        <w:t xml:space="preserve">li </w:t>
      </w:r>
      <w:r w:rsidRPr="00801C0A">
        <w:rPr>
          <w:rFonts w:ascii="Garamond" w:hAnsi="Garamond"/>
        </w:rPr>
        <w:t xml:space="preserve">purché questi garantiscano, coerentemente con i punti di controllo riportati </w:t>
      </w:r>
      <w:r>
        <w:rPr>
          <w:rFonts w:ascii="Garamond" w:hAnsi="Garamond"/>
        </w:rPr>
        <w:t>nel presente documento</w:t>
      </w:r>
      <w:r w:rsidRPr="00801C0A">
        <w:rPr>
          <w:rFonts w:ascii="Garamond" w:hAnsi="Garamond"/>
        </w:rPr>
        <w:t>, le verifiche minime in capo all’Amministrazione.</w:t>
      </w:r>
    </w:p>
  </w:footnote>
  <w:footnote w:id="3">
    <w:p w14:paraId="593ABA79" w14:textId="71AE88BA" w:rsidR="00773871" w:rsidRPr="001E78F2" w:rsidRDefault="00773871" w:rsidP="00773871">
      <w:pPr>
        <w:pStyle w:val="Testonotaapidipagina"/>
        <w:ind w:left="-450" w:right="-450"/>
      </w:pPr>
      <w:r w:rsidRPr="00AC12AF">
        <w:rPr>
          <w:rStyle w:val="Rimandonotaapidipagina"/>
        </w:rPr>
        <w:footnoteRef/>
      </w:r>
      <w:r w:rsidRPr="00AC12AF">
        <w:t xml:space="preserve"> </w:t>
      </w:r>
      <w:r w:rsidRPr="00AC12AF">
        <w:rPr>
          <w:rFonts w:ascii="Garamond" w:hAnsi="Garamond"/>
        </w:rPr>
        <w:t xml:space="preserve">Trattasi di una documentazione indicativa e non esaustiva per soddisfare ciascun punto di controllo della </w:t>
      </w:r>
      <w:r w:rsidRPr="00AC12AF">
        <w:rPr>
          <w:rFonts w:ascii="Garamond" w:hAnsi="Garamond"/>
          <w:i/>
          <w:iCs/>
        </w:rPr>
        <w:t>check list</w:t>
      </w:r>
      <w:r w:rsidRPr="00AC12AF">
        <w:rPr>
          <w:rFonts w:ascii="Garamond" w:hAnsi="Garamond"/>
        </w:rPr>
        <w:t>. L’</w:t>
      </w:r>
      <w:r w:rsidRPr="00AC12AF">
        <w:rPr>
          <w:rFonts w:ascii="Garamond" w:hAnsi="Garamond"/>
          <w:i/>
          <w:iCs/>
        </w:rPr>
        <w:t>auditor</w:t>
      </w:r>
      <w:r w:rsidRPr="00AC12AF">
        <w:rPr>
          <w:rFonts w:ascii="Garamond" w:hAnsi="Garamond"/>
        </w:rPr>
        <w:t xml:space="preserve">, </w:t>
      </w:r>
      <w:r>
        <w:rPr>
          <w:rFonts w:ascii="Garamond" w:hAnsi="Garamond"/>
        </w:rPr>
        <w:t>s</w:t>
      </w:r>
      <w:r w:rsidRPr="00AC12AF">
        <w:rPr>
          <w:rFonts w:ascii="Garamond" w:hAnsi="Garamond"/>
        </w:rPr>
        <w:t xml:space="preserve">econdo il proprio giudizio professionale, potrà acquisire ulteriore documentazione probatoria rispetto a quella indicata.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06A"/>
    <w:multiLevelType w:val="hybridMultilevel"/>
    <w:tmpl w:val="5F4C51BA"/>
    <w:lvl w:ilvl="0" w:tplc="98B604D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3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043C8"/>
    <w:rsid w:val="00081AF9"/>
    <w:rsid w:val="001E3E51"/>
    <w:rsid w:val="00244F58"/>
    <w:rsid w:val="00252D2A"/>
    <w:rsid w:val="005B0A4E"/>
    <w:rsid w:val="005E004F"/>
    <w:rsid w:val="00631B74"/>
    <w:rsid w:val="00670816"/>
    <w:rsid w:val="006C2366"/>
    <w:rsid w:val="006D4382"/>
    <w:rsid w:val="006E1F46"/>
    <w:rsid w:val="0072261C"/>
    <w:rsid w:val="00773871"/>
    <w:rsid w:val="0080268E"/>
    <w:rsid w:val="00834411"/>
    <w:rsid w:val="00837768"/>
    <w:rsid w:val="008F4E1F"/>
    <w:rsid w:val="00916B0B"/>
    <w:rsid w:val="00953C86"/>
    <w:rsid w:val="00955C8C"/>
    <w:rsid w:val="00971F13"/>
    <w:rsid w:val="00A76966"/>
    <w:rsid w:val="00AB61BD"/>
    <w:rsid w:val="00AF6EB0"/>
    <w:rsid w:val="00B7062E"/>
    <w:rsid w:val="00BA2DCC"/>
    <w:rsid w:val="00C77331"/>
    <w:rsid w:val="00C846C3"/>
    <w:rsid w:val="00D5397A"/>
    <w:rsid w:val="00DA5088"/>
    <w:rsid w:val="00E74800"/>
    <w:rsid w:val="00E80ACD"/>
    <w:rsid w:val="00EB58FE"/>
    <w:rsid w:val="00E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4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871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7387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773871"/>
    <w:rPr>
      <w:kern w:val="0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3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871"/>
    <w:rPr>
      <w:kern w:val="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387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3871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387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5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97A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up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cup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2025-11-27T13:55:00Z</dcterms:created>
  <dcterms:modified xsi:type="dcterms:W3CDTF">2025-11-27T13:55:00Z</dcterms:modified>
</cp:coreProperties>
</file>