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23" w:rsidRDefault="00E37823" w:rsidP="00E3782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-671195</wp:posOffset>
            </wp:positionV>
            <wp:extent cx="1085850" cy="80962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571" t="5128" r="42944" b="5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823" w:rsidRDefault="000B7DB6" w:rsidP="00E378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3731" cy="86677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23" w:rsidRPr="000B7DB6" w:rsidRDefault="00E37823" w:rsidP="00E37823">
      <w:pPr>
        <w:jc w:val="center"/>
        <w:rPr>
          <w:rFonts w:ascii="Verdana" w:hAnsi="Verdana"/>
          <w:caps/>
          <w:sz w:val="16"/>
          <w:szCs w:val="16"/>
        </w:rPr>
      </w:pPr>
      <w:r w:rsidRPr="000B7DB6">
        <w:rPr>
          <w:rFonts w:ascii="Verdana" w:hAnsi="Verdana"/>
          <w:caps/>
          <w:sz w:val="16"/>
          <w:szCs w:val="16"/>
        </w:rPr>
        <w:t>Segretariato Generale</w:t>
      </w:r>
    </w:p>
    <w:p w:rsidR="000B7DB6" w:rsidRDefault="000B7DB6" w:rsidP="000B7DB6">
      <w:pPr>
        <w:jc w:val="center"/>
        <w:rPr>
          <w:sz w:val="22"/>
          <w:szCs w:val="22"/>
        </w:rPr>
      </w:pPr>
      <w:bookmarkStart w:id="0" w:name="_GoBack"/>
      <w:bookmarkEnd w:id="0"/>
    </w:p>
    <w:p w:rsidR="00E56882" w:rsidRPr="000B7DB6" w:rsidRDefault="00E56882" w:rsidP="000B7DB6">
      <w:pPr>
        <w:jc w:val="center"/>
        <w:rPr>
          <w:sz w:val="22"/>
          <w:szCs w:val="22"/>
        </w:rPr>
      </w:pPr>
      <w:r w:rsidRPr="000B7DB6">
        <w:rPr>
          <w:sz w:val="22"/>
          <w:szCs w:val="22"/>
        </w:rPr>
        <w:t>IL SEGRETARIO GENERALE</w:t>
      </w:r>
    </w:p>
    <w:p w:rsidR="00E56882" w:rsidRPr="000B7DB6" w:rsidRDefault="00E56882" w:rsidP="000B7DB6">
      <w:pPr>
        <w:jc w:val="both"/>
        <w:rPr>
          <w:sz w:val="22"/>
          <w:szCs w:val="22"/>
        </w:rPr>
      </w:pPr>
    </w:p>
    <w:p w:rsidR="00E56882" w:rsidRPr="000B7DB6" w:rsidRDefault="00E56882" w:rsidP="000B7DB6">
      <w:pPr>
        <w:jc w:val="both"/>
        <w:rPr>
          <w:sz w:val="22"/>
          <w:szCs w:val="22"/>
        </w:rPr>
      </w:pPr>
      <w:r w:rsidRPr="000B7DB6">
        <w:rPr>
          <w:b/>
          <w:sz w:val="22"/>
          <w:szCs w:val="22"/>
        </w:rPr>
        <w:t>VISTA</w:t>
      </w:r>
      <w:r w:rsidRPr="000B7DB6">
        <w:rPr>
          <w:sz w:val="22"/>
          <w:szCs w:val="22"/>
        </w:rPr>
        <w:t xml:space="preserve"> la legge 23 agosto 1988, n. 400, recante “</w:t>
      </w:r>
      <w:r w:rsidRPr="000B7DB6">
        <w:rPr>
          <w:i/>
          <w:sz w:val="22"/>
          <w:szCs w:val="22"/>
        </w:rPr>
        <w:t>Disciplina dell’attività di Governo e ordinamento della Presidenza del Consiglio dei Ministri</w:t>
      </w:r>
      <w:r w:rsidRPr="000B7DB6">
        <w:rPr>
          <w:sz w:val="22"/>
          <w:szCs w:val="22"/>
        </w:rPr>
        <w:t>”, e successive modificazioni;</w:t>
      </w:r>
    </w:p>
    <w:p w:rsidR="00E56882" w:rsidRPr="000B7DB6" w:rsidRDefault="00E56882" w:rsidP="000B7DB6">
      <w:pPr>
        <w:jc w:val="both"/>
        <w:rPr>
          <w:sz w:val="22"/>
          <w:szCs w:val="22"/>
        </w:rPr>
      </w:pPr>
    </w:p>
    <w:p w:rsidR="00E56882" w:rsidRPr="000B7DB6" w:rsidRDefault="00E56882" w:rsidP="000B7DB6">
      <w:pPr>
        <w:jc w:val="both"/>
        <w:rPr>
          <w:sz w:val="22"/>
          <w:szCs w:val="22"/>
        </w:rPr>
      </w:pPr>
      <w:r w:rsidRPr="000B7DB6">
        <w:rPr>
          <w:b/>
          <w:sz w:val="22"/>
          <w:szCs w:val="22"/>
        </w:rPr>
        <w:t>VISTO</w:t>
      </w:r>
      <w:r w:rsidRPr="000B7DB6">
        <w:rPr>
          <w:sz w:val="22"/>
          <w:szCs w:val="22"/>
        </w:rPr>
        <w:t xml:space="preserve"> il decreto legislativo 6 settembre 1989, n. 322 “</w:t>
      </w:r>
      <w:r w:rsidRPr="00F1333D">
        <w:rPr>
          <w:i/>
          <w:sz w:val="22"/>
          <w:szCs w:val="22"/>
        </w:rPr>
        <w:t>Norme sul Sistema statistico nazionale e sulla riorganizzazione dell’Istituto nazionale di statistica, ai sensi dell’articolo 24 della legge 23 agosto 1988, n. 400</w:t>
      </w:r>
      <w:r w:rsidRPr="000B7DB6">
        <w:rPr>
          <w:sz w:val="22"/>
          <w:szCs w:val="22"/>
        </w:rPr>
        <w:t>” ed in particolare l’articolo 12, così come sostituito dall’articolo 3, comma 6, del decreto-legge 18 ottobre 2012, n. 179, convertito, con modificazioni, dalla legge 17 dicembre 2012, n. 221, recante “</w:t>
      </w:r>
      <w:r w:rsidRPr="00F1333D">
        <w:rPr>
          <w:i/>
          <w:sz w:val="22"/>
          <w:szCs w:val="22"/>
        </w:rPr>
        <w:t>Ulteriori misure urgenti per la crescita del Paese</w:t>
      </w:r>
      <w:r w:rsidRPr="000B7DB6">
        <w:rPr>
          <w:sz w:val="22"/>
          <w:szCs w:val="22"/>
        </w:rPr>
        <w:t>”, con il quale è istituita la Commissione per la garanzia della qualità dell’informazione statistica e ne sono determinate la composizione e le funzioni;</w:t>
      </w:r>
    </w:p>
    <w:p w:rsidR="00E56882" w:rsidRPr="000B7DB6" w:rsidRDefault="00E56882" w:rsidP="000B7DB6">
      <w:pPr>
        <w:jc w:val="both"/>
        <w:rPr>
          <w:sz w:val="22"/>
          <w:szCs w:val="22"/>
        </w:rPr>
      </w:pPr>
    </w:p>
    <w:p w:rsidR="00E56882" w:rsidRPr="000B7DB6" w:rsidRDefault="00E56882" w:rsidP="000B7DB6">
      <w:pPr>
        <w:jc w:val="both"/>
        <w:rPr>
          <w:sz w:val="22"/>
          <w:szCs w:val="22"/>
        </w:rPr>
      </w:pPr>
      <w:r w:rsidRPr="000B7DB6">
        <w:rPr>
          <w:b/>
          <w:sz w:val="22"/>
          <w:szCs w:val="22"/>
        </w:rPr>
        <w:t>VISTO</w:t>
      </w:r>
      <w:r w:rsidRPr="000B7DB6">
        <w:rPr>
          <w:sz w:val="22"/>
          <w:szCs w:val="22"/>
        </w:rPr>
        <w:t xml:space="preserve"> il decreto del Presidente della Repubblica 6 novembre 2013, pubblicato sulla Gazzetta Ufficiale n. 21 del 27 gennaio 2014 – serie generale, di nomina della Commissione per la garanzia della qualità dell’informazione statistica con effetto dalla </w:t>
      </w:r>
      <w:r w:rsidR="00EF37DF" w:rsidRPr="000B7DB6">
        <w:rPr>
          <w:sz w:val="22"/>
          <w:szCs w:val="22"/>
        </w:rPr>
        <w:t>data del decreto stesso e per la durata di cinque anni;</w:t>
      </w:r>
    </w:p>
    <w:p w:rsidR="00EF37DF" w:rsidRPr="000B7DB6" w:rsidRDefault="00EF37DF" w:rsidP="000B7DB6">
      <w:pPr>
        <w:jc w:val="both"/>
        <w:rPr>
          <w:sz w:val="22"/>
          <w:szCs w:val="22"/>
        </w:rPr>
      </w:pPr>
    </w:p>
    <w:p w:rsidR="00EF37DF" w:rsidRPr="000B7DB6" w:rsidRDefault="00EF37DF" w:rsidP="000B7DB6">
      <w:pPr>
        <w:jc w:val="both"/>
        <w:rPr>
          <w:sz w:val="22"/>
          <w:szCs w:val="22"/>
        </w:rPr>
      </w:pPr>
      <w:r w:rsidRPr="000B7DB6">
        <w:rPr>
          <w:b/>
          <w:sz w:val="22"/>
          <w:szCs w:val="22"/>
        </w:rPr>
        <w:t>VISTO</w:t>
      </w:r>
      <w:r w:rsidRPr="000B7DB6">
        <w:rPr>
          <w:sz w:val="22"/>
          <w:szCs w:val="22"/>
        </w:rPr>
        <w:t xml:space="preserve"> l’articolo 12, comma 6, del citato decreto legislativo n. 322 del 1989, per il quale alle funzioni di segreteria della Co</w:t>
      </w:r>
      <w:r w:rsidR="00BC3C88">
        <w:rPr>
          <w:sz w:val="22"/>
          <w:szCs w:val="22"/>
        </w:rPr>
        <w:t>mmissione provvede il Segretariato</w:t>
      </w:r>
      <w:r w:rsidRPr="000B7DB6">
        <w:rPr>
          <w:sz w:val="22"/>
          <w:szCs w:val="22"/>
        </w:rPr>
        <w:t xml:space="preserve"> generale della Presidenza del Consiglio dei Ministri che istituisce, a questo fine, un’apposita struttura di segreteria;</w:t>
      </w:r>
    </w:p>
    <w:p w:rsidR="00EF37DF" w:rsidRPr="000B7DB6" w:rsidRDefault="00EF37DF" w:rsidP="000B7DB6">
      <w:pPr>
        <w:jc w:val="both"/>
        <w:rPr>
          <w:sz w:val="22"/>
          <w:szCs w:val="22"/>
        </w:rPr>
      </w:pPr>
    </w:p>
    <w:p w:rsidR="00EF37DF" w:rsidRPr="000B7DB6" w:rsidRDefault="00EF37DF" w:rsidP="000B7DB6">
      <w:pPr>
        <w:jc w:val="both"/>
        <w:rPr>
          <w:sz w:val="22"/>
          <w:szCs w:val="22"/>
        </w:rPr>
      </w:pPr>
      <w:r w:rsidRPr="000B7DB6">
        <w:rPr>
          <w:b/>
          <w:sz w:val="22"/>
          <w:szCs w:val="22"/>
        </w:rPr>
        <w:t>VISTO</w:t>
      </w:r>
      <w:r w:rsidRPr="000B7DB6">
        <w:rPr>
          <w:sz w:val="22"/>
          <w:szCs w:val="22"/>
        </w:rPr>
        <w:t xml:space="preserve"> il decreto del Presidente</w:t>
      </w:r>
      <w:r w:rsidR="00322A22" w:rsidRPr="000B7DB6">
        <w:rPr>
          <w:sz w:val="22"/>
          <w:szCs w:val="22"/>
        </w:rPr>
        <w:t xml:space="preserve"> </w:t>
      </w:r>
      <w:r w:rsidR="00BC3C88">
        <w:rPr>
          <w:sz w:val="22"/>
          <w:szCs w:val="22"/>
        </w:rPr>
        <w:t xml:space="preserve">del Consiglio </w:t>
      </w:r>
      <w:r w:rsidR="00322A22" w:rsidRPr="000B7DB6">
        <w:rPr>
          <w:sz w:val="22"/>
          <w:szCs w:val="22"/>
        </w:rPr>
        <w:t>dei Ministri 1 ottobre 2012, concernente “</w:t>
      </w:r>
      <w:r w:rsidR="00322A22" w:rsidRPr="00F1333D">
        <w:rPr>
          <w:i/>
          <w:sz w:val="22"/>
          <w:szCs w:val="22"/>
        </w:rPr>
        <w:t>Ordinamento delle strutture generali della Presidenza del Consiglio dei Ministri</w:t>
      </w:r>
      <w:r w:rsidR="00322A22" w:rsidRPr="000B7DB6">
        <w:rPr>
          <w:sz w:val="22"/>
          <w:szCs w:val="22"/>
        </w:rPr>
        <w:t>”, e in particolare l’articolo 29 concernente le competenze del Dipartimento per il coordinamento amministrativo;</w:t>
      </w:r>
    </w:p>
    <w:p w:rsidR="00322A22" w:rsidRPr="000B7DB6" w:rsidRDefault="00322A22" w:rsidP="000B7DB6">
      <w:pPr>
        <w:jc w:val="both"/>
        <w:rPr>
          <w:sz w:val="22"/>
          <w:szCs w:val="22"/>
        </w:rPr>
      </w:pPr>
    </w:p>
    <w:p w:rsidR="00322A22" w:rsidRPr="000B7DB6" w:rsidRDefault="00322A22" w:rsidP="000B7DB6">
      <w:pPr>
        <w:jc w:val="both"/>
        <w:rPr>
          <w:sz w:val="22"/>
          <w:szCs w:val="22"/>
        </w:rPr>
      </w:pPr>
      <w:r w:rsidRPr="000B7DB6">
        <w:rPr>
          <w:b/>
          <w:sz w:val="22"/>
          <w:szCs w:val="22"/>
        </w:rPr>
        <w:t>VISTO</w:t>
      </w:r>
      <w:r w:rsidRPr="000B7DB6">
        <w:rPr>
          <w:sz w:val="22"/>
          <w:szCs w:val="22"/>
        </w:rPr>
        <w:t xml:space="preserve"> il decreto del Segretario generale 2 maggio 2011, concernente l’organizzazione del Dipartimento per il coordinamento amministrativo;</w:t>
      </w:r>
    </w:p>
    <w:p w:rsidR="00322A22" w:rsidRPr="000B7DB6" w:rsidRDefault="00322A22" w:rsidP="000B7DB6">
      <w:pPr>
        <w:jc w:val="both"/>
        <w:rPr>
          <w:sz w:val="22"/>
          <w:szCs w:val="22"/>
        </w:rPr>
      </w:pPr>
    </w:p>
    <w:p w:rsidR="00322A22" w:rsidRPr="000B7DB6" w:rsidRDefault="00322A22" w:rsidP="000B7DB6">
      <w:pPr>
        <w:jc w:val="both"/>
        <w:rPr>
          <w:sz w:val="22"/>
          <w:szCs w:val="22"/>
        </w:rPr>
      </w:pPr>
      <w:r w:rsidRPr="000B7DB6">
        <w:rPr>
          <w:b/>
          <w:sz w:val="22"/>
          <w:szCs w:val="22"/>
        </w:rPr>
        <w:t>VISTO</w:t>
      </w:r>
      <w:r w:rsidRPr="000B7DB6">
        <w:rPr>
          <w:sz w:val="22"/>
          <w:szCs w:val="22"/>
        </w:rPr>
        <w:t xml:space="preserve"> il decreto del Presidente del Consiglio dei Ministri 22 febbraio 2014 con il quale è stato conferito al dott. Mauro </w:t>
      </w:r>
      <w:proofErr w:type="spellStart"/>
      <w:r w:rsidRPr="000B7DB6">
        <w:rPr>
          <w:sz w:val="22"/>
          <w:szCs w:val="22"/>
        </w:rPr>
        <w:t>Bonaretti</w:t>
      </w:r>
      <w:proofErr w:type="spellEnd"/>
      <w:r w:rsidRPr="000B7DB6">
        <w:rPr>
          <w:sz w:val="22"/>
          <w:szCs w:val="22"/>
        </w:rPr>
        <w:t xml:space="preserve"> l’incarico di Segretario generale della Presidenza del Consiglio dei Ministri;</w:t>
      </w:r>
    </w:p>
    <w:p w:rsidR="00322A22" w:rsidRPr="000B7DB6" w:rsidRDefault="00322A22" w:rsidP="000B7DB6">
      <w:pPr>
        <w:jc w:val="both"/>
        <w:rPr>
          <w:sz w:val="22"/>
          <w:szCs w:val="22"/>
        </w:rPr>
      </w:pPr>
    </w:p>
    <w:p w:rsidR="00322A22" w:rsidRPr="000B7DB6" w:rsidRDefault="00322A22" w:rsidP="000B7DB6">
      <w:pPr>
        <w:jc w:val="both"/>
        <w:rPr>
          <w:sz w:val="22"/>
          <w:szCs w:val="22"/>
        </w:rPr>
      </w:pPr>
      <w:r w:rsidRPr="000B7DB6">
        <w:rPr>
          <w:b/>
          <w:sz w:val="22"/>
          <w:szCs w:val="22"/>
        </w:rPr>
        <w:t>VISTO</w:t>
      </w:r>
      <w:r w:rsidRPr="000B7DB6">
        <w:rPr>
          <w:sz w:val="22"/>
          <w:szCs w:val="22"/>
        </w:rPr>
        <w:t xml:space="preserve"> il decreto del Presidente del Consiglio dei Ministri 9 aprile 2014 con il quale al cons. Elisa Grande è stato conferito l’incarico di Capo del Dipartimento per il coordinamento amministrativo;</w:t>
      </w:r>
    </w:p>
    <w:p w:rsidR="00322A22" w:rsidRPr="000B7DB6" w:rsidRDefault="00322A22" w:rsidP="000B7DB6">
      <w:pPr>
        <w:jc w:val="both"/>
        <w:rPr>
          <w:sz w:val="22"/>
          <w:szCs w:val="22"/>
        </w:rPr>
      </w:pPr>
    </w:p>
    <w:p w:rsidR="00322A22" w:rsidRPr="000B7DB6" w:rsidRDefault="00322A22" w:rsidP="000B7DB6">
      <w:pPr>
        <w:jc w:val="center"/>
        <w:rPr>
          <w:b/>
          <w:sz w:val="22"/>
          <w:szCs w:val="22"/>
        </w:rPr>
      </w:pPr>
      <w:r w:rsidRPr="000B7DB6">
        <w:rPr>
          <w:b/>
          <w:sz w:val="22"/>
          <w:szCs w:val="22"/>
        </w:rPr>
        <w:t>DECRETA</w:t>
      </w:r>
    </w:p>
    <w:p w:rsidR="00322A22" w:rsidRPr="000B7DB6" w:rsidRDefault="00322A22" w:rsidP="000B7DB6">
      <w:pPr>
        <w:jc w:val="both"/>
        <w:rPr>
          <w:sz w:val="22"/>
          <w:szCs w:val="22"/>
        </w:rPr>
      </w:pPr>
    </w:p>
    <w:p w:rsidR="00322A22" w:rsidRPr="000B7DB6" w:rsidRDefault="00322A22" w:rsidP="000B7DB6">
      <w:pPr>
        <w:jc w:val="center"/>
        <w:rPr>
          <w:b/>
          <w:sz w:val="22"/>
          <w:szCs w:val="22"/>
        </w:rPr>
      </w:pPr>
      <w:r w:rsidRPr="000B7DB6">
        <w:rPr>
          <w:b/>
          <w:sz w:val="22"/>
          <w:szCs w:val="22"/>
        </w:rPr>
        <w:t>Articolo 1</w:t>
      </w:r>
    </w:p>
    <w:p w:rsidR="00322A22" w:rsidRPr="000B7DB6" w:rsidRDefault="00322A22" w:rsidP="000B7DB6">
      <w:pPr>
        <w:jc w:val="both"/>
        <w:rPr>
          <w:sz w:val="22"/>
          <w:szCs w:val="22"/>
        </w:rPr>
      </w:pPr>
      <w:r w:rsidRPr="000B7DB6">
        <w:rPr>
          <w:sz w:val="22"/>
          <w:szCs w:val="22"/>
        </w:rPr>
        <w:t>Ai sensi dell’art. 12, comma 6 del decreto legislativo n. 322 del 1989, indicato nella premessa</w:t>
      </w:r>
      <w:r w:rsidR="00BC3C88">
        <w:rPr>
          <w:sz w:val="22"/>
          <w:szCs w:val="22"/>
        </w:rPr>
        <w:t>,</w:t>
      </w:r>
      <w:r w:rsidRPr="000B7DB6">
        <w:rPr>
          <w:sz w:val="22"/>
          <w:szCs w:val="22"/>
        </w:rPr>
        <w:t xml:space="preserve"> presso il Dipartimento per il coordinamento amministrativo è costituita la Segreteria tecnica della Commissione per la garanzia della qualità dell’informazione statistica.</w:t>
      </w:r>
    </w:p>
    <w:p w:rsidR="00322A22" w:rsidRPr="000B7DB6" w:rsidRDefault="00322A22" w:rsidP="000B7DB6">
      <w:pPr>
        <w:jc w:val="center"/>
        <w:rPr>
          <w:b/>
          <w:sz w:val="22"/>
          <w:szCs w:val="22"/>
        </w:rPr>
      </w:pPr>
      <w:r w:rsidRPr="000B7DB6">
        <w:rPr>
          <w:b/>
          <w:sz w:val="22"/>
          <w:szCs w:val="22"/>
        </w:rPr>
        <w:t>Articolo 2</w:t>
      </w:r>
    </w:p>
    <w:p w:rsidR="00322A22" w:rsidRPr="000B7DB6" w:rsidRDefault="00322A22" w:rsidP="000B7DB6">
      <w:pPr>
        <w:jc w:val="both"/>
        <w:rPr>
          <w:sz w:val="22"/>
          <w:szCs w:val="22"/>
        </w:rPr>
      </w:pPr>
      <w:r w:rsidRPr="000B7DB6">
        <w:rPr>
          <w:sz w:val="22"/>
          <w:szCs w:val="22"/>
        </w:rPr>
        <w:t>La Segreteria tecnica svolge compiti di supporto amministrativo e tecnico-statistico alle funzioni istituzionali della Commissione.</w:t>
      </w:r>
    </w:p>
    <w:p w:rsidR="00322A22" w:rsidRPr="000B7DB6" w:rsidRDefault="00322A22" w:rsidP="000B7DB6">
      <w:pPr>
        <w:jc w:val="both"/>
        <w:rPr>
          <w:sz w:val="22"/>
          <w:szCs w:val="22"/>
        </w:rPr>
      </w:pPr>
    </w:p>
    <w:p w:rsidR="00392223" w:rsidRPr="000B7DB6" w:rsidRDefault="00322A22" w:rsidP="000B7DB6">
      <w:pPr>
        <w:jc w:val="both"/>
        <w:rPr>
          <w:sz w:val="22"/>
          <w:szCs w:val="22"/>
        </w:rPr>
      </w:pPr>
      <w:r w:rsidRPr="000B7DB6">
        <w:rPr>
          <w:sz w:val="22"/>
          <w:szCs w:val="22"/>
        </w:rPr>
        <w:t xml:space="preserve">Roma, </w:t>
      </w:r>
      <w:r w:rsidR="00392223">
        <w:rPr>
          <w:sz w:val="22"/>
          <w:szCs w:val="22"/>
        </w:rPr>
        <w:t>22 maggio 2014</w:t>
      </w:r>
    </w:p>
    <w:p w:rsidR="00E37823" w:rsidRDefault="00322A22" w:rsidP="000B7DB6">
      <w:pPr>
        <w:jc w:val="both"/>
        <w:rPr>
          <w:sz w:val="22"/>
          <w:szCs w:val="22"/>
        </w:rPr>
      </w:pPr>
      <w:r w:rsidRPr="000B7DB6">
        <w:rPr>
          <w:sz w:val="22"/>
          <w:szCs w:val="22"/>
        </w:rPr>
        <w:tab/>
      </w:r>
      <w:r w:rsidRPr="000B7DB6">
        <w:rPr>
          <w:sz w:val="22"/>
          <w:szCs w:val="22"/>
        </w:rPr>
        <w:tab/>
      </w:r>
      <w:r w:rsidRPr="000B7DB6">
        <w:rPr>
          <w:sz w:val="22"/>
          <w:szCs w:val="22"/>
        </w:rPr>
        <w:tab/>
      </w:r>
      <w:r w:rsidRPr="000B7DB6">
        <w:rPr>
          <w:sz w:val="22"/>
          <w:szCs w:val="22"/>
        </w:rPr>
        <w:tab/>
      </w:r>
      <w:r w:rsidRPr="000B7DB6">
        <w:rPr>
          <w:sz w:val="22"/>
          <w:szCs w:val="22"/>
        </w:rPr>
        <w:tab/>
      </w:r>
      <w:r w:rsidRPr="000B7DB6">
        <w:rPr>
          <w:sz w:val="22"/>
          <w:szCs w:val="22"/>
        </w:rPr>
        <w:tab/>
      </w:r>
      <w:r w:rsidRPr="000B7DB6">
        <w:rPr>
          <w:sz w:val="22"/>
          <w:szCs w:val="22"/>
        </w:rPr>
        <w:tab/>
        <w:t>IL SEGRETARIO GENERALE</w:t>
      </w:r>
    </w:p>
    <w:p w:rsidR="00392223" w:rsidRDefault="00392223" w:rsidP="000B7DB6">
      <w:pPr>
        <w:jc w:val="both"/>
        <w:rPr>
          <w:sz w:val="16"/>
          <w:szCs w:val="16"/>
        </w:rPr>
      </w:pPr>
      <w:r>
        <w:rPr>
          <w:sz w:val="16"/>
          <w:szCs w:val="16"/>
        </w:rPr>
        <w:t>Corte dei Conti</w:t>
      </w:r>
      <w:r w:rsidR="00D853CE">
        <w:rPr>
          <w:sz w:val="16"/>
          <w:szCs w:val="16"/>
        </w:rPr>
        <w:t xml:space="preserve">                                                                                                     Dott. Mauro </w:t>
      </w:r>
      <w:proofErr w:type="spellStart"/>
      <w:r w:rsidR="00D853CE">
        <w:rPr>
          <w:sz w:val="16"/>
          <w:szCs w:val="16"/>
        </w:rPr>
        <w:t>Bonaretti</w:t>
      </w:r>
      <w:proofErr w:type="spellEnd"/>
    </w:p>
    <w:p w:rsidR="00392223" w:rsidRDefault="00392223" w:rsidP="000B7DB6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reg.ne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</w:t>
      </w:r>
      <w:proofErr w:type="spellEnd"/>
      <w:r>
        <w:rPr>
          <w:sz w:val="16"/>
          <w:szCs w:val="16"/>
        </w:rPr>
        <w:t>. N. 1712 – 17 giugno 2014</w:t>
      </w:r>
    </w:p>
    <w:p w:rsidR="00392223" w:rsidRDefault="00392223" w:rsidP="000B7DB6">
      <w:pPr>
        <w:jc w:val="both"/>
        <w:rPr>
          <w:sz w:val="16"/>
          <w:szCs w:val="16"/>
        </w:rPr>
      </w:pPr>
    </w:p>
    <w:p w:rsidR="00392223" w:rsidRDefault="00392223" w:rsidP="000B7DB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PRESIDENZA DEL CONSIGLIO DEI MINISTRI</w:t>
      </w:r>
    </w:p>
    <w:p w:rsidR="00392223" w:rsidRDefault="00392223" w:rsidP="000B7DB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Reg.ne</w:t>
      </w:r>
      <w:proofErr w:type="spellEnd"/>
      <w:r>
        <w:rPr>
          <w:sz w:val="16"/>
          <w:szCs w:val="16"/>
        </w:rPr>
        <w:t xml:space="preserve"> UFFICIO BILANCIO  n. 1330 del 5 giugno 2014</w:t>
      </w:r>
    </w:p>
    <w:p w:rsidR="00392223" w:rsidRPr="00392223" w:rsidRDefault="00392223" w:rsidP="000B7DB6">
      <w:pPr>
        <w:jc w:val="both"/>
        <w:rPr>
          <w:sz w:val="16"/>
          <w:szCs w:val="16"/>
        </w:rPr>
      </w:pPr>
    </w:p>
    <w:p w:rsidR="00E56882" w:rsidRPr="00957F62" w:rsidRDefault="00E56882" w:rsidP="00957F62"/>
    <w:sectPr w:rsidR="00E56882" w:rsidRPr="00957F62" w:rsidSect="0039222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4705"/>
    <w:rsid w:val="000B7DB6"/>
    <w:rsid w:val="001C4B84"/>
    <w:rsid w:val="002F7844"/>
    <w:rsid w:val="00322A22"/>
    <w:rsid w:val="00392223"/>
    <w:rsid w:val="00531BCF"/>
    <w:rsid w:val="00582AD1"/>
    <w:rsid w:val="00924705"/>
    <w:rsid w:val="00957F62"/>
    <w:rsid w:val="00BC3C88"/>
    <w:rsid w:val="00CB570A"/>
    <w:rsid w:val="00D853CE"/>
    <w:rsid w:val="00E37823"/>
    <w:rsid w:val="00E56882"/>
    <w:rsid w:val="00EA158B"/>
    <w:rsid w:val="00EF37DF"/>
    <w:rsid w:val="00F1333D"/>
    <w:rsid w:val="00F3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E3782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82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E3782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82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FFF0-71CC-44FE-801F-73C5F235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Vilardo Sonia</dc:creator>
  <cp:lastModifiedBy>lmalatino</cp:lastModifiedBy>
  <cp:revision>6</cp:revision>
  <dcterms:created xsi:type="dcterms:W3CDTF">2016-06-15T12:08:00Z</dcterms:created>
  <dcterms:modified xsi:type="dcterms:W3CDTF">2016-06-15T14:15:00Z</dcterms:modified>
</cp:coreProperties>
</file>