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4EE0" w14:textId="77777777" w:rsidR="00A673EE" w:rsidRDefault="00A673EE" w:rsidP="00A571DB">
      <w:pPr>
        <w:jc w:val="center"/>
        <w:rPr>
          <w:b/>
          <w:sz w:val="28"/>
          <w:szCs w:val="28"/>
        </w:rPr>
      </w:pPr>
    </w:p>
    <w:p w14:paraId="2263C2CB" w14:textId="77777777" w:rsidR="00185A3B" w:rsidRPr="00FB5EE1" w:rsidRDefault="00185A3B" w:rsidP="00185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5EE1">
        <w:rPr>
          <w:rFonts w:ascii="Arial" w:hAnsi="Arial" w:cs="Arial"/>
          <w:b/>
          <w:bCs/>
          <w:sz w:val="32"/>
          <w:szCs w:val="32"/>
        </w:rPr>
        <w:t>COMMISSIONE PER LA GARANZIA</w:t>
      </w:r>
    </w:p>
    <w:p w14:paraId="68349A32" w14:textId="77777777" w:rsidR="00185A3B" w:rsidRPr="00FB5EE1" w:rsidRDefault="00185A3B" w:rsidP="00185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5EE1">
        <w:rPr>
          <w:rFonts w:ascii="Arial" w:hAnsi="Arial" w:cs="Arial"/>
          <w:b/>
          <w:bCs/>
          <w:sz w:val="32"/>
          <w:szCs w:val="32"/>
        </w:rPr>
        <w:t>DELLA QUALITA</w:t>
      </w:r>
      <w:r>
        <w:rPr>
          <w:rFonts w:ascii="Arial" w:hAnsi="Arial" w:cs="Arial"/>
          <w:b/>
          <w:bCs/>
          <w:sz w:val="32"/>
          <w:szCs w:val="32"/>
        </w:rPr>
        <w:t>’</w:t>
      </w:r>
      <w:r w:rsidRPr="00FB5EE1">
        <w:rPr>
          <w:rFonts w:ascii="Arial" w:hAnsi="Arial" w:cs="Arial"/>
          <w:b/>
          <w:bCs/>
          <w:sz w:val="32"/>
          <w:szCs w:val="32"/>
        </w:rPr>
        <w:t xml:space="preserve"> DELL’INFORMAZIONE STATI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FB5EE1">
        <w:rPr>
          <w:rFonts w:ascii="Arial" w:hAnsi="Arial" w:cs="Arial"/>
          <w:b/>
          <w:bCs/>
          <w:sz w:val="32"/>
          <w:szCs w:val="32"/>
        </w:rPr>
        <w:t>TICA</w:t>
      </w:r>
    </w:p>
    <w:p w14:paraId="450C4FB3" w14:textId="77777777" w:rsidR="00185A3B" w:rsidRDefault="00185A3B" w:rsidP="00185A3B">
      <w:pPr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D45A" wp14:editId="4EB64508">
                <wp:simplePos x="0" y="0"/>
                <wp:positionH relativeFrom="column">
                  <wp:posOffset>94584</wp:posOffset>
                </wp:positionH>
                <wp:positionV relativeFrom="paragraph">
                  <wp:posOffset>271780</wp:posOffset>
                </wp:positionV>
                <wp:extent cx="5387699" cy="17501"/>
                <wp:effectExtent l="0" t="0" r="22860" b="2095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7699" cy="1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13728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21.4pt" to="431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h2pwEAAKIDAAAOAAAAZHJzL2Uyb0RvYy54bWysU01P3DAQvVfqf7B87yZLxVe0WQ4guKAW&#10;tYW7ccYbS/6SbTbZf9/xZDdUBSGBuFiOPe/Ne8+T1cVoDdtCTNq7li8XNWfgpO+027T8/s/1tzPO&#10;UhauE8Y7aPkOEr9Yf/2yGkIDR773poPIkMSlZggt73MOTVUl2YMVaeEDOLxUPlqR8TNuqi6KAdmt&#10;qY7q+qQafOxC9BJSwtOr6ZKviV8pkPmnUgkyMy1HbZnWSOtjWav1SjSbKEKv5V6G+IAKK7TDpjPV&#10;lciCPUX9gspqGX3yKi+kt5VXSksgD+hmWf/n5ncvApAXDCeFOab0ebTyx/bS3UWMYQipSeEuFhej&#10;ipYpo8MDvin5QqVspNh2c2wwZibx8Pj72enJ+TlnEu+Wp8f1ssRaTTSFLsSUb8BbVjYtN9oVV6IR&#10;29uUp9JDCeKehdAu7wyUYuN+gWK6w4aTJJoRuDSRbQW+rpASXD60puoCU9qYGVhT2zeB+/oCBZqf&#10;94BnBHX2Ls9gq52Pr3XP40GymuoPCUy+SwSPvtvRE1E0OAgU7n5oy6T9+03w519r/RcAAP//AwBQ&#10;SwMEFAAGAAgAAAAhAOZn3SPbAAAACAEAAA8AAABkcnMvZG93bnJldi54bWxMj8FOwzAQRO9I/IO1&#10;SNyo0xCiEuJUiNIzooDE0Y2XJGCvI9ttk79nOdHj7Ixm39TryVlxxBAHTwqWiwwEUuvNQJ2C97ft&#10;zQpETJqMtp5QwYwR1s3lRa0r40/0isdd6gSXUKy0gj6lsZIytj06HRd+RGLvywenE8vQSRP0icud&#10;lXmWldLpgfhDr0d86rH92R2cgmi75+/5Y/ab3IR5s42f+LIslLq+mh4fQCSc0n8Y/vAZHRpm2vsD&#10;mSgs6+KekwqKnBewvypvCxB7PtyVIJtang9ofgEAAP//AwBQSwECLQAUAAYACAAAACEAtoM4kv4A&#10;AADhAQAAEwAAAAAAAAAAAAAAAAAAAAAAW0NvbnRlbnRfVHlwZXNdLnhtbFBLAQItABQABgAIAAAA&#10;IQA4/SH/1gAAAJQBAAALAAAAAAAAAAAAAAAAAC8BAABfcmVscy8ucmVsc1BLAQItABQABgAIAAAA&#10;IQCNgOh2pwEAAKIDAAAOAAAAAAAAAAAAAAAAAC4CAABkcnMvZTJvRG9jLnhtbFBLAQItABQABgAI&#10;AAAAIQDmZ90j2wAAAAgBAAAPAAAAAAAAAAAAAAAAAAEEAABkcnMvZG93bnJldi54bWxQSwUGAAAA&#10;AAQABADzAAAACQUAAAAA&#10;" strokecolor="#4579b8 [3044]"/>
            </w:pict>
          </mc:Fallback>
        </mc:AlternateContent>
      </w:r>
    </w:p>
    <w:p w14:paraId="045A5036" w14:textId="77777777" w:rsidR="00185A3B" w:rsidRDefault="00185A3B" w:rsidP="00185A3B">
      <w:pPr>
        <w:autoSpaceDE w:val="0"/>
        <w:autoSpaceDN w:val="0"/>
        <w:adjustRightInd w:val="0"/>
        <w:spacing w:after="0"/>
      </w:pPr>
    </w:p>
    <w:p w14:paraId="31CB9340" w14:textId="77777777" w:rsidR="00A673EE" w:rsidRDefault="00A673EE" w:rsidP="00A571DB">
      <w:pPr>
        <w:jc w:val="center"/>
        <w:rPr>
          <w:b/>
          <w:sz w:val="28"/>
          <w:szCs w:val="28"/>
        </w:rPr>
      </w:pPr>
    </w:p>
    <w:p w14:paraId="1A130AEC" w14:textId="6401BD64" w:rsidR="00FA164F" w:rsidRPr="00533112" w:rsidRDefault="00533112" w:rsidP="00A5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8F0071" w:rsidRPr="00533112">
        <w:rPr>
          <w:b/>
          <w:sz w:val="28"/>
          <w:szCs w:val="28"/>
        </w:rPr>
        <w:t xml:space="preserve">e revisioni delle statistiche sui conti nazionali </w:t>
      </w:r>
    </w:p>
    <w:p w14:paraId="6796C950" w14:textId="77777777" w:rsidR="008F0071" w:rsidRDefault="008F0071" w:rsidP="008F0071">
      <w:pPr>
        <w:pStyle w:val="Default"/>
      </w:pPr>
    </w:p>
    <w:p w14:paraId="1EB5EA24" w14:textId="6D06F4BA" w:rsidR="00F439FE" w:rsidRDefault="008F0071" w:rsidP="00C40C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 informazioni statistiche</w:t>
      </w:r>
      <w:r w:rsidR="0065602E">
        <w:rPr>
          <w:sz w:val="23"/>
          <w:szCs w:val="23"/>
        </w:rPr>
        <w:t xml:space="preserve"> </w:t>
      </w:r>
      <w:r>
        <w:rPr>
          <w:sz w:val="23"/>
          <w:szCs w:val="23"/>
        </w:rPr>
        <w:t>congiuntura</w:t>
      </w:r>
      <w:r w:rsidR="00BE5FEF">
        <w:rPr>
          <w:sz w:val="23"/>
          <w:szCs w:val="23"/>
        </w:rPr>
        <w:t>li</w:t>
      </w:r>
      <w:r>
        <w:rPr>
          <w:sz w:val="23"/>
          <w:szCs w:val="23"/>
        </w:rPr>
        <w:t xml:space="preserve"> diffuse con elevata tempestività sono caratterizzate da un </w:t>
      </w:r>
      <w:r w:rsidR="00C40C38">
        <w:rPr>
          <w:sz w:val="23"/>
          <w:szCs w:val="23"/>
        </w:rPr>
        <w:t>rilevante</w:t>
      </w:r>
      <w:r>
        <w:rPr>
          <w:sz w:val="23"/>
          <w:szCs w:val="23"/>
        </w:rPr>
        <w:t xml:space="preserve"> grado </w:t>
      </w:r>
      <w:r w:rsidR="00C40C38">
        <w:rPr>
          <w:sz w:val="23"/>
          <w:szCs w:val="23"/>
        </w:rPr>
        <w:t>d’</w:t>
      </w:r>
      <w:r>
        <w:rPr>
          <w:sz w:val="23"/>
          <w:szCs w:val="23"/>
        </w:rPr>
        <w:t xml:space="preserve">incertezza delle stime, a causa della ridotta disponibilità </w:t>
      </w:r>
      <w:r w:rsidR="00C40C38">
        <w:rPr>
          <w:sz w:val="23"/>
          <w:szCs w:val="23"/>
        </w:rPr>
        <w:t>d’</w:t>
      </w:r>
      <w:r>
        <w:rPr>
          <w:sz w:val="23"/>
          <w:szCs w:val="23"/>
        </w:rPr>
        <w:t>informazioni.</w:t>
      </w:r>
      <w:r>
        <w:t xml:space="preserve"> </w:t>
      </w:r>
      <w:r w:rsidR="00794342">
        <w:t xml:space="preserve">Esiste cioè </w:t>
      </w:r>
      <w:r w:rsidR="00F439FE">
        <w:rPr>
          <w:sz w:val="23"/>
          <w:szCs w:val="23"/>
        </w:rPr>
        <w:t xml:space="preserve">un marcato </w:t>
      </w:r>
      <w:r w:rsidR="00F439FE" w:rsidRPr="00595E79">
        <w:rPr>
          <w:b/>
          <w:i/>
          <w:iCs/>
          <w:sz w:val="23"/>
          <w:szCs w:val="23"/>
        </w:rPr>
        <w:t xml:space="preserve">trade-off </w:t>
      </w:r>
      <w:r w:rsidR="00F439FE" w:rsidRPr="00595E79">
        <w:rPr>
          <w:b/>
          <w:sz w:val="23"/>
          <w:szCs w:val="23"/>
        </w:rPr>
        <w:t>tra tempestività e precisione</w:t>
      </w:r>
      <w:r w:rsidR="00F439FE">
        <w:rPr>
          <w:sz w:val="23"/>
          <w:szCs w:val="23"/>
        </w:rPr>
        <w:t xml:space="preserve"> delle stime</w:t>
      </w:r>
      <w:r w:rsidR="00794342">
        <w:rPr>
          <w:sz w:val="23"/>
          <w:szCs w:val="23"/>
        </w:rPr>
        <w:t>.</w:t>
      </w:r>
      <w:r w:rsidR="00E95FD4">
        <w:rPr>
          <w:sz w:val="23"/>
          <w:szCs w:val="23"/>
        </w:rPr>
        <w:t xml:space="preserve"> </w:t>
      </w:r>
      <w:r w:rsidR="00AE08B9">
        <w:rPr>
          <w:sz w:val="23"/>
          <w:szCs w:val="23"/>
        </w:rPr>
        <w:t>Per tale motivo, spesso, si pubblicano</w:t>
      </w:r>
      <w:r w:rsidR="00857030">
        <w:rPr>
          <w:sz w:val="23"/>
          <w:szCs w:val="23"/>
        </w:rPr>
        <w:t xml:space="preserve"> </w:t>
      </w:r>
      <w:r w:rsidR="00E61D4A">
        <w:rPr>
          <w:sz w:val="23"/>
          <w:szCs w:val="23"/>
        </w:rPr>
        <w:t>velocemente</w:t>
      </w:r>
      <w:r w:rsidR="00AE08B9">
        <w:rPr>
          <w:sz w:val="23"/>
          <w:szCs w:val="23"/>
        </w:rPr>
        <w:t xml:space="preserve"> </w:t>
      </w:r>
      <w:r w:rsidR="00103FDB">
        <w:rPr>
          <w:sz w:val="23"/>
          <w:szCs w:val="23"/>
        </w:rPr>
        <w:t>dati</w:t>
      </w:r>
      <w:r w:rsidR="00857030">
        <w:rPr>
          <w:sz w:val="23"/>
          <w:szCs w:val="23"/>
        </w:rPr>
        <w:t xml:space="preserve"> relativamente imprecisi</w:t>
      </w:r>
      <w:r w:rsidR="006A174D">
        <w:rPr>
          <w:sz w:val="23"/>
          <w:szCs w:val="23"/>
        </w:rPr>
        <w:t xml:space="preserve"> che successiv</w:t>
      </w:r>
      <w:r w:rsidR="000656AC">
        <w:rPr>
          <w:sz w:val="23"/>
          <w:szCs w:val="23"/>
        </w:rPr>
        <w:t>a</w:t>
      </w:r>
      <w:r w:rsidR="006A174D">
        <w:rPr>
          <w:sz w:val="23"/>
          <w:szCs w:val="23"/>
        </w:rPr>
        <w:t>mente vengono rivisti.</w:t>
      </w:r>
      <w:r w:rsidR="00103FDB">
        <w:rPr>
          <w:sz w:val="23"/>
          <w:szCs w:val="23"/>
        </w:rPr>
        <w:t xml:space="preserve"> </w:t>
      </w:r>
      <w:r w:rsidR="003922BD">
        <w:rPr>
          <w:sz w:val="23"/>
          <w:szCs w:val="23"/>
        </w:rPr>
        <w:t>Per</w:t>
      </w:r>
      <w:r w:rsidR="00F4301C" w:rsidRPr="00F4301C">
        <w:rPr>
          <w:sz w:val="23"/>
          <w:szCs w:val="23"/>
        </w:rPr>
        <w:t xml:space="preserve"> </w:t>
      </w:r>
      <w:r w:rsidR="00920B4B">
        <w:rPr>
          <w:sz w:val="23"/>
          <w:szCs w:val="23"/>
        </w:rPr>
        <w:t>“</w:t>
      </w:r>
      <w:r w:rsidR="00F4301C" w:rsidRPr="00F4301C">
        <w:rPr>
          <w:sz w:val="23"/>
          <w:szCs w:val="23"/>
        </w:rPr>
        <w:t>revisione</w:t>
      </w:r>
      <w:r w:rsidR="00920B4B">
        <w:rPr>
          <w:sz w:val="23"/>
          <w:szCs w:val="23"/>
        </w:rPr>
        <w:t>”</w:t>
      </w:r>
      <w:r w:rsidR="00F4301C" w:rsidRPr="00F4301C">
        <w:rPr>
          <w:sz w:val="23"/>
          <w:szCs w:val="23"/>
        </w:rPr>
        <w:t xml:space="preserve"> </w:t>
      </w:r>
      <w:r w:rsidR="000E097D">
        <w:rPr>
          <w:sz w:val="23"/>
          <w:szCs w:val="23"/>
        </w:rPr>
        <w:t xml:space="preserve">di un dato statistico </w:t>
      </w:r>
      <w:r w:rsidR="00E548D5">
        <w:rPr>
          <w:sz w:val="23"/>
          <w:szCs w:val="23"/>
        </w:rPr>
        <w:t>si intende</w:t>
      </w:r>
      <w:r w:rsidR="000E097D">
        <w:rPr>
          <w:sz w:val="23"/>
          <w:szCs w:val="23"/>
        </w:rPr>
        <w:t xml:space="preserve"> la </w:t>
      </w:r>
      <w:r w:rsidR="00F4301C" w:rsidRPr="00F4301C">
        <w:rPr>
          <w:sz w:val="23"/>
          <w:szCs w:val="23"/>
        </w:rPr>
        <w:t>differenza tra</w:t>
      </w:r>
      <w:r w:rsidR="003922BD">
        <w:rPr>
          <w:sz w:val="23"/>
          <w:szCs w:val="23"/>
        </w:rPr>
        <w:t xml:space="preserve"> la prima</w:t>
      </w:r>
      <w:r w:rsidR="00F4301C" w:rsidRPr="00F4301C">
        <w:rPr>
          <w:sz w:val="23"/>
          <w:szCs w:val="23"/>
        </w:rPr>
        <w:t xml:space="preserve"> stima</w:t>
      </w:r>
      <w:r w:rsidR="00384639">
        <w:rPr>
          <w:sz w:val="23"/>
          <w:szCs w:val="23"/>
        </w:rPr>
        <w:t>, detta</w:t>
      </w:r>
      <w:r w:rsidR="00F4301C" w:rsidRPr="00F4301C">
        <w:rPr>
          <w:sz w:val="23"/>
          <w:szCs w:val="23"/>
        </w:rPr>
        <w:t xml:space="preserve"> </w:t>
      </w:r>
      <w:r w:rsidR="00AA552F">
        <w:rPr>
          <w:sz w:val="23"/>
          <w:szCs w:val="23"/>
        </w:rPr>
        <w:t>“preliminare”</w:t>
      </w:r>
      <w:r w:rsidR="00384639">
        <w:rPr>
          <w:sz w:val="23"/>
          <w:szCs w:val="23"/>
        </w:rPr>
        <w:t>,</w:t>
      </w:r>
      <w:r w:rsidR="00AA552F">
        <w:rPr>
          <w:sz w:val="23"/>
          <w:szCs w:val="23"/>
        </w:rPr>
        <w:t xml:space="preserve"> e quella </w:t>
      </w:r>
      <w:r w:rsidR="00F4301C" w:rsidRPr="00F4301C">
        <w:rPr>
          <w:sz w:val="23"/>
          <w:szCs w:val="23"/>
        </w:rPr>
        <w:t>di più recente pubblicazione</w:t>
      </w:r>
      <w:r w:rsidR="00384639">
        <w:rPr>
          <w:sz w:val="23"/>
          <w:szCs w:val="23"/>
        </w:rPr>
        <w:t xml:space="preserve">. </w:t>
      </w:r>
      <w:r w:rsidR="00794342">
        <w:rPr>
          <w:sz w:val="23"/>
          <w:szCs w:val="23"/>
        </w:rPr>
        <w:t>L</w:t>
      </w:r>
      <w:r w:rsidR="00F439FE">
        <w:rPr>
          <w:sz w:val="23"/>
          <w:szCs w:val="23"/>
        </w:rPr>
        <w:t xml:space="preserve">’analisi delle revisioni consente di valutare il corretto bilanciamento tra queste due dimensioni di qualità. </w:t>
      </w:r>
    </w:p>
    <w:p w14:paraId="43E42605" w14:textId="77777777" w:rsidR="00F439FE" w:rsidRDefault="00F439FE" w:rsidP="00C40C38">
      <w:pPr>
        <w:pStyle w:val="Default"/>
        <w:jc w:val="both"/>
        <w:rPr>
          <w:sz w:val="23"/>
          <w:szCs w:val="23"/>
        </w:rPr>
      </w:pPr>
    </w:p>
    <w:p w14:paraId="22935779" w14:textId="1284AE9E" w:rsidR="00C40C38" w:rsidRPr="00F439FE" w:rsidRDefault="00F439FE" w:rsidP="00F439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scopo dell’analisi delle revisioni è di </w:t>
      </w:r>
      <w:r w:rsidRPr="00595E79">
        <w:rPr>
          <w:b/>
          <w:sz w:val="23"/>
          <w:szCs w:val="23"/>
        </w:rPr>
        <w:t>quantificare</w:t>
      </w:r>
      <w:r>
        <w:rPr>
          <w:sz w:val="23"/>
          <w:szCs w:val="23"/>
        </w:rPr>
        <w:t xml:space="preserve"> </w:t>
      </w:r>
      <w:r w:rsidRPr="00595E79">
        <w:rPr>
          <w:b/>
          <w:sz w:val="23"/>
          <w:szCs w:val="23"/>
        </w:rPr>
        <w:t>l</w:t>
      </w:r>
      <w:r w:rsidR="00794342">
        <w:rPr>
          <w:b/>
          <w:sz w:val="23"/>
          <w:szCs w:val="23"/>
        </w:rPr>
        <w:t>’ampiezz</w:t>
      </w:r>
      <w:r w:rsidRPr="00595E79">
        <w:rPr>
          <w:b/>
          <w:sz w:val="23"/>
          <w:szCs w:val="23"/>
        </w:rPr>
        <w:t>a</w:t>
      </w:r>
      <w:r w:rsidR="007943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della </w:t>
      </w:r>
      <w:r w:rsidRPr="00595E79">
        <w:rPr>
          <w:b/>
          <w:sz w:val="23"/>
          <w:szCs w:val="23"/>
        </w:rPr>
        <w:t>revisione</w:t>
      </w:r>
      <w:r>
        <w:rPr>
          <w:sz w:val="23"/>
          <w:szCs w:val="23"/>
        </w:rPr>
        <w:t xml:space="preserve"> delle stime preliminari rispetto</w:t>
      </w:r>
      <w:r w:rsidR="00794342">
        <w:rPr>
          <w:sz w:val="23"/>
          <w:szCs w:val="23"/>
        </w:rPr>
        <w:t xml:space="preserve"> a quelle successive</w:t>
      </w:r>
      <w:r>
        <w:rPr>
          <w:sz w:val="23"/>
          <w:szCs w:val="23"/>
        </w:rPr>
        <w:t>.</w:t>
      </w:r>
      <w:r w:rsidRPr="00C40C38">
        <w:t xml:space="preserve"> </w:t>
      </w:r>
      <w:r w:rsidR="008F0071">
        <w:rPr>
          <w:sz w:val="23"/>
          <w:szCs w:val="23"/>
        </w:rPr>
        <w:t>Gran parte delle revisioni derivano dal</w:t>
      </w:r>
      <w:r w:rsidR="00794342">
        <w:rPr>
          <w:sz w:val="23"/>
          <w:szCs w:val="23"/>
        </w:rPr>
        <w:t xml:space="preserve"> sopravvenire di </w:t>
      </w:r>
      <w:r w:rsidR="008F0071">
        <w:rPr>
          <w:sz w:val="23"/>
          <w:szCs w:val="23"/>
        </w:rPr>
        <w:t xml:space="preserve">nuove informazioni; ma possono </w:t>
      </w:r>
      <w:r w:rsidR="00794342">
        <w:rPr>
          <w:sz w:val="23"/>
          <w:szCs w:val="23"/>
        </w:rPr>
        <w:t xml:space="preserve">derivare </w:t>
      </w:r>
      <w:r w:rsidR="008F0071">
        <w:rPr>
          <w:sz w:val="23"/>
          <w:szCs w:val="23"/>
        </w:rPr>
        <w:t>anche dall’applicazione di specifiche procedure di stima (ad esempio la destagionalizzazione), da cambiamenti metodologici, da modifiche straordinarie di classificazione o di definizione delle variabili.</w:t>
      </w:r>
      <w:r w:rsidR="008F0071" w:rsidRPr="008F0071">
        <w:t xml:space="preserve"> </w:t>
      </w:r>
    </w:p>
    <w:p w14:paraId="098F85A4" w14:textId="77777777" w:rsidR="00CA4044" w:rsidRDefault="00CA4044" w:rsidP="00CA4044">
      <w:pPr>
        <w:pStyle w:val="Default"/>
        <w:jc w:val="both"/>
      </w:pPr>
    </w:p>
    <w:p w14:paraId="62069F65" w14:textId="1D8D6717" w:rsidR="00CE1263" w:rsidRDefault="00CE1263" w:rsidP="00CA40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rappresentare tutte le revisioni delle stime </w:t>
      </w:r>
      <w:r w:rsidR="00794342">
        <w:rPr>
          <w:sz w:val="23"/>
          <w:szCs w:val="23"/>
        </w:rPr>
        <w:t xml:space="preserve">di una variabile </w:t>
      </w:r>
      <w:r>
        <w:rPr>
          <w:sz w:val="23"/>
          <w:szCs w:val="23"/>
        </w:rPr>
        <w:t xml:space="preserve">si utilizza una particolare rappresentazione tabellare </w:t>
      </w:r>
      <w:r w:rsidR="000B0300">
        <w:rPr>
          <w:sz w:val="23"/>
          <w:szCs w:val="23"/>
        </w:rPr>
        <w:t>in forma di triangolo</w:t>
      </w:r>
      <w:r>
        <w:rPr>
          <w:sz w:val="23"/>
          <w:szCs w:val="23"/>
        </w:rPr>
        <w:t xml:space="preserve">. </w:t>
      </w:r>
      <w:r w:rsidRPr="00AE1D95">
        <w:rPr>
          <w:sz w:val="23"/>
          <w:szCs w:val="23"/>
        </w:rPr>
        <w:t xml:space="preserve">Qui sotto è riportato il triangolo delle </w:t>
      </w:r>
      <w:r w:rsidR="000B0300">
        <w:rPr>
          <w:sz w:val="23"/>
          <w:szCs w:val="23"/>
        </w:rPr>
        <w:t xml:space="preserve">stime </w:t>
      </w:r>
      <w:r w:rsidRPr="00AE1D95">
        <w:rPr>
          <w:sz w:val="23"/>
          <w:szCs w:val="23"/>
        </w:rPr>
        <w:t>del prod</w:t>
      </w:r>
      <w:r w:rsidR="001152CE" w:rsidRPr="00AE1D95">
        <w:rPr>
          <w:sz w:val="23"/>
          <w:szCs w:val="23"/>
        </w:rPr>
        <w:t>otto interno lordo ai prezzi di mercato, destagionalizzato, in milioni di euro</w:t>
      </w:r>
      <w:r w:rsidR="00201415" w:rsidRPr="00AE1D95">
        <w:rPr>
          <w:sz w:val="23"/>
          <w:szCs w:val="23"/>
        </w:rPr>
        <w:t xml:space="preserve">, che si trova nel </w:t>
      </w:r>
      <w:hyperlink r:id="rId8" w:history="1">
        <w:r w:rsidR="00A8267C">
          <w:rPr>
            <w:rStyle w:val="Collegamentoipertestuale"/>
            <w:sz w:val="23"/>
            <w:szCs w:val="23"/>
          </w:rPr>
          <w:t>sito dell’Istat</w:t>
        </w:r>
      </w:hyperlink>
      <w:r w:rsidRPr="00AE1D95">
        <w:rPr>
          <w:sz w:val="23"/>
          <w:szCs w:val="23"/>
        </w:rPr>
        <w:t>.</w:t>
      </w:r>
      <w:r w:rsidR="00201415" w:rsidRPr="00AE1D95">
        <w:rPr>
          <w:sz w:val="23"/>
          <w:szCs w:val="23"/>
        </w:rPr>
        <w:t xml:space="preserve"> Le </w:t>
      </w:r>
      <w:r w:rsidR="00E63C0A" w:rsidRPr="00AE1D95">
        <w:rPr>
          <w:sz w:val="23"/>
          <w:szCs w:val="23"/>
        </w:rPr>
        <w:t>revisioni</w:t>
      </w:r>
      <w:r w:rsidR="00201415" w:rsidRPr="00AE1D95">
        <w:rPr>
          <w:sz w:val="23"/>
          <w:szCs w:val="23"/>
        </w:rPr>
        <w:t xml:space="preserve"> </w:t>
      </w:r>
      <w:r w:rsidR="00E220D0" w:rsidRPr="00AE1D95">
        <w:rPr>
          <w:sz w:val="23"/>
          <w:szCs w:val="23"/>
        </w:rPr>
        <w:t>dal 31.1.2022 al 31.5.2022 non sono ancor</w:t>
      </w:r>
      <w:r w:rsidR="00E63C0A" w:rsidRPr="00AE1D95">
        <w:rPr>
          <w:sz w:val="23"/>
          <w:szCs w:val="23"/>
        </w:rPr>
        <w:t>a</w:t>
      </w:r>
      <w:r w:rsidR="00E220D0" w:rsidRPr="00AE1D95">
        <w:rPr>
          <w:sz w:val="23"/>
          <w:szCs w:val="23"/>
        </w:rPr>
        <w:t xml:space="preserve"> presenti nel sito e sono state da noi inserite.</w:t>
      </w:r>
    </w:p>
    <w:p w14:paraId="7FE7D033" w14:textId="77777777" w:rsidR="00B31089" w:rsidRDefault="00B31089" w:rsidP="00CA4044">
      <w:pPr>
        <w:pStyle w:val="Default"/>
        <w:jc w:val="both"/>
        <w:rPr>
          <w:sz w:val="23"/>
          <w:szCs w:val="23"/>
        </w:rPr>
      </w:pPr>
    </w:p>
    <w:p w14:paraId="57DD1841" w14:textId="2500C1C4" w:rsidR="001152CE" w:rsidRDefault="009F4E5A" w:rsidP="00EF611B">
      <w:pPr>
        <w:pStyle w:val="Default"/>
        <w:jc w:val="both"/>
        <w:rPr>
          <w:sz w:val="23"/>
          <w:szCs w:val="23"/>
        </w:rPr>
      </w:pPr>
      <w:r w:rsidRPr="009F4E5A">
        <w:rPr>
          <w:noProof/>
        </w:rPr>
        <w:drawing>
          <wp:inline distT="0" distB="0" distL="0" distR="0" wp14:anchorId="035EC7AD" wp14:editId="0C3FE022">
            <wp:extent cx="6120130" cy="221361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1407" w14:textId="77777777" w:rsidR="00EF611B" w:rsidRDefault="00EF611B" w:rsidP="00CA4044">
      <w:pPr>
        <w:pStyle w:val="Default"/>
        <w:jc w:val="both"/>
        <w:rPr>
          <w:sz w:val="23"/>
          <w:szCs w:val="23"/>
        </w:rPr>
      </w:pPr>
    </w:p>
    <w:p w14:paraId="13CA9ECD" w14:textId="6BDD5001" w:rsidR="00CE1263" w:rsidRDefault="00CE1263" w:rsidP="00CA40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Le righe riportano le serie storiche (</w:t>
      </w:r>
      <w:r>
        <w:rPr>
          <w:i/>
          <w:iCs/>
          <w:sz w:val="23"/>
          <w:szCs w:val="23"/>
        </w:rPr>
        <w:t>vintage</w:t>
      </w:r>
      <w:r>
        <w:rPr>
          <w:sz w:val="23"/>
          <w:szCs w:val="23"/>
        </w:rPr>
        <w:t>) dell’indice rilasciate nel corso del mese indicato in prima colonna.</w:t>
      </w:r>
      <w:r w:rsidR="00CA4044" w:rsidRPr="00CA4044">
        <w:rPr>
          <w:sz w:val="23"/>
          <w:szCs w:val="23"/>
        </w:rPr>
        <w:t xml:space="preserve"> </w:t>
      </w:r>
      <w:r w:rsidR="00CA4044">
        <w:rPr>
          <w:sz w:val="23"/>
          <w:szCs w:val="23"/>
        </w:rPr>
        <w:t>Ad esempio, l</w:t>
      </w:r>
      <w:r w:rsidR="00E70C78">
        <w:rPr>
          <w:sz w:val="23"/>
          <w:szCs w:val="23"/>
        </w:rPr>
        <w:t>a riga corrispondente a</w:t>
      </w:r>
      <w:r w:rsidR="000656AC">
        <w:rPr>
          <w:sz w:val="23"/>
          <w:szCs w:val="23"/>
        </w:rPr>
        <w:t>l 30</w:t>
      </w:r>
      <w:r w:rsidR="00E70C78">
        <w:rPr>
          <w:sz w:val="23"/>
          <w:szCs w:val="23"/>
        </w:rPr>
        <w:t xml:space="preserve"> </w:t>
      </w:r>
      <w:r w:rsidR="001A3034">
        <w:rPr>
          <w:sz w:val="23"/>
          <w:szCs w:val="23"/>
        </w:rPr>
        <w:t>lugl</w:t>
      </w:r>
      <w:r w:rsidR="00E70C78">
        <w:rPr>
          <w:sz w:val="23"/>
          <w:szCs w:val="23"/>
        </w:rPr>
        <w:t>io 2021</w:t>
      </w:r>
      <w:r w:rsidR="00CA4044">
        <w:rPr>
          <w:sz w:val="23"/>
          <w:szCs w:val="23"/>
        </w:rPr>
        <w:t xml:space="preserve"> si riferisce alla serie storica dell’indice rilasciata in quel mese, avente come ultima </w:t>
      </w:r>
      <w:r w:rsidR="00E70C78">
        <w:rPr>
          <w:sz w:val="23"/>
          <w:szCs w:val="23"/>
        </w:rPr>
        <w:t>osservazione il dato relativo a</w:t>
      </w:r>
      <w:r w:rsidR="001A3034">
        <w:rPr>
          <w:sz w:val="23"/>
          <w:szCs w:val="23"/>
        </w:rPr>
        <w:t>l 2° trimestre</w:t>
      </w:r>
      <w:r w:rsidR="00E70C78">
        <w:rPr>
          <w:sz w:val="23"/>
          <w:szCs w:val="23"/>
        </w:rPr>
        <w:t xml:space="preserve"> </w:t>
      </w:r>
      <w:r w:rsidR="001A3034">
        <w:rPr>
          <w:sz w:val="23"/>
          <w:szCs w:val="23"/>
        </w:rPr>
        <w:t xml:space="preserve">del </w:t>
      </w:r>
      <w:r w:rsidR="00E70C78">
        <w:rPr>
          <w:sz w:val="23"/>
          <w:szCs w:val="23"/>
        </w:rPr>
        <w:t>2021</w:t>
      </w:r>
      <w:r w:rsidR="00CA4044">
        <w:rPr>
          <w:sz w:val="23"/>
          <w:szCs w:val="23"/>
        </w:rPr>
        <w:t>.</w:t>
      </w:r>
      <w:r w:rsidR="00CA4044" w:rsidRPr="00CA4044">
        <w:rPr>
          <w:sz w:val="23"/>
          <w:szCs w:val="23"/>
        </w:rPr>
        <w:t xml:space="preserve"> </w:t>
      </w:r>
      <w:r w:rsidR="00E70C78">
        <w:rPr>
          <w:sz w:val="23"/>
          <w:szCs w:val="23"/>
        </w:rPr>
        <w:t>Le colonne ricostruiscono</w:t>
      </w:r>
      <w:r w:rsidR="00E70C78" w:rsidRPr="00E70C78">
        <w:rPr>
          <w:sz w:val="23"/>
          <w:szCs w:val="23"/>
        </w:rPr>
        <w:t xml:space="preserve"> la storia delle stime diffuse per ciascun riferime</w:t>
      </w:r>
      <w:r w:rsidR="00E70C78">
        <w:rPr>
          <w:sz w:val="23"/>
          <w:szCs w:val="23"/>
        </w:rPr>
        <w:t>nto temporale (</w:t>
      </w:r>
      <w:r w:rsidR="001A3034">
        <w:rPr>
          <w:sz w:val="23"/>
          <w:szCs w:val="23"/>
        </w:rPr>
        <w:t>trimestr</w:t>
      </w:r>
      <w:r w:rsidR="00E70C78">
        <w:rPr>
          <w:sz w:val="23"/>
          <w:szCs w:val="23"/>
        </w:rPr>
        <w:t>e)</w:t>
      </w:r>
      <w:r w:rsidR="00E70C78" w:rsidRPr="00E70C78">
        <w:rPr>
          <w:sz w:val="23"/>
          <w:szCs w:val="23"/>
        </w:rPr>
        <w:t xml:space="preserve"> dal primo rilascio fino all'ultimo disponibile.</w:t>
      </w:r>
      <w:r w:rsidR="00E70C78">
        <w:rPr>
          <w:sz w:val="23"/>
          <w:szCs w:val="23"/>
        </w:rPr>
        <w:t xml:space="preserve"> </w:t>
      </w:r>
      <w:r w:rsidR="00794342">
        <w:rPr>
          <w:sz w:val="23"/>
          <w:szCs w:val="23"/>
        </w:rPr>
        <w:t>G</w:t>
      </w:r>
      <w:r w:rsidR="00CA4044">
        <w:rPr>
          <w:sz w:val="23"/>
          <w:szCs w:val="23"/>
        </w:rPr>
        <w:t xml:space="preserve">li elementi </w:t>
      </w:r>
      <w:r w:rsidR="001A3034">
        <w:rPr>
          <w:sz w:val="23"/>
          <w:szCs w:val="23"/>
        </w:rPr>
        <w:t xml:space="preserve">evidenziati in azzurro, pertanto, </w:t>
      </w:r>
      <w:r w:rsidR="00CA4044">
        <w:rPr>
          <w:sz w:val="23"/>
          <w:szCs w:val="23"/>
        </w:rPr>
        <w:t>che compaiono sulla diagonale</w:t>
      </w:r>
      <w:r w:rsidR="001A3034">
        <w:rPr>
          <w:sz w:val="23"/>
          <w:szCs w:val="23"/>
        </w:rPr>
        <w:t xml:space="preserve"> </w:t>
      </w:r>
      <w:r w:rsidR="00CA4044">
        <w:rPr>
          <w:sz w:val="23"/>
          <w:szCs w:val="23"/>
        </w:rPr>
        <w:t>più esterna</w:t>
      </w:r>
      <w:r w:rsidR="001A3034">
        <w:rPr>
          <w:sz w:val="23"/>
          <w:szCs w:val="23"/>
        </w:rPr>
        <w:t>,</w:t>
      </w:r>
      <w:r w:rsidR="00CA4044">
        <w:rPr>
          <w:sz w:val="23"/>
          <w:szCs w:val="23"/>
        </w:rPr>
        <w:t xml:space="preserve"> rappresentano le prime stime rilasciate per ciascun </w:t>
      </w:r>
      <w:r w:rsidR="001A3034">
        <w:rPr>
          <w:sz w:val="23"/>
          <w:szCs w:val="23"/>
        </w:rPr>
        <w:t>trimestr</w:t>
      </w:r>
      <w:r w:rsidR="00CA4044">
        <w:rPr>
          <w:sz w:val="23"/>
          <w:szCs w:val="23"/>
        </w:rPr>
        <w:t>e di riferimento.</w:t>
      </w:r>
    </w:p>
    <w:p w14:paraId="5F3AD0BF" w14:textId="77777777" w:rsidR="004E4B55" w:rsidRPr="00C40C38" w:rsidRDefault="004E4B55" w:rsidP="004E4B55">
      <w:pPr>
        <w:pStyle w:val="Default"/>
      </w:pPr>
    </w:p>
    <w:p w14:paraId="6E672B04" w14:textId="77777777" w:rsidR="00533112" w:rsidRDefault="004E4B55" w:rsidP="004E4B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processo di revisione delle statistiche congiunturali è </w:t>
      </w:r>
      <w:r w:rsidRPr="00595E79">
        <w:rPr>
          <w:b/>
          <w:sz w:val="23"/>
          <w:szCs w:val="23"/>
        </w:rPr>
        <w:t>rilevante</w:t>
      </w:r>
      <w:r>
        <w:rPr>
          <w:sz w:val="23"/>
          <w:szCs w:val="23"/>
        </w:rPr>
        <w:t xml:space="preserve"> sia per </w:t>
      </w:r>
      <w:r w:rsidR="00F439FE">
        <w:rPr>
          <w:sz w:val="23"/>
          <w:szCs w:val="23"/>
        </w:rPr>
        <w:t xml:space="preserve">l’utilizzatore </w:t>
      </w:r>
      <w:r w:rsidR="00794342">
        <w:rPr>
          <w:sz w:val="23"/>
          <w:szCs w:val="23"/>
        </w:rPr>
        <w:t>dei dati che</w:t>
      </w:r>
      <w:r>
        <w:rPr>
          <w:sz w:val="23"/>
          <w:szCs w:val="23"/>
        </w:rPr>
        <w:t xml:space="preserve"> per</w:t>
      </w:r>
      <w:r w:rsidR="00F439FE" w:rsidRPr="00F439FE">
        <w:rPr>
          <w:sz w:val="23"/>
          <w:szCs w:val="23"/>
        </w:rPr>
        <w:t xml:space="preserve"> </w:t>
      </w:r>
      <w:r w:rsidR="00F439FE">
        <w:rPr>
          <w:sz w:val="23"/>
          <w:szCs w:val="23"/>
        </w:rPr>
        <w:t>il produttore</w:t>
      </w:r>
      <w:r>
        <w:rPr>
          <w:sz w:val="23"/>
          <w:szCs w:val="23"/>
        </w:rPr>
        <w:t>. Pe</w:t>
      </w:r>
      <w:r w:rsidR="00F439FE">
        <w:rPr>
          <w:sz w:val="23"/>
          <w:szCs w:val="23"/>
        </w:rPr>
        <w:t>r l’utilizzatore</w:t>
      </w:r>
      <w:r>
        <w:rPr>
          <w:sz w:val="23"/>
          <w:szCs w:val="23"/>
        </w:rPr>
        <w:t>, perché consente di valutare l’affidabilità delle stime preliminari rispetto a quelle successivamente rilasciate.</w:t>
      </w:r>
      <w:r>
        <w:t xml:space="preserve"> </w:t>
      </w:r>
      <w:r w:rsidR="00F439FE">
        <w:rPr>
          <w:sz w:val="23"/>
          <w:szCs w:val="23"/>
        </w:rPr>
        <w:t xml:space="preserve">Per il produttore, perché consente di individuare eventuali sistematicità negli errori e di rimuoverle. </w:t>
      </w:r>
      <w:r>
        <w:rPr>
          <w:sz w:val="23"/>
          <w:szCs w:val="23"/>
        </w:rPr>
        <w:t xml:space="preserve">La diffusione </w:t>
      </w:r>
      <w:r w:rsidR="00E70C78">
        <w:rPr>
          <w:sz w:val="23"/>
          <w:szCs w:val="23"/>
        </w:rPr>
        <w:t xml:space="preserve">sul sito dell’Istat </w:t>
      </w:r>
      <w:r>
        <w:rPr>
          <w:sz w:val="23"/>
          <w:szCs w:val="23"/>
        </w:rPr>
        <w:t xml:space="preserve">dei triangoli delle revisioni </w:t>
      </w:r>
      <w:r w:rsidR="00E70C78">
        <w:rPr>
          <w:sz w:val="23"/>
          <w:szCs w:val="23"/>
        </w:rPr>
        <w:t xml:space="preserve">dei dati grezzi, corretti, e destagionalizzati, </w:t>
      </w:r>
      <w:r>
        <w:rPr>
          <w:sz w:val="23"/>
          <w:szCs w:val="23"/>
        </w:rPr>
        <w:t>delle principali informazioni economiche congiunturali (mensili e trimestrali) prodo</w:t>
      </w:r>
      <w:r w:rsidR="00E70C78">
        <w:rPr>
          <w:sz w:val="23"/>
          <w:szCs w:val="23"/>
        </w:rPr>
        <w:t>tte dall’Istituto</w:t>
      </w:r>
      <w:r>
        <w:rPr>
          <w:sz w:val="23"/>
          <w:szCs w:val="23"/>
        </w:rPr>
        <w:t xml:space="preserve"> aume</w:t>
      </w:r>
      <w:r w:rsidR="00E70C78">
        <w:rPr>
          <w:sz w:val="23"/>
          <w:szCs w:val="23"/>
        </w:rPr>
        <w:t>nta la trasparenza</w:t>
      </w:r>
      <w:r>
        <w:rPr>
          <w:sz w:val="23"/>
          <w:szCs w:val="23"/>
        </w:rPr>
        <w:t xml:space="preserve"> n</w:t>
      </w:r>
      <w:r w:rsidR="00DF0C5E">
        <w:rPr>
          <w:sz w:val="23"/>
          <w:szCs w:val="23"/>
        </w:rPr>
        <w:t xml:space="preserve">ei confronti degli </w:t>
      </w:r>
      <w:r w:rsidR="00DF0C5E" w:rsidRPr="00595E79">
        <w:rPr>
          <w:b/>
          <w:sz w:val="23"/>
          <w:szCs w:val="23"/>
        </w:rPr>
        <w:t>utilizzatori</w:t>
      </w:r>
      <w:r w:rsidR="00E97A63">
        <w:rPr>
          <w:sz w:val="23"/>
          <w:szCs w:val="23"/>
        </w:rPr>
        <w:t>.</w:t>
      </w:r>
      <w:r w:rsidR="000D7B4D">
        <w:rPr>
          <w:sz w:val="23"/>
          <w:szCs w:val="23"/>
        </w:rPr>
        <w:t xml:space="preserve"> </w:t>
      </w:r>
      <w:r w:rsidR="00E97A63">
        <w:rPr>
          <w:sz w:val="23"/>
          <w:szCs w:val="23"/>
        </w:rPr>
        <w:t>C</w:t>
      </w:r>
      <w:r w:rsidR="00DF0C5E">
        <w:rPr>
          <w:sz w:val="23"/>
          <w:szCs w:val="23"/>
        </w:rPr>
        <w:t>iascun triango</w:t>
      </w:r>
      <w:r w:rsidR="00F439FE">
        <w:rPr>
          <w:sz w:val="23"/>
          <w:szCs w:val="23"/>
        </w:rPr>
        <w:t>lo di revisione</w:t>
      </w:r>
      <w:r w:rsidR="00DF0C5E">
        <w:rPr>
          <w:sz w:val="23"/>
          <w:szCs w:val="23"/>
        </w:rPr>
        <w:t xml:space="preserve"> </w:t>
      </w:r>
      <w:r w:rsidR="001F101C" w:rsidRPr="00533112">
        <w:rPr>
          <w:sz w:val="23"/>
          <w:szCs w:val="23"/>
        </w:rPr>
        <w:t>in passato era</w:t>
      </w:r>
      <w:r w:rsidR="00DF0C5E" w:rsidRPr="00533112">
        <w:rPr>
          <w:sz w:val="23"/>
          <w:szCs w:val="23"/>
        </w:rPr>
        <w:t xml:space="preserve"> corredato da un foglio di lavoro “eventi”, contenente la descrizione degli </w:t>
      </w:r>
      <w:r w:rsidR="00F439FE" w:rsidRPr="00533112">
        <w:rPr>
          <w:sz w:val="23"/>
          <w:szCs w:val="23"/>
        </w:rPr>
        <w:t>eventi</w:t>
      </w:r>
      <w:r w:rsidR="00DF0C5E" w:rsidRPr="00533112">
        <w:rPr>
          <w:sz w:val="23"/>
          <w:szCs w:val="23"/>
        </w:rPr>
        <w:t xml:space="preserve"> che </w:t>
      </w:r>
      <w:r w:rsidR="001F101C" w:rsidRPr="00533112">
        <w:rPr>
          <w:sz w:val="23"/>
          <w:szCs w:val="23"/>
        </w:rPr>
        <w:t>aveva</w:t>
      </w:r>
      <w:r w:rsidR="00DF0C5E" w:rsidRPr="00533112">
        <w:rPr>
          <w:sz w:val="23"/>
          <w:szCs w:val="23"/>
        </w:rPr>
        <w:t>no causato una revisione delle stime precedentemente diffuse</w:t>
      </w:r>
      <w:r w:rsidR="001F101C">
        <w:rPr>
          <w:sz w:val="23"/>
          <w:szCs w:val="23"/>
        </w:rPr>
        <w:t xml:space="preserve">; attualmente, e solo quando </w:t>
      </w:r>
      <w:r w:rsidR="001F101C" w:rsidRPr="001F101C">
        <w:rPr>
          <w:sz w:val="23"/>
          <w:szCs w:val="23"/>
        </w:rPr>
        <w:t>sono particolarmente rilevanti</w:t>
      </w:r>
      <w:r w:rsidR="001F101C">
        <w:rPr>
          <w:sz w:val="23"/>
          <w:szCs w:val="23"/>
        </w:rPr>
        <w:t>, questi “eventi”</w:t>
      </w:r>
      <w:r w:rsidR="001F101C" w:rsidRPr="001F101C">
        <w:rPr>
          <w:sz w:val="23"/>
          <w:szCs w:val="23"/>
        </w:rPr>
        <w:t xml:space="preserve"> vengono indicati nel testo </w:t>
      </w:r>
      <w:r w:rsidR="001F101C">
        <w:rPr>
          <w:sz w:val="23"/>
          <w:szCs w:val="23"/>
        </w:rPr>
        <w:t xml:space="preserve">(o nella sezione “Revisioni”) </w:t>
      </w:r>
      <w:r w:rsidR="001F101C" w:rsidRPr="001F101C">
        <w:rPr>
          <w:sz w:val="23"/>
          <w:szCs w:val="23"/>
        </w:rPr>
        <w:t>del comunicato stampa</w:t>
      </w:r>
      <w:r w:rsidR="00DF0C5E">
        <w:rPr>
          <w:sz w:val="23"/>
          <w:szCs w:val="23"/>
        </w:rPr>
        <w:t xml:space="preserve">. </w:t>
      </w:r>
    </w:p>
    <w:p w14:paraId="06EA2D6C" w14:textId="77777777" w:rsidR="00533112" w:rsidRDefault="00533112" w:rsidP="004E4B55">
      <w:pPr>
        <w:pStyle w:val="Default"/>
        <w:jc w:val="both"/>
        <w:rPr>
          <w:sz w:val="23"/>
          <w:szCs w:val="23"/>
        </w:rPr>
      </w:pPr>
    </w:p>
    <w:p w14:paraId="60DD2A2D" w14:textId="0931BD8E" w:rsidR="00485F1F" w:rsidRDefault="000D7B4D" w:rsidP="00485F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FE413B">
        <w:rPr>
          <w:sz w:val="23"/>
          <w:szCs w:val="23"/>
        </w:rPr>
        <w:t>on la realizzazio</w:t>
      </w:r>
      <w:r>
        <w:rPr>
          <w:sz w:val="23"/>
          <w:szCs w:val="23"/>
        </w:rPr>
        <w:t xml:space="preserve">ne </w:t>
      </w:r>
      <w:r w:rsidR="00DF0C5E">
        <w:rPr>
          <w:sz w:val="23"/>
          <w:szCs w:val="23"/>
        </w:rPr>
        <w:t>dei triangoli delle revisioni</w:t>
      </w:r>
      <w:r w:rsidR="00FE413B">
        <w:rPr>
          <w:sz w:val="23"/>
          <w:szCs w:val="23"/>
        </w:rPr>
        <w:t xml:space="preserve"> l’</w:t>
      </w:r>
      <w:r w:rsidR="00FE413B" w:rsidRPr="00595E79">
        <w:rPr>
          <w:sz w:val="23"/>
          <w:szCs w:val="23"/>
        </w:rPr>
        <w:t>Istat</w:t>
      </w:r>
      <w:r w:rsidR="00794342">
        <w:rPr>
          <w:sz w:val="23"/>
          <w:szCs w:val="23"/>
        </w:rPr>
        <w:t xml:space="preserve"> -</w:t>
      </w:r>
      <w:r w:rsidR="00595E79">
        <w:rPr>
          <w:sz w:val="23"/>
          <w:szCs w:val="23"/>
        </w:rPr>
        <w:t xml:space="preserve"> il </w:t>
      </w:r>
      <w:r w:rsidR="00595E79" w:rsidRPr="00595E79">
        <w:rPr>
          <w:b/>
          <w:sz w:val="23"/>
          <w:szCs w:val="23"/>
        </w:rPr>
        <w:t>produttore</w:t>
      </w:r>
      <w:r w:rsidR="00794342">
        <w:rPr>
          <w:sz w:val="23"/>
          <w:szCs w:val="23"/>
        </w:rPr>
        <w:t xml:space="preserve"> -</w:t>
      </w:r>
      <w:r w:rsidR="00595E79">
        <w:rPr>
          <w:sz w:val="23"/>
          <w:szCs w:val="23"/>
        </w:rPr>
        <w:t xml:space="preserve"> ha sviluppato </w:t>
      </w:r>
      <w:r w:rsidR="00794342">
        <w:rPr>
          <w:sz w:val="23"/>
          <w:szCs w:val="23"/>
        </w:rPr>
        <w:t>un</w:t>
      </w:r>
      <w:r w:rsidR="00FE413B">
        <w:rPr>
          <w:sz w:val="23"/>
          <w:szCs w:val="23"/>
        </w:rPr>
        <w:t xml:space="preserve"> process</w:t>
      </w:r>
      <w:r w:rsidR="00DF0C5E">
        <w:rPr>
          <w:sz w:val="23"/>
          <w:szCs w:val="23"/>
        </w:rPr>
        <w:t xml:space="preserve">o di </w:t>
      </w:r>
      <w:r w:rsidR="00A21658">
        <w:rPr>
          <w:sz w:val="23"/>
          <w:szCs w:val="23"/>
        </w:rPr>
        <w:t xml:space="preserve">analisi </w:t>
      </w:r>
      <w:r w:rsidR="00794342">
        <w:rPr>
          <w:sz w:val="23"/>
          <w:szCs w:val="23"/>
        </w:rPr>
        <w:t xml:space="preserve">sistematica </w:t>
      </w:r>
      <w:r w:rsidR="00DF0C5E">
        <w:rPr>
          <w:sz w:val="23"/>
          <w:szCs w:val="23"/>
        </w:rPr>
        <w:t xml:space="preserve">delle </w:t>
      </w:r>
      <w:r w:rsidR="00A21658">
        <w:rPr>
          <w:sz w:val="23"/>
          <w:szCs w:val="23"/>
        </w:rPr>
        <w:t xml:space="preserve">revisioni delle </w:t>
      </w:r>
      <w:r w:rsidR="00DF0C5E">
        <w:rPr>
          <w:sz w:val="23"/>
          <w:szCs w:val="23"/>
        </w:rPr>
        <w:t>statistiche congiunturali</w:t>
      </w:r>
      <w:r w:rsidR="00595E79">
        <w:rPr>
          <w:sz w:val="23"/>
          <w:szCs w:val="23"/>
        </w:rPr>
        <w:t>,</w:t>
      </w:r>
      <w:r w:rsidR="00FE413B">
        <w:rPr>
          <w:sz w:val="23"/>
          <w:szCs w:val="23"/>
        </w:rPr>
        <w:t xml:space="preserve"> mettendo a confronto le stime riviste nel corso del tempo con le stime precedenti</w:t>
      </w:r>
      <w:r w:rsidR="00595E79">
        <w:rPr>
          <w:sz w:val="23"/>
          <w:szCs w:val="23"/>
        </w:rPr>
        <w:t>,</w:t>
      </w:r>
      <w:r w:rsidR="00A21658">
        <w:rPr>
          <w:sz w:val="23"/>
          <w:szCs w:val="23"/>
        </w:rPr>
        <w:t xml:space="preserve"> e calcolando alcuni indicatori </w:t>
      </w:r>
      <w:r w:rsidR="00FE413B">
        <w:rPr>
          <w:sz w:val="23"/>
          <w:szCs w:val="23"/>
        </w:rPr>
        <w:t>che sin</w:t>
      </w:r>
      <w:r>
        <w:rPr>
          <w:sz w:val="23"/>
          <w:szCs w:val="23"/>
        </w:rPr>
        <w:t xml:space="preserve">tetizzano </w:t>
      </w:r>
      <w:r w:rsidR="00FE413B">
        <w:rPr>
          <w:sz w:val="23"/>
          <w:szCs w:val="23"/>
        </w:rPr>
        <w:t xml:space="preserve">tali confronti. </w:t>
      </w:r>
      <w:r w:rsidR="00485F1F">
        <w:rPr>
          <w:sz w:val="23"/>
          <w:szCs w:val="23"/>
        </w:rPr>
        <w:t xml:space="preserve">I </w:t>
      </w:r>
      <w:r w:rsidR="00DF0C5E">
        <w:rPr>
          <w:sz w:val="23"/>
          <w:szCs w:val="23"/>
        </w:rPr>
        <w:t xml:space="preserve">principali </w:t>
      </w:r>
      <w:r w:rsidR="00485F1F" w:rsidRPr="00595E79">
        <w:rPr>
          <w:b/>
          <w:sz w:val="23"/>
          <w:szCs w:val="23"/>
        </w:rPr>
        <w:t>indicatori</w:t>
      </w:r>
      <w:r w:rsidR="00485F1F">
        <w:rPr>
          <w:sz w:val="23"/>
          <w:szCs w:val="23"/>
        </w:rPr>
        <w:t xml:space="preserve"> statistici</w:t>
      </w:r>
      <w:r>
        <w:rPr>
          <w:sz w:val="23"/>
          <w:szCs w:val="23"/>
        </w:rPr>
        <w:t xml:space="preserve"> </w:t>
      </w:r>
      <w:r w:rsidR="00485F1F">
        <w:rPr>
          <w:sz w:val="23"/>
          <w:szCs w:val="23"/>
        </w:rPr>
        <w:t>utilizzati</w:t>
      </w:r>
      <w:r w:rsidR="00FE413B">
        <w:rPr>
          <w:sz w:val="23"/>
          <w:szCs w:val="23"/>
        </w:rPr>
        <w:t xml:space="preserve"> per analizzare le revisioni</w:t>
      </w:r>
      <w:r w:rsidR="00A21658">
        <w:rPr>
          <w:sz w:val="23"/>
          <w:szCs w:val="23"/>
        </w:rPr>
        <w:t>,</w:t>
      </w:r>
      <w:r w:rsidR="00FE413B">
        <w:rPr>
          <w:sz w:val="23"/>
          <w:szCs w:val="23"/>
        </w:rPr>
        <w:t xml:space="preserve"> </w:t>
      </w:r>
      <w:r w:rsidR="00A21658">
        <w:rPr>
          <w:sz w:val="23"/>
          <w:szCs w:val="23"/>
        </w:rPr>
        <w:t xml:space="preserve">in genere, </w:t>
      </w:r>
      <w:r w:rsidR="00FE413B">
        <w:rPr>
          <w:sz w:val="23"/>
          <w:szCs w:val="23"/>
        </w:rPr>
        <w:t>dei tassi di variazione</w:t>
      </w:r>
      <w:r w:rsidR="00485F1F">
        <w:rPr>
          <w:sz w:val="23"/>
          <w:szCs w:val="23"/>
        </w:rPr>
        <w:t xml:space="preserve"> -</w:t>
      </w:r>
      <w:r w:rsidR="00FE413B">
        <w:rPr>
          <w:sz w:val="23"/>
          <w:szCs w:val="23"/>
        </w:rPr>
        <w:t xml:space="preserve"> calcolati </w:t>
      </w:r>
      <w:r w:rsidR="00DF0C5E">
        <w:rPr>
          <w:sz w:val="23"/>
          <w:szCs w:val="23"/>
        </w:rPr>
        <w:t xml:space="preserve">sui dati destagionalizzati (espressi in variazione </w:t>
      </w:r>
      <w:r w:rsidR="002C3CFF">
        <w:rPr>
          <w:sz w:val="23"/>
          <w:szCs w:val="23"/>
        </w:rPr>
        <w:t xml:space="preserve">sia </w:t>
      </w:r>
      <w:r w:rsidR="00DF0C5E">
        <w:rPr>
          <w:sz w:val="23"/>
          <w:szCs w:val="23"/>
        </w:rPr>
        <w:t>congiunturale</w:t>
      </w:r>
      <w:r w:rsidR="002C3CFF">
        <w:rPr>
          <w:sz w:val="23"/>
          <w:szCs w:val="23"/>
        </w:rPr>
        <w:t>, sia tendenziale</w:t>
      </w:r>
      <w:r w:rsidR="00DF0C5E">
        <w:rPr>
          <w:sz w:val="23"/>
          <w:szCs w:val="23"/>
        </w:rPr>
        <w:t>) – sono di quattro tipi</w:t>
      </w:r>
      <w:r w:rsidR="00485F1F">
        <w:rPr>
          <w:sz w:val="23"/>
          <w:szCs w:val="23"/>
        </w:rPr>
        <w:t xml:space="preserve">: </w:t>
      </w:r>
    </w:p>
    <w:p w14:paraId="1FA7E50E" w14:textId="77777777" w:rsidR="00485F1F" w:rsidRPr="00485F1F" w:rsidRDefault="00485F1F" w:rsidP="00485F1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5F1F">
        <w:rPr>
          <w:bCs/>
          <w:sz w:val="23"/>
          <w:szCs w:val="23"/>
        </w:rPr>
        <w:t xml:space="preserve">Ampiezza media delle revisioni </w:t>
      </w:r>
    </w:p>
    <w:p w14:paraId="070B025C" w14:textId="77777777" w:rsidR="00485F1F" w:rsidRDefault="00485F1F" w:rsidP="004E4B5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5F1F">
        <w:rPr>
          <w:sz w:val="23"/>
          <w:szCs w:val="23"/>
        </w:rPr>
        <w:t>Direzione delle revisioni</w:t>
      </w:r>
    </w:p>
    <w:p w14:paraId="4C6646B5" w14:textId="77777777" w:rsidR="00485F1F" w:rsidRDefault="00485F1F" w:rsidP="00CE126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5F1F">
        <w:t>Variabilità delle revisioni</w:t>
      </w:r>
    </w:p>
    <w:p w14:paraId="0AB36BF1" w14:textId="77777777" w:rsidR="00CA4044" w:rsidRPr="00485F1F" w:rsidRDefault="00485F1F" w:rsidP="00CE126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5F1F">
        <w:rPr>
          <w:sz w:val="23"/>
          <w:szCs w:val="23"/>
        </w:rPr>
        <w:t>Impatto delle revisioni sul segno dei tassi di variazione</w:t>
      </w:r>
    </w:p>
    <w:p w14:paraId="2040BC64" w14:textId="77777777" w:rsidR="00A22257" w:rsidRDefault="00A22257" w:rsidP="00485F1F">
      <w:pPr>
        <w:pStyle w:val="Default"/>
        <w:jc w:val="both"/>
        <w:rPr>
          <w:sz w:val="23"/>
          <w:szCs w:val="23"/>
        </w:rPr>
      </w:pPr>
    </w:p>
    <w:p w14:paraId="6E8818E0" w14:textId="25E6F729" w:rsidR="00CE1263" w:rsidRPr="007E6EB9" w:rsidRDefault="00A21658" w:rsidP="00485F1F">
      <w:pPr>
        <w:pStyle w:val="Default"/>
        <w:jc w:val="both"/>
        <w:rPr>
          <w:sz w:val="23"/>
          <w:szCs w:val="23"/>
          <w:highlight w:val="yellow"/>
        </w:rPr>
      </w:pPr>
      <w:r w:rsidRPr="00533112">
        <w:rPr>
          <w:sz w:val="23"/>
          <w:szCs w:val="23"/>
        </w:rPr>
        <w:t>Per quanto riguarda la</w:t>
      </w:r>
      <w:r w:rsidR="00485F1F" w:rsidRPr="00533112">
        <w:rPr>
          <w:sz w:val="23"/>
          <w:szCs w:val="23"/>
        </w:rPr>
        <w:t xml:space="preserve"> </w:t>
      </w:r>
      <w:r w:rsidR="00485F1F" w:rsidRPr="00533112">
        <w:rPr>
          <w:b/>
          <w:sz w:val="23"/>
          <w:szCs w:val="23"/>
        </w:rPr>
        <w:t>contabilità nazionale</w:t>
      </w:r>
      <w:r w:rsidRPr="00533112">
        <w:rPr>
          <w:sz w:val="23"/>
          <w:szCs w:val="23"/>
        </w:rPr>
        <w:t xml:space="preserve">, </w:t>
      </w:r>
      <w:r w:rsidR="00485F1F" w:rsidRPr="00533112">
        <w:rPr>
          <w:sz w:val="23"/>
          <w:szCs w:val="23"/>
        </w:rPr>
        <w:t xml:space="preserve">l’Istat diffonde </w:t>
      </w:r>
      <w:r w:rsidR="002C3CFF">
        <w:rPr>
          <w:sz w:val="23"/>
          <w:szCs w:val="23"/>
        </w:rPr>
        <w:t>una scheda</w:t>
      </w:r>
      <w:r w:rsidR="00485F1F" w:rsidRPr="00533112">
        <w:rPr>
          <w:sz w:val="23"/>
          <w:szCs w:val="23"/>
        </w:rPr>
        <w:t xml:space="preserve"> </w:t>
      </w:r>
      <w:r w:rsidR="002C3CFF">
        <w:rPr>
          <w:sz w:val="23"/>
          <w:szCs w:val="23"/>
        </w:rPr>
        <w:t>di indicatori medi di</w:t>
      </w:r>
      <w:r w:rsidR="002C3CFF" w:rsidRPr="00533112">
        <w:rPr>
          <w:sz w:val="23"/>
          <w:szCs w:val="23"/>
        </w:rPr>
        <w:t xml:space="preserve"> </w:t>
      </w:r>
      <w:r w:rsidR="00485F1F" w:rsidRPr="00533112">
        <w:rPr>
          <w:sz w:val="23"/>
          <w:szCs w:val="23"/>
        </w:rPr>
        <w:t>revision</w:t>
      </w:r>
      <w:r w:rsidR="002C3CFF">
        <w:rPr>
          <w:sz w:val="23"/>
          <w:szCs w:val="23"/>
        </w:rPr>
        <w:t xml:space="preserve">e </w:t>
      </w:r>
      <w:r w:rsidR="00BB1B09" w:rsidRPr="00533112">
        <w:rPr>
          <w:sz w:val="23"/>
          <w:szCs w:val="23"/>
        </w:rPr>
        <w:t>assieme al</w:t>
      </w:r>
      <w:r w:rsidR="002C3CFF">
        <w:rPr>
          <w:sz w:val="23"/>
          <w:szCs w:val="23"/>
        </w:rPr>
        <w:t xml:space="preserve"> triangolo del</w:t>
      </w:r>
      <w:r w:rsidR="00BB1B09" w:rsidRPr="00533112">
        <w:rPr>
          <w:sz w:val="23"/>
          <w:szCs w:val="23"/>
        </w:rPr>
        <w:t xml:space="preserve">le </w:t>
      </w:r>
      <w:r w:rsidRPr="00533112">
        <w:rPr>
          <w:sz w:val="23"/>
          <w:szCs w:val="23"/>
        </w:rPr>
        <w:t xml:space="preserve">stime </w:t>
      </w:r>
      <w:r w:rsidR="00BB1B09" w:rsidRPr="00533112">
        <w:rPr>
          <w:sz w:val="23"/>
          <w:szCs w:val="23"/>
        </w:rPr>
        <w:t>de</w:t>
      </w:r>
      <w:r w:rsidR="00485F1F" w:rsidRPr="00533112">
        <w:rPr>
          <w:sz w:val="23"/>
          <w:szCs w:val="23"/>
        </w:rPr>
        <w:t xml:space="preserve">i principali aggregati trimestrali (PIL, importazioni, esportazioni, consumi delle famiglie, consumi della PA e delle ISP, investimenti fissi lordi) espressi in valori concatenati e destagionalizzati. </w:t>
      </w:r>
      <w:r w:rsidR="00806523" w:rsidRPr="00533112">
        <w:rPr>
          <w:sz w:val="23"/>
          <w:szCs w:val="23"/>
        </w:rPr>
        <w:t xml:space="preserve">Ad una prima stima preliminare pubblicata circa </w:t>
      </w:r>
      <w:r w:rsidR="001A5FDC" w:rsidRPr="00533112">
        <w:rPr>
          <w:sz w:val="23"/>
          <w:szCs w:val="23"/>
        </w:rPr>
        <w:t xml:space="preserve">30 </w:t>
      </w:r>
      <w:r w:rsidR="00806523" w:rsidRPr="00533112">
        <w:rPr>
          <w:sz w:val="23"/>
          <w:szCs w:val="23"/>
        </w:rPr>
        <w:t xml:space="preserve">giorni </w:t>
      </w:r>
      <w:r w:rsidR="00D53570" w:rsidRPr="00533112">
        <w:rPr>
          <w:sz w:val="23"/>
          <w:szCs w:val="23"/>
        </w:rPr>
        <w:t xml:space="preserve">(fino al 2017:4 veniva pubblicata 45 giorni) </w:t>
      </w:r>
      <w:r w:rsidR="00806523" w:rsidRPr="00533112">
        <w:rPr>
          <w:sz w:val="23"/>
          <w:szCs w:val="23"/>
        </w:rPr>
        <w:t xml:space="preserve">dopo la fine del periodo </w:t>
      </w:r>
      <w:r w:rsidR="001A63FF" w:rsidRPr="00533112">
        <w:rPr>
          <w:sz w:val="23"/>
          <w:szCs w:val="23"/>
        </w:rPr>
        <w:t xml:space="preserve">di riferimento </w:t>
      </w:r>
      <w:r w:rsidR="00806523" w:rsidRPr="00533112">
        <w:rPr>
          <w:sz w:val="23"/>
          <w:szCs w:val="23"/>
        </w:rPr>
        <w:t xml:space="preserve">(basata su circa il 55% del database completo) </w:t>
      </w:r>
      <w:r w:rsidR="001A63FF" w:rsidRPr="00533112">
        <w:rPr>
          <w:sz w:val="23"/>
          <w:szCs w:val="23"/>
        </w:rPr>
        <w:t>segue una prima stima “ufficiale”</w:t>
      </w:r>
      <w:r w:rsidR="00806523" w:rsidRPr="00533112">
        <w:rPr>
          <w:sz w:val="23"/>
          <w:szCs w:val="23"/>
        </w:rPr>
        <w:t xml:space="preserve"> </w:t>
      </w:r>
      <w:r w:rsidR="001A63FF" w:rsidRPr="00533112">
        <w:rPr>
          <w:sz w:val="23"/>
          <w:szCs w:val="23"/>
        </w:rPr>
        <w:t xml:space="preserve">circa </w:t>
      </w:r>
      <w:r w:rsidR="001A5FDC" w:rsidRPr="00533112">
        <w:rPr>
          <w:sz w:val="23"/>
          <w:szCs w:val="23"/>
        </w:rPr>
        <w:t>6</w:t>
      </w:r>
      <w:r w:rsidR="001A63FF" w:rsidRPr="00533112">
        <w:rPr>
          <w:sz w:val="23"/>
          <w:szCs w:val="23"/>
        </w:rPr>
        <w:t>0 giorni dopo la f</w:t>
      </w:r>
      <w:r w:rsidRPr="00533112">
        <w:rPr>
          <w:sz w:val="23"/>
          <w:szCs w:val="23"/>
        </w:rPr>
        <w:t>ine del periodo di riferimento (</w:t>
      </w:r>
      <w:r w:rsidR="001A63FF" w:rsidRPr="00533112">
        <w:rPr>
          <w:sz w:val="23"/>
          <w:szCs w:val="23"/>
        </w:rPr>
        <w:t xml:space="preserve">basata su circa il 90% del database), e poi altre stime fino all’ultima definitiva che arriva tre anni dopo. </w:t>
      </w:r>
      <w:r w:rsidR="00485F1F" w:rsidRPr="00533112">
        <w:rPr>
          <w:sz w:val="23"/>
          <w:szCs w:val="23"/>
        </w:rPr>
        <w:t xml:space="preserve">I triangoli sono </w:t>
      </w:r>
      <w:r w:rsidR="00485F1F" w:rsidRPr="00533112">
        <w:rPr>
          <w:color w:val="auto"/>
          <w:sz w:val="23"/>
          <w:szCs w:val="23"/>
        </w:rPr>
        <w:t xml:space="preserve">disponibili </w:t>
      </w:r>
      <w:r w:rsidRPr="00533112">
        <w:rPr>
          <w:color w:val="auto"/>
          <w:sz w:val="23"/>
          <w:szCs w:val="23"/>
        </w:rPr>
        <w:t>sul sito Istat</w:t>
      </w:r>
      <w:r w:rsidRPr="00533112">
        <w:rPr>
          <w:b/>
          <w:color w:val="auto"/>
          <w:sz w:val="23"/>
          <w:szCs w:val="23"/>
        </w:rPr>
        <w:t xml:space="preserve"> </w:t>
      </w:r>
      <w:r w:rsidR="00485F1F" w:rsidRPr="00533112">
        <w:rPr>
          <w:sz w:val="23"/>
          <w:szCs w:val="23"/>
        </w:rPr>
        <w:t xml:space="preserve">per le stime concatenate in livello (espresse in milioni di euro con anno di riferimento </w:t>
      </w:r>
      <w:r w:rsidR="001A5FDC" w:rsidRPr="00533112">
        <w:rPr>
          <w:sz w:val="23"/>
          <w:szCs w:val="23"/>
        </w:rPr>
        <w:t>2015</w:t>
      </w:r>
      <w:r w:rsidR="00485F1F" w:rsidRPr="00533112">
        <w:rPr>
          <w:sz w:val="23"/>
          <w:szCs w:val="23"/>
        </w:rPr>
        <w:t>). Gli indicatori di revisione sono calcolati sulle variazioni congiunturali e tendenziali.</w:t>
      </w:r>
    </w:p>
    <w:p w14:paraId="762F2D54" w14:textId="77777777" w:rsidR="002172A8" w:rsidRDefault="002172A8" w:rsidP="00485F1F">
      <w:pPr>
        <w:pStyle w:val="Default"/>
        <w:jc w:val="both"/>
        <w:rPr>
          <w:sz w:val="23"/>
          <w:szCs w:val="23"/>
          <w:highlight w:val="yellow"/>
        </w:rPr>
      </w:pPr>
    </w:p>
    <w:p w14:paraId="0AEAD559" w14:textId="54B89507" w:rsidR="005F1D00" w:rsidRPr="005F1D00" w:rsidRDefault="005F1D00" w:rsidP="005F1D00">
      <w:pPr>
        <w:pStyle w:val="Default"/>
        <w:jc w:val="both"/>
        <w:rPr>
          <w:sz w:val="23"/>
          <w:szCs w:val="23"/>
        </w:rPr>
      </w:pPr>
      <w:r w:rsidRPr="005F1D00">
        <w:rPr>
          <w:sz w:val="23"/>
          <w:szCs w:val="23"/>
        </w:rPr>
        <w:t xml:space="preserve">Per </w:t>
      </w:r>
      <w:r>
        <w:rPr>
          <w:sz w:val="23"/>
          <w:szCs w:val="23"/>
        </w:rPr>
        <w:t xml:space="preserve">quanto riguarda in particolare </w:t>
      </w:r>
      <w:r w:rsidRPr="005F1D00">
        <w:rPr>
          <w:sz w:val="23"/>
          <w:szCs w:val="23"/>
        </w:rPr>
        <w:t>i conti economici trimestrali</w:t>
      </w:r>
      <w:r>
        <w:rPr>
          <w:sz w:val="23"/>
          <w:szCs w:val="23"/>
        </w:rPr>
        <w:t>,</w:t>
      </w:r>
      <w:r w:rsidRPr="005F1D00">
        <w:rPr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 w:rsidRPr="005F1D00">
        <w:rPr>
          <w:sz w:val="23"/>
          <w:szCs w:val="23"/>
        </w:rPr>
        <w:t>’ISTAT adotta una specifica politica di revisione, che è del tutto allineata con le raccomandazione europee</w:t>
      </w:r>
      <w:r w:rsidR="00815D27">
        <w:rPr>
          <w:sz w:val="23"/>
          <w:szCs w:val="23"/>
        </w:rPr>
        <w:t xml:space="preserve"> e internazionali</w:t>
      </w:r>
      <w:r w:rsidRPr="005F1D00">
        <w:rPr>
          <w:sz w:val="23"/>
          <w:szCs w:val="23"/>
        </w:rPr>
        <w:t xml:space="preserve"> (</w:t>
      </w:r>
      <w:r>
        <w:rPr>
          <w:sz w:val="23"/>
          <w:szCs w:val="23"/>
        </w:rPr>
        <w:t>si veda</w:t>
      </w:r>
      <w:r w:rsidR="00815D27">
        <w:rPr>
          <w:sz w:val="23"/>
          <w:szCs w:val="23"/>
        </w:rPr>
        <w:t>no</w:t>
      </w:r>
      <w:r>
        <w:rPr>
          <w:sz w:val="23"/>
          <w:szCs w:val="23"/>
        </w:rPr>
        <w:t xml:space="preserve">: </w:t>
      </w:r>
      <w:hyperlink r:id="rId10" w:history="1">
        <w:r w:rsidR="00815D27" w:rsidRPr="003A2DBA">
          <w:rPr>
            <w:rStyle w:val="Collegamentoipertestuale"/>
            <w:sz w:val="23"/>
            <w:szCs w:val="23"/>
          </w:rPr>
          <w:t>https://circabc.europa.eu/sd/a/370b7c25-142d-40df-8397-248289a03bac/2017-10-13%20-%20CMFB%20Communication%20on%20common%20revision%20policies.pdf</w:t>
        </w:r>
      </w:hyperlink>
      <w:r w:rsidR="00815D27">
        <w:rPr>
          <w:sz w:val="23"/>
          <w:szCs w:val="23"/>
        </w:rPr>
        <w:t xml:space="preserve"> e </w:t>
      </w:r>
      <w:hyperlink r:id="rId11" w:history="1">
        <w:r w:rsidR="00DF2D61" w:rsidRPr="003A2DBA">
          <w:rPr>
            <w:rStyle w:val="Collegamentoipertestuale"/>
            <w:sz w:val="23"/>
            <w:szCs w:val="23"/>
          </w:rPr>
          <w:t>https://stats.oecd.org/Index.aspx?DataSetCode=MEI_ARCHIVE</w:t>
        </w:r>
      </w:hyperlink>
      <w:r w:rsidRPr="005F1D00">
        <w:rPr>
          <w:sz w:val="23"/>
          <w:szCs w:val="23"/>
        </w:rPr>
        <w:t>)</w:t>
      </w:r>
      <w:r w:rsidRPr="005F1D00">
        <w:t xml:space="preserve"> </w:t>
      </w:r>
      <w:r w:rsidRPr="005F1D00">
        <w:rPr>
          <w:sz w:val="23"/>
          <w:szCs w:val="23"/>
        </w:rPr>
        <w:t>per quanto attiene al ciclo delle “</w:t>
      </w:r>
      <w:r w:rsidRPr="00533112">
        <w:rPr>
          <w:b/>
          <w:sz w:val="23"/>
          <w:szCs w:val="23"/>
        </w:rPr>
        <w:t>revisioni ordinarie</w:t>
      </w:r>
      <w:r w:rsidRPr="005F1D00">
        <w:rPr>
          <w:sz w:val="23"/>
          <w:szCs w:val="23"/>
        </w:rPr>
        <w:t>”, cioè quelle</w:t>
      </w:r>
      <w:r>
        <w:rPr>
          <w:sz w:val="23"/>
          <w:szCs w:val="23"/>
        </w:rPr>
        <w:t xml:space="preserve"> che derivano dal regolare</w:t>
      </w:r>
      <w:r w:rsidRPr="005F1D00">
        <w:rPr>
          <w:sz w:val="23"/>
          <w:szCs w:val="23"/>
        </w:rPr>
        <w:t xml:space="preserve"> aggiornamento </w:t>
      </w:r>
      <w:r>
        <w:rPr>
          <w:sz w:val="23"/>
          <w:szCs w:val="23"/>
        </w:rPr>
        <w:t xml:space="preserve">alla luce </w:t>
      </w:r>
      <w:r w:rsidRPr="005F1D00">
        <w:rPr>
          <w:sz w:val="23"/>
          <w:szCs w:val="23"/>
        </w:rPr>
        <w:t>dei dati più recenti relativi agli indicat</w:t>
      </w:r>
      <w:r>
        <w:rPr>
          <w:sz w:val="23"/>
          <w:szCs w:val="23"/>
        </w:rPr>
        <w:t xml:space="preserve">ori utilizzati. </w:t>
      </w:r>
      <w:r w:rsidRPr="005F1D00">
        <w:rPr>
          <w:sz w:val="23"/>
          <w:szCs w:val="23"/>
        </w:rPr>
        <w:t xml:space="preserve">Si definiscono, invece, </w:t>
      </w:r>
      <w:r>
        <w:rPr>
          <w:sz w:val="23"/>
          <w:szCs w:val="23"/>
        </w:rPr>
        <w:t>“</w:t>
      </w:r>
      <w:r w:rsidRPr="00533112">
        <w:rPr>
          <w:b/>
          <w:sz w:val="23"/>
          <w:szCs w:val="23"/>
        </w:rPr>
        <w:t>revisioni straordinarie</w:t>
      </w:r>
      <w:r>
        <w:rPr>
          <w:sz w:val="23"/>
          <w:szCs w:val="23"/>
        </w:rPr>
        <w:t>”</w:t>
      </w:r>
      <w:r w:rsidRPr="005F1D00">
        <w:rPr>
          <w:sz w:val="23"/>
          <w:szCs w:val="23"/>
        </w:rPr>
        <w:t xml:space="preserve"> quelle che avvengono</w:t>
      </w:r>
      <w:r w:rsidR="00DF2D61">
        <w:rPr>
          <w:sz w:val="23"/>
          <w:szCs w:val="23"/>
        </w:rPr>
        <w:t xml:space="preserve"> ogni 5 anni</w:t>
      </w:r>
      <w:r w:rsidRPr="005F1D00">
        <w:rPr>
          <w:sz w:val="23"/>
          <w:szCs w:val="23"/>
        </w:rPr>
        <w:t xml:space="preserve"> a seguito di modifiche più ampie e che toccano l’intera serie storica delle stime, come nel caso delle revisioni gener</w:t>
      </w:r>
      <w:r>
        <w:rPr>
          <w:sz w:val="23"/>
          <w:szCs w:val="23"/>
        </w:rPr>
        <w:t>ali della contabilità nazionale</w:t>
      </w:r>
      <w:r w:rsidRPr="005F1D00">
        <w:rPr>
          <w:sz w:val="23"/>
          <w:szCs w:val="23"/>
        </w:rPr>
        <w:t xml:space="preserve"> effettuate per incorporare </w:t>
      </w:r>
      <w:r>
        <w:rPr>
          <w:sz w:val="23"/>
          <w:szCs w:val="23"/>
        </w:rPr>
        <w:t xml:space="preserve">nuove definizioni, </w:t>
      </w:r>
      <w:r w:rsidRPr="005F1D00">
        <w:rPr>
          <w:sz w:val="23"/>
          <w:szCs w:val="23"/>
        </w:rPr>
        <w:t>miglioramenti delle fonti e dei metodi.</w:t>
      </w:r>
      <w:r w:rsidR="00D53570">
        <w:rPr>
          <w:sz w:val="23"/>
          <w:szCs w:val="23"/>
        </w:rPr>
        <w:t xml:space="preserve"> </w:t>
      </w:r>
      <w:r w:rsidR="002637B1">
        <w:rPr>
          <w:sz w:val="23"/>
          <w:szCs w:val="23"/>
        </w:rPr>
        <w:t xml:space="preserve">Le revisioni straordinarie avvengono con cadenza quinquennale. </w:t>
      </w:r>
      <w:r w:rsidR="002637B1">
        <w:rPr>
          <w:sz w:val="23"/>
          <w:szCs w:val="23"/>
        </w:rPr>
        <w:lastRenderedPageBreak/>
        <w:t>Ad esempio, nel 2014 si è passati dalle definizioni SEC 1995 alle definizioni SEC 2010. L’ultima rev</w:t>
      </w:r>
      <w:r w:rsidR="00533112">
        <w:rPr>
          <w:sz w:val="23"/>
          <w:szCs w:val="23"/>
        </w:rPr>
        <w:t>isione straordinaria è avvenu</w:t>
      </w:r>
      <w:r w:rsidR="002637B1">
        <w:rPr>
          <w:sz w:val="23"/>
          <w:szCs w:val="23"/>
        </w:rPr>
        <w:t>ta nell’ottobre 2019.</w:t>
      </w:r>
      <w:r w:rsidR="00D53570">
        <w:rPr>
          <w:sz w:val="23"/>
          <w:szCs w:val="23"/>
        </w:rPr>
        <w:t xml:space="preserve"> </w:t>
      </w:r>
    </w:p>
    <w:p w14:paraId="6E07651C" w14:textId="77777777" w:rsidR="005F1D00" w:rsidRDefault="005F1D00" w:rsidP="005F1D00">
      <w:pPr>
        <w:pStyle w:val="Default"/>
        <w:jc w:val="both"/>
        <w:rPr>
          <w:sz w:val="23"/>
          <w:szCs w:val="23"/>
        </w:rPr>
      </w:pPr>
    </w:p>
    <w:p w14:paraId="2CBEE2B4" w14:textId="77777777" w:rsidR="005F1D00" w:rsidRDefault="005F1D00" w:rsidP="005F1D00">
      <w:pPr>
        <w:pStyle w:val="Default"/>
        <w:jc w:val="both"/>
        <w:rPr>
          <w:sz w:val="23"/>
          <w:szCs w:val="23"/>
        </w:rPr>
      </w:pPr>
      <w:r w:rsidRPr="005F1D00">
        <w:rPr>
          <w:sz w:val="23"/>
          <w:szCs w:val="23"/>
        </w:rPr>
        <w:t xml:space="preserve">La Scheda informativa e </w:t>
      </w:r>
      <w:r w:rsidR="00E647C8">
        <w:rPr>
          <w:sz w:val="23"/>
          <w:szCs w:val="23"/>
        </w:rPr>
        <w:t xml:space="preserve">il </w:t>
      </w:r>
      <w:r w:rsidRPr="005F1D00">
        <w:rPr>
          <w:sz w:val="23"/>
          <w:szCs w:val="23"/>
        </w:rPr>
        <w:t>calendario delle revisioni dei conti trimestrali dis</w:t>
      </w:r>
      <w:r w:rsidR="00533112">
        <w:rPr>
          <w:sz w:val="23"/>
          <w:szCs w:val="23"/>
        </w:rPr>
        <w:t>ponibile sul sito Istat descrivono</w:t>
      </w:r>
      <w:r w:rsidRPr="005F1D00">
        <w:rPr>
          <w:sz w:val="23"/>
          <w:szCs w:val="23"/>
        </w:rPr>
        <w:t xml:space="preserve"> l’orizzonte temporale delle revisioni ordinarie sia rispetto al periodo di riferimento, sia al tipo di stima. </w:t>
      </w:r>
      <w:r w:rsidR="00533112">
        <w:rPr>
          <w:sz w:val="23"/>
          <w:szCs w:val="23"/>
        </w:rPr>
        <w:t xml:space="preserve">Queste informazioni sono sintetizzate nel </w:t>
      </w:r>
      <w:r w:rsidRPr="005F1D00">
        <w:rPr>
          <w:sz w:val="23"/>
          <w:szCs w:val="23"/>
        </w:rPr>
        <w:t xml:space="preserve">prospetto </w:t>
      </w:r>
      <w:r w:rsidR="00533112">
        <w:rPr>
          <w:sz w:val="23"/>
          <w:szCs w:val="23"/>
        </w:rPr>
        <w:t xml:space="preserve">qui sotto. </w:t>
      </w:r>
    </w:p>
    <w:p w14:paraId="320BCCDD" w14:textId="77777777" w:rsidR="005F1D00" w:rsidRPr="005F1D00" w:rsidRDefault="005F1D00" w:rsidP="005F1D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</w:pPr>
    </w:p>
    <w:p w14:paraId="09BEF9FA" w14:textId="40F1649D" w:rsidR="005F1D00" w:rsidRPr="005F1D00" w:rsidRDefault="001A3034" w:rsidP="00B826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 xml:space="preserve"> </w:t>
      </w:r>
      <w:r w:rsidR="00533112" w:rsidRPr="00533112"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 xml:space="preserve">PIL trimestrale: </w:t>
      </w:r>
      <w:r w:rsidR="00F57AC3"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>N° trimestri oggetto d</w:t>
      </w:r>
      <w:r w:rsidR="00A95AEF"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>i</w:t>
      </w:r>
      <w:r w:rsidR="00B826E0" w:rsidRPr="00533112"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 xml:space="preserve"> Revision</w:t>
      </w:r>
      <w:r w:rsidR="00A95AEF">
        <w:rPr>
          <w:rFonts w:ascii="Trebuchet MS" w:eastAsia="Times New Roman" w:hAnsi="Trebuchet MS" w:cs="Times New Roman"/>
          <w:color w:val="0033FF"/>
          <w:sz w:val="24"/>
          <w:szCs w:val="24"/>
          <w:lang w:eastAsia="it-IT"/>
        </w:rPr>
        <w:t>e</w:t>
      </w:r>
    </w:p>
    <w:tbl>
      <w:tblPr>
        <w:tblW w:w="5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289"/>
        <w:gridCol w:w="1161"/>
        <w:gridCol w:w="2273"/>
      </w:tblGrid>
      <w:tr w:rsidR="005F1D00" w:rsidRPr="005F1D00" w14:paraId="092C0978" w14:textId="77777777" w:rsidTr="00B826E0">
        <w:trPr>
          <w:trHeight w:val="1800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9E28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Ultimo trimestre di stima</w:t>
            </w:r>
          </w:p>
        </w:tc>
        <w:tc>
          <w:tcPr>
            <w:tcW w:w="12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4975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Stima preliminare del Pil con rilascio a T+30</w:t>
            </w:r>
          </w:p>
        </w:tc>
        <w:tc>
          <w:tcPr>
            <w:tcW w:w="11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010C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Stima completa con rilascio a T+60</w:t>
            </w:r>
          </w:p>
        </w:tc>
        <w:tc>
          <w:tcPr>
            <w:tcW w:w="2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E048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Stima completa con rilascio a T+90</w:t>
            </w:r>
          </w:p>
        </w:tc>
      </w:tr>
      <w:tr w:rsidR="005F1D00" w:rsidRPr="005F1D00" w14:paraId="2DF0018B" w14:textId="77777777" w:rsidTr="00B826E0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0154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F151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AFBA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63CA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5F1D00" w:rsidRPr="005F1D00" w14:paraId="28B98B5C" w14:textId="77777777" w:rsidTr="00B826E0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FE12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EACD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BAD3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1056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intera serie storica</w:t>
            </w:r>
          </w:p>
        </w:tc>
      </w:tr>
      <w:tr w:rsidR="005F1D00" w:rsidRPr="005F1D00" w14:paraId="6961CE61" w14:textId="77777777" w:rsidTr="00B826E0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1346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4FE1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3080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561A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5F1D00" w:rsidRPr="005F1D00" w14:paraId="09A37229" w14:textId="77777777" w:rsidTr="00B826E0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3C26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60A3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1719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D14F" w14:textId="77777777" w:rsidR="005F1D00" w:rsidRPr="005F1D00" w:rsidRDefault="005F1D00" w:rsidP="00B826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5F1D00"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  <w:t>-</w:t>
            </w:r>
          </w:p>
        </w:tc>
      </w:tr>
    </w:tbl>
    <w:p w14:paraId="5E5F33AF" w14:textId="77777777" w:rsidR="002637B1" w:rsidRDefault="002637B1" w:rsidP="005F1D00">
      <w:pPr>
        <w:pStyle w:val="Default"/>
        <w:jc w:val="both"/>
        <w:rPr>
          <w:sz w:val="23"/>
          <w:szCs w:val="23"/>
          <w:highlight w:val="yellow"/>
        </w:rPr>
      </w:pPr>
    </w:p>
    <w:p w14:paraId="054EA189" w14:textId="3F6761C5" w:rsidR="009F064A" w:rsidRDefault="002637B1" w:rsidP="005F1D00">
      <w:pPr>
        <w:pStyle w:val="Default"/>
        <w:jc w:val="both"/>
        <w:rPr>
          <w:sz w:val="23"/>
          <w:szCs w:val="23"/>
          <w:highlight w:val="yellow"/>
        </w:rPr>
      </w:pPr>
      <w:r w:rsidRPr="00533112">
        <w:rPr>
          <w:sz w:val="23"/>
          <w:szCs w:val="23"/>
        </w:rPr>
        <w:t>Nella prima colonna è indicato il trimestre oggetto della prima stima “flash” T+30. Ad esempio, il 30 di aprile del 2022 è uscita la stima preliminare T+30 del primo trimestre 2022. Nella seconda colonna il numero 16 indica il numero di trimestri il cui dato, andando all’indietro, viene</w:t>
      </w:r>
      <w:r w:rsidR="00533112">
        <w:rPr>
          <w:sz w:val="23"/>
          <w:szCs w:val="23"/>
        </w:rPr>
        <w:t xml:space="preserve"> anche</w:t>
      </w:r>
      <w:r w:rsidRPr="00533112">
        <w:rPr>
          <w:sz w:val="23"/>
          <w:szCs w:val="23"/>
        </w:rPr>
        <w:t xml:space="preserve"> rivisto</w:t>
      </w:r>
      <w:r w:rsidR="00D01B05" w:rsidRPr="00533112">
        <w:rPr>
          <w:sz w:val="23"/>
          <w:szCs w:val="23"/>
        </w:rPr>
        <w:t xml:space="preserve"> il 30/4/22: la </w:t>
      </w:r>
      <w:r w:rsidR="00533112">
        <w:rPr>
          <w:sz w:val="23"/>
          <w:szCs w:val="23"/>
        </w:rPr>
        <w:t>r</w:t>
      </w:r>
      <w:r w:rsidR="00D01B05" w:rsidRPr="00533112">
        <w:rPr>
          <w:sz w:val="23"/>
          <w:szCs w:val="23"/>
        </w:rPr>
        <w:t xml:space="preserve">evisione </w:t>
      </w:r>
      <w:r w:rsidR="00533112">
        <w:rPr>
          <w:sz w:val="23"/>
          <w:szCs w:val="23"/>
        </w:rPr>
        <w:t>investe</w:t>
      </w:r>
      <w:r w:rsidR="00D01B05" w:rsidRPr="00533112">
        <w:rPr>
          <w:sz w:val="23"/>
          <w:szCs w:val="23"/>
        </w:rPr>
        <w:t xml:space="preserve"> tutto il periodo 2018-2022. Analogamente, la terza col. </w:t>
      </w:r>
      <w:r w:rsidR="00533112">
        <w:rPr>
          <w:sz w:val="23"/>
          <w:szCs w:val="23"/>
        </w:rPr>
        <w:t>i</w:t>
      </w:r>
      <w:r w:rsidR="00D01B05" w:rsidRPr="00533112">
        <w:rPr>
          <w:sz w:val="23"/>
          <w:szCs w:val="23"/>
        </w:rPr>
        <w:t xml:space="preserve">ndica che, in concomitanza con la stima T+60 relativa al PIL del 1° trimestre 2022, il 30 </w:t>
      </w:r>
      <w:r w:rsidR="00603956">
        <w:rPr>
          <w:sz w:val="23"/>
          <w:szCs w:val="23"/>
        </w:rPr>
        <w:t>magg</w:t>
      </w:r>
      <w:r w:rsidR="00D01B05" w:rsidRPr="00533112">
        <w:rPr>
          <w:sz w:val="23"/>
          <w:szCs w:val="23"/>
        </w:rPr>
        <w:t>io esce u</w:t>
      </w:r>
      <w:r w:rsidR="00F60284" w:rsidRPr="00533112">
        <w:rPr>
          <w:sz w:val="23"/>
          <w:szCs w:val="23"/>
        </w:rPr>
        <w:t>n</w:t>
      </w:r>
      <w:r w:rsidR="00D01B05" w:rsidRPr="00533112">
        <w:rPr>
          <w:sz w:val="23"/>
          <w:szCs w:val="23"/>
        </w:rPr>
        <w:t>a nuova revisione del PIL</w:t>
      </w:r>
      <w:r w:rsidR="00F60284" w:rsidRPr="00533112">
        <w:rPr>
          <w:sz w:val="23"/>
          <w:szCs w:val="23"/>
        </w:rPr>
        <w:t xml:space="preserve"> </w:t>
      </w:r>
      <w:r w:rsidR="00D01B05" w:rsidRPr="00533112">
        <w:rPr>
          <w:sz w:val="23"/>
          <w:szCs w:val="23"/>
        </w:rPr>
        <w:t>dei 16 trimestri precedenti. La quarta colonna indica che</w:t>
      </w:r>
      <w:r w:rsidR="00F60284" w:rsidRPr="00533112">
        <w:rPr>
          <w:sz w:val="23"/>
          <w:szCs w:val="23"/>
        </w:rPr>
        <w:t>:</w:t>
      </w:r>
      <w:r w:rsidR="00D01B05" w:rsidRPr="00533112">
        <w:rPr>
          <w:sz w:val="23"/>
          <w:szCs w:val="23"/>
        </w:rPr>
        <w:t xml:space="preserve"> con riferimento al dato del 2° trimestre, oltre alle consuete stime T+30 (del 30 luglio) e T+60 (del 30 agosto), il 30 settembre esce una stima T+90</w:t>
      </w:r>
      <w:r w:rsidR="00F60284" w:rsidRPr="00533112">
        <w:rPr>
          <w:sz w:val="23"/>
          <w:szCs w:val="23"/>
        </w:rPr>
        <w:t>;</w:t>
      </w:r>
      <w:r w:rsidR="00D01B05" w:rsidRPr="00533112">
        <w:rPr>
          <w:sz w:val="23"/>
          <w:szCs w:val="23"/>
        </w:rPr>
        <w:t xml:space="preserve"> </w:t>
      </w:r>
      <w:r w:rsidR="00955FB5" w:rsidRPr="00533112">
        <w:rPr>
          <w:sz w:val="23"/>
          <w:szCs w:val="23"/>
        </w:rPr>
        <w:t xml:space="preserve">a </w:t>
      </w:r>
      <w:r w:rsidR="00F60284" w:rsidRPr="00533112">
        <w:rPr>
          <w:sz w:val="23"/>
          <w:szCs w:val="23"/>
        </w:rPr>
        <w:t>questa</w:t>
      </w:r>
      <w:r w:rsidR="00955FB5" w:rsidRPr="00533112">
        <w:rPr>
          <w:sz w:val="23"/>
          <w:szCs w:val="23"/>
        </w:rPr>
        <w:t xml:space="preserve"> si aggiungono una revisione dei dati </w:t>
      </w:r>
      <w:r w:rsidR="00955FB5" w:rsidRPr="00533112">
        <w:rPr>
          <w:i/>
          <w:sz w:val="23"/>
          <w:szCs w:val="23"/>
        </w:rPr>
        <w:t>annuali</w:t>
      </w:r>
      <w:r w:rsidR="00955FB5" w:rsidRPr="00533112">
        <w:rPr>
          <w:sz w:val="23"/>
          <w:szCs w:val="23"/>
        </w:rPr>
        <w:t xml:space="preserve"> degli anni 2018-</w:t>
      </w:r>
      <w:r w:rsidR="00D01B05" w:rsidRPr="00533112">
        <w:rPr>
          <w:sz w:val="23"/>
          <w:szCs w:val="23"/>
        </w:rPr>
        <w:t>2021</w:t>
      </w:r>
      <w:r w:rsidR="00EF4CDC">
        <w:rPr>
          <w:sz w:val="23"/>
          <w:szCs w:val="23"/>
        </w:rPr>
        <w:t xml:space="preserve"> </w:t>
      </w:r>
      <w:r w:rsidR="00D01B05" w:rsidRPr="00533112">
        <w:rPr>
          <w:sz w:val="23"/>
          <w:szCs w:val="23"/>
        </w:rPr>
        <w:t>e</w:t>
      </w:r>
      <w:r w:rsidR="00F60284" w:rsidRPr="00533112">
        <w:rPr>
          <w:sz w:val="23"/>
          <w:szCs w:val="23"/>
        </w:rPr>
        <w:t xml:space="preserve"> u</w:t>
      </w:r>
      <w:r w:rsidR="00D01B05" w:rsidRPr="00533112">
        <w:rPr>
          <w:sz w:val="23"/>
          <w:szCs w:val="23"/>
        </w:rPr>
        <w:t>n</w:t>
      </w:r>
      <w:r w:rsidR="00F60284" w:rsidRPr="00533112">
        <w:rPr>
          <w:sz w:val="23"/>
          <w:szCs w:val="23"/>
        </w:rPr>
        <w:t>a</w:t>
      </w:r>
      <w:r w:rsidR="00D01B05" w:rsidRPr="00533112">
        <w:rPr>
          <w:sz w:val="23"/>
          <w:szCs w:val="23"/>
        </w:rPr>
        <w:t xml:space="preserve"> r</w:t>
      </w:r>
      <w:r w:rsidR="00EF4CDC">
        <w:rPr>
          <w:sz w:val="23"/>
          <w:szCs w:val="23"/>
        </w:rPr>
        <w:t>e</w:t>
      </w:r>
      <w:r w:rsidR="00D01B05" w:rsidRPr="00533112">
        <w:rPr>
          <w:sz w:val="23"/>
          <w:szCs w:val="23"/>
        </w:rPr>
        <w:t>vis</w:t>
      </w:r>
      <w:r w:rsidR="00F60284" w:rsidRPr="00533112">
        <w:rPr>
          <w:sz w:val="23"/>
          <w:szCs w:val="23"/>
        </w:rPr>
        <w:t>ione</w:t>
      </w:r>
      <w:r w:rsidR="00D01B05" w:rsidRPr="00533112">
        <w:rPr>
          <w:sz w:val="23"/>
          <w:szCs w:val="23"/>
        </w:rPr>
        <w:t xml:space="preserve"> </w:t>
      </w:r>
      <w:r w:rsidR="00F60284" w:rsidRPr="00533112">
        <w:rPr>
          <w:sz w:val="23"/>
          <w:szCs w:val="23"/>
        </w:rPr>
        <w:t>del</w:t>
      </w:r>
      <w:r w:rsidR="00D01B05" w:rsidRPr="00533112">
        <w:rPr>
          <w:sz w:val="23"/>
          <w:szCs w:val="23"/>
        </w:rPr>
        <w:t>l’intera serie storica trimestrale (dal 1995 ad oggi).</w:t>
      </w:r>
      <w:r w:rsidR="00D01B05">
        <w:rPr>
          <w:sz w:val="23"/>
          <w:szCs w:val="23"/>
          <w:highlight w:val="yellow"/>
        </w:rPr>
        <w:t xml:space="preserve"> </w:t>
      </w:r>
      <w:r>
        <w:rPr>
          <w:sz w:val="23"/>
          <w:szCs w:val="23"/>
          <w:highlight w:val="yellow"/>
        </w:rPr>
        <w:t xml:space="preserve"> </w:t>
      </w:r>
    </w:p>
    <w:p w14:paraId="3BC357B7" w14:textId="77777777" w:rsidR="00955FB5" w:rsidRDefault="00955FB5" w:rsidP="005F1D00">
      <w:pPr>
        <w:pStyle w:val="Default"/>
        <w:jc w:val="both"/>
        <w:rPr>
          <w:sz w:val="23"/>
          <w:szCs w:val="23"/>
          <w:highlight w:val="yellow"/>
        </w:rPr>
      </w:pPr>
    </w:p>
    <w:p w14:paraId="5008D2EF" w14:textId="1AA52200" w:rsidR="00955FB5" w:rsidRPr="00F60284" w:rsidRDefault="00955FB5" w:rsidP="00955F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Sul sito dell’ISTAT, </w:t>
      </w:r>
      <w:r w:rsidRPr="00955FB5">
        <w:rPr>
          <w:sz w:val="23"/>
          <w:szCs w:val="23"/>
        </w:rPr>
        <w:t xml:space="preserve">al momento l'aggiornamento degli indicatori </w:t>
      </w:r>
      <w:r>
        <w:rPr>
          <w:sz w:val="23"/>
          <w:szCs w:val="23"/>
        </w:rPr>
        <w:t xml:space="preserve">“di qualità” delle revisioni </w:t>
      </w:r>
      <w:r w:rsidRPr="00955FB5">
        <w:rPr>
          <w:sz w:val="23"/>
          <w:szCs w:val="23"/>
        </w:rPr>
        <w:t xml:space="preserve">è fermo alla fine del 2021, </w:t>
      </w:r>
      <w:r>
        <w:rPr>
          <w:sz w:val="23"/>
          <w:szCs w:val="23"/>
        </w:rPr>
        <w:t>a causa dell’</w:t>
      </w:r>
      <w:r w:rsidRPr="00955FB5">
        <w:rPr>
          <w:sz w:val="23"/>
          <w:szCs w:val="23"/>
        </w:rPr>
        <w:t xml:space="preserve">adeguamento </w:t>
      </w:r>
      <w:r>
        <w:rPr>
          <w:sz w:val="23"/>
          <w:szCs w:val="23"/>
        </w:rPr>
        <w:t xml:space="preserve">in corso </w:t>
      </w:r>
      <w:r w:rsidRPr="00955FB5">
        <w:rPr>
          <w:sz w:val="23"/>
          <w:szCs w:val="23"/>
        </w:rPr>
        <w:t xml:space="preserve">della piattaforma </w:t>
      </w:r>
      <w:r>
        <w:rPr>
          <w:sz w:val="23"/>
          <w:szCs w:val="23"/>
        </w:rPr>
        <w:t xml:space="preserve">informatica </w:t>
      </w:r>
      <w:r w:rsidRPr="00955FB5">
        <w:rPr>
          <w:sz w:val="23"/>
          <w:szCs w:val="23"/>
        </w:rPr>
        <w:t>su cui opera il sito con</w:t>
      </w:r>
      <w:r>
        <w:rPr>
          <w:sz w:val="23"/>
          <w:szCs w:val="23"/>
        </w:rPr>
        <w:t xml:space="preserve">giuntura </w:t>
      </w:r>
      <w:proofErr w:type="spellStart"/>
      <w:r>
        <w:rPr>
          <w:sz w:val="23"/>
          <w:szCs w:val="23"/>
        </w:rPr>
        <w:t>I.Stat</w:t>
      </w:r>
      <w:proofErr w:type="spellEnd"/>
      <w:r>
        <w:rPr>
          <w:sz w:val="23"/>
          <w:szCs w:val="23"/>
        </w:rPr>
        <w:t xml:space="preserve"> (</w:t>
      </w:r>
      <w:r w:rsidRPr="00955FB5">
        <w:rPr>
          <w:sz w:val="23"/>
          <w:szCs w:val="23"/>
        </w:rPr>
        <w:t xml:space="preserve">che </w:t>
      </w:r>
      <w:r>
        <w:rPr>
          <w:sz w:val="23"/>
          <w:szCs w:val="23"/>
        </w:rPr>
        <w:t>alimenta</w:t>
      </w:r>
      <w:r w:rsidRPr="00955FB5">
        <w:rPr>
          <w:sz w:val="23"/>
          <w:szCs w:val="23"/>
        </w:rPr>
        <w:t xml:space="preserve"> i triangol</w:t>
      </w:r>
      <w:r>
        <w:rPr>
          <w:sz w:val="23"/>
          <w:szCs w:val="23"/>
        </w:rPr>
        <w:t>i).</w:t>
      </w:r>
      <w:r w:rsidR="00744682">
        <w:rPr>
          <w:sz w:val="23"/>
          <w:szCs w:val="23"/>
        </w:rPr>
        <w:t xml:space="preserve"> G</w:t>
      </w:r>
      <w:r w:rsidRPr="00955FB5">
        <w:rPr>
          <w:sz w:val="23"/>
          <w:szCs w:val="23"/>
        </w:rPr>
        <w:t xml:space="preserve">li aggiornamenti </w:t>
      </w:r>
      <w:r w:rsidR="00744682">
        <w:rPr>
          <w:sz w:val="23"/>
          <w:szCs w:val="23"/>
        </w:rPr>
        <w:t xml:space="preserve">dovrebbero riprendere a fine anno. </w:t>
      </w:r>
      <w:r w:rsidR="00744682" w:rsidRPr="00955FB5">
        <w:rPr>
          <w:sz w:val="23"/>
          <w:szCs w:val="23"/>
        </w:rPr>
        <w:t>D</w:t>
      </w:r>
      <w:r w:rsidRPr="00955FB5">
        <w:rPr>
          <w:sz w:val="23"/>
          <w:szCs w:val="23"/>
        </w:rPr>
        <w:t xml:space="preserve">a </w:t>
      </w:r>
      <w:proofErr w:type="spellStart"/>
      <w:r w:rsidRPr="00955FB5">
        <w:rPr>
          <w:sz w:val="23"/>
          <w:szCs w:val="23"/>
        </w:rPr>
        <w:t>I.stat</w:t>
      </w:r>
      <w:proofErr w:type="spellEnd"/>
      <w:r w:rsidRPr="00955FB5">
        <w:rPr>
          <w:sz w:val="23"/>
          <w:szCs w:val="23"/>
        </w:rPr>
        <w:t xml:space="preserve"> si possono </w:t>
      </w:r>
      <w:r w:rsidR="00744682">
        <w:rPr>
          <w:sz w:val="23"/>
          <w:szCs w:val="23"/>
        </w:rPr>
        <w:t xml:space="preserve">comunque </w:t>
      </w:r>
      <w:r w:rsidRPr="00955FB5">
        <w:rPr>
          <w:sz w:val="23"/>
          <w:szCs w:val="23"/>
        </w:rPr>
        <w:t>ricavare i dati per ogni edizione e costruire i triangoli, e di conseguenza gli ind</w:t>
      </w:r>
      <w:r w:rsidR="00744682">
        <w:rPr>
          <w:sz w:val="23"/>
          <w:szCs w:val="23"/>
        </w:rPr>
        <w:t>icatori</w:t>
      </w:r>
      <w:r w:rsidRPr="00955FB5">
        <w:rPr>
          <w:sz w:val="23"/>
          <w:szCs w:val="23"/>
        </w:rPr>
        <w:t>.</w:t>
      </w:r>
    </w:p>
    <w:p w14:paraId="7D90F14A" w14:textId="77777777" w:rsidR="009F064A" w:rsidRDefault="009F064A" w:rsidP="005F1D00">
      <w:pPr>
        <w:pStyle w:val="Default"/>
        <w:jc w:val="both"/>
        <w:rPr>
          <w:sz w:val="23"/>
          <w:szCs w:val="23"/>
          <w:highlight w:val="yellow"/>
        </w:rPr>
      </w:pPr>
    </w:p>
    <w:p w14:paraId="3C859540" w14:textId="77777777" w:rsidR="0041045C" w:rsidRDefault="00F60284" w:rsidP="005F1D00">
      <w:pPr>
        <w:pStyle w:val="Default"/>
        <w:jc w:val="both"/>
        <w:rPr>
          <w:sz w:val="23"/>
          <w:szCs w:val="23"/>
        </w:rPr>
      </w:pPr>
      <w:r w:rsidRPr="00B826E0">
        <w:rPr>
          <w:sz w:val="23"/>
          <w:szCs w:val="23"/>
        </w:rPr>
        <w:t xml:space="preserve">Nel 1° trimestre 2020 l’Istat ha incontrato molte difficoltà nel reperimento dei dati di base, inclusi i dati relativi alla P.A., cui si sono aggiunte </w:t>
      </w:r>
      <w:r w:rsidR="00B826E0" w:rsidRPr="00B826E0">
        <w:rPr>
          <w:sz w:val="23"/>
          <w:szCs w:val="23"/>
        </w:rPr>
        <w:t>ovvie difficoltà n</w:t>
      </w:r>
      <w:r w:rsidRPr="00B826E0">
        <w:rPr>
          <w:sz w:val="23"/>
          <w:szCs w:val="23"/>
        </w:rPr>
        <w:t>ella destagionalizzazione</w:t>
      </w:r>
      <w:r w:rsidR="00B826E0" w:rsidRPr="00B826E0">
        <w:rPr>
          <w:sz w:val="23"/>
          <w:szCs w:val="23"/>
        </w:rPr>
        <w:t>, in una situazione</w:t>
      </w:r>
      <w:r w:rsidRPr="00B826E0">
        <w:rPr>
          <w:sz w:val="23"/>
          <w:szCs w:val="23"/>
        </w:rPr>
        <w:t xml:space="preserve"> anomala quale quella dell’inizio della pandemia. Ciò ha portato ad un aumento temporaneo delle discrepanze fra le stime preliminari e le stime successive</w:t>
      </w:r>
      <w:r w:rsidR="00B826E0" w:rsidRPr="00B826E0">
        <w:rPr>
          <w:sz w:val="23"/>
          <w:szCs w:val="23"/>
        </w:rPr>
        <w:t xml:space="preserve"> d</w:t>
      </w:r>
      <w:r w:rsidRPr="00B826E0">
        <w:rPr>
          <w:sz w:val="23"/>
          <w:szCs w:val="23"/>
        </w:rPr>
        <w:t xml:space="preserve">i </w:t>
      </w:r>
      <w:r w:rsidR="00B826E0" w:rsidRPr="00B826E0">
        <w:rPr>
          <w:sz w:val="23"/>
          <w:szCs w:val="23"/>
        </w:rPr>
        <w:t xml:space="preserve">molti </w:t>
      </w:r>
      <w:r w:rsidRPr="00B826E0">
        <w:rPr>
          <w:sz w:val="23"/>
          <w:szCs w:val="23"/>
        </w:rPr>
        <w:t>dati</w:t>
      </w:r>
      <w:r w:rsidR="0041045C" w:rsidRPr="00B826E0">
        <w:rPr>
          <w:sz w:val="23"/>
          <w:szCs w:val="23"/>
        </w:rPr>
        <w:t xml:space="preserve"> </w:t>
      </w:r>
      <w:r w:rsidRPr="00B826E0">
        <w:rPr>
          <w:sz w:val="23"/>
          <w:szCs w:val="23"/>
        </w:rPr>
        <w:t>congiunturali.</w:t>
      </w:r>
      <w:r w:rsidR="0041045C" w:rsidRPr="00B826E0">
        <w:rPr>
          <w:sz w:val="23"/>
          <w:szCs w:val="23"/>
        </w:rPr>
        <w:t xml:space="preserve"> Nonostante ciò, gli indicatori sulle revisioni continuano a evidenziare nell’insieme </w:t>
      </w:r>
      <w:r w:rsidR="0041045C" w:rsidRPr="0041045C">
        <w:rPr>
          <w:sz w:val="23"/>
          <w:szCs w:val="23"/>
        </w:rPr>
        <w:t>un aumento molto ridotto delle revisioni medie del PIL, dalla stima preliminare fino a quella definitiva.</w:t>
      </w:r>
      <w:r w:rsidR="0041045C">
        <w:rPr>
          <w:sz w:val="23"/>
          <w:szCs w:val="23"/>
        </w:rPr>
        <w:t xml:space="preserve"> </w:t>
      </w:r>
    </w:p>
    <w:p w14:paraId="6BBB8B58" w14:textId="77777777" w:rsidR="0041045C" w:rsidRDefault="0041045C" w:rsidP="005F1D00">
      <w:pPr>
        <w:pStyle w:val="Default"/>
        <w:jc w:val="both"/>
        <w:rPr>
          <w:sz w:val="23"/>
          <w:szCs w:val="23"/>
        </w:rPr>
      </w:pPr>
    </w:p>
    <w:p w14:paraId="14DD99AB" w14:textId="77777777" w:rsidR="0041045C" w:rsidRDefault="0041045C" w:rsidP="005F1D00">
      <w:pPr>
        <w:pStyle w:val="Default"/>
        <w:jc w:val="both"/>
        <w:rPr>
          <w:sz w:val="23"/>
          <w:szCs w:val="23"/>
          <w:highlight w:val="yellow"/>
        </w:rPr>
      </w:pPr>
    </w:p>
    <w:p w14:paraId="145D01C7" w14:textId="77777777" w:rsidR="0041045C" w:rsidRDefault="00B826E0" w:rsidP="005F1D00">
      <w:pPr>
        <w:pStyle w:val="Default"/>
        <w:jc w:val="both"/>
        <w:rPr>
          <w:sz w:val="23"/>
          <w:szCs w:val="23"/>
          <w:highlight w:val="yellow"/>
        </w:rPr>
      </w:pPr>
      <w:r>
        <w:rPr>
          <w:noProof/>
          <w:sz w:val="23"/>
          <w:szCs w:val="23"/>
          <w:lang w:eastAsia="it-IT"/>
        </w:rPr>
        <w:lastRenderedPageBreak/>
        <w:drawing>
          <wp:inline distT="0" distB="0" distL="0" distR="0" wp14:anchorId="192113DF" wp14:editId="7D68142D">
            <wp:extent cx="6120765" cy="3792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9DBCD" w14:textId="77777777" w:rsidR="00BB1B09" w:rsidRPr="007E6EB9" w:rsidRDefault="00BB1B09" w:rsidP="00B826E0">
      <w:pPr>
        <w:pStyle w:val="Default"/>
        <w:jc w:val="both"/>
        <w:rPr>
          <w:sz w:val="23"/>
          <w:szCs w:val="23"/>
          <w:highlight w:val="yellow"/>
        </w:rPr>
      </w:pPr>
    </w:p>
    <w:p w14:paraId="2E121D44" w14:textId="1B2102D4" w:rsidR="00004492" w:rsidRDefault="00BB1B09" w:rsidP="00B826E0">
      <w:pPr>
        <w:pStyle w:val="Default"/>
        <w:jc w:val="both"/>
      </w:pPr>
      <w:r>
        <w:t>Nel complesso, l’</w:t>
      </w:r>
      <w:r w:rsidR="00EF3EDB">
        <w:t>analisi delle revisioni del P</w:t>
      </w:r>
      <w:r>
        <w:t>IL e de</w:t>
      </w:r>
      <w:r w:rsidR="00EF4CDC">
        <w:t>lle</w:t>
      </w:r>
      <w:r>
        <w:t xml:space="preserve"> su</w:t>
      </w:r>
      <w:r w:rsidR="009D2325">
        <w:t>e</w:t>
      </w:r>
      <w:r>
        <w:t xml:space="preserve"> </w:t>
      </w:r>
      <w:r w:rsidR="00EF3EDB">
        <w:t>componenti</w:t>
      </w:r>
      <w:r w:rsidR="00A21658">
        <w:t xml:space="preserve"> sembra indicare una ottima qualità delle prime stime</w:t>
      </w:r>
      <w:r w:rsidR="002D0BAF">
        <w:t>.</w:t>
      </w:r>
      <w:r w:rsidR="005A14B8" w:rsidDel="005A14B8">
        <w:t xml:space="preserve"> </w:t>
      </w:r>
      <w:r w:rsidR="0075649B">
        <w:t>Gli indicatori sulla qualit</w:t>
      </w:r>
      <w:r w:rsidR="005F0BE4">
        <w:t>à delle</w:t>
      </w:r>
      <w:r>
        <w:t xml:space="preserve"> revision</w:t>
      </w:r>
      <w:r w:rsidR="005F0BE4">
        <w:t>i</w:t>
      </w:r>
      <w:r>
        <w:t xml:space="preserve"> </w:t>
      </w:r>
      <w:r w:rsidR="00A13DF9">
        <w:t>sono</w:t>
      </w:r>
      <w:r>
        <w:t xml:space="preserve"> pubblic</w:t>
      </w:r>
      <w:r w:rsidR="00A13DF9">
        <w:t>i</w:t>
      </w:r>
      <w:r>
        <w:t xml:space="preserve"> e p</w:t>
      </w:r>
      <w:r w:rsidR="00A13DF9">
        <w:t>ossono</w:t>
      </w:r>
      <w:r>
        <w:t xml:space="preserve"> essere analizzat</w:t>
      </w:r>
      <w:r w:rsidR="00A77C0E">
        <w:t>i</w:t>
      </w:r>
      <w:r>
        <w:t xml:space="preserve"> e </w:t>
      </w:r>
      <w:r w:rsidR="00D9514C" w:rsidRPr="00A673EE">
        <w:rPr>
          <w:color w:val="auto"/>
        </w:rPr>
        <w:t>verificat</w:t>
      </w:r>
      <w:r w:rsidR="00A77C0E" w:rsidRPr="00A673EE">
        <w:rPr>
          <w:color w:val="auto"/>
        </w:rPr>
        <w:t>i</w:t>
      </w:r>
      <w:r w:rsidRPr="00A673EE">
        <w:rPr>
          <w:color w:val="auto"/>
        </w:rPr>
        <w:t xml:space="preserve"> </w:t>
      </w:r>
      <w:r>
        <w:t xml:space="preserve">da chiunque. </w:t>
      </w:r>
      <w:r w:rsidR="00A77C0E">
        <w:t>Peraltro, d</w:t>
      </w:r>
      <w:r w:rsidR="00B826E0">
        <w:t xml:space="preserve">al 2016 </w:t>
      </w:r>
      <w:r>
        <w:t xml:space="preserve">l’Istat </w:t>
      </w:r>
      <w:r w:rsidR="00B826E0">
        <w:t>h</w:t>
      </w:r>
      <w:r>
        <w:t>a standardizza</w:t>
      </w:r>
      <w:r w:rsidR="00B826E0">
        <w:t>t</w:t>
      </w:r>
      <w:r>
        <w:t xml:space="preserve">o le procedure di revisione di tutti gli indicatori congiunturali, </w:t>
      </w:r>
      <w:r w:rsidR="00EF3EDB">
        <w:t>conforma</w:t>
      </w:r>
      <w:r w:rsidR="00B826E0">
        <w:t>ndo</w:t>
      </w:r>
      <w:r w:rsidR="00EF3EDB">
        <w:t xml:space="preserve">si </w:t>
      </w:r>
      <w:r>
        <w:t>alle linee guida di Eurostat.</w:t>
      </w:r>
    </w:p>
    <w:p w14:paraId="69657736" w14:textId="2077330F" w:rsidR="00D9514C" w:rsidRDefault="00BB1B09" w:rsidP="00B826E0">
      <w:pPr>
        <w:pStyle w:val="Default"/>
        <w:jc w:val="both"/>
      </w:pPr>
      <w:r>
        <w:t xml:space="preserve"> </w:t>
      </w:r>
    </w:p>
    <w:p w14:paraId="17EE870A" w14:textId="34BF5423" w:rsidR="00185A3B" w:rsidRDefault="00185A3B" w:rsidP="00B826E0">
      <w:pPr>
        <w:pStyle w:val="Default"/>
        <w:jc w:val="both"/>
      </w:pPr>
    </w:p>
    <w:p w14:paraId="2B0BA3D3" w14:textId="77777777" w:rsidR="00185A3B" w:rsidRDefault="00185A3B" w:rsidP="00B826E0">
      <w:pPr>
        <w:pStyle w:val="Default"/>
        <w:jc w:val="both"/>
      </w:pPr>
    </w:p>
    <w:p w14:paraId="11276DC3" w14:textId="5797E159" w:rsidR="00185A3B" w:rsidRDefault="002A73C6" w:rsidP="00185A3B">
      <w:pPr>
        <w:pStyle w:val="Default"/>
        <w:jc w:val="both"/>
      </w:pPr>
      <w:r>
        <w:t xml:space="preserve">In </w:t>
      </w:r>
      <w:proofErr w:type="gramStart"/>
      <w:r>
        <w:t xml:space="preserve">conclusione, </w:t>
      </w:r>
      <w:r w:rsidR="00D9514C">
        <w:t xml:space="preserve"> la</w:t>
      </w:r>
      <w:proofErr w:type="gramEnd"/>
      <w:r w:rsidR="00D9514C">
        <w:t xml:space="preserve"> </w:t>
      </w:r>
      <w:r w:rsidR="00A673EE">
        <w:t>Commissione per la Garanzia dell</w:t>
      </w:r>
      <w:r w:rsidR="00185A3B">
        <w:t>a qualità dell</w:t>
      </w:r>
      <w:r w:rsidR="00A673EE">
        <w:t xml:space="preserve">’Informazione Statistica (COGIS), </w:t>
      </w:r>
      <w:r w:rsidR="00D9514C">
        <w:t xml:space="preserve"> </w:t>
      </w:r>
      <w:r w:rsidR="00185A3B">
        <w:t>organo collegiale indipendente chiamato a vigilare: sull'imparzialità, sulla completezza dell'informazione statistica prodotta dal Sistema statistico nazionale; sulla qualità e conformità della informazione statistica con i regolamenti, le direttive e le raccomandazioni degli organismi internazionali e comunitari,</w:t>
      </w:r>
    </w:p>
    <w:p w14:paraId="1C839B2A" w14:textId="77777777" w:rsidR="00185A3B" w:rsidRDefault="00185A3B" w:rsidP="00822337">
      <w:pPr>
        <w:pStyle w:val="Default"/>
        <w:jc w:val="both"/>
      </w:pPr>
    </w:p>
    <w:p w14:paraId="1FDB1D40" w14:textId="77777777" w:rsidR="00185A3B" w:rsidRDefault="00D9514C" w:rsidP="00185A3B">
      <w:pPr>
        <w:pStyle w:val="Default"/>
        <w:ind w:left="3540" w:firstLine="708"/>
        <w:jc w:val="both"/>
      </w:pPr>
      <w:r>
        <w:t>osserva che</w:t>
      </w:r>
    </w:p>
    <w:p w14:paraId="749B4315" w14:textId="07DC0C93" w:rsidR="00F75022" w:rsidRDefault="00A52098" w:rsidP="00185A3B">
      <w:pPr>
        <w:pStyle w:val="Default"/>
        <w:ind w:left="3540" w:firstLine="708"/>
        <w:jc w:val="both"/>
      </w:pPr>
      <w:r>
        <w:t xml:space="preserve"> </w:t>
      </w:r>
    </w:p>
    <w:p w14:paraId="03696F20" w14:textId="23743E87" w:rsidR="00F75022" w:rsidRDefault="00A52098" w:rsidP="00F75022">
      <w:pPr>
        <w:pStyle w:val="Default"/>
        <w:numPr>
          <w:ilvl w:val="0"/>
          <w:numId w:val="3"/>
        </w:numPr>
        <w:jc w:val="both"/>
      </w:pPr>
      <w:r>
        <w:t xml:space="preserve">le revisioni dei </w:t>
      </w:r>
      <w:r w:rsidR="00822337">
        <w:t>Principali Indicatori E</w:t>
      </w:r>
      <w:r>
        <w:t>conomici e in particolare del PIL</w:t>
      </w:r>
      <w:r w:rsidR="004224A1">
        <w:t>, adottate da Istat,</w:t>
      </w:r>
      <w:r>
        <w:t xml:space="preserve"> sono</w:t>
      </w:r>
      <w:r w:rsidR="00D9514C">
        <w:t xml:space="preserve"> </w:t>
      </w:r>
      <w:r>
        <w:t>una</w:t>
      </w:r>
      <w:r w:rsidR="00D9514C">
        <w:t xml:space="preserve"> prassi </w:t>
      </w:r>
      <w:r w:rsidR="00BD7557">
        <w:t xml:space="preserve">consolidata </w:t>
      </w:r>
      <w:r>
        <w:t>e regolata a livello</w:t>
      </w:r>
      <w:r w:rsidR="00822337">
        <w:t xml:space="preserve"> Europeo. Le revisioni seguono gli standard definiti </w:t>
      </w:r>
      <w:r w:rsidR="006F222A">
        <w:t xml:space="preserve">nel </w:t>
      </w:r>
      <w:r w:rsidR="00822337">
        <w:t>codice di condotta delle statistiche europee,</w:t>
      </w:r>
      <w:r w:rsidR="00076788">
        <w:t xml:space="preserve"> </w:t>
      </w:r>
      <w:r w:rsidR="006F222A">
        <w:t>(Code of Practice)</w:t>
      </w:r>
      <w:r w:rsidR="00822337">
        <w:t xml:space="preserve"> </w:t>
      </w:r>
      <w:r w:rsidR="00076788">
        <w:t xml:space="preserve">e in particolare il </w:t>
      </w:r>
      <w:r w:rsidR="00822337">
        <w:t>principio 6</w:t>
      </w:r>
      <w:r w:rsidR="00F75022">
        <w:t xml:space="preserve"> di</w:t>
      </w:r>
      <w:r w:rsidR="00822337">
        <w:t xml:space="preserve"> "imparzialità e obiettività" (indicatore 6.6: il preavviso è</w:t>
      </w:r>
      <w:r w:rsidR="006F222A">
        <w:t xml:space="preserve"> </w:t>
      </w:r>
      <w:r w:rsidR="00822337">
        <w:t>dato su revisioni importanti o cambiamenti nelle metodologie.),</w:t>
      </w:r>
      <w:r w:rsidR="00F75022">
        <w:t xml:space="preserve"> il</w:t>
      </w:r>
      <w:r w:rsidR="00822337">
        <w:t xml:space="preserve"> Principio 8 </w:t>
      </w:r>
      <w:r w:rsidR="00F75022">
        <w:t xml:space="preserve">riguardante </w:t>
      </w:r>
      <w:r w:rsidR="00822337">
        <w:t>"Procedure statistiche appropriate" (indicatore</w:t>
      </w:r>
      <w:r w:rsidR="006F222A">
        <w:t xml:space="preserve"> </w:t>
      </w:r>
      <w:r w:rsidR="00822337">
        <w:t>8.6: Le revisioni seguono procedure standard, consolidate e trasparenti)</w:t>
      </w:r>
      <w:r w:rsidR="00F75022">
        <w:t>,</w:t>
      </w:r>
      <w:r w:rsidR="00822337">
        <w:t xml:space="preserve"> e il Principio 12 "Accuratezza e</w:t>
      </w:r>
      <w:r w:rsidR="006F222A">
        <w:t xml:space="preserve"> </w:t>
      </w:r>
      <w:r w:rsidR="00822337">
        <w:t>Affidabilità" (indicatore 12.3: le revisioni vengono regolarmente analizzate al fine di migliorare i processi statistici.)</w:t>
      </w:r>
      <w:r w:rsidR="00F75022">
        <w:t>;</w:t>
      </w:r>
    </w:p>
    <w:p w14:paraId="7ED8C0B7" w14:textId="77777777" w:rsidR="00D9514C" w:rsidRDefault="00A52098" w:rsidP="00822337">
      <w:pPr>
        <w:pStyle w:val="Default"/>
        <w:jc w:val="both"/>
      </w:pPr>
      <w:r>
        <w:t xml:space="preserve"> </w:t>
      </w:r>
    </w:p>
    <w:p w14:paraId="5C661F1F" w14:textId="37A86798" w:rsidR="00FA2E99" w:rsidRDefault="00F75022" w:rsidP="00E96923">
      <w:pPr>
        <w:pStyle w:val="Default"/>
        <w:numPr>
          <w:ilvl w:val="0"/>
          <w:numId w:val="3"/>
        </w:numPr>
        <w:jc w:val="both"/>
      </w:pPr>
      <w:r>
        <w:lastRenderedPageBreak/>
        <w:t>Nel confrontare le revisioni con il range di quelle storiche come sopra illustrato</w:t>
      </w:r>
      <w:r w:rsidR="00B826E0">
        <w:t>, la COGIS non rileva anomalie nelle procedure di revisione delle statistiche congiunturali e, a valle, dei conti nazionali</w:t>
      </w:r>
      <w:r w:rsidR="0073101C">
        <w:t>.</w:t>
      </w:r>
      <w:r w:rsidR="001F45FE">
        <w:t xml:space="preserve"> Né</w:t>
      </w:r>
      <w:r w:rsidR="0073101C">
        <w:t xml:space="preserve"> pare appropriato confrontare</w:t>
      </w:r>
      <w:r w:rsidR="00B3584E">
        <w:t xml:space="preserve"> le revisioni</w:t>
      </w:r>
      <w:r w:rsidR="008C4FA9">
        <w:t xml:space="preserve"> del PIL </w:t>
      </w:r>
      <w:r w:rsidR="008B255B">
        <w:t>italiano</w:t>
      </w:r>
      <w:r w:rsidR="008C4FA9">
        <w:t xml:space="preserve"> con quelle che avvengono in altri Paesi anche europei, </w:t>
      </w:r>
      <w:r w:rsidR="00CE6D3C">
        <w:t xml:space="preserve">con il fine di valutare l’efficienza relativa dell’uno o dell’altro Istituto </w:t>
      </w:r>
      <w:r w:rsidR="008B255B">
        <w:t>N</w:t>
      </w:r>
      <w:r w:rsidR="00CE6D3C">
        <w:t>azionale di Statistica</w:t>
      </w:r>
      <w:r w:rsidR="00F64BCB">
        <w:t xml:space="preserve">, </w:t>
      </w:r>
      <w:r w:rsidR="008D574F">
        <w:t>in quanto</w:t>
      </w:r>
      <w:r w:rsidR="00A132A6">
        <w:t xml:space="preserve"> </w:t>
      </w:r>
      <w:r w:rsidR="00A132A6" w:rsidRPr="00A132A6">
        <w:t>la diversa natura delle economie rendono intrinsecamente divers</w:t>
      </w:r>
      <w:r w:rsidR="00147C09">
        <w:t>a</w:t>
      </w:r>
      <w:r w:rsidR="00A132A6" w:rsidRPr="00A132A6">
        <w:t xml:space="preserve"> la magnitudine delle revisioni</w:t>
      </w:r>
      <w:r w:rsidR="00147C09">
        <w:t>.</w:t>
      </w:r>
    </w:p>
    <w:p w14:paraId="1AD8B6CF" w14:textId="77777777" w:rsidR="00E96923" w:rsidRDefault="00E96923" w:rsidP="00E96923">
      <w:pPr>
        <w:pStyle w:val="Paragrafoelenco"/>
      </w:pPr>
    </w:p>
    <w:p w14:paraId="06E9F21A" w14:textId="58E6C6EA" w:rsidR="00E96923" w:rsidRDefault="00BD71CF" w:rsidP="00E96923">
      <w:pPr>
        <w:pStyle w:val="Default"/>
        <w:numPr>
          <w:ilvl w:val="0"/>
          <w:numId w:val="3"/>
        </w:numPr>
        <w:jc w:val="both"/>
      </w:pPr>
      <w:r>
        <w:t>L</w:t>
      </w:r>
      <w:r w:rsidR="007B156F">
        <w:t>e</w:t>
      </w:r>
      <w:r w:rsidR="00E96923" w:rsidRPr="00E96923">
        <w:t xml:space="preserve"> </w:t>
      </w:r>
      <w:r w:rsidR="000E7D1D">
        <w:t xml:space="preserve">recenti </w:t>
      </w:r>
      <w:r w:rsidR="00565225" w:rsidRPr="00E96923">
        <w:t>revisioni</w:t>
      </w:r>
      <w:r w:rsidR="00DB0642">
        <w:t xml:space="preserve"> del PIL del </w:t>
      </w:r>
      <w:r w:rsidR="005F34F6">
        <w:t xml:space="preserve">1° trimestre del 2022 </w:t>
      </w:r>
      <w:r w:rsidR="00005AC9">
        <w:t>hanno ori</w:t>
      </w:r>
      <w:r w:rsidR="004248FC">
        <w:t xml:space="preserve">gine </w:t>
      </w:r>
      <w:r w:rsidR="005F34F6">
        <w:t xml:space="preserve">essenzialmente </w:t>
      </w:r>
      <w:r w:rsidR="004248FC">
        <w:t>ne</w:t>
      </w:r>
      <w:r w:rsidR="002B0E26">
        <w:t>i nuovi dati raccolti per il settore dei servizi</w:t>
      </w:r>
      <w:r w:rsidR="0033097A">
        <w:t xml:space="preserve"> e</w:t>
      </w:r>
      <w:r w:rsidR="002B0E26">
        <w:t xml:space="preserve"> delle costruzion</w:t>
      </w:r>
      <w:r>
        <w:t>i</w:t>
      </w:r>
      <w:r w:rsidR="00D109B7">
        <w:t>.</w:t>
      </w:r>
    </w:p>
    <w:p w14:paraId="1BAA37B1" w14:textId="77777777" w:rsidR="00E96923" w:rsidRDefault="00E96923" w:rsidP="00E96923">
      <w:pPr>
        <w:pStyle w:val="Default"/>
        <w:jc w:val="both"/>
      </w:pPr>
    </w:p>
    <w:p w14:paraId="6C273F30" w14:textId="77777777" w:rsidR="00E96923" w:rsidRDefault="00E96923" w:rsidP="00E96923">
      <w:pPr>
        <w:pStyle w:val="Default"/>
        <w:jc w:val="both"/>
      </w:pPr>
    </w:p>
    <w:p w14:paraId="38B015FD" w14:textId="18D7D9B0" w:rsidR="00FA2E99" w:rsidRDefault="005640EB" w:rsidP="00F75022">
      <w:pPr>
        <w:pStyle w:val="Default"/>
        <w:numPr>
          <w:ilvl w:val="0"/>
          <w:numId w:val="3"/>
        </w:numPr>
        <w:jc w:val="both"/>
      </w:pPr>
      <w:r>
        <w:t>Il segno del</w:t>
      </w:r>
      <w:r w:rsidR="00E96923">
        <w:t>l</w:t>
      </w:r>
      <w:r w:rsidR="00FA2E99" w:rsidRPr="00FA2E99">
        <w:t xml:space="preserve">e revisioni </w:t>
      </w:r>
      <w:r w:rsidR="00DB2293">
        <w:t>nei diversi Paesi</w:t>
      </w:r>
      <w:r>
        <w:t xml:space="preserve"> </w:t>
      </w:r>
      <w:r w:rsidR="00FA2E99" w:rsidRPr="00FA2E99">
        <w:t xml:space="preserve">non sempre </w:t>
      </w:r>
      <w:r w:rsidR="00A03288">
        <w:t xml:space="preserve">coincide: </w:t>
      </w:r>
      <w:r w:rsidR="00963305">
        <w:t>n</w:t>
      </w:r>
      <w:r w:rsidR="00113033">
        <w:t>é</w:t>
      </w:r>
      <w:r w:rsidR="00963305">
        <w:t xml:space="preserve"> vi </w:t>
      </w:r>
      <w:r w:rsidR="00A83C32">
        <w:t xml:space="preserve">è alcun motivo </w:t>
      </w:r>
      <w:r w:rsidR="00D659DA">
        <w:t>di</w:t>
      </w:r>
      <w:r w:rsidR="00D210EA">
        <w:t xml:space="preserve"> attendersi una</w:t>
      </w:r>
      <w:r w:rsidR="006B5EA4">
        <w:t xml:space="preserve"> </w:t>
      </w:r>
      <w:r w:rsidR="00CA7CEA">
        <w:t xml:space="preserve">simile </w:t>
      </w:r>
      <w:r w:rsidR="00D210EA">
        <w:t xml:space="preserve">coincidenza. </w:t>
      </w:r>
      <w:r w:rsidR="006647B7">
        <w:t xml:space="preserve"> </w:t>
      </w:r>
    </w:p>
    <w:p w14:paraId="5E8DD058" w14:textId="77777777" w:rsidR="00E96923" w:rsidRDefault="00E96923" w:rsidP="00E96923">
      <w:pPr>
        <w:pStyle w:val="Paragrafoelenco"/>
      </w:pPr>
    </w:p>
    <w:p w14:paraId="502008C5" w14:textId="6837FF80" w:rsidR="001646FA" w:rsidRDefault="00E96923" w:rsidP="001646FA">
      <w:pPr>
        <w:pStyle w:val="Default"/>
        <w:numPr>
          <w:ilvl w:val="0"/>
          <w:numId w:val="3"/>
        </w:numPr>
        <w:jc w:val="both"/>
      </w:pPr>
      <w:r w:rsidRPr="00E96923">
        <w:t>Eurostat verifica l’entità delle revisioni e chiede spiegazioni nel caso in cui queste non siano giustifica</w:t>
      </w:r>
      <w:r w:rsidR="00004492">
        <w:t>te</w:t>
      </w:r>
      <w:r w:rsidR="00DD07E2">
        <w:t>. L</w:t>
      </w:r>
      <w:r w:rsidR="00EC25A8">
        <w:t>e revision</w:t>
      </w:r>
      <w:r w:rsidR="009D2325">
        <w:t>i</w:t>
      </w:r>
      <w:r w:rsidR="00ED4928">
        <w:t xml:space="preserve"> del PIL del 1° trimestre 2022</w:t>
      </w:r>
      <w:r w:rsidR="00EC25A8">
        <w:t xml:space="preserve"> </w:t>
      </w:r>
      <w:r w:rsidRPr="00E96923">
        <w:t>rientra</w:t>
      </w:r>
      <w:r w:rsidR="00EC25A8">
        <w:t>no</w:t>
      </w:r>
      <w:r w:rsidRPr="00E96923">
        <w:t xml:space="preserve"> nella norma</w:t>
      </w:r>
      <w:r w:rsidR="00EC25A8">
        <w:t xml:space="preserve"> ed Eurostat non ha richiesto spi</w:t>
      </w:r>
      <w:r w:rsidR="009D2325">
        <w:t>e</w:t>
      </w:r>
      <w:r w:rsidR="00EC25A8">
        <w:t>gazioni</w:t>
      </w:r>
      <w:r w:rsidR="00004492">
        <w:t>.</w:t>
      </w:r>
    </w:p>
    <w:p w14:paraId="24660BED" w14:textId="77777777" w:rsidR="00E220D0" w:rsidRDefault="00E220D0" w:rsidP="00E220D0">
      <w:pPr>
        <w:pStyle w:val="Paragrafoelenco"/>
      </w:pPr>
    </w:p>
    <w:p w14:paraId="1EDA11F4" w14:textId="77777777" w:rsidR="00004492" w:rsidRDefault="00004492" w:rsidP="00004492">
      <w:pPr>
        <w:pStyle w:val="Paragrafoelenco"/>
      </w:pPr>
    </w:p>
    <w:p w14:paraId="0981983B" w14:textId="3447005E" w:rsidR="0067128F" w:rsidRPr="001B5235" w:rsidRDefault="0067128F" w:rsidP="000044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1B5235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1B5235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Pr="001B523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EF6F2B" w14:textId="77777777" w:rsidR="00004492" w:rsidRPr="00A571DB" w:rsidRDefault="00004492" w:rsidP="00004492">
      <w:pPr>
        <w:pStyle w:val="Default"/>
        <w:ind w:left="720"/>
        <w:jc w:val="both"/>
      </w:pPr>
    </w:p>
    <w:sectPr w:rsidR="00004492" w:rsidRPr="00A57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4163" w14:textId="77777777" w:rsidR="005C4DC1" w:rsidRDefault="005C4DC1" w:rsidP="00185A3B">
      <w:pPr>
        <w:spacing w:after="0" w:line="240" w:lineRule="auto"/>
      </w:pPr>
      <w:r>
        <w:separator/>
      </w:r>
    </w:p>
  </w:endnote>
  <w:endnote w:type="continuationSeparator" w:id="0">
    <w:p w14:paraId="27F39F73" w14:textId="77777777" w:rsidR="005C4DC1" w:rsidRDefault="005C4DC1" w:rsidP="0018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88E9" w14:textId="77777777" w:rsidR="00953901" w:rsidRDefault="00953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900673"/>
      <w:docPartObj>
        <w:docPartGallery w:val="Page Numbers (Bottom of Page)"/>
        <w:docPartUnique/>
      </w:docPartObj>
    </w:sdtPr>
    <w:sdtEndPr/>
    <w:sdtContent>
      <w:p w14:paraId="34975321" w14:textId="478DE222" w:rsidR="00953901" w:rsidRDefault="009539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D5">
          <w:rPr>
            <w:noProof/>
          </w:rPr>
          <w:t>2</w:t>
        </w:r>
        <w:r>
          <w:fldChar w:fldCharType="end"/>
        </w:r>
      </w:p>
    </w:sdtContent>
  </w:sdt>
  <w:p w14:paraId="0A65B397" w14:textId="77777777" w:rsidR="00953901" w:rsidRDefault="009539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A7BB" w14:textId="77777777" w:rsidR="00953901" w:rsidRDefault="0095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DD28" w14:textId="77777777" w:rsidR="005C4DC1" w:rsidRDefault="005C4DC1" w:rsidP="00185A3B">
      <w:pPr>
        <w:spacing w:after="0" w:line="240" w:lineRule="auto"/>
      </w:pPr>
      <w:r>
        <w:separator/>
      </w:r>
    </w:p>
  </w:footnote>
  <w:footnote w:type="continuationSeparator" w:id="0">
    <w:p w14:paraId="6C9F9B38" w14:textId="77777777" w:rsidR="005C4DC1" w:rsidRDefault="005C4DC1" w:rsidP="0018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B9E1" w14:textId="77777777" w:rsidR="00953901" w:rsidRDefault="009539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0097" w14:textId="77777777" w:rsidR="00185A3B" w:rsidRDefault="00185A3B" w:rsidP="00185A3B">
    <w:pPr>
      <w:pStyle w:val="Intestazione"/>
    </w:pPr>
  </w:p>
  <w:p w14:paraId="0E347F6C" w14:textId="77777777" w:rsidR="00185A3B" w:rsidRDefault="00185A3B" w:rsidP="00185A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732D40A" wp14:editId="23FD6A49">
          <wp:simplePos x="0" y="0"/>
          <wp:positionH relativeFrom="margin">
            <wp:posOffset>5169365</wp:posOffset>
          </wp:positionH>
          <wp:positionV relativeFrom="paragraph">
            <wp:posOffset>-73697</wp:posOffset>
          </wp:positionV>
          <wp:extent cx="601730" cy="637340"/>
          <wp:effectExtent l="0" t="0" r="825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16" cy="63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BE34684" wp14:editId="6915012E">
          <wp:simplePos x="0" y="0"/>
          <wp:positionH relativeFrom="column">
            <wp:posOffset>1167130</wp:posOffset>
          </wp:positionH>
          <wp:positionV relativeFrom="paragraph">
            <wp:posOffset>59690</wp:posOffset>
          </wp:positionV>
          <wp:extent cx="3798000" cy="385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000" cy="38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0D7">
      <w:rPr>
        <w:noProof/>
        <w:lang w:eastAsia="it-IT"/>
      </w:rPr>
      <w:drawing>
        <wp:inline distT="0" distB="0" distL="0" distR="0" wp14:anchorId="65DB29A2" wp14:editId="23D92995">
          <wp:extent cx="974992" cy="5575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400" cy="5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F08FF32" w14:textId="77777777" w:rsidR="00185A3B" w:rsidRDefault="00185A3B" w:rsidP="00185A3B">
    <w:pPr>
      <w:pStyle w:val="Intestazione"/>
    </w:pPr>
  </w:p>
  <w:p w14:paraId="73EA9043" w14:textId="77777777" w:rsidR="00185A3B" w:rsidRDefault="00185A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A1C0" w14:textId="77777777" w:rsidR="00953901" w:rsidRDefault="00953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064"/>
    <w:multiLevelType w:val="hybridMultilevel"/>
    <w:tmpl w:val="AEEC04E0"/>
    <w:lvl w:ilvl="0" w:tplc="46D6F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A4B"/>
    <w:multiLevelType w:val="hybridMultilevel"/>
    <w:tmpl w:val="147AF920"/>
    <w:lvl w:ilvl="0" w:tplc="20EE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038"/>
    <w:multiLevelType w:val="hybridMultilevel"/>
    <w:tmpl w:val="227C31B2"/>
    <w:lvl w:ilvl="0" w:tplc="3C3C4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68223">
    <w:abstractNumId w:val="0"/>
  </w:num>
  <w:num w:numId="2" w16cid:durableId="153886143">
    <w:abstractNumId w:val="2"/>
  </w:num>
  <w:num w:numId="3" w16cid:durableId="9616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B"/>
    <w:rsid w:val="00002865"/>
    <w:rsid w:val="00004492"/>
    <w:rsid w:val="00005AC9"/>
    <w:rsid w:val="0003082C"/>
    <w:rsid w:val="00046EF1"/>
    <w:rsid w:val="00047636"/>
    <w:rsid w:val="000567A6"/>
    <w:rsid w:val="000656AC"/>
    <w:rsid w:val="00076788"/>
    <w:rsid w:val="000B0300"/>
    <w:rsid w:val="000D7B4D"/>
    <w:rsid w:val="000E097D"/>
    <w:rsid w:val="000E747F"/>
    <w:rsid w:val="000E7D1D"/>
    <w:rsid w:val="000F781A"/>
    <w:rsid w:val="00103FDB"/>
    <w:rsid w:val="001078D5"/>
    <w:rsid w:val="00113033"/>
    <w:rsid w:val="001152CE"/>
    <w:rsid w:val="00121A5D"/>
    <w:rsid w:val="00147C09"/>
    <w:rsid w:val="0015666D"/>
    <w:rsid w:val="001646FA"/>
    <w:rsid w:val="00185A3B"/>
    <w:rsid w:val="001A3034"/>
    <w:rsid w:val="001A5FDC"/>
    <w:rsid w:val="001A63FF"/>
    <w:rsid w:val="001B5235"/>
    <w:rsid w:val="001D3D99"/>
    <w:rsid w:val="001F101C"/>
    <w:rsid w:val="001F45FE"/>
    <w:rsid w:val="00201415"/>
    <w:rsid w:val="002061FE"/>
    <w:rsid w:val="002172A8"/>
    <w:rsid w:val="0022370C"/>
    <w:rsid w:val="002637B1"/>
    <w:rsid w:val="002A73C6"/>
    <w:rsid w:val="002B0E26"/>
    <w:rsid w:val="002B47E2"/>
    <w:rsid w:val="002C3CFF"/>
    <w:rsid w:val="002D0BAF"/>
    <w:rsid w:val="00307058"/>
    <w:rsid w:val="0033097A"/>
    <w:rsid w:val="0033454A"/>
    <w:rsid w:val="00342BA3"/>
    <w:rsid w:val="00365DA1"/>
    <w:rsid w:val="00366F39"/>
    <w:rsid w:val="00384639"/>
    <w:rsid w:val="003922BD"/>
    <w:rsid w:val="003A4E43"/>
    <w:rsid w:val="003B357B"/>
    <w:rsid w:val="0041045C"/>
    <w:rsid w:val="004224A1"/>
    <w:rsid w:val="004248FC"/>
    <w:rsid w:val="00447EE5"/>
    <w:rsid w:val="00462DE5"/>
    <w:rsid w:val="00485F1F"/>
    <w:rsid w:val="00495433"/>
    <w:rsid w:val="004B2C3B"/>
    <w:rsid w:val="004C7091"/>
    <w:rsid w:val="004E4B55"/>
    <w:rsid w:val="00533112"/>
    <w:rsid w:val="005640EB"/>
    <w:rsid w:val="00565225"/>
    <w:rsid w:val="00566AB2"/>
    <w:rsid w:val="00595350"/>
    <w:rsid w:val="00595E79"/>
    <w:rsid w:val="005A14B8"/>
    <w:rsid w:val="005C4DC1"/>
    <w:rsid w:val="005F0BE4"/>
    <w:rsid w:val="005F1D00"/>
    <w:rsid w:val="005F34F6"/>
    <w:rsid w:val="00603956"/>
    <w:rsid w:val="006120FA"/>
    <w:rsid w:val="00646181"/>
    <w:rsid w:val="00651C8B"/>
    <w:rsid w:val="0065602E"/>
    <w:rsid w:val="00663EC2"/>
    <w:rsid w:val="006647B7"/>
    <w:rsid w:val="0067128F"/>
    <w:rsid w:val="006A174D"/>
    <w:rsid w:val="006B5EA4"/>
    <w:rsid w:val="006F222A"/>
    <w:rsid w:val="0072263B"/>
    <w:rsid w:val="0073101C"/>
    <w:rsid w:val="00734704"/>
    <w:rsid w:val="00744682"/>
    <w:rsid w:val="0075649B"/>
    <w:rsid w:val="00764A23"/>
    <w:rsid w:val="00794342"/>
    <w:rsid w:val="00797FD9"/>
    <w:rsid w:val="007B156F"/>
    <w:rsid w:val="007C1B56"/>
    <w:rsid w:val="007E6EB9"/>
    <w:rsid w:val="00804FB4"/>
    <w:rsid w:val="00806523"/>
    <w:rsid w:val="00815D27"/>
    <w:rsid w:val="00815EC3"/>
    <w:rsid w:val="00822337"/>
    <w:rsid w:val="00842E1B"/>
    <w:rsid w:val="00857030"/>
    <w:rsid w:val="008861F2"/>
    <w:rsid w:val="008B255B"/>
    <w:rsid w:val="008C2A50"/>
    <w:rsid w:val="008C4FA9"/>
    <w:rsid w:val="008C6D72"/>
    <w:rsid w:val="008D574F"/>
    <w:rsid w:val="008F0071"/>
    <w:rsid w:val="00906C9D"/>
    <w:rsid w:val="00920B4B"/>
    <w:rsid w:val="00953901"/>
    <w:rsid w:val="00955FB5"/>
    <w:rsid w:val="00963305"/>
    <w:rsid w:val="00970214"/>
    <w:rsid w:val="00971DA9"/>
    <w:rsid w:val="00985F87"/>
    <w:rsid w:val="009A4133"/>
    <w:rsid w:val="009D2325"/>
    <w:rsid w:val="009F064A"/>
    <w:rsid w:val="009F4E5A"/>
    <w:rsid w:val="00A03288"/>
    <w:rsid w:val="00A05353"/>
    <w:rsid w:val="00A132A6"/>
    <w:rsid w:val="00A13DF9"/>
    <w:rsid w:val="00A21658"/>
    <w:rsid w:val="00A22257"/>
    <w:rsid w:val="00A52098"/>
    <w:rsid w:val="00A571DB"/>
    <w:rsid w:val="00A673EE"/>
    <w:rsid w:val="00A77C0E"/>
    <w:rsid w:val="00A8267C"/>
    <w:rsid w:val="00A83C32"/>
    <w:rsid w:val="00A86F73"/>
    <w:rsid w:val="00A95AEF"/>
    <w:rsid w:val="00AA552F"/>
    <w:rsid w:val="00AD571E"/>
    <w:rsid w:val="00AE08B9"/>
    <w:rsid w:val="00AE1D95"/>
    <w:rsid w:val="00B31089"/>
    <w:rsid w:val="00B3584E"/>
    <w:rsid w:val="00B508A6"/>
    <w:rsid w:val="00B711EA"/>
    <w:rsid w:val="00B826E0"/>
    <w:rsid w:val="00BA0757"/>
    <w:rsid w:val="00BB1B09"/>
    <w:rsid w:val="00BD71CF"/>
    <w:rsid w:val="00BD7557"/>
    <w:rsid w:val="00BE5FEF"/>
    <w:rsid w:val="00C204CA"/>
    <w:rsid w:val="00C223A4"/>
    <w:rsid w:val="00C40C38"/>
    <w:rsid w:val="00C762FC"/>
    <w:rsid w:val="00C822B8"/>
    <w:rsid w:val="00CA4044"/>
    <w:rsid w:val="00CA7CEA"/>
    <w:rsid w:val="00CE1263"/>
    <w:rsid w:val="00CE6D3C"/>
    <w:rsid w:val="00D01B05"/>
    <w:rsid w:val="00D109B7"/>
    <w:rsid w:val="00D210EA"/>
    <w:rsid w:val="00D53570"/>
    <w:rsid w:val="00D659DA"/>
    <w:rsid w:val="00D67894"/>
    <w:rsid w:val="00D9514C"/>
    <w:rsid w:val="00DB0642"/>
    <w:rsid w:val="00DB2293"/>
    <w:rsid w:val="00DD07E2"/>
    <w:rsid w:val="00DF0C5E"/>
    <w:rsid w:val="00DF2D61"/>
    <w:rsid w:val="00E220D0"/>
    <w:rsid w:val="00E530B1"/>
    <w:rsid w:val="00E548D5"/>
    <w:rsid w:val="00E552CD"/>
    <w:rsid w:val="00E61D4A"/>
    <w:rsid w:val="00E63C0A"/>
    <w:rsid w:val="00E647C8"/>
    <w:rsid w:val="00E70C78"/>
    <w:rsid w:val="00E95FD4"/>
    <w:rsid w:val="00E96923"/>
    <w:rsid w:val="00E97A63"/>
    <w:rsid w:val="00EC25A8"/>
    <w:rsid w:val="00EC55FE"/>
    <w:rsid w:val="00ED4928"/>
    <w:rsid w:val="00EF3EDB"/>
    <w:rsid w:val="00EF4CDC"/>
    <w:rsid w:val="00EF611B"/>
    <w:rsid w:val="00F2615C"/>
    <w:rsid w:val="00F4301C"/>
    <w:rsid w:val="00F439FE"/>
    <w:rsid w:val="00F57AC3"/>
    <w:rsid w:val="00F60284"/>
    <w:rsid w:val="00F64BCB"/>
    <w:rsid w:val="00F75022"/>
    <w:rsid w:val="00FA164F"/>
    <w:rsid w:val="00FA2E99"/>
    <w:rsid w:val="00FA4E7B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7540"/>
  <w15:docId w15:val="{6A07657A-6214-410A-AFED-0B69328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2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0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2E9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47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7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7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7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704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061FE"/>
    <w:rPr>
      <w:i/>
      <w:iCs/>
    </w:rPr>
  </w:style>
  <w:style w:type="paragraph" w:styleId="Revisione">
    <w:name w:val="Revision"/>
    <w:hidden/>
    <w:uiPriority w:val="99"/>
    <w:semiHidden/>
    <w:rsid w:val="0072263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8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A3B"/>
  </w:style>
  <w:style w:type="paragraph" w:styleId="Pidipagina">
    <w:name w:val="footer"/>
    <w:basedOn w:val="Normale"/>
    <w:link w:val="PidipaginaCarattere"/>
    <w:uiPriority w:val="99"/>
    <w:unhideWhenUsed/>
    <w:rsid w:val="0018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A3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14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istat.it/it/congiuntura/revisioni/indicatori-congiunturali-oggetto-di-revisione__;!!DKHwpfUEEKarIw!8LjwsCkb9HpollvbEylJQMLrx4VLVnzKh7tZ4Il_8KJoGhxx4E4KaMSKuhFbFJ5g46T4fGAQIw$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s.oecd.org/Index.aspx?DataSetCode=MEI_ARCH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rcabc.europa.eu/sd/a/370b7c25-142d-40df-8397-248289a03bac/2017-10-13%20-%20CMFB%20Communication%20on%20common%20revision%20policie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6F16-F150-437E-BEF1-48BEF89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Rossi</dc:creator>
  <cp:lastModifiedBy>presisìdenza</cp:lastModifiedBy>
  <cp:revision>4</cp:revision>
  <cp:lastPrinted>2015-10-22T10:41:00Z</cp:lastPrinted>
  <dcterms:created xsi:type="dcterms:W3CDTF">2022-07-15T07:31:00Z</dcterms:created>
  <dcterms:modified xsi:type="dcterms:W3CDTF">2022-07-15T07:49:00Z</dcterms:modified>
</cp:coreProperties>
</file>