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32" w:rsidRPr="00A92B5D" w:rsidRDefault="00A71632" w:rsidP="00A92B5D">
      <w:pPr>
        <w:rPr>
          <w:lang w:val="fr-FR"/>
        </w:rPr>
      </w:pPr>
      <w:bookmarkStart w:id="0" w:name="_GoBack"/>
      <w:bookmarkEnd w:id="0"/>
    </w:p>
    <w:p w:rsidR="00A71632" w:rsidRPr="00A92B5D" w:rsidRDefault="00106980" w:rsidP="00A92B5D">
      <w:pPr>
        <w:pStyle w:val="DecHTitle"/>
        <w:rPr>
          <w:lang w:val="fr-FR"/>
        </w:rPr>
      </w:pPr>
      <w:r w:rsidRPr="00A92B5D">
        <w:rPr>
          <w:szCs w:val="24"/>
          <w:lang w:val="fr-FR"/>
        </w:rPr>
        <w:t>GRANDE CHAMBRE</w:t>
      </w:r>
    </w:p>
    <w:p w:rsidR="00A71632" w:rsidRPr="00A92B5D" w:rsidRDefault="00A71632" w:rsidP="00A92B5D">
      <w:pPr>
        <w:pStyle w:val="DecHTitle"/>
        <w:rPr>
          <w:caps/>
          <w:sz w:val="32"/>
          <w:lang w:val="fr-FR"/>
        </w:rPr>
      </w:pPr>
      <w:r w:rsidRPr="00A92B5D">
        <w:rPr>
          <w:lang w:val="fr-FR"/>
        </w:rPr>
        <w:t>DÉCISION</w:t>
      </w:r>
    </w:p>
    <w:p w:rsidR="00A71632" w:rsidRPr="00A92B5D" w:rsidRDefault="008C0906" w:rsidP="00A92B5D">
      <w:pPr>
        <w:pStyle w:val="ECHRTitleCentre2"/>
        <w:rPr>
          <w:lang w:val="fr-FR"/>
        </w:rPr>
      </w:pPr>
      <w:r w:rsidRPr="00A92B5D">
        <w:rPr>
          <w:lang w:val="fr-FR"/>
        </w:rPr>
        <w:t>Requête n</w:t>
      </w:r>
      <w:r w:rsidR="00A92B5D" w:rsidRPr="00A92B5D">
        <w:rPr>
          <w:vertAlign w:val="superscript"/>
          <w:lang w:val="fr-FR"/>
        </w:rPr>
        <w:t>o</w:t>
      </w:r>
      <w:r w:rsidR="00A7338E" w:rsidRPr="00A92B5D">
        <w:rPr>
          <w:lang w:val="fr-FR"/>
        </w:rPr>
        <w:t xml:space="preserve"> </w:t>
      </w:r>
      <w:r w:rsidR="00106980" w:rsidRPr="00A92B5D">
        <w:rPr>
          <w:lang w:val="fr-FR"/>
        </w:rPr>
        <w:t>58428/13</w:t>
      </w:r>
      <w:r w:rsidR="00A7338E" w:rsidRPr="00A92B5D">
        <w:rPr>
          <w:lang w:val="fr-FR"/>
        </w:rPr>
        <w:br/>
      </w:r>
      <w:r w:rsidR="00106980" w:rsidRPr="00A92B5D">
        <w:rPr>
          <w:lang w:val="fr-FR"/>
        </w:rPr>
        <w:t>Silvio</w:t>
      </w:r>
      <w:r w:rsidR="00A7338E" w:rsidRPr="00A92B5D">
        <w:rPr>
          <w:lang w:val="fr-FR"/>
        </w:rPr>
        <w:t xml:space="preserve"> </w:t>
      </w:r>
      <w:r w:rsidR="00BF1B65" w:rsidRPr="00A92B5D">
        <w:rPr>
          <w:lang w:val="fr-FR"/>
        </w:rPr>
        <w:t>BERLUSCONI</w:t>
      </w:r>
      <w:r w:rsidR="00BF1B65" w:rsidRPr="00A92B5D">
        <w:rPr>
          <w:lang w:val="fr-FR"/>
        </w:rPr>
        <w:br/>
      </w:r>
      <w:r w:rsidR="00A7338E" w:rsidRPr="00A92B5D">
        <w:rPr>
          <w:lang w:val="fr-FR"/>
        </w:rPr>
        <w:t xml:space="preserve">contre </w:t>
      </w:r>
      <w:r w:rsidR="00106980" w:rsidRPr="00A92B5D">
        <w:rPr>
          <w:lang w:val="fr-FR"/>
        </w:rPr>
        <w:t>l</w:t>
      </w:r>
      <w:r w:rsidR="00A92B5D" w:rsidRPr="00A92B5D">
        <w:rPr>
          <w:lang w:val="fr-FR"/>
        </w:rPr>
        <w:t>’</w:t>
      </w:r>
      <w:r w:rsidR="00106980" w:rsidRPr="00A92B5D">
        <w:rPr>
          <w:lang w:val="fr-FR"/>
        </w:rPr>
        <w:t>Italie</w:t>
      </w:r>
    </w:p>
    <w:p w:rsidR="00106980" w:rsidRPr="00A92B5D" w:rsidRDefault="00106980" w:rsidP="00A92B5D">
      <w:pPr>
        <w:pStyle w:val="JuParaLast"/>
        <w:rPr>
          <w:lang w:val="fr-FR"/>
        </w:rPr>
      </w:pPr>
      <w:r w:rsidRPr="00A92B5D">
        <w:rPr>
          <w:rStyle w:val="ECHRParaChar"/>
          <w:lang w:val="fr-FR"/>
        </w:rPr>
        <w:t>La Cour européenne des droits de l</w:t>
      </w:r>
      <w:r w:rsidR="00A92B5D" w:rsidRPr="00A92B5D">
        <w:rPr>
          <w:rStyle w:val="ECHRParaChar"/>
          <w:lang w:val="fr-FR"/>
        </w:rPr>
        <w:t>’</w:t>
      </w:r>
      <w:r w:rsidRPr="00A92B5D">
        <w:rPr>
          <w:rStyle w:val="ECHRParaChar"/>
          <w:lang w:val="fr-FR"/>
        </w:rPr>
        <w:t xml:space="preserve">homme, siégeant </w:t>
      </w:r>
      <w:r w:rsidR="00BF1B65" w:rsidRPr="00A92B5D">
        <w:rPr>
          <w:rStyle w:val="ECHRParaChar"/>
          <w:lang w:val="fr-FR"/>
        </w:rPr>
        <w:t xml:space="preserve">le 30 août 2018 </w:t>
      </w:r>
      <w:r w:rsidRPr="00A92B5D">
        <w:rPr>
          <w:rStyle w:val="ECHRParaChar"/>
          <w:lang w:val="fr-FR"/>
        </w:rPr>
        <w:t>en une Grande Chambre composée de</w:t>
      </w:r>
      <w:r w:rsidRPr="00A92B5D">
        <w:rPr>
          <w:lang w:val="fr-FR"/>
        </w:rPr>
        <w:t> :</w:t>
      </w:r>
    </w:p>
    <w:p w:rsidR="00106980" w:rsidRPr="00A92B5D" w:rsidRDefault="00106980" w:rsidP="00A92B5D">
      <w:pPr>
        <w:pStyle w:val="ECHRDecisionBody"/>
        <w:rPr>
          <w:lang w:val="fr-FR"/>
        </w:rPr>
      </w:pPr>
      <w:r w:rsidRPr="00A92B5D">
        <w:rPr>
          <w:lang w:val="fr-FR"/>
        </w:rPr>
        <w:tab/>
      </w:r>
      <w:proofErr w:type="spellStart"/>
      <w:r w:rsidRPr="00A92B5D">
        <w:rPr>
          <w:lang w:val="fr-FR"/>
        </w:rPr>
        <w:t>Angelika</w:t>
      </w:r>
      <w:proofErr w:type="spellEnd"/>
      <w:r w:rsidRPr="00A92B5D">
        <w:rPr>
          <w:lang w:val="fr-FR"/>
        </w:rPr>
        <w:t xml:space="preserve"> </w:t>
      </w:r>
      <w:proofErr w:type="spellStart"/>
      <w:r w:rsidRPr="00A92B5D">
        <w:rPr>
          <w:lang w:val="fr-FR"/>
        </w:rPr>
        <w:t>Nußberger</w:t>
      </w:r>
      <w:proofErr w:type="spellEnd"/>
      <w:r w:rsidRPr="00A92B5D">
        <w:rPr>
          <w:lang w:val="fr-FR"/>
        </w:rPr>
        <w:t>,</w:t>
      </w:r>
      <w:r w:rsidRPr="00A92B5D">
        <w:rPr>
          <w:i/>
          <w:lang w:val="fr-FR"/>
        </w:rPr>
        <w:t xml:space="preserve"> présidente</w:t>
      </w:r>
      <w:r w:rsidRPr="00A92B5D">
        <w:rPr>
          <w:lang w:val="fr-FR"/>
        </w:rPr>
        <w:t>,</w:t>
      </w:r>
      <w:r w:rsidRPr="00A92B5D">
        <w:rPr>
          <w:i/>
          <w:lang w:val="fr-FR"/>
        </w:rPr>
        <w:br/>
      </w:r>
      <w:r w:rsidRPr="00A92B5D">
        <w:rPr>
          <w:lang w:val="fr-FR"/>
        </w:rPr>
        <w:tab/>
        <w:t xml:space="preserve">Linos-Alexandre </w:t>
      </w:r>
      <w:proofErr w:type="spellStart"/>
      <w:r w:rsidRPr="00A92B5D">
        <w:rPr>
          <w:lang w:val="fr-FR"/>
        </w:rPr>
        <w:t>Sicilianos</w:t>
      </w:r>
      <w:proofErr w:type="spellEnd"/>
      <w:r w:rsidRPr="00A92B5D">
        <w:rPr>
          <w:lang w:val="fr-FR"/>
        </w:rPr>
        <w:t>,</w:t>
      </w:r>
      <w:r w:rsidRPr="00A92B5D">
        <w:rPr>
          <w:i/>
          <w:lang w:val="fr-FR"/>
        </w:rPr>
        <w:br/>
      </w:r>
      <w:r w:rsidRPr="00A92B5D">
        <w:rPr>
          <w:lang w:val="fr-FR"/>
        </w:rPr>
        <w:tab/>
      </w:r>
      <w:proofErr w:type="spellStart"/>
      <w:r w:rsidRPr="00A92B5D">
        <w:rPr>
          <w:lang w:val="fr-FR"/>
        </w:rPr>
        <w:t>Ganna</w:t>
      </w:r>
      <w:proofErr w:type="spellEnd"/>
      <w:r w:rsidRPr="00A92B5D">
        <w:rPr>
          <w:lang w:val="fr-FR"/>
        </w:rPr>
        <w:t xml:space="preserve"> </w:t>
      </w:r>
      <w:proofErr w:type="spellStart"/>
      <w:r w:rsidRPr="00A92B5D">
        <w:rPr>
          <w:lang w:val="fr-FR"/>
        </w:rPr>
        <w:t>Yudkivska</w:t>
      </w:r>
      <w:proofErr w:type="spellEnd"/>
      <w:r w:rsidRPr="00A92B5D">
        <w:rPr>
          <w:lang w:val="fr-FR"/>
        </w:rPr>
        <w:t>,</w:t>
      </w:r>
      <w:r w:rsidRPr="00A92B5D">
        <w:rPr>
          <w:i/>
          <w:lang w:val="fr-FR"/>
        </w:rPr>
        <w:br/>
      </w:r>
      <w:r w:rsidRPr="00A92B5D">
        <w:rPr>
          <w:lang w:val="fr-FR"/>
        </w:rPr>
        <w:tab/>
        <w:t xml:space="preserve">Helena </w:t>
      </w:r>
      <w:proofErr w:type="spellStart"/>
      <w:r w:rsidRPr="00A92B5D">
        <w:rPr>
          <w:lang w:val="fr-FR"/>
        </w:rPr>
        <w:t>Jäderblom</w:t>
      </w:r>
      <w:proofErr w:type="spellEnd"/>
      <w:r w:rsidRPr="00A92B5D">
        <w:rPr>
          <w:lang w:val="fr-FR"/>
        </w:rPr>
        <w:t>,</w:t>
      </w:r>
      <w:r w:rsidRPr="00A92B5D">
        <w:rPr>
          <w:i/>
          <w:lang w:val="fr-FR"/>
        </w:rPr>
        <w:br/>
      </w:r>
      <w:r w:rsidRPr="00A92B5D">
        <w:rPr>
          <w:lang w:val="fr-FR"/>
        </w:rPr>
        <w:tab/>
        <w:t xml:space="preserve">Robert </w:t>
      </w:r>
      <w:proofErr w:type="spellStart"/>
      <w:r w:rsidRPr="00A92B5D">
        <w:rPr>
          <w:lang w:val="fr-FR"/>
        </w:rPr>
        <w:t>Spano</w:t>
      </w:r>
      <w:proofErr w:type="spellEnd"/>
      <w:r w:rsidRPr="00A92B5D">
        <w:rPr>
          <w:lang w:val="fr-FR"/>
        </w:rPr>
        <w:t>,</w:t>
      </w:r>
      <w:r w:rsidRPr="00A92B5D">
        <w:rPr>
          <w:i/>
          <w:lang w:val="fr-FR"/>
        </w:rPr>
        <w:br/>
      </w:r>
      <w:r w:rsidRPr="00A92B5D">
        <w:rPr>
          <w:lang w:val="fr-FR"/>
        </w:rPr>
        <w:tab/>
      </w:r>
      <w:proofErr w:type="spellStart"/>
      <w:r w:rsidRPr="00A92B5D">
        <w:rPr>
          <w:lang w:val="fr-FR"/>
        </w:rPr>
        <w:t>Ledi</w:t>
      </w:r>
      <w:proofErr w:type="spellEnd"/>
      <w:r w:rsidRPr="00A92B5D">
        <w:rPr>
          <w:lang w:val="fr-FR"/>
        </w:rPr>
        <w:t xml:space="preserve"> </w:t>
      </w:r>
      <w:proofErr w:type="spellStart"/>
      <w:r w:rsidRPr="00A92B5D">
        <w:rPr>
          <w:lang w:val="fr-FR"/>
        </w:rPr>
        <w:t>Bianku</w:t>
      </w:r>
      <w:proofErr w:type="spellEnd"/>
      <w:r w:rsidRPr="00A92B5D">
        <w:rPr>
          <w:lang w:val="fr-FR"/>
        </w:rPr>
        <w:t>,</w:t>
      </w:r>
      <w:r w:rsidRPr="00A92B5D">
        <w:rPr>
          <w:i/>
          <w:lang w:val="fr-FR"/>
        </w:rPr>
        <w:br/>
      </w:r>
      <w:r w:rsidRPr="00A92B5D">
        <w:rPr>
          <w:lang w:val="fr-FR"/>
        </w:rPr>
        <w:tab/>
      </w:r>
      <w:proofErr w:type="spellStart"/>
      <w:r w:rsidRPr="00A92B5D">
        <w:rPr>
          <w:lang w:val="fr-FR"/>
        </w:rPr>
        <w:t>Nebojša</w:t>
      </w:r>
      <w:proofErr w:type="spellEnd"/>
      <w:r w:rsidRPr="00A92B5D">
        <w:rPr>
          <w:lang w:val="fr-FR"/>
        </w:rPr>
        <w:t xml:space="preserve"> </w:t>
      </w:r>
      <w:proofErr w:type="spellStart"/>
      <w:r w:rsidRPr="00A92B5D">
        <w:rPr>
          <w:lang w:val="fr-FR"/>
        </w:rPr>
        <w:t>Vučinić</w:t>
      </w:r>
      <w:proofErr w:type="spellEnd"/>
      <w:r w:rsidRPr="00A92B5D">
        <w:rPr>
          <w:lang w:val="fr-FR"/>
        </w:rPr>
        <w:t>,</w:t>
      </w:r>
      <w:r w:rsidRPr="00A92B5D">
        <w:rPr>
          <w:i/>
          <w:lang w:val="fr-FR"/>
        </w:rPr>
        <w:br/>
      </w:r>
      <w:r w:rsidRPr="00A92B5D">
        <w:rPr>
          <w:lang w:val="fr-FR"/>
        </w:rPr>
        <w:tab/>
        <w:t>Paulo Pinto de Albuquerque,</w:t>
      </w:r>
      <w:r w:rsidRPr="00A92B5D">
        <w:rPr>
          <w:i/>
          <w:lang w:val="fr-FR"/>
        </w:rPr>
        <w:br/>
      </w:r>
      <w:r w:rsidRPr="00A92B5D">
        <w:rPr>
          <w:lang w:val="fr-FR"/>
        </w:rPr>
        <w:tab/>
        <w:t>Helen Keller,</w:t>
      </w:r>
      <w:r w:rsidRPr="00A92B5D">
        <w:rPr>
          <w:i/>
          <w:lang w:val="fr-FR"/>
        </w:rPr>
        <w:br/>
      </w:r>
      <w:r w:rsidRPr="00A92B5D">
        <w:rPr>
          <w:lang w:val="fr-FR"/>
        </w:rPr>
        <w:tab/>
        <w:t xml:space="preserve">Faris </w:t>
      </w:r>
      <w:proofErr w:type="spellStart"/>
      <w:r w:rsidRPr="00A92B5D">
        <w:rPr>
          <w:lang w:val="fr-FR"/>
        </w:rPr>
        <w:t>Vehabović</w:t>
      </w:r>
      <w:proofErr w:type="spellEnd"/>
      <w:r w:rsidRPr="00A92B5D">
        <w:rPr>
          <w:lang w:val="fr-FR"/>
        </w:rPr>
        <w:t>,</w:t>
      </w:r>
      <w:r w:rsidRPr="00A92B5D">
        <w:rPr>
          <w:i/>
          <w:lang w:val="fr-FR"/>
        </w:rPr>
        <w:br/>
      </w:r>
      <w:r w:rsidRPr="00A92B5D">
        <w:rPr>
          <w:lang w:val="fr-FR"/>
        </w:rPr>
        <w:tab/>
        <w:t xml:space="preserve">Iulia </w:t>
      </w:r>
      <w:proofErr w:type="spellStart"/>
      <w:r w:rsidR="002D7D57" w:rsidRPr="00A92B5D">
        <w:rPr>
          <w:lang w:val="fr-FR"/>
        </w:rPr>
        <w:t>Anto</w:t>
      </w:r>
      <w:r w:rsidR="00D45675" w:rsidRPr="00A92B5D">
        <w:rPr>
          <w:lang w:val="fr-FR"/>
        </w:rPr>
        <w:t>a</w:t>
      </w:r>
      <w:r w:rsidR="002D7D57" w:rsidRPr="00A92B5D">
        <w:rPr>
          <w:lang w:val="fr-FR"/>
        </w:rPr>
        <w:t>nella</w:t>
      </w:r>
      <w:proofErr w:type="spellEnd"/>
      <w:r w:rsidR="002D7D57" w:rsidRPr="00A92B5D">
        <w:rPr>
          <w:lang w:val="fr-FR"/>
        </w:rPr>
        <w:t xml:space="preserve"> </w:t>
      </w:r>
      <w:proofErr w:type="spellStart"/>
      <w:r w:rsidRPr="00A92B5D">
        <w:rPr>
          <w:lang w:val="fr-FR"/>
        </w:rPr>
        <w:t>Motoc</w:t>
      </w:r>
      <w:proofErr w:type="spellEnd"/>
      <w:r w:rsidRPr="00A92B5D">
        <w:rPr>
          <w:lang w:val="fr-FR"/>
        </w:rPr>
        <w:t>,</w:t>
      </w:r>
      <w:r w:rsidRPr="00A92B5D">
        <w:rPr>
          <w:i/>
          <w:lang w:val="fr-FR"/>
        </w:rPr>
        <w:br/>
      </w:r>
      <w:r w:rsidRPr="00A92B5D">
        <w:rPr>
          <w:lang w:val="fr-FR"/>
        </w:rPr>
        <w:tab/>
      </w:r>
      <w:proofErr w:type="spellStart"/>
      <w:r w:rsidRPr="00A92B5D">
        <w:rPr>
          <w:lang w:val="fr-FR"/>
        </w:rPr>
        <w:t>Yonko</w:t>
      </w:r>
      <w:proofErr w:type="spellEnd"/>
      <w:r w:rsidRPr="00A92B5D">
        <w:rPr>
          <w:lang w:val="fr-FR"/>
        </w:rPr>
        <w:t xml:space="preserve"> </w:t>
      </w:r>
      <w:proofErr w:type="spellStart"/>
      <w:r w:rsidRPr="00A92B5D">
        <w:rPr>
          <w:lang w:val="fr-FR"/>
        </w:rPr>
        <w:t>Grozev</w:t>
      </w:r>
      <w:proofErr w:type="spellEnd"/>
      <w:r w:rsidRPr="00A92B5D">
        <w:rPr>
          <w:lang w:val="fr-FR"/>
        </w:rPr>
        <w:t>,</w:t>
      </w:r>
      <w:r w:rsidRPr="00A92B5D">
        <w:rPr>
          <w:i/>
          <w:lang w:val="fr-FR"/>
        </w:rPr>
        <w:br/>
      </w:r>
      <w:r w:rsidRPr="00A92B5D">
        <w:rPr>
          <w:lang w:val="fr-FR"/>
        </w:rPr>
        <w:tab/>
      </w:r>
      <w:proofErr w:type="spellStart"/>
      <w:r w:rsidRPr="00A92B5D">
        <w:rPr>
          <w:lang w:val="fr-FR"/>
        </w:rPr>
        <w:t>Mārtiņš</w:t>
      </w:r>
      <w:proofErr w:type="spellEnd"/>
      <w:r w:rsidRPr="00A92B5D">
        <w:rPr>
          <w:lang w:val="fr-FR"/>
        </w:rPr>
        <w:t xml:space="preserve"> </w:t>
      </w:r>
      <w:proofErr w:type="spellStart"/>
      <w:r w:rsidRPr="00A92B5D">
        <w:rPr>
          <w:lang w:val="fr-FR"/>
        </w:rPr>
        <w:t>Mits</w:t>
      </w:r>
      <w:proofErr w:type="spellEnd"/>
      <w:r w:rsidRPr="00A92B5D">
        <w:rPr>
          <w:lang w:val="fr-FR"/>
        </w:rPr>
        <w:t>,</w:t>
      </w:r>
      <w:r w:rsidRPr="00A92B5D">
        <w:rPr>
          <w:i/>
          <w:lang w:val="fr-FR"/>
        </w:rPr>
        <w:br/>
      </w:r>
      <w:r w:rsidRPr="00A92B5D">
        <w:rPr>
          <w:lang w:val="fr-FR"/>
        </w:rPr>
        <w:tab/>
        <w:t xml:space="preserve">Gabriele </w:t>
      </w:r>
      <w:proofErr w:type="spellStart"/>
      <w:r w:rsidRPr="00A92B5D">
        <w:rPr>
          <w:lang w:val="fr-FR"/>
        </w:rPr>
        <w:t>Kucsko-Stadlmayer</w:t>
      </w:r>
      <w:proofErr w:type="spellEnd"/>
      <w:r w:rsidRPr="00A92B5D">
        <w:rPr>
          <w:lang w:val="fr-FR"/>
        </w:rPr>
        <w:t>,</w:t>
      </w:r>
      <w:r w:rsidRPr="00A92B5D">
        <w:rPr>
          <w:i/>
          <w:lang w:val="fr-FR"/>
        </w:rPr>
        <w:br/>
      </w:r>
      <w:r w:rsidRPr="00A92B5D">
        <w:rPr>
          <w:lang w:val="fr-FR"/>
        </w:rPr>
        <w:tab/>
      </w:r>
      <w:proofErr w:type="spellStart"/>
      <w:r w:rsidRPr="00A92B5D">
        <w:rPr>
          <w:lang w:val="fr-FR"/>
        </w:rPr>
        <w:t>Pauliine</w:t>
      </w:r>
      <w:proofErr w:type="spellEnd"/>
      <w:r w:rsidRPr="00A92B5D">
        <w:rPr>
          <w:lang w:val="fr-FR"/>
        </w:rPr>
        <w:t xml:space="preserve"> </w:t>
      </w:r>
      <w:proofErr w:type="spellStart"/>
      <w:r w:rsidRPr="00A92B5D">
        <w:rPr>
          <w:lang w:val="fr-FR"/>
        </w:rPr>
        <w:t>Koskelo</w:t>
      </w:r>
      <w:proofErr w:type="spellEnd"/>
      <w:r w:rsidRPr="00A92B5D">
        <w:rPr>
          <w:lang w:val="fr-FR"/>
        </w:rPr>
        <w:t>,</w:t>
      </w:r>
      <w:r w:rsidRPr="00A92B5D">
        <w:rPr>
          <w:i/>
          <w:lang w:val="fr-FR"/>
        </w:rPr>
        <w:br/>
      </w:r>
      <w:r w:rsidRPr="00A92B5D">
        <w:rPr>
          <w:lang w:val="fr-FR"/>
        </w:rPr>
        <w:tab/>
        <w:t xml:space="preserve">Jovan </w:t>
      </w:r>
      <w:proofErr w:type="spellStart"/>
      <w:r w:rsidRPr="00A92B5D">
        <w:rPr>
          <w:lang w:val="fr-FR"/>
        </w:rPr>
        <w:t>Ilievski</w:t>
      </w:r>
      <w:proofErr w:type="spellEnd"/>
      <w:r w:rsidRPr="00A92B5D">
        <w:rPr>
          <w:lang w:val="fr-FR"/>
        </w:rPr>
        <w:t>,</w:t>
      </w:r>
      <w:r w:rsidRPr="00A92B5D">
        <w:rPr>
          <w:i/>
          <w:lang w:val="fr-FR"/>
        </w:rPr>
        <w:t xml:space="preserve"> juges</w:t>
      </w:r>
      <w:r w:rsidRPr="00A92B5D">
        <w:rPr>
          <w:lang w:val="fr-FR"/>
        </w:rPr>
        <w:t>,</w:t>
      </w:r>
      <w:r w:rsidRPr="00A92B5D">
        <w:rPr>
          <w:i/>
          <w:lang w:val="fr-FR"/>
        </w:rPr>
        <w:br/>
      </w:r>
      <w:r w:rsidRPr="00A92B5D">
        <w:rPr>
          <w:lang w:val="fr-FR"/>
        </w:rPr>
        <w:tab/>
        <w:t>Ida Caracciolo,</w:t>
      </w:r>
      <w:r w:rsidRPr="00A92B5D">
        <w:rPr>
          <w:i/>
          <w:lang w:val="fr-FR"/>
        </w:rPr>
        <w:t xml:space="preserve"> juge </w:t>
      </w:r>
      <w:r w:rsidRPr="00A92B5D">
        <w:rPr>
          <w:lang w:val="fr-FR"/>
        </w:rPr>
        <w:t>ad hoc,</w:t>
      </w:r>
      <w:r w:rsidRPr="00A92B5D">
        <w:rPr>
          <w:i/>
          <w:lang w:val="fr-FR"/>
        </w:rPr>
        <w:br/>
      </w:r>
      <w:r w:rsidRPr="00A92B5D">
        <w:rPr>
          <w:lang w:val="fr-FR"/>
        </w:rPr>
        <w:t xml:space="preserve">et de Françoise </w:t>
      </w:r>
      <w:proofErr w:type="spellStart"/>
      <w:r w:rsidRPr="00A92B5D">
        <w:rPr>
          <w:lang w:val="fr-FR"/>
        </w:rPr>
        <w:t>Elens-Passos</w:t>
      </w:r>
      <w:proofErr w:type="spellEnd"/>
      <w:r w:rsidRPr="00A92B5D">
        <w:rPr>
          <w:lang w:val="fr-FR"/>
        </w:rPr>
        <w:t xml:space="preserve">, </w:t>
      </w:r>
      <w:r w:rsidRPr="00A92B5D">
        <w:rPr>
          <w:i/>
          <w:lang w:val="fr-FR"/>
        </w:rPr>
        <w:t>greffière adjointe</w:t>
      </w:r>
      <w:r w:rsidRPr="00A92B5D">
        <w:rPr>
          <w:lang w:val="fr-FR"/>
        </w:rPr>
        <w:t>,</w:t>
      </w:r>
    </w:p>
    <w:p w:rsidR="00106980" w:rsidRPr="00A92B5D" w:rsidRDefault="00106980" w:rsidP="00A92B5D">
      <w:pPr>
        <w:pStyle w:val="ECHRPara"/>
        <w:rPr>
          <w:lang w:val="fr-FR"/>
        </w:rPr>
      </w:pPr>
      <w:r w:rsidRPr="00A92B5D">
        <w:rPr>
          <w:lang w:val="fr-FR"/>
        </w:rPr>
        <w:t>Vu la requête susmentionnée introduite le 10 septembre 2013,</w:t>
      </w:r>
    </w:p>
    <w:p w:rsidR="00106980" w:rsidRPr="00A92B5D" w:rsidRDefault="00106980" w:rsidP="00A92B5D">
      <w:pPr>
        <w:pStyle w:val="ECHRPara"/>
        <w:rPr>
          <w:lang w:val="fr-FR"/>
        </w:rPr>
      </w:pPr>
      <w:r w:rsidRPr="00A92B5D">
        <w:rPr>
          <w:lang w:val="fr-FR"/>
        </w:rPr>
        <w:t>Après en avoir délibéré le 22 novembre 2017 et le 30 août 2018, rend la décision suivante:</w:t>
      </w:r>
    </w:p>
    <w:p w:rsidR="00106980" w:rsidRPr="00A92B5D" w:rsidRDefault="00106980" w:rsidP="00A92B5D">
      <w:pPr>
        <w:pStyle w:val="ECHRTitle1"/>
        <w:rPr>
          <w:lang w:val="fr-FR"/>
        </w:rPr>
      </w:pPr>
      <w:r w:rsidRPr="00A92B5D">
        <w:rPr>
          <w:lang w:val="fr-FR"/>
        </w:rPr>
        <w:t>PROCÉDURE ET FAITS</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w:t>
      </w:r>
      <w:r w:rsidRPr="00A92B5D">
        <w:rPr>
          <w:lang w:val="fr-FR"/>
        </w:rPr>
        <w:fldChar w:fldCharType="end"/>
      </w:r>
      <w:r w:rsidRPr="00A92B5D">
        <w:rPr>
          <w:lang w:val="fr-FR"/>
        </w:rPr>
        <w:t>.  </w:t>
      </w:r>
      <w:r w:rsidRPr="00A92B5D">
        <w:rPr>
          <w:rStyle w:val="ECHRParaChar"/>
          <w:lang w:val="fr-FR"/>
        </w:rPr>
        <w:t>Le requérant, M. S. Berlusconi, est un ressortissant italien né en 1936 et résidant à Rome. Il a été représenté devant la Cour par M</w:t>
      </w:r>
      <w:r w:rsidRPr="00A92B5D">
        <w:rPr>
          <w:rStyle w:val="ECHRParaChar"/>
          <w:vertAlign w:val="superscript"/>
          <w:lang w:val="fr-FR"/>
        </w:rPr>
        <w:t>es</w:t>
      </w:r>
      <w:r w:rsidRPr="00A92B5D">
        <w:rPr>
          <w:rStyle w:val="ECHRParaChar"/>
          <w:lang w:val="fr-FR"/>
        </w:rPr>
        <w:t xml:space="preserve"> A. </w:t>
      </w:r>
      <w:proofErr w:type="spellStart"/>
      <w:r w:rsidRPr="00A92B5D">
        <w:rPr>
          <w:rStyle w:val="ECHRParaChar"/>
          <w:lang w:val="fr-FR"/>
        </w:rPr>
        <w:t>Saccucci</w:t>
      </w:r>
      <w:proofErr w:type="spellEnd"/>
      <w:r w:rsidRPr="00A92B5D">
        <w:rPr>
          <w:lang w:val="fr-FR"/>
        </w:rPr>
        <w:t xml:space="preserve">, </w:t>
      </w:r>
      <w:r w:rsidRPr="00A92B5D">
        <w:rPr>
          <w:lang w:val="fr-FR"/>
        </w:rPr>
        <w:lastRenderedPageBreak/>
        <w:t xml:space="preserve">B. </w:t>
      </w:r>
      <w:proofErr w:type="spellStart"/>
      <w:r w:rsidRPr="00A92B5D">
        <w:rPr>
          <w:lang w:val="fr-FR"/>
        </w:rPr>
        <w:t>Nascimbene</w:t>
      </w:r>
      <w:proofErr w:type="spellEnd"/>
      <w:r w:rsidRPr="00A92B5D">
        <w:rPr>
          <w:lang w:val="fr-FR"/>
        </w:rPr>
        <w:t xml:space="preserve">, E. Fitzgerald et S. </w:t>
      </w:r>
      <w:proofErr w:type="spellStart"/>
      <w:r w:rsidRPr="00A92B5D">
        <w:rPr>
          <w:lang w:val="fr-FR"/>
        </w:rPr>
        <w:t>Powles</w:t>
      </w:r>
      <w:proofErr w:type="spellEnd"/>
      <w:r w:rsidRPr="00A92B5D">
        <w:rPr>
          <w:lang w:val="fr-FR"/>
        </w:rPr>
        <w:t>, avocats exerçant respectivement à Rome, à Milan et à Londres.</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w:t>
      </w:r>
      <w:r w:rsidRPr="00A92B5D">
        <w:rPr>
          <w:lang w:val="fr-FR"/>
        </w:rPr>
        <w:fldChar w:fldCharType="end"/>
      </w:r>
      <w:r w:rsidRPr="00A92B5D">
        <w:rPr>
          <w:lang w:val="fr-FR"/>
        </w:rPr>
        <w:t xml:space="preserve">.  Le gouvernement italien (« le Gouvernement ») a été représenté par ses </w:t>
      </w:r>
      <w:proofErr w:type="spellStart"/>
      <w:r w:rsidRPr="00A92B5D">
        <w:rPr>
          <w:lang w:val="fr-FR"/>
        </w:rPr>
        <w:t>co</w:t>
      </w:r>
      <w:proofErr w:type="spellEnd"/>
      <w:r w:rsidRPr="00A92B5D">
        <w:rPr>
          <w:lang w:val="fr-FR"/>
        </w:rPr>
        <w:t>-agents, M</w:t>
      </w:r>
      <w:r w:rsidRPr="00A92B5D">
        <w:rPr>
          <w:vertAlign w:val="superscript"/>
          <w:lang w:val="fr-FR"/>
        </w:rPr>
        <w:t>mes</w:t>
      </w:r>
      <w:r w:rsidR="00526CB4" w:rsidRPr="00A92B5D">
        <w:rPr>
          <w:lang w:val="fr-FR"/>
        </w:rPr>
        <w:t xml:space="preserve"> P. </w:t>
      </w:r>
      <w:proofErr w:type="spellStart"/>
      <w:r w:rsidR="00526CB4" w:rsidRPr="00A92B5D">
        <w:rPr>
          <w:lang w:val="fr-FR"/>
        </w:rPr>
        <w:t>Accardo</w:t>
      </w:r>
      <w:proofErr w:type="spellEnd"/>
      <w:r w:rsidR="00526CB4" w:rsidRPr="00A92B5D">
        <w:rPr>
          <w:lang w:val="fr-FR"/>
        </w:rPr>
        <w:t xml:space="preserve"> et M.</w:t>
      </w:r>
      <w:r w:rsidRPr="00A92B5D">
        <w:rPr>
          <w:lang w:val="fr-FR"/>
        </w:rPr>
        <w:t>G. Civinini.</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w:t>
      </w:r>
      <w:r w:rsidRPr="00A92B5D">
        <w:rPr>
          <w:lang w:val="fr-FR"/>
        </w:rPr>
        <w:fldChar w:fldCharType="end"/>
      </w:r>
      <w:r w:rsidRPr="00A92B5D">
        <w:rPr>
          <w:lang w:val="fr-FR"/>
        </w:rPr>
        <w:t>.  Le requérant alléguait notamment que l</w:t>
      </w:r>
      <w:r w:rsidR="00A92B5D" w:rsidRPr="00A92B5D">
        <w:rPr>
          <w:lang w:val="fr-FR"/>
        </w:rPr>
        <w:t>’</w:t>
      </w:r>
      <w:r w:rsidRPr="00A92B5D">
        <w:rPr>
          <w:lang w:val="fr-FR"/>
        </w:rPr>
        <w:t>application du décret législatif n</w:t>
      </w:r>
      <w:r w:rsidRPr="00A92B5D">
        <w:rPr>
          <w:vertAlign w:val="superscript"/>
          <w:lang w:val="fr-FR"/>
        </w:rPr>
        <w:t>o </w:t>
      </w:r>
      <w:r w:rsidRPr="00A92B5D">
        <w:rPr>
          <w:lang w:val="fr-FR"/>
        </w:rPr>
        <w:t>235/2012, ayant abouti à la déclaration d</w:t>
      </w:r>
      <w:r w:rsidR="00A92B5D" w:rsidRPr="00A92B5D">
        <w:rPr>
          <w:lang w:val="fr-FR"/>
        </w:rPr>
        <w:t>’</w:t>
      </w:r>
      <w:r w:rsidRPr="00A92B5D">
        <w:rPr>
          <w:lang w:val="fr-FR"/>
        </w:rPr>
        <w:t>invalidation de son élection par le Sénat consécutive à l</w:t>
      </w:r>
      <w:r w:rsidR="00A92B5D" w:rsidRPr="00A92B5D">
        <w:rPr>
          <w:lang w:val="fr-FR"/>
        </w:rPr>
        <w:t>’</w:t>
      </w:r>
      <w:r w:rsidRPr="00A92B5D">
        <w:rPr>
          <w:lang w:val="fr-FR"/>
        </w:rPr>
        <w:t>interdiction de se porter candidat aux élections à la suite de sa condamnation pour fraude fiscale, avait enfreint les articles 7 de la Convention, 3 du Protocole n</w:t>
      </w:r>
      <w:r w:rsidRPr="00A92B5D">
        <w:rPr>
          <w:vertAlign w:val="superscript"/>
          <w:lang w:val="fr-FR"/>
        </w:rPr>
        <w:t>o </w:t>
      </w:r>
      <w:r w:rsidRPr="00A92B5D">
        <w:rPr>
          <w:lang w:val="fr-FR"/>
        </w:rPr>
        <w:t>1 et 13 de la Convention.</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w:t>
      </w:r>
      <w:r w:rsidRPr="00A92B5D">
        <w:rPr>
          <w:lang w:val="fr-FR"/>
        </w:rPr>
        <w:fldChar w:fldCharType="end"/>
      </w:r>
      <w:r w:rsidRPr="00A92B5D">
        <w:rPr>
          <w:lang w:val="fr-FR"/>
        </w:rPr>
        <w:t>.  La requ</w:t>
      </w:r>
      <w:r w:rsidRPr="00A92B5D">
        <w:rPr>
          <w:rFonts w:cstheme="minorHAnsi"/>
          <w:lang w:val="fr-FR"/>
        </w:rPr>
        <w:t>ê</w:t>
      </w:r>
      <w:r w:rsidRPr="00A92B5D">
        <w:rPr>
          <w:lang w:val="fr-FR"/>
        </w:rPr>
        <w:t xml:space="preserve">te a </w:t>
      </w:r>
      <w:r w:rsidRPr="00A92B5D">
        <w:rPr>
          <w:rFonts w:cstheme="minorHAnsi"/>
          <w:lang w:val="fr-FR"/>
        </w:rPr>
        <w:t>é</w:t>
      </w:r>
      <w:r w:rsidRPr="00A92B5D">
        <w:rPr>
          <w:lang w:val="fr-FR"/>
        </w:rPr>
        <w:t>t</w:t>
      </w:r>
      <w:r w:rsidRPr="00A92B5D">
        <w:rPr>
          <w:rFonts w:cstheme="minorHAnsi"/>
          <w:lang w:val="fr-FR"/>
        </w:rPr>
        <w:t>é</w:t>
      </w:r>
      <w:r w:rsidRPr="00A92B5D">
        <w:rPr>
          <w:lang w:val="fr-FR"/>
        </w:rPr>
        <w:t xml:space="preserve"> attribu</w:t>
      </w:r>
      <w:r w:rsidRPr="00A92B5D">
        <w:rPr>
          <w:rFonts w:cstheme="minorHAnsi"/>
          <w:lang w:val="fr-FR"/>
        </w:rPr>
        <w:t>é</w:t>
      </w:r>
      <w:r w:rsidRPr="00A92B5D">
        <w:rPr>
          <w:lang w:val="fr-FR"/>
        </w:rPr>
        <w:t xml:space="preserve">e </w:t>
      </w:r>
      <w:r w:rsidRPr="00A92B5D">
        <w:rPr>
          <w:rFonts w:cstheme="minorHAnsi"/>
          <w:lang w:val="fr-FR"/>
        </w:rPr>
        <w:t>à</w:t>
      </w:r>
      <w:r w:rsidRPr="00A92B5D">
        <w:rPr>
          <w:lang w:val="fr-FR"/>
        </w:rPr>
        <w:t xml:space="preserve"> la premi</w:t>
      </w:r>
      <w:r w:rsidRPr="00A92B5D">
        <w:rPr>
          <w:rFonts w:cstheme="minorHAnsi"/>
          <w:lang w:val="fr-FR"/>
        </w:rPr>
        <w:t>è</w:t>
      </w:r>
      <w:r w:rsidRPr="00A92B5D">
        <w:rPr>
          <w:lang w:val="fr-FR"/>
        </w:rPr>
        <w:t xml:space="preserve">re section de la Cour (article 52 </w:t>
      </w:r>
      <w:r w:rsidRPr="00A92B5D">
        <w:rPr>
          <w:rFonts w:cstheme="minorHAnsi"/>
          <w:lang w:val="fr-FR"/>
        </w:rPr>
        <w:t>§</w:t>
      </w:r>
      <w:r w:rsidRPr="00A92B5D">
        <w:rPr>
          <w:lang w:val="fr-FR"/>
        </w:rPr>
        <w:t> 1 du r</w:t>
      </w:r>
      <w:r w:rsidRPr="00A92B5D">
        <w:rPr>
          <w:rFonts w:cstheme="minorHAnsi"/>
          <w:lang w:val="fr-FR"/>
        </w:rPr>
        <w:t>è</w:t>
      </w:r>
      <w:r w:rsidRPr="00A92B5D">
        <w:rPr>
          <w:lang w:val="fr-FR"/>
        </w:rPr>
        <w:t>glement).</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w:t>
      </w:r>
      <w:r w:rsidRPr="00A92B5D">
        <w:rPr>
          <w:lang w:val="fr-FR"/>
        </w:rPr>
        <w:fldChar w:fldCharType="end"/>
      </w:r>
      <w:r w:rsidRPr="00A92B5D">
        <w:rPr>
          <w:lang w:val="fr-FR"/>
        </w:rPr>
        <w:t>.  </w:t>
      </w:r>
      <w:r w:rsidRPr="00A92B5D">
        <w:rPr>
          <w:rStyle w:val="ECHRParaChar"/>
          <w:lang w:val="fr-FR"/>
        </w:rPr>
        <w:t>Le 5 juillet 2016, la requête assortie de questions relatives aux griefs susmentionnés a été communiquée au Gouvernement</w:t>
      </w:r>
      <w:r w:rsidRPr="00A92B5D">
        <w:rPr>
          <w:lang w:val="fr-FR"/>
        </w:rPr>
        <w:t>.</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w:t>
      </w:r>
      <w:r w:rsidRPr="00A92B5D">
        <w:rPr>
          <w:lang w:val="fr-FR"/>
        </w:rPr>
        <w:fldChar w:fldCharType="end"/>
      </w:r>
      <w:r w:rsidRPr="00A92B5D">
        <w:rPr>
          <w:lang w:val="fr-FR"/>
        </w:rPr>
        <w:t>.  </w:t>
      </w:r>
      <w:r w:rsidRPr="00A92B5D">
        <w:rPr>
          <w:rStyle w:val="ECHRParaChar"/>
          <w:lang w:val="fr-FR"/>
        </w:rPr>
        <w:t>Le 6 avril 2017, à la suite du déport de M. Guido Raimondi, juge élu au titre de l</w:t>
      </w:r>
      <w:r w:rsidR="00A92B5D" w:rsidRPr="00A92B5D">
        <w:rPr>
          <w:rStyle w:val="ECHRParaChar"/>
          <w:lang w:val="fr-FR"/>
        </w:rPr>
        <w:t>’</w:t>
      </w:r>
      <w:r w:rsidRPr="00A92B5D">
        <w:rPr>
          <w:rStyle w:val="ECHRParaChar"/>
          <w:lang w:val="fr-FR"/>
        </w:rPr>
        <w:t>Italie (article 28 du règlement de la Cour), le président de la première section a désigné M</w:t>
      </w:r>
      <w:r w:rsidRPr="00A92B5D">
        <w:rPr>
          <w:rStyle w:val="ECHRParaChar"/>
          <w:vertAlign w:val="superscript"/>
          <w:lang w:val="fr-FR"/>
        </w:rPr>
        <w:t>me</w:t>
      </w:r>
      <w:r w:rsidRPr="00A92B5D">
        <w:rPr>
          <w:rStyle w:val="ECHRParaChar"/>
          <w:lang w:val="fr-FR"/>
        </w:rPr>
        <w:t xml:space="preserve"> Ida Caracciolo pour siéger en qualité de juge </w:t>
      </w:r>
      <w:r w:rsidRPr="00A92B5D">
        <w:rPr>
          <w:rStyle w:val="ECHRParaChar"/>
          <w:i/>
          <w:lang w:val="fr-FR"/>
        </w:rPr>
        <w:t>ad hoc</w:t>
      </w:r>
      <w:r w:rsidRPr="00A92B5D">
        <w:rPr>
          <w:rStyle w:val="ECHRParaChar"/>
          <w:lang w:val="fr-FR"/>
        </w:rPr>
        <w:t xml:space="preserve"> (article 29 du règlement).</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7</w:t>
      </w:r>
      <w:r w:rsidRPr="00A92B5D">
        <w:rPr>
          <w:lang w:val="fr-FR"/>
        </w:rPr>
        <w:fldChar w:fldCharType="end"/>
      </w:r>
      <w:r w:rsidRPr="00A92B5D">
        <w:rPr>
          <w:lang w:val="fr-FR"/>
        </w:rPr>
        <w:t xml:space="preserve">.  Le 6 juin 2017, une chambre de la première section composée de Linos-Alexandre </w:t>
      </w:r>
      <w:proofErr w:type="spellStart"/>
      <w:r w:rsidRPr="00A92B5D">
        <w:rPr>
          <w:lang w:val="fr-FR"/>
        </w:rPr>
        <w:t>Sicilianos</w:t>
      </w:r>
      <w:proofErr w:type="spellEnd"/>
      <w:r w:rsidRPr="00A92B5D">
        <w:rPr>
          <w:lang w:val="fr-FR"/>
        </w:rPr>
        <w:t xml:space="preserve">, président, Kristina </w:t>
      </w:r>
      <w:proofErr w:type="spellStart"/>
      <w:r w:rsidRPr="00A92B5D">
        <w:rPr>
          <w:lang w:val="fr-FR"/>
        </w:rPr>
        <w:t>Pardalos</w:t>
      </w:r>
      <w:proofErr w:type="spellEnd"/>
      <w:r w:rsidRPr="00A92B5D">
        <w:rPr>
          <w:lang w:val="fr-FR"/>
        </w:rPr>
        <w:t xml:space="preserve">, </w:t>
      </w:r>
      <w:proofErr w:type="spellStart"/>
      <w:r w:rsidRPr="00A92B5D">
        <w:rPr>
          <w:lang w:val="fr-FR"/>
        </w:rPr>
        <w:t>Ledi</w:t>
      </w:r>
      <w:proofErr w:type="spellEnd"/>
      <w:r w:rsidRPr="00A92B5D">
        <w:rPr>
          <w:lang w:val="fr-FR"/>
        </w:rPr>
        <w:t xml:space="preserve"> </w:t>
      </w:r>
      <w:proofErr w:type="spellStart"/>
      <w:r w:rsidRPr="00A92B5D">
        <w:rPr>
          <w:lang w:val="fr-FR"/>
        </w:rPr>
        <w:t>Bianku</w:t>
      </w:r>
      <w:proofErr w:type="spellEnd"/>
      <w:r w:rsidRPr="00A92B5D">
        <w:rPr>
          <w:lang w:val="fr-FR"/>
        </w:rPr>
        <w:t xml:space="preserve">, Robert </w:t>
      </w:r>
      <w:proofErr w:type="spellStart"/>
      <w:r w:rsidRPr="00A92B5D">
        <w:rPr>
          <w:lang w:val="fr-FR"/>
        </w:rPr>
        <w:t>Spano</w:t>
      </w:r>
      <w:proofErr w:type="spellEnd"/>
      <w:r w:rsidRPr="00A92B5D">
        <w:rPr>
          <w:lang w:val="fr-FR"/>
        </w:rPr>
        <w:t xml:space="preserve">, </w:t>
      </w:r>
      <w:proofErr w:type="spellStart"/>
      <w:r w:rsidRPr="00A92B5D">
        <w:rPr>
          <w:lang w:val="fr-FR"/>
        </w:rPr>
        <w:t>Pauliine</w:t>
      </w:r>
      <w:proofErr w:type="spellEnd"/>
      <w:r w:rsidRPr="00A92B5D">
        <w:rPr>
          <w:lang w:val="fr-FR"/>
        </w:rPr>
        <w:t xml:space="preserve"> </w:t>
      </w:r>
      <w:proofErr w:type="spellStart"/>
      <w:r w:rsidRPr="00A92B5D">
        <w:rPr>
          <w:lang w:val="fr-FR"/>
        </w:rPr>
        <w:t>Koskelo</w:t>
      </w:r>
      <w:proofErr w:type="spellEnd"/>
      <w:r w:rsidRPr="00A92B5D">
        <w:rPr>
          <w:lang w:val="fr-FR"/>
        </w:rPr>
        <w:t xml:space="preserve">, Jovan </w:t>
      </w:r>
      <w:proofErr w:type="spellStart"/>
      <w:r w:rsidRPr="00A92B5D">
        <w:rPr>
          <w:lang w:val="fr-FR"/>
        </w:rPr>
        <w:t>Ilievski</w:t>
      </w:r>
      <w:proofErr w:type="spellEnd"/>
      <w:r w:rsidRPr="00A92B5D">
        <w:rPr>
          <w:lang w:val="fr-FR"/>
        </w:rPr>
        <w:t xml:space="preserve"> et Ida Caracciolo, juges, ainsi que de Abel Campos, greffier, s</w:t>
      </w:r>
      <w:r w:rsidR="00A92B5D" w:rsidRPr="00A92B5D">
        <w:rPr>
          <w:lang w:val="fr-FR"/>
        </w:rPr>
        <w:t>’</w:t>
      </w:r>
      <w:r w:rsidRPr="00A92B5D">
        <w:rPr>
          <w:lang w:val="fr-FR"/>
        </w:rPr>
        <w:t>est dessaisie au profit de la Grande Chambre, aucune des parties ne s</w:t>
      </w:r>
      <w:r w:rsidR="00A92B5D" w:rsidRPr="00A92B5D">
        <w:rPr>
          <w:lang w:val="fr-FR"/>
        </w:rPr>
        <w:t>’</w:t>
      </w:r>
      <w:r w:rsidRPr="00A92B5D">
        <w:rPr>
          <w:lang w:val="fr-FR"/>
        </w:rPr>
        <w:t>y étant opposée (articles 30 de la Convention et 72 du règlement). La composition de la Grande Chambre a été arrêtée conformément aux articles 26 §§ 4 et 5 de la Convention et 24 du règlement.</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8</w:t>
      </w:r>
      <w:r w:rsidRPr="00A92B5D">
        <w:rPr>
          <w:lang w:val="fr-FR"/>
        </w:rPr>
        <w:fldChar w:fldCharType="end"/>
      </w:r>
      <w:r w:rsidRPr="00A92B5D">
        <w:rPr>
          <w:lang w:val="fr-FR"/>
        </w:rPr>
        <w:t>.  Tant le requérant que le Gouvernement ont déposé des observations sur la recevabilité et le fond de l</w:t>
      </w:r>
      <w:r w:rsidR="00A92B5D" w:rsidRPr="00A92B5D">
        <w:rPr>
          <w:lang w:val="fr-FR"/>
        </w:rPr>
        <w:t>’</w:t>
      </w:r>
      <w:r w:rsidRPr="00A92B5D">
        <w:rPr>
          <w:lang w:val="fr-FR"/>
        </w:rPr>
        <w:t>affaire. Des observations ont également été reçues de la Commission</w:t>
      </w:r>
      <w:r w:rsidR="00526CB4" w:rsidRPr="00A92B5D">
        <w:rPr>
          <w:lang w:val="fr-FR"/>
        </w:rPr>
        <w:t xml:space="preserve"> européenne</w:t>
      </w:r>
      <w:r w:rsidRPr="00A92B5D">
        <w:rPr>
          <w:lang w:val="fr-FR"/>
        </w:rPr>
        <w:t xml:space="preserve"> pour la démocratie par le droit (« la Commission de Venise »), que la présidente de la Grande Chambre avait invitée à intervenir dans la procédure écrite (article 44 § 3 a) du règlement). Les parties ont répondu à ces observations par écrit (article 44 § 6 du règlement).</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9</w:t>
      </w:r>
      <w:r w:rsidRPr="00A92B5D">
        <w:rPr>
          <w:lang w:val="fr-FR"/>
        </w:rPr>
        <w:fldChar w:fldCharType="end"/>
      </w:r>
      <w:r w:rsidRPr="00A92B5D">
        <w:rPr>
          <w:lang w:val="fr-FR"/>
        </w:rPr>
        <w:t>.  </w:t>
      </w:r>
      <w:r w:rsidRPr="00A92B5D">
        <w:rPr>
          <w:rStyle w:val="ECHRParaChar"/>
          <w:lang w:val="fr-FR"/>
        </w:rPr>
        <w:t>Le 31 août 2017, la présidente a autorisé l</w:t>
      </w:r>
      <w:r w:rsidR="00A92B5D" w:rsidRPr="00A92B5D">
        <w:rPr>
          <w:rStyle w:val="ECHRParaChar"/>
          <w:lang w:val="fr-FR"/>
        </w:rPr>
        <w:t>’</w:t>
      </w:r>
      <w:proofErr w:type="spellStart"/>
      <w:r w:rsidRPr="00A92B5D">
        <w:rPr>
          <w:rStyle w:val="ECHRParaChar"/>
          <w:i/>
          <w:lang w:val="fr-FR"/>
        </w:rPr>
        <w:t>Associazione</w:t>
      </w:r>
      <w:proofErr w:type="spellEnd"/>
      <w:r w:rsidRPr="00A92B5D">
        <w:rPr>
          <w:rStyle w:val="ECHRParaChar"/>
          <w:i/>
          <w:lang w:val="fr-FR"/>
        </w:rPr>
        <w:t xml:space="preserve"> </w:t>
      </w:r>
      <w:proofErr w:type="spellStart"/>
      <w:r w:rsidRPr="00A92B5D">
        <w:rPr>
          <w:rStyle w:val="ECHRParaChar"/>
          <w:i/>
          <w:lang w:val="fr-FR"/>
        </w:rPr>
        <w:t>Politica</w:t>
      </w:r>
      <w:proofErr w:type="spellEnd"/>
      <w:r w:rsidRPr="00A92B5D">
        <w:rPr>
          <w:rStyle w:val="ECHRParaChar"/>
          <w:lang w:val="fr-FR"/>
        </w:rPr>
        <w:t xml:space="preserve"> </w:t>
      </w:r>
      <w:r w:rsidRPr="00A92B5D">
        <w:rPr>
          <w:rStyle w:val="ECHRParaChar"/>
          <w:i/>
          <w:lang w:val="fr-FR"/>
        </w:rPr>
        <w:t xml:space="preserve">Nazionale Lista Marco </w:t>
      </w:r>
      <w:proofErr w:type="spellStart"/>
      <w:r w:rsidRPr="00A92B5D">
        <w:rPr>
          <w:rStyle w:val="ECHRParaChar"/>
          <w:i/>
          <w:lang w:val="fr-FR"/>
        </w:rPr>
        <w:t>Pannella</w:t>
      </w:r>
      <w:proofErr w:type="spellEnd"/>
      <w:r w:rsidRPr="00A92B5D">
        <w:rPr>
          <w:rStyle w:val="ECHRParaChar"/>
          <w:lang w:val="fr-FR"/>
        </w:rPr>
        <w:t xml:space="preserve"> à intervenir dans la procédure en tant que tierce partie et à déposer des observations écrites (article 44 § 3 a) du règlement). Le 11 octobre 2017, la présidente a décidé de ne pas verser au dossier les observations reçues au greffe le 21 septembre 2017, au motif qu</w:t>
      </w:r>
      <w:r w:rsidR="00A92B5D" w:rsidRPr="00A92B5D">
        <w:rPr>
          <w:rStyle w:val="ECHRParaChar"/>
          <w:lang w:val="fr-FR"/>
        </w:rPr>
        <w:t>’</w:t>
      </w:r>
      <w:r w:rsidRPr="00A92B5D">
        <w:rPr>
          <w:rStyle w:val="ECHRParaChar"/>
          <w:lang w:val="fr-FR"/>
        </w:rPr>
        <w:t>elles ne remplissaient pas les conditions de forme et de fond requises (article 44 § 5 du règlement).</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10</w:t>
      </w:r>
      <w:r w:rsidRPr="00A92B5D">
        <w:rPr>
          <w:lang w:val="fr-FR"/>
        </w:rPr>
        <w:fldChar w:fldCharType="end"/>
      </w:r>
      <w:r w:rsidRPr="00A92B5D">
        <w:rPr>
          <w:lang w:val="fr-FR"/>
        </w:rPr>
        <w:t>.  </w:t>
      </w:r>
      <w:r w:rsidRPr="00A92B5D">
        <w:rPr>
          <w:rStyle w:val="ECHRParaChar"/>
          <w:lang w:val="fr-FR"/>
        </w:rPr>
        <w:t>Une audience s</w:t>
      </w:r>
      <w:r w:rsidR="00A92B5D" w:rsidRPr="00A92B5D">
        <w:rPr>
          <w:rStyle w:val="ECHRParaChar"/>
          <w:lang w:val="fr-FR"/>
        </w:rPr>
        <w:t>’</w:t>
      </w:r>
      <w:r w:rsidRPr="00A92B5D">
        <w:rPr>
          <w:rStyle w:val="ECHRParaChar"/>
          <w:lang w:val="fr-FR"/>
        </w:rPr>
        <w:t>est déroulée en public au Palais des droits de l</w:t>
      </w:r>
      <w:r w:rsidR="00A92B5D" w:rsidRPr="00A92B5D">
        <w:rPr>
          <w:rStyle w:val="ECHRParaChar"/>
          <w:lang w:val="fr-FR"/>
        </w:rPr>
        <w:t>’</w:t>
      </w:r>
      <w:r w:rsidRPr="00A92B5D">
        <w:rPr>
          <w:rStyle w:val="ECHRParaChar"/>
          <w:lang w:val="fr-FR"/>
        </w:rPr>
        <w:t>homme, à Strasbourg, le 22 novembre 2017 (article 59 § 3 du règlement).</w:t>
      </w:r>
    </w:p>
    <w:p w:rsidR="00106980" w:rsidRPr="00A92B5D" w:rsidRDefault="00106980" w:rsidP="00A92B5D">
      <w:pPr>
        <w:pStyle w:val="JuCourt"/>
        <w:keepNext/>
        <w:keepLines/>
        <w:rPr>
          <w:lang w:val="fr-FR"/>
        </w:rPr>
      </w:pPr>
      <w:r w:rsidRPr="00A92B5D">
        <w:rPr>
          <w:rStyle w:val="ECHRParaChar"/>
          <w:lang w:val="fr-FR"/>
        </w:rPr>
        <w:lastRenderedPageBreak/>
        <w:t>Ont comparu</w:t>
      </w:r>
      <w:r w:rsidRPr="00A92B5D">
        <w:rPr>
          <w:lang w:val="fr-FR"/>
        </w:rPr>
        <w:t> :</w:t>
      </w:r>
    </w:p>
    <w:p w:rsidR="00106980" w:rsidRPr="00A92B5D" w:rsidRDefault="00106980" w:rsidP="00A92B5D">
      <w:pPr>
        <w:pStyle w:val="JuCourt"/>
        <w:keepNext/>
        <w:keepLines/>
        <w:rPr>
          <w:lang w:val="fr-FR"/>
        </w:rPr>
      </w:pPr>
      <w:r w:rsidRPr="00A92B5D">
        <w:rPr>
          <w:lang w:val="fr-FR"/>
        </w:rPr>
        <w:t>–  </w:t>
      </w:r>
      <w:r w:rsidRPr="00A92B5D">
        <w:rPr>
          <w:i/>
          <w:lang w:val="fr-FR"/>
        </w:rPr>
        <w:t>pour le Gouvernement</w:t>
      </w:r>
    </w:p>
    <w:p w:rsidR="00F21018" w:rsidRPr="00A92B5D" w:rsidRDefault="00106980" w:rsidP="00A92B5D">
      <w:pPr>
        <w:ind w:firstLine="284"/>
        <w:rPr>
          <w:lang w:val="fr-FR"/>
        </w:rPr>
      </w:pPr>
      <w:r w:rsidRPr="00A92B5D">
        <w:rPr>
          <w:lang w:val="fr-FR"/>
        </w:rPr>
        <w:t>M</w:t>
      </w:r>
      <w:r w:rsidRPr="00A92B5D">
        <w:rPr>
          <w:vertAlign w:val="superscript"/>
          <w:lang w:val="fr-FR"/>
        </w:rPr>
        <w:t>mes</w:t>
      </w:r>
      <w:r w:rsidRPr="00A92B5D">
        <w:rPr>
          <w:vertAlign w:val="superscript"/>
          <w:lang w:val="fr-FR"/>
        </w:rPr>
        <w:tab/>
      </w:r>
      <w:r w:rsidRPr="00A92B5D">
        <w:rPr>
          <w:rStyle w:val="JUNAMES"/>
          <w:lang w:val="fr-FR"/>
        </w:rPr>
        <w:t>M.G. Civinini</w:t>
      </w:r>
      <w:r w:rsidR="00F21018" w:rsidRPr="00A92B5D">
        <w:rPr>
          <w:lang w:val="fr-FR"/>
        </w:rPr>
        <w:t xml:space="preserve">, </w:t>
      </w:r>
      <w:r w:rsidR="00F21018" w:rsidRPr="00A92B5D">
        <w:rPr>
          <w:lang w:val="fr-FR"/>
        </w:rPr>
        <w:tab/>
      </w:r>
    </w:p>
    <w:p w:rsidR="00106980" w:rsidRPr="00A92B5D" w:rsidRDefault="00F21018" w:rsidP="00A92B5D">
      <w:pPr>
        <w:tabs>
          <w:tab w:val="left" w:pos="1418"/>
          <w:tab w:val="left" w:pos="5812"/>
        </w:tabs>
        <w:ind w:firstLine="284"/>
        <w:jc w:val="left"/>
        <w:rPr>
          <w:lang w:val="en-US"/>
        </w:rPr>
      </w:pPr>
      <w:r w:rsidRPr="00A92B5D">
        <w:rPr>
          <w:lang w:val="fr-FR"/>
        </w:rPr>
        <w:tab/>
      </w:r>
      <w:r w:rsidR="00106980" w:rsidRPr="00A92B5D">
        <w:rPr>
          <w:rStyle w:val="JUNAMES"/>
          <w:lang w:val="en-US"/>
        </w:rPr>
        <w:t xml:space="preserve">P. </w:t>
      </w:r>
      <w:proofErr w:type="spellStart"/>
      <w:r w:rsidR="00106980" w:rsidRPr="00A92B5D">
        <w:rPr>
          <w:rStyle w:val="JUNAMES"/>
          <w:lang w:val="en-US"/>
        </w:rPr>
        <w:t>Accardo</w:t>
      </w:r>
      <w:proofErr w:type="spellEnd"/>
      <w:r w:rsidR="007B1CF9" w:rsidRPr="00A92B5D">
        <w:rPr>
          <w:lang w:val="it-IT"/>
        </w:rPr>
        <w:t>,</w:t>
      </w:r>
      <w:r w:rsidR="007B1CF9" w:rsidRPr="00A92B5D">
        <w:rPr>
          <w:lang w:val="it-IT"/>
        </w:rPr>
        <w:tab/>
      </w:r>
      <w:r w:rsidR="00106980" w:rsidRPr="00A92B5D">
        <w:rPr>
          <w:i/>
          <w:lang w:val="it-IT"/>
        </w:rPr>
        <w:t>co-agents</w:t>
      </w:r>
      <w:r w:rsidR="00106980" w:rsidRPr="00A92B5D">
        <w:rPr>
          <w:lang w:val="it-IT"/>
        </w:rPr>
        <w:t>,</w:t>
      </w:r>
    </w:p>
    <w:p w:rsidR="00F21018" w:rsidRPr="00A92B5D" w:rsidRDefault="00106980" w:rsidP="00A92B5D">
      <w:pPr>
        <w:ind w:firstLine="284"/>
        <w:rPr>
          <w:lang w:val="it-IT"/>
        </w:rPr>
      </w:pPr>
      <w:r w:rsidRPr="00A92B5D">
        <w:rPr>
          <w:lang w:val="it-IT"/>
        </w:rPr>
        <w:tab/>
      </w:r>
      <w:r w:rsidRPr="00A92B5D">
        <w:rPr>
          <w:lang w:val="it-IT"/>
        </w:rPr>
        <w:tab/>
      </w:r>
      <w:r w:rsidRPr="00A92B5D">
        <w:rPr>
          <w:rStyle w:val="JUNAMES"/>
          <w:lang w:val="en-US"/>
        </w:rPr>
        <w:t xml:space="preserve">S. </w:t>
      </w:r>
      <w:proofErr w:type="spellStart"/>
      <w:r w:rsidRPr="00A92B5D">
        <w:rPr>
          <w:rStyle w:val="JUNAMES"/>
          <w:lang w:val="en-US"/>
        </w:rPr>
        <w:t>Feriozzi</w:t>
      </w:r>
      <w:proofErr w:type="spellEnd"/>
      <w:r w:rsidR="008C0906" w:rsidRPr="00A92B5D">
        <w:rPr>
          <w:lang w:val="it-IT"/>
        </w:rPr>
        <w:t>,</w:t>
      </w:r>
    </w:p>
    <w:p w:rsidR="00F21018" w:rsidRPr="00A92B5D" w:rsidRDefault="00F21018" w:rsidP="00A92B5D">
      <w:pPr>
        <w:tabs>
          <w:tab w:val="left" w:pos="1418"/>
          <w:tab w:val="left" w:pos="5812"/>
        </w:tabs>
        <w:ind w:firstLine="284"/>
        <w:rPr>
          <w:lang w:val="fr-FR"/>
        </w:rPr>
      </w:pPr>
      <w:r w:rsidRPr="00A92B5D">
        <w:rPr>
          <w:lang w:val="it-IT"/>
        </w:rPr>
        <w:tab/>
      </w:r>
      <w:r w:rsidR="00106980" w:rsidRPr="00A92B5D">
        <w:rPr>
          <w:rStyle w:val="JUNAMES"/>
          <w:lang w:val="fr-FR"/>
        </w:rPr>
        <w:t>V. De Martin</w:t>
      </w:r>
      <w:r w:rsidRPr="00A92B5D">
        <w:rPr>
          <w:lang w:val="fr-FR"/>
        </w:rPr>
        <w:t xml:space="preserve">, </w:t>
      </w:r>
      <w:r w:rsidRPr="00A92B5D">
        <w:rPr>
          <w:lang w:val="fr-FR"/>
        </w:rPr>
        <w:tab/>
      </w:r>
      <w:r w:rsidR="00106980" w:rsidRPr="00A92B5D">
        <w:rPr>
          <w:i/>
          <w:lang w:val="fr-FR"/>
        </w:rPr>
        <w:t>assistantes</w:t>
      </w:r>
      <w:r w:rsidR="00106980" w:rsidRPr="00A92B5D">
        <w:rPr>
          <w:lang w:val="fr-FR"/>
        </w:rPr>
        <w:t>,</w:t>
      </w:r>
    </w:p>
    <w:p w:rsidR="00106980" w:rsidRPr="00A92B5D" w:rsidRDefault="00F21018" w:rsidP="00A92B5D">
      <w:pPr>
        <w:tabs>
          <w:tab w:val="left" w:pos="1418"/>
          <w:tab w:val="left" w:pos="5812"/>
        </w:tabs>
        <w:ind w:firstLine="284"/>
        <w:rPr>
          <w:lang w:val="it-IT"/>
        </w:rPr>
      </w:pPr>
      <w:r w:rsidRPr="00A92B5D">
        <w:rPr>
          <w:lang w:val="fr-FR"/>
        </w:rPr>
        <w:t>M.</w:t>
      </w:r>
      <w:r w:rsidRPr="00A92B5D">
        <w:rPr>
          <w:lang w:val="fr-FR"/>
        </w:rPr>
        <w:tab/>
      </w:r>
      <w:r w:rsidR="00106980" w:rsidRPr="00A92B5D">
        <w:rPr>
          <w:rStyle w:val="JUNAMES"/>
          <w:lang w:val="fr-FR"/>
        </w:rPr>
        <w:t xml:space="preserve">G. </w:t>
      </w:r>
      <w:proofErr w:type="spellStart"/>
      <w:r w:rsidR="00106980" w:rsidRPr="00A92B5D">
        <w:rPr>
          <w:rStyle w:val="JUNAMES"/>
          <w:lang w:val="fr-FR"/>
        </w:rPr>
        <w:t>Veggi</w:t>
      </w:r>
      <w:proofErr w:type="spellEnd"/>
      <w:r w:rsidRPr="00A92B5D">
        <w:rPr>
          <w:lang w:val="fr-FR"/>
        </w:rPr>
        <w:t xml:space="preserve">, </w:t>
      </w:r>
      <w:r w:rsidRPr="00A92B5D">
        <w:rPr>
          <w:lang w:val="fr-FR"/>
        </w:rPr>
        <w:tab/>
      </w:r>
      <w:r w:rsidR="00106980" w:rsidRPr="00A92B5D">
        <w:rPr>
          <w:i/>
          <w:lang w:val="fr-FR"/>
        </w:rPr>
        <w:t>assistant</w:t>
      </w:r>
      <w:r w:rsidR="00106980" w:rsidRPr="00A92B5D">
        <w:rPr>
          <w:lang w:val="fr-FR"/>
        </w:rPr>
        <w:t>;</w:t>
      </w:r>
    </w:p>
    <w:p w:rsidR="00106980" w:rsidRPr="00A92B5D" w:rsidRDefault="00106980" w:rsidP="00A92B5D">
      <w:pPr>
        <w:pStyle w:val="JuCourt"/>
        <w:rPr>
          <w:lang w:val="fr-FR"/>
        </w:rPr>
      </w:pPr>
      <w:r w:rsidRPr="00A92B5D">
        <w:rPr>
          <w:lang w:val="fr-FR"/>
        </w:rPr>
        <w:t>–  </w:t>
      </w:r>
      <w:r w:rsidRPr="00A92B5D">
        <w:rPr>
          <w:i/>
          <w:lang w:val="fr-FR"/>
        </w:rPr>
        <w:t>pour le requérant</w:t>
      </w:r>
    </w:p>
    <w:p w:rsidR="00106980" w:rsidRPr="00A92B5D" w:rsidRDefault="00106980" w:rsidP="00A92B5D">
      <w:pPr>
        <w:ind w:firstLine="284"/>
        <w:rPr>
          <w:lang w:val="it-IT"/>
        </w:rPr>
      </w:pPr>
      <w:proofErr w:type="spellStart"/>
      <w:r w:rsidRPr="00A92B5D">
        <w:rPr>
          <w:lang w:val="it-IT"/>
        </w:rPr>
        <w:t>M</w:t>
      </w:r>
      <w:r w:rsidRPr="00A92B5D">
        <w:rPr>
          <w:vertAlign w:val="superscript"/>
          <w:lang w:val="it-IT"/>
        </w:rPr>
        <w:t>es</w:t>
      </w:r>
      <w:proofErr w:type="spellEnd"/>
      <w:r w:rsidRPr="00A92B5D">
        <w:rPr>
          <w:vertAlign w:val="superscript"/>
          <w:lang w:val="it-IT"/>
        </w:rPr>
        <w:tab/>
      </w:r>
      <w:r w:rsidRPr="00A92B5D">
        <w:rPr>
          <w:vertAlign w:val="superscript"/>
          <w:lang w:val="it-IT"/>
        </w:rPr>
        <w:tab/>
      </w:r>
      <w:r w:rsidRPr="00A92B5D">
        <w:rPr>
          <w:rStyle w:val="JUNAMES"/>
          <w:lang w:val="fr-FR"/>
        </w:rPr>
        <w:t xml:space="preserve">A. </w:t>
      </w:r>
      <w:proofErr w:type="spellStart"/>
      <w:r w:rsidRPr="00A92B5D">
        <w:rPr>
          <w:rStyle w:val="JUNAMES"/>
          <w:lang w:val="fr-FR"/>
        </w:rPr>
        <w:t>Saccucci</w:t>
      </w:r>
      <w:proofErr w:type="spellEnd"/>
      <w:r w:rsidRPr="00A92B5D">
        <w:rPr>
          <w:lang w:val="it-IT"/>
        </w:rPr>
        <w:t xml:space="preserve">, </w:t>
      </w:r>
      <w:r w:rsidRPr="00A92B5D">
        <w:rPr>
          <w:lang w:val="it-IT"/>
        </w:rPr>
        <w:tab/>
      </w:r>
    </w:p>
    <w:p w:rsidR="00106980" w:rsidRPr="00A92B5D" w:rsidRDefault="00106980" w:rsidP="00A92B5D">
      <w:pPr>
        <w:ind w:firstLine="284"/>
        <w:rPr>
          <w:lang w:val="it-IT"/>
        </w:rPr>
      </w:pPr>
      <w:r w:rsidRPr="00A92B5D">
        <w:rPr>
          <w:lang w:val="it-IT"/>
        </w:rPr>
        <w:tab/>
      </w:r>
      <w:r w:rsidRPr="00A92B5D">
        <w:rPr>
          <w:lang w:val="it-IT"/>
        </w:rPr>
        <w:tab/>
      </w:r>
      <w:r w:rsidRPr="00A92B5D">
        <w:rPr>
          <w:rStyle w:val="JUNAMES"/>
          <w:lang w:val="en-US"/>
        </w:rPr>
        <w:t xml:space="preserve">B. </w:t>
      </w:r>
      <w:proofErr w:type="spellStart"/>
      <w:r w:rsidRPr="00A92B5D">
        <w:rPr>
          <w:rStyle w:val="JUNAMES"/>
          <w:lang w:val="en-US"/>
        </w:rPr>
        <w:t>Nascimbene</w:t>
      </w:r>
      <w:proofErr w:type="spellEnd"/>
      <w:r w:rsidR="008C0906" w:rsidRPr="00A92B5D">
        <w:rPr>
          <w:lang w:val="it-IT"/>
        </w:rPr>
        <w:t>,</w:t>
      </w:r>
    </w:p>
    <w:p w:rsidR="00F21018" w:rsidRPr="00A92B5D" w:rsidRDefault="00106980" w:rsidP="00A92B5D">
      <w:pPr>
        <w:ind w:left="720" w:firstLine="720"/>
        <w:rPr>
          <w:lang w:val="en-US"/>
        </w:rPr>
      </w:pPr>
      <w:r w:rsidRPr="00A92B5D">
        <w:rPr>
          <w:rStyle w:val="JUNAMES"/>
          <w:lang w:val="en-US"/>
        </w:rPr>
        <w:t>E. Fitzgerald</w:t>
      </w:r>
      <w:r w:rsidR="008C0906" w:rsidRPr="00A92B5D">
        <w:rPr>
          <w:lang w:val="en-US"/>
        </w:rPr>
        <w:t>,</w:t>
      </w:r>
    </w:p>
    <w:p w:rsidR="00106980" w:rsidRPr="00A92B5D" w:rsidRDefault="00106980" w:rsidP="00A92B5D">
      <w:pPr>
        <w:tabs>
          <w:tab w:val="left" w:pos="5812"/>
        </w:tabs>
        <w:ind w:left="720" w:firstLine="720"/>
        <w:rPr>
          <w:lang w:val="en-US"/>
        </w:rPr>
      </w:pPr>
      <w:r w:rsidRPr="00A92B5D">
        <w:rPr>
          <w:rStyle w:val="JUNAMES"/>
          <w:lang w:val="en-US"/>
        </w:rPr>
        <w:t>S. Powles</w:t>
      </w:r>
      <w:r w:rsidR="00F21018" w:rsidRPr="00A92B5D">
        <w:rPr>
          <w:rStyle w:val="JUNAMES"/>
          <w:lang w:val="en-US"/>
        </w:rPr>
        <w:t>,</w:t>
      </w:r>
      <w:r w:rsidR="00F21018" w:rsidRPr="00A92B5D">
        <w:rPr>
          <w:rStyle w:val="JUNAMES"/>
          <w:lang w:val="en-US"/>
        </w:rPr>
        <w:tab/>
      </w:r>
      <w:proofErr w:type="spellStart"/>
      <w:r w:rsidR="007B1CF9" w:rsidRPr="00A92B5D">
        <w:rPr>
          <w:i/>
          <w:lang w:val="it-IT"/>
        </w:rPr>
        <w:t>conseil</w:t>
      </w:r>
      <w:proofErr w:type="spellEnd"/>
      <w:r w:rsidR="007B1CF9" w:rsidRPr="00A92B5D">
        <w:rPr>
          <w:i/>
          <w:iCs/>
          <w:lang w:val="en-US"/>
        </w:rPr>
        <w:t>s</w:t>
      </w:r>
      <w:r w:rsidRPr="00A92B5D">
        <w:rPr>
          <w:lang w:val="en-US"/>
        </w:rPr>
        <w:t>,</w:t>
      </w:r>
    </w:p>
    <w:p w:rsidR="00F21018" w:rsidRPr="00A92B5D" w:rsidRDefault="00106980" w:rsidP="00A92B5D">
      <w:pPr>
        <w:ind w:firstLine="284"/>
        <w:rPr>
          <w:smallCaps/>
          <w:lang w:val="it-IT"/>
        </w:rPr>
      </w:pPr>
      <w:r w:rsidRPr="00A92B5D">
        <w:rPr>
          <w:lang w:val="en-US"/>
        </w:rPr>
        <w:tab/>
      </w:r>
      <w:r w:rsidRPr="00A92B5D">
        <w:rPr>
          <w:lang w:val="en-US"/>
        </w:rPr>
        <w:tab/>
      </w:r>
      <w:r w:rsidRPr="00A92B5D">
        <w:rPr>
          <w:rStyle w:val="JUNAMES"/>
          <w:lang w:val="en-US"/>
        </w:rPr>
        <w:t xml:space="preserve">F. </w:t>
      </w:r>
      <w:proofErr w:type="spellStart"/>
      <w:r w:rsidRPr="00A92B5D">
        <w:rPr>
          <w:rStyle w:val="JUNAMES"/>
          <w:lang w:val="en-US"/>
        </w:rPr>
        <w:t>Coppi</w:t>
      </w:r>
      <w:proofErr w:type="spellEnd"/>
      <w:r w:rsidR="007B1CF9" w:rsidRPr="00A92B5D">
        <w:rPr>
          <w:smallCaps/>
          <w:lang w:val="it-IT"/>
        </w:rPr>
        <w:t>,</w:t>
      </w:r>
    </w:p>
    <w:p w:rsidR="00943979" w:rsidRPr="00A92B5D" w:rsidRDefault="00943979" w:rsidP="00A92B5D">
      <w:pPr>
        <w:tabs>
          <w:tab w:val="left" w:pos="1418"/>
          <w:tab w:val="left" w:pos="5812"/>
        </w:tabs>
        <w:ind w:firstLine="284"/>
        <w:rPr>
          <w:i/>
          <w:lang w:val="it-IT"/>
        </w:rPr>
      </w:pPr>
      <w:r w:rsidRPr="00A92B5D">
        <w:rPr>
          <w:rStyle w:val="JUNAMES"/>
          <w:lang w:val="en-US"/>
        </w:rPr>
        <w:tab/>
      </w:r>
      <w:r w:rsidR="00106980" w:rsidRPr="00A92B5D">
        <w:rPr>
          <w:rStyle w:val="JUNAMES"/>
          <w:lang w:val="fr-FR"/>
        </w:rPr>
        <w:t xml:space="preserve">N. </w:t>
      </w:r>
      <w:proofErr w:type="spellStart"/>
      <w:r w:rsidR="00106980" w:rsidRPr="00A92B5D">
        <w:rPr>
          <w:rStyle w:val="JUNAMES"/>
          <w:lang w:val="fr-FR"/>
        </w:rPr>
        <w:t>Ghedini</w:t>
      </w:r>
      <w:proofErr w:type="spellEnd"/>
      <w:r w:rsidR="00106980" w:rsidRPr="00A92B5D">
        <w:rPr>
          <w:smallCaps/>
          <w:lang w:val="it-IT"/>
        </w:rPr>
        <w:t>,</w:t>
      </w:r>
      <w:r w:rsidRPr="00A92B5D">
        <w:rPr>
          <w:smallCaps/>
          <w:lang w:val="it-IT"/>
        </w:rPr>
        <w:tab/>
      </w:r>
      <w:proofErr w:type="spellStart"/>
      <w:r w:rsidR="00106980" w:rsidRPr="00A92B5D">
        <w:rPr>
          <w:i/>
          <w:lang w:val="it-IT"/>
        </w:rPr>
        <w:t>conseillers</w:t>
      </w:r>
      <w:proofErr w:type="spellEnd"/>
      <w:r w:rsidR="00106980" w:rsidRPr="00A92B5D">
        <w:rPr>
          <w:i/>
          <w:lang w:val="it-IT"/>
        </w:rPr>
        <w:t>,</w:t>
      </w:r>
    </w:p>
    <w:p w:rsidR="00943979" w:rsidRPr="00A92B5D" w:rsidRDefault="00106980" w:rsidP="00A92B5D">
      <w:pPr>
        <w:tabs>
          <w:tab w:val="left" w:pos="1418"/>
          <w:tab w:val="left" w:pos="5812"/>
        </w:tabs>
        <w:ind w:firstLine="284"/>
        <w:rPr>
          <w:lang w:val="fr-FR"/>
        </w:rPr>
      </w:pPr>
      <w:r w:rsidRPr="00A92B5D">
        <w:rPr>
          <w:lang w:val="fr-FR"/>
        </w:rPr>
        <w:t>M</w:t>
      </w:r>
      <w:r w:rsidR="00943979" w:rsidRPr="00A92B5D">
        <w:rPr>
          <w:vertAlign w:val="superscript"/>
          <w:lang w:val="fr-FR"/>
        </w:rPr>
        <w:t>me</w:t>
      </w:r>
      <w:r w:rsidR="00943979" w:rsidRPr="00A92B5D">
        <w:rPr>
          <w:vertAlign w:val="superscript"/>
          <w:lang w:val="fr-FR"/>
        </w:rPr>
        <w:tab/>
      </w:r>
      <w:r w:rsidRPr="00A92B5D">
        <w:rPr>
          <w:rStyle w:val="JUNAMES"/>
          <w:lang w:val="fr-FR"/>
        </w:rPr>
        <w:t xml:space="preserve">G. </w:t>
      </w:r>
      <w:proofErr w:type="spellStart"/>
      <w:r w:rsidRPr="00A92B5D">
        <w:rPr>
          <w:rStyle w:val="JUNAMES"/>
          <w:lang w:val="fr-FR"/>
        </w:rPr>
        <w:t>Borgna</w:t>
      </w:r>
      <w:proofErr w:type="spellEnd"/>
      <w:r w:rsidRPr="00A92B5D">
        <w:rPr>
          <w:smallCaps/>
          <w:lang w:val="fr-FR"/>
        </w:rPr>
        <w:t>,</w:t>
      </w:r>
      <w:r w:rsidR="007B1CF9" w:rsidRPr="00A92B5D">
        <w:rPr>
          <w:smallCaps/>
          <w:lang w:val="fr-FR"/>
        </w:rPr>
        <w:tab/>
      </w:r>
    </w:p>
    <w:p w:rsidR="00106980" w:rsidRPr="00A92B5D" w:rsidRDefault="00943979" w:rsidP="00A92B5D">
      <w:pPr>
        <w:tabs>
          <w:tab w:val="left" w:pos="1418"/>
          <w:tab w:val="left" w:pos="5812"/>
        </w:tabs>
        <w:ind w:firstLine="284"/>
        <w:rPr>
          <w:smallCaps/>
          <w:lang w:val="it-IT"/>
        </w:rPr>
      </w:pPr>
      <w:r w:rsidRPr="00A92B5D">
        <w:rPr>
          <w:lang w:val="fr-FR"/>
        </w:rPr>
        <w:t>M.</w:t>
      </w:r>
      <w:r w:rsidRPr="00A92B5D">
        <w:rPr>
          <w:lang w:val="fr-FR"/>
        </w:rPr>
        <w:tab/>
      </w:r>
      <w:r w:rsidR="00106980" w:rsidRPr="00A92B5D">
        <w:rPr>
          <w:rStyle w:val="JUNAMES"/>
          <w:lang w:val="fr-FR"/>
        </w:rPr>
        <w:t xml:space="preserve">F. </w:t>
      </w:r>
      <w:proofErr w:type="spellStart"/>
      <w:r w:rsidR="00106980" w:rsidRPr="00A92B5D">
        <w:rPr>
          <w:rStyle w:val="JUNAMES"/>
          <w:lang w:val="fr-FR"/>
        </w:rPr>
        <w:t>Ciancio</w:t>
      </w:r>
      <w:proofErr w:type="spellEnd"/>
      <w:r w:rsidR="00106980" w:rsidRPr="00A92B5D">
        <w:rPr>
          <w:smallCaps/>
          <w:lang w:val="fr-FR"/>
        </w:rPr>
        <w:t>,</w:t>
      </w:r>
      <w:r w:rsidR="007B1CF9" w:rsidRPr="00A92B5D">
        <w:rPr>
          <w:lang w:val="fr-FR"/>
        </w:rPr>
        <w:tab/>
      </w:r>
      <w:r w:rsidR="00106980" w:rsidRPr="00A92B5D">
        <w:rPr>
          <w:i/>
          <w:lang w:val="fr-FR"/>
        </w:rPr>
        <w:t>assistant</w:t>
      </w:r>
      <w:r w:rsidR="007A3EE1" w:rsidRPr="00A92B5D">
        <w:rPr>
          <w:i/>
          <w:lang w:val="fr-FR"/>
        </w:rPr>
        <w:t>s</w:t>
      </w:r>
      <w:r w:rsidR="00106980" w:rsidRPr="00A92B5D">
        <w:rPr>
          <w:lang w:val="fr-FR"/>
        </w:rPr>
        <w:t>.</w:t>
      </w:r>
    </w:p>
    <w:p w:rsidR="00106980" w:rsidRPr="00A92B5D" w:rsidRDefault="00106980" w:rsidP="00A92B5D">
      <w:pPr>
        <w:ind w:firstLine="284"/>
        <w:rPr>
          <w:lang w:val="fr-FR"/>
        </w:rPr>
      </w:pPr>
    </w:p>
    <w:p w:rsidR="00106980" w:rsidRPr="00A92B5D" w:rsidRDefault="00106980" w:rsidP="00A92B5D">
      <w:pPr>
        <w:ind w:firstLine="284"/>
        <w:rPr>
          <w:lang w:val="fr-FR"/>
        </w:rPr>
      </w:pPr>
      <w:r w:rsidRPr="00A92B5D">
        <w:rPr>
          <w:rStyle w:val="ECHRParaChar"/>
          <w:lang w:val="fr-FR"/>
        </w:rPr>
        <w:t>La Cour a entendu M</w:t>
      </w:r>
      <w:r w:rsidRPr="00A92B5D">
        <w:rPr>
          <w:rStyle w:val="ECHRParaChar"/>
          <w:vertAlign w:val="superscript"/>
          <w:lang w:val="fr-FR"/>
        </w:rPr>
        <w:t>me</w:t>
      </w:r>
      <w:r w:rsidRPr="00A92B5D">
        <w:rPr>
          <w:rStyle w:val="ECHRParaChar"/>
          <w:lang w:val="fr-FR"/>
        </w:rPr>
        <w:t xml:space="preserve"> Civinini, M</w:t>
      </w:r>
      <w:r w:rsidRPr="00A92B5D">
        <w:rPr>
          <w:rStyle w:val="ECHRParaChar"/>
          <w:vertAlign w:val="superscript"/>
          <w:lang w:val="fr-FR"/>
        </w:rPr>
        <w:t>es</w:t>
      </w:r>
      <w:r w:rsidRPr="00A92B5D">
        <w:rPr>
          <w:rStyle w:val="ECHRParaChar"/>
          <w:lang w:val="fr-FR"/>
        </w:rPr>
        <w:t xml:space="preserve"> Fitzgerald, </w:t>
      </w:r>
      <w:proofErr w:type="spellStart"/>
      <w:r w:rsidRPr="00A92B5D">
        <w:rPr>
          <w:rStyle w:val="ECHRParaChar"/>
          <w:lang w:val="fr-FR"/>
        </w:rPr>
        <w:t>Nascimbene</w:t>
      </w:r>
      <w:proofErr w:type="spellEnd"/>
      <w:r w:rsidRPr="00A92B5D">
        <w:rPr>
          <w:rStyle w:val="ECHRParaChar"/>
          <w:lang w:val="fr-FR"/>
        </w:rPr>
        <w:t xml:space="preserve"> et </w:t>
      </w:r>
      <w:proofErr w:type="spellStart"/>
      <w:r w:rsidRPr="00A92B5D">
        <w:rPr>
          <w:rStyle w:val="ECHRParaChar"/>
          <w:lang w:val="fr-FR"/>
        </w:rPr>
        <w:t>Saccucci</w:t>
      </w:r>
      <w:proofErr w:type="spellEnd"/>
      <w:r w:rsidRPr="00A92B5D">
        <w:rPr>
          <w:rStyle w:val="ECHRParaChar"/>
          <w:lang w:val="fr-FR"/>
        </w:rPr>
        <w:t xml:space="preserve"> en leurs déclarations ainsi qu</w:t>
      </w:r>
      <w:r w:rsidR="00A92B5D" w:rsidRPr="00A92B5D">
        <w:rPr>
          <w:rStyle w:val="ECHRParaChar"/>
          <w:lang w:val="fr-FR"/>
        </w:rPr>
        <w:t>’</w:t>
      </w:r>
      <w:r w:rsidRPr="00A92B5D">
        <w:rPr>
          <w:rStyle w:val="ECHRParaChar"/>
          <w:lang w:val="fr-FR"/>
        </w:rPr>
        <w:t>en leurs réponses aux questions posées par les juges</w:t>
      </w:r>
      <w:r w:rsidRPr="00A92B5D">
        <w:rPr>
          <w:lang w:val="fr-FR"/>
        </w:rPr>
        <w:t>.</w:t>
      </w:r>
    </w:p>
    <w:p w:rsidR="00106980" w:rsidRPr="00A92B5D" w:rsidRDefault="00106980" w:rsidP="00A92B5D">
      <w:pPr>
        <w:pStyle w:val="ECHRHeading2"/>
        <w:rPr>
          <w:lang w:val="fr-FR"/>
        </w:rPr>
      </w:pPr>
      <w:r w:rsidRPr="00A92B5D">
        <w:rPr>
          <w:lang w:val="fr-FR"/>
        </w:rPr>
        <w:t>A.  Les circonstances de l</w:t>
      </w:r>
      <w:r w:rsidR="00A92B5D" w:rsidRPr="00A92B5D">
        <w:rPr>
          <w:lang w:val="fr-FR"/>
        </w:rPr>
        <w:t>’</w:t>
      </w:r>
      <w:r w:rsidRPr="00A92B5D">
        <w:rPr>
          <w:lang w:val="fr-FR"/>
        </w:rPr>
        <w:t>esp</w:t>
      </w:r>
      <w:r w:rsidRPr="00A92B5D">
        <w:rPr>
          <w:rFonts w:cstheme="majorHAnsi"/>
          <w:lang w:val="fr-FR"/>
        </w:rPr>
        <w:t>è</w:t>
      </w:r>
      <w:r w:rsidRPr="00A92B5D">
        <w:rPr>
          <w:lang w:val="fr-FR"/>
        </w:rPr>
        <w:t>ce</w:t>
      </w:r>
    </w:p>
    <w:p w:rsidR="00106980" w:rsidRPr="00A92B5D" w:rsidRDefault="00106980" w:rsidP="00A92B5D">
      <w:pPr>
        <w:pStyle w:val="ECHRHeading3"/>
        <w:rPr>
          <w:lang w:val="fr-FR"/>
        </w:rPr>
      </w:pPr>
      <w:r w:rsidRPr="00A92B5D">
        <w:rPr>
          <w:lang w:val="fr-FR"/>
        </w:rPr>
        <w:t>1.  La loi anticorruption</w:t>
      </w:r>
    </w:p>
    <w:bookmarkStart w:id="1" w:name="Anticorruption"/>
    <w:bookmarkEnd w:id="1"/>
    <w:p w:rsidR="00106980" w:rsidRPr="00A92B5D" w:rsidRDefault="00106980" w:rsidP="00A92B5D">
      <w:pPr>
        <w:ind w:firstLine="284"/>
        <w:rPr>
          <w:lang w:val="fr-FR"/>
        </w:rPr>
      </w:pPr>
      <w:r w:rsidRPr="00A92B5D">
        <w:rPr>
          <w:lang w:val="it-IT"/>
        </w:rPr>
        <w:fldChar w:fldCharType="begin"/>
      </w:r>
      <w:r w:rsidRPr="00A92B5D">
        <w:rPr>
          <w:lang w:val="fr-FR"/>
        </w:rPr>
        <w:instrText xml:space="preserve"> SEQ level0 \*arabic </w:instrText>
      </w:r>
      <w:r w:rsidRPr="00A92B5D">
        <w:rPr>
          <w:lang w:val="it-IT"/>
        </w:rPr>
        <w:fldChar w:fldCharType="separate"/>
      </w:r>
      <w:r w:rsidR="00A92B5D">
        <w:rPr>
          <w:noProof/>
          <w:lang w:val="fr-FR"/>
        </w:rPr>
        <w:t>11</w:t>
      </w:r>
      <w:r w:rsidRPr="00A92B5D">
        <w:rPr>
          <w:lang w:val="it-IT"/>
        </w:rPr>
        <w:fldChar w:fldCharType="end"/>
      </w:r>
      <w:r w:rsidRPr="00A92B5D">
        <w:rPr>
          <w:lang w:val="fr-FR"/>
        </w:rPr>
        <w:t>.  </w:t>
      </w:r>
      <w:r w:rsidR="008C0906" w:rsidRPr="00A92B5D">
        <w:rPr>
          <w:rStyle w:val="ECHRParaChar"/>
          <w:lang w:val="fr-FR"/>
        </w:rPr>
        <w:t>Le 28 novembre 2012, la loi n</w:t>
      </w:r>
      <w:r w:rsidR="00A92B5D" w:rsidRPr="00A92B5D">
        <w:rPr>
          <w:rStyle w:val="ECHRParaChar"/>
          <w:vertAlign w:val="superscript"/>
          <w:lang w:val="fr-FR"/>
        </w:rPr>
        <w:t>o</w:t>
      </w:r>
      <w:r w:rsidR="008C0906" w:rsidRPr="00A92B5D">
        <w:rPr>
          <w:rStyle w:val="ECHRParaChar"/>
          <w:lang w:val="fr-FR"/>
        </w:rPr>
        <w:t> </w:t>
      </w:r>
      <w:r w:rsidRPr="00A92B5D">
        <w:rPr>
          <w:rStyle w:val="ECHRParaChar"/>
          <w:lang w:val="fr-FR"/>
        </w:rPr>
        <w:t xml:space="preserve">190/2012  entra en vigueur (paragraphes </w:t>
      </w:r>
      <w:bookmarkStart w:id="2" w:name="Severino"/>
      <w:r w:rsidRPr="00A92B5D">
        <w:rPr>
          <w:rStyle w:val="ECHRParaChar"/>
          <w:lang w:val="fr-FR"/>
        </w:rPr>
        <w:t>4</w:t>
      </w:r>
      <w:bookmarkEnd w:id="2"/>
      <w:r w:rsidRPr="00A92B5D">
        <w:rPr>
          <w:rStyle w:val="ECHRParaChar"/>
          <w:lang w:val="fr-FR"/>
        </w:rPr>
        <w:t>2-44 ci-dessous). En son article 1, alinéa 1, elle prévoit notamment, en application de l</w:t>
      </w:r>
      <w:r w:rsidR="00A92B5D" w:rsidRPr="00A92B5D">
        <w:rPr>
          <w:rStyle w:val="ECHRParaChar"/>
          <w:lang w:val="fr-FR"/>
        </w:rPr>
        <w:t>’</w:t>
      </w:r>
      <w:r w:rsidRPr="00A92B5D">
        <w:rPr>
          <w:rStyle w:val="ECHRParaChar"/>
          <w:lang w:val="fr-FR"/>
        </w:rPr>
        <w:t>article 6 de la Convention des Nations Unies contre la corruption (paragraphe 50 ci-dessous), adoptée à New York le 31 octobre 2003 (ratifiée par l</w:t>
      </w:r>
      <w:r w:rsidR="00A92B5D" w:rsidRPr="00A92B5D">
        <w:rPr>
          <w:rStyle w:val="ECHRParaChar"/>
          <w:lang w:val="fr-FR"/>
        </w:rPr>
        <w:t>’</w:t>
      </w:r>
      <w:r w:rsidRPr="00A92B5D">
        <w:rPr>
          <w:rStyle w:val="ECHRParaChar"/>
          <w:lang w:val="fr-FR"/>
        </w:rPr>
        <w:t>Italie en octobre 2009), et des articles 20 et 21 de la Convention pénale du Conseil de l</w:t>
      </w:r>
      <w:r w:rsidR="00A92B5D" w:rsidRPr="00A92B5D">
        <w:rPr>
          <w:rStyle w:val="ECHRParaChar"/>
          <w:lang w:val="fr-FR"/>
        </w:rPr>
        <w:t>’</w:t>
      </w:r>
      <w:r w:rsidRPr="00A92B5D">
        <w:rPr>
          <w:rStyle w:val="ECHRParaChar"/>
          <w:lang w:val="fr-FR"/>
        </w:rPr>
        <w:t>Europe sur la corruption (paragraphe 51 ci-dessous), adoptée à Strasbourg le 27 janvier 1999 (ratifiée par l</w:t>
      </w:r>
      <w:r w:rsidR="00A92B5D" w:rsidRPr="00A92B5D">
        <w:rPr>
          <w:rStyle w:val="ECHRParaChar"/>
          <w:lang w:val="fr-FR"/>
        </w:rPr>
        <w:t>’</w:t>
      </w:r>
      <w:r w:rsidRPr="00A92B5D">
        <w:rPr>
          <w:rStyle w:val="ECHRParaChar"/>
          <w:lang w:val="fr-FR"/>
        </w:rPr>
        <w:t>Italie en juin 2013), l</w:t>
      </w:r>
      <w:r w:rsidR="00A92B5D" w:rsidRPr="00A92B5D">
        <w:rPr>
          <w:rStyle w:val="ECHRParaChar"/>
          <w:lang w:val="fr-FR"/>
        </w:rPr>
        <w:t>’</w:t>
      </w:r>
      <w:r w:rsidRPr="00A92B5D">
        <w:rPr>
          <w:rStyle w:val="ECHRParaChar"/>
          <w:lang w:val="fr-FR"/>
        </w:rPr>
        <w:t>institution d</w:t>
      </w:r>
      <w:r w:rsidR="00A92B5D" w:rsidRPr="00A92B5D">
        <w:rPr>
          <w:rStyle w:val="ECHRParaChar"/>
          <w:lang w:val="fr-FR"/>
        </w:rPr>
        <w:t>’</w:t>
      </w:r>
      <w:r w:rsidRPr="00A92B5D">
        <w:rPr>
          <w:rStyle w:val="ECHRParaChar"/>
          <w:lang w:val="fr-FR"/>
        </w:rPr>
        <w:t>une Autorité nationale anticorruption et l</w:t>
      </w:r>
      <w:r w:rsidR="00A92B5D" w:rsidRPr="00A92B5D">
        <w:rPr>
          <w:rStyle w:val="ECHRParaChar"/>
          <w:lang w:val="fr-FR"/>
        </w:rPr>
        <w:t>’</w:t>
      </w:r>
      <w:r w:rsidRPr="00A92B5D">
        <w:rPr>
          <w:rStyle w:val="ECHRParaChar"/>
          <w:lang w:val="fr-FR"/>
        </w:rPr>
        <w:t>établissement d</w:t>
      </w:r>
      <w:r w:rsidR="00A92B5D" w:rsidRPr="00A92B5D">
        <w:rPr>
          <w:rStyle w:val="ECHRParaChar"/>
          <w:lang w:val="fr-FR"/>
        </w:rPr>
        <w:t>’</w:t>
      </w:r>
      <w:r w:rsidRPr="00A92B5D">
        <w:rPr>
          <w:rStyle w:val="ECHRParaChar"/>
          <w:lang w:val="fr-FR"/>
        </w:rPr>
        <w:t>un plan d</w:t>
      </w:r>
      <w:r w:rsidR="00A92B5D" w:rsidRPr="00A92B5D">
        <w:rPr>
          <w:rStyle w:val="ECHRParaChar"/>
          <w:lang w:val="fr-FR"/>
        </w:rPr>
        <w:t>’</w:t>
      </w:r>
      <w:r w:rsidRPr="00A92B5D">
        <w:rPr>
          <w:rStyle w:val="ECHRParaChar"/>
          <w:lang w:val="fr-FR"/>
        </w:rPr>
        <w:t>action national pour « contrôler, prévenir et combattre la corruption et l</w:t>
      </w:r>
      <w:r w:rsidR="00A92B5D" w:rsidRPr="00A92B5D">
        <w:rPr>
          <w:rStyle w:val="ECHRParaChar"/>
          <w:lang w:val="fr-FR"/>
        </w:rPr>
        <w:t>’</w:t>
      </w:r>
      <w:r w:rsidRPr="00A92B5D">
        <w:rPr>
          <w:rStyle w:val="ECHRParaChar"/>
          <w:lang w:val="fr-FR"/>
        </w:rPr>
        <w:t>illégalité au sein de l</w:t>
      </w:r>
      <w:r w:rsidR="00A92B5D" w:rsidRPr="00A92B5D">
        <w:rPr>
          <w:rStyle w:val="ECHRParaChar"/>
          <w:lang w:val="fr-FR"/>
        </w:rPr>
        <w:t>’</w:t>
      </w:r>
      <w:r w:rsidRPr="00A92B5D">
        <w:rPr>
          <w:rStyle w:val="ECHRParaChar"/>
          <w:lang w:val="fr-FR"/>
        </w:rPr>
        <w:t>administration publique. » Ainsi qu</w:t>
      </w:r>
      <w:r w:rsidR="00A92B5D" w:rsidRPr="00A92B5D">
        <w:rPr>
          <w:rStyle w:val="ECHRParaChar"/>
          <w:lang w:val="fr-FR"/>
        </w:rPr>
        <w:t>’</w:t>
      </w:r>
      <w:r w:rsidRPr="00A92B5D">
        <w:rPr>
          <w:rStyle w:val="ECHRParaChar"/>
          <w:lang w:val="fr-FR"/>
        </w:rPr>
        <w:t>il était précisé dans le rapport de présentation au Parlement du projet</w:t>
      </w:r>
      <w:r w:rsidR="008C0906" w:rsidRPr="00A92B5D">
        <w:rPr>
          <w:rStyle w:val="ECHRParaChar"/>
          <w:lang w:val="fr-FR"/>
        </w:rPr>
        <w:t xml:space="preserve"> qui devint plus tard la loi n</w:t>
      </w:r>
      <w:r w:rsidR="00A92B5D" w:rsidRPr="00A92B5D">
        <w:rPr>
          <w:rStyle w:val="ECHRParaChar"/>
          <w:vertAlign w:val="superscript"/>
          <w:lang w:val="fr-FR"/>
        </w:rPr>
        <w:t>o</w:t>
      </w:r>
      <w:r w:rsidR="008C0906" w:rsidRPr="00A92B5D">
        <w:rPr>
          <w:rStyle w:val="ECHRParaChar"/>
          <w:lang w:val="fr-FR"/>
        </w:rPr>
        <w:t> </w:t>
      </w:r>
      <w:r w:rsidRPr="00A92B5D">
        <w:rPr>
          <w:rStyle w:val="ECHRParaChar"/>
          <w:lang w:val="fr-FR"/>
        </w:rPr>
        <w:t>190/2012, l</w:t>
      </w:r>
      <w:r w:rsidR="00A92B5D" w:rsidRPr="00A92B5D">
        <w:rPr>
          <w:rStyle w:val="ECHRParaChar"/>
          <w:lang w:val="fr-FR"/>
        </w:rPr>
        <w:t>’</w:t>
      </w:r>
      <w:r w:rsidRPr="00A92B5D">
        <w:rPr>
          <w:rStyle w:val="ECHRParaChar"/>
          <w:lang w:val="fr-FR"/>
        </w:rPr>
        <w:t>introduction d</w:t>
      </w:r>
      <w:r w:rsidR="00A92B5D" w:rsidRPr="00A92B5D">
        <w:rPr>
          <w:rStyle w:val="ECHRParaChar"/>
          <w:lang w:val="fr-FR"/>
        </w:rPr>
        <w:t>’</w:t>
      </w:r>
      <w:r w:rsidRPr="00A92B5D">
        <w:rPr>
          <w:rStyle w:val="ECHRParaChar"/>
          <w:lang w:val="fr-FR"/>
        </w:rPr>
        <w:t>un plan national de lutte contre la corruption était devenue une exigence compte tenu, d</w:t>
      </w:r>
      <w:r w:rsidR="00A92B5D" w:rsidRPr="00A92B5D">
        <w:rPr>
          <w:rStyle w:val="ECHRParaChar"/>
          <w:lang w:val="fr-FR"/>
        </w:rPr>
        <w:t>’</w:t>
      </w:r>
      <w:r w:rsidRPr="00A92B5D">
        <w:rPr>
          <w:rStyle w:val="ECHRParaChar"/>
          <w:lang w:val="fr-FR"/>
        </w:rPr>
        <w:t>une part, des conclusions de l</w:t>
      </w:r>
      <w:r w:rsidR="00A92B5D" w:rsidRPr="00A92B5D">
        <w:rPr>
          <w:rStyle w:val="ECHRParaChar"/>
          <w:lang w:val="fr-FR"/>
        </w:rPr>
        <w:t>’</w:t>
      </w:r>
      <w:r w:rsidRPr="00A92B5D">
        <w:rPr>
          <w:rStyle w:val="ECHRParaChar"/>
          <w:lang w:val="fr-FR"/>
        </w:rPr>
        <w:t>évaluation effectuée en 2008 et en 2009 par le Groupe d</w:t>
      </w:r>
      <w:r w:rsidR="00A92B5D" w:rsidRPr="00A92B5D">
        <w:rPr>
          <w:rStyle w:val="ECHRParaChar"/>
          <w:lang w:val="fr-FR"/>
        </w:rPr>
        <w:t>’</w:t>
      </w:r>
      <w:r w:rsidRPr="00A92B5D">
        <w:rPr>
          <w:rStyle w:val="ECHRParaChar"/>
          <w:lang w:val="fr-FR"/>
        </w:rPr>
        <w:t>États contre la corruption (GRECO) (paragraphe 52 ci-dessous) et, d</w:t>
      </w:r>
      <w:r w:rsidR="00A92B5D" w:rsidRPr="00A92B5D">
        <w:rPr>
          <w:rStyle w:val="ECHRParaChar"/>
          <w:lang w:val="fr-FR"/>
        </w:rPr>
        <w:t>’</w:t>
      </w:r>
      <w:r w:rsidRPr="00A92B5D">
        <w:rPr>
          <w:rStyle w:val="ECHRParaChar"/>
          <w:lang w:val="fr-FR"/>
        </w:rPr>
        <w:t>autre part, du constat selon lequel la plupart des États européens possédaient déjà un tel plan.</w:t>
      </w:r>
    </w:p>
    <w:bookmarkStart w:id="3" w:name="LOI2156"/>
    <w:bookmarkEnd w:id="3"/>
    <w:p w:rsidR="00106980" w:rsidRPr="00A92B5D" w:rsidRDefault="00106980" w:rsidP="00A92B5D">
      <w:pPr>
        <w:pStyle w:val="ECHRPara"/>
        <w:rPr>
          <w:lang w:val="fr-FR"/>
        </w:rPr>
      </w:pPr>
      <w:r w:rsidRPr="00A92B5D">
        <w:rPr>
          <w:lang w:val="fr-FR"/>
        </w:rPr>
        <w:lastRenderedPageBreak/>
        <w:fldChar w:fldCharType="begin"/>
      </w:r>
      <w:r w:rsidRPr="00A92B5D">
        <w:rPr>
          <w:lang w:val="fr-FR"/>
        </w:rPr>
        <w:instrText xml:space="preserve"> SEQ level0 \*arabic </w:instrText>
      </w:r>
      <w:r w:rsidRPr="00A92B5D">
        <w:rPr>
          <w:lang w:val="fr-FR"/>
        </w:rPr>
        <w:fldChar w:fldCharType="separate"/>
      </w:r>
      <w:r w:rsidR="00A92B5D">
        <w:rPr>
          <w:noProof/>
          <w:lang w:val="fr-FR"/>
        </w:rPr>
        <w:t>12</w:t>
      </w:r>
      <w:r w:rsidRPr="00A92B5D">
        <w:rPr>
          <w:lang w:val="fr-FR"/>
        </w:rPr>
        <w:fldChar w:fldCharType="end"/>
      </w:r>
      <w:r w:rsidRPr="00A92B5D">
        <w:rPr>
          <w:lang w:val="fr-FR"/>
        </w:rPr>
        <w:t>.  </w:t>
      </w:r>
      <w:r w:rsidRPr="00A92B5D">
        <w:rPr>
          <w:rStyle w:val="ECHRParaChar"/>
          <w:lang w:val="fr-FR"/>
        </w:rPr>
        <w:t>Le projet de loi n</w:t>
      </w:r>
      <w:r w:rsidRPr="00A92B5D">
        <w:rPr>
          <w:rStyle w:val="ECHRParaChar"/>
          <w:vertAlign w:val="superscript"/>
          <w:lang w:val="fr-FR"/>
        </w:rPr>
        <w:t>o</w:t>
      </w:r>
      <w:r w:rsidRPr="00A92B5D">
        <w:rPr>
          <w:rStyle w:val="ECHRParaChar"/>
          <w:lang w:val="fr-FR"/>
        </w:rPr>
        <w:t> 2156 avait été présenté au Sénat en mai 2010 par le ministre de la Justice du « gouvernement Berlusconi IV » puis, à l</w:t>
      </w:r>
      <w:r w:rsidR="00A92B5D" w:rsidRPr="00A92B5D">
        <w:rPr>
          <w:rStyle w:val="ECHRParaChar"/>
          <w:lang w:val="fr-FR"/>
        </w:rPr>
        <w:t>’</w:t>
      </w:r>
      <w:r w:rsidRPr="00A92B5D">
        <w:rPr>
          <w:rStyle w:val="ECHRParaChar"/>
          <w:lang w:val="fr-FR"/>
        </w:rPr>
        <w:t>issue</w:t>
      </w:r>
      <w:r w:rsidRPr="00A92B5D">
        <w:rPr>
          <w:lang w:val="fr-FR"/>
        </w:rPr>
        <w:t xml:space="preserve"> de la procédure parlementaire, à la Chambre des députés par le ministre de la Justice du « gouvernement Monti » en octobre 2012.</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13</w:t>
      </w:r>
      <w:r w:rsidRPr="00A92B5D">
        <w:rPr>
          <w:lang w:val="fr-FR"/>
        </w:rPr>
        <w:fldChar w:fldCharType="end"/>
      </w:r>
      <w:r w:rsidRPr="00A92B5D">
        <w:rPr>
          <w:lang w:val="fr-FR"/>
        </w:rPr>
        <w:t>.  L</w:t>
      </w:r>
      <w:r w:rsidR="00A92B5D" w:rsidRPr="00A92B5D">
        <w:rPr>
          <w:lang w:val="fr-FR"/>
        </w:rPr>
        <w:t>’</w:t>
      </w:r>
      <w:r w:rsidRPr="00A92B5D">
        <w:rPr>
          <w:lang w:val="fr-FR"/>
        </w:rPr>
        <w:t>alinéa 63 de l</w:t>
      </w:r>
      <w:r w:rsidR="00A92B5D" w:rsidRPr="00A92B5D">
        <w:rPr>
          <w:lang w:val="fr-FR"/>
        </w:rPr>
        <w:t>’</w:t>
      </w:r>
      <w:r w:rsidRPr="00A92B5D">
        <w:rPr>
          <w:lang w:val="fr-FR"/>
        </w:rPr>
        <w:t>article 1 de la loi n</w:t>
      </w:r>
      <w:r w:rsidRPr="00A92B5D">
        <w:rPr>
          <w:vertAlign w:val="superscript"/>
          <w:lang w:val="fr-FR"/>
        </w:rPr>
        <w:t>o </w:t>
      </w:r>
      <w:r w:rsidRPr="00A92B5D">
        <w:rPr>
          <w:lang w:val="fr-FR"/>
        </w:rPr>
        <w:t>190/2012 déléguait au gouvernement le pouvoir d</w:t>
      </w:r>
      <w:r w:rsidR="00A92B5D" w:rsidRPr="00A92B5D">
        <w:rPr>
          <w:lang w:val="fr-FR"/>
        </w:rPr>
        <w:t>’</w:t>
      </w:r>
      <w:r w:rsidRPr="00A92B5D">
        <w:rPr>
          <w:lang w:val="fr-FR"/>
        </w:rPr>
        <w:t>adopter, dans un délai d</w:t>
      </w:r>
      <w:r w:rsidR="00A92B5D" w:rsidRPr="00A92B5D">
        <w:rPr>
          <w:lang w:val="fr-FR"/>
        </w:rPr>
        <w:t>’</w:t>
      </w:r>
      <w:r w:rsidRPr="00A92B5D">
        <w:rPr>
          <w:lang w:val="fr-FR"/>
        </w:rPr>
        <w:t>un an, un décret législatif réunissant en un texte les dispositions relatives à l</w:t>
      </w:r>
      <w:r w:rsidR="00A92B5D" w:rsidRPr="00A92B5D">
        <w:rPr>
          <w:lang w:val="fr-FR"/>
        </w:rPr>
        <w:t>’</w:t>
      </w:r>
      <w:r w:rsidRPr="00A92B5D">
        <w:rPr>
          <w:lang w:val="fr-FR"/>
        </w:rPr>
        <w:t xml:space="preserve">interdiction de se porter candidat </w:t>
      </w:r>
      <w:r w:rsidRPr="00A92B5D">
        <w:rPr>
          <w:i/>
          <w:lang w:val="fr-FR"/>
        </w:rPr>
        <w:t>(</w:t>
      </w:r>
      <w:proofErr w:type="spellStart"/>
      <w:r w:rsidRPr="00A92B5D">
        <w:rPr>
          <w:i/>
          <w:lang w:val="fr-FR"/>
        </w:rPr>
        <w:t>incandidabilità</w:t>
      </w:r>
      <w:proofErr w:type="spellEnd"/>
      <w:r w:rsidRPr="00A92B5D">
        <w:rPr>
          <w:lang w:val="fr-FR"/>
        </w:rPr>
        <w:t>) aux élections permettant d</w:t>
      </w:r>
      <w:r w:rsidR="00A92B5D" w:rsidRPr="00A92B5D">
        <w:rPr>
          <w:lang w:val="fr-FR"/>
        </w:rPr>
        <w:t>’</w:t>
      </w:r>
      <w:r w:rsidRPr="00A92B5D">
        <w:rPr>
          <w:lang w:val="fr-FR"/>
        </w:rPr>
        <w:t>accéder aux fonctions, notamment, de membre du Parlement européen, de député et de sénateur de la République, et à l</w:t>
      </w:r>
      <w:r w:rsidR="00A92B5D" w:rsidRPr="00A92B5D">
        <w:rPr>
          <w:lang w:val="fr-FR"/>
        </w:rPr>
        <w:t>’</w:t>
      </w:r>
      <w:r w:rsidRPr="00A92B5D">
        <w:rPr>
          <w:lang w:val="fr-FR"/>
        </w:rPr>
        <w:t>interdiction d</w:t>
      </w:r>
      <w:r w:rsidR="00A92B5D" w:rsidRPr="00A92B5D">
        <w:rPr>
          <w:lang w:val="fr-FR"/>
        </w:rPr>
        <w:t>’</w:t>
      </w:r>
      <w:r w:rsidRPr="00A92B5D">
        <w:rPr>
          <w:lang w:val="fr-FR"/>
        </w:rPr>
        <w:t>exercer des fonctions électives et de gouvernement (</w:t>
      </w:r>
      <w:proofErr w:type="spellStart"/>
      <w:r w:rsidRPr="00A92B5D">
        <w:rPr>
          <w:i/>
          <w:lang w:val="fr-FR"/>
        </w:rPr>
        <w:t>divieto</w:t>
      </w:r>
      <w:proofErr w:type="spellEnd"/>
      <w:r w:rsidRPr="00A92B5D">
        <w:rPr>
          <w:i/>
          <w:lang w:val="fr-FR"/>
        </w:rPr>
        <w:t xml:space="preserve"> di </w:t>
      </w:r>
      <w:proofErr w:type="spellStart"/>
      <w:r w:rsidRPr="00A92B5D">
        <w:rPr>
          <w:i/>
          <w:lang w:val="fr-FR"/>
        </w:rPr>
        <w:t>ricoprire</w:t>
      </w:r>
      <w:proofErr w:type="spellEnd"/>
      <w:r w:rsidRPr="00A92B5D">
        <w:rPr>
          <w:i/>
          <w:lang w:val="fr-FR"/>
        </w:rPr>
        <w:t xml:space="preserve"> </w:t>
      </w:r>
      <w:proofErr w:type="spellStart"/>
      <w:r w:rsidRPr="00A92B5D">
        <w:rPr>
          <w:i/>
          <w:lang w:val="fr-FR"/>
        </w:rPr>
        <w:t>cariche</w:t>
      </w:r>
      <w:proofErr w:type="spellEnd"/>
      <w:r w:rsidRPr="00A92B5D">
        <w:rPr>
          <w:i/>
          <w:lang w:val="fr-FR"/>
        </w:rPr>
        <w:t xml:space="preserve"> </w:t>
      </w:r>
      <w:proofErr w:type="spellStart"/>
      <w:r w:rsidRPr="00A92B5D">
        <w:rPr>
          <w:i/>
          <w:lang w:val="fr-FR"/>
        </w:rPr>
        <w:t>elettive</w:t>
      </w:r>
      <w:proofErr w:type="spellEnd"/>
      <w:r w:rsidRPr="00A92B5D">
        <w:rPr>
          <w:i/>
          <w:lang w:val="fr-FR"/>
        </w:rPr>
        <w:t xml:space="preserve"> e di </w:t>
      </w:r>
      <w:proofErr w:type="spellStart"/>
      <w:r w:rsidRPr="00A92B5D">
        <w:rPr>
          <w:i/>
          <w:lang w:val="fr-FR"/>
        </w:rPr>
        <w:t>Governo</w:t>
      </w:r>
      <w:proofErr w:type="spellEnd"/>
      <w:r w:rsidRPr="00A92B5D">
        <w:rPr>
          <w:lang w:val="fr-FR"/>
        </w:rPr>
        <w:t>). L</w:t>
      </w:r>
      <w:r w:rsidR="00A92B5D" w:rsidRPr="00A92B5D">
        <w:rPr>
          <w:lang w:val="fr-FR"/>
        </w:rPr>
        <w:t>’</w:t>
      </w:r>
      <w:r w:rsidRPr="00A92B5D">
        <w:rPr>
          <w:lang w:val="fr-FR"/>
        </w:rPr>
        <w:t>alinéa 64 fixait le cadre strict des critères à appliquer.</w:t>
      </w:r>
    </w:p>
    <w:p w:rsidR="00106980" w:rsidRPr="00A92B5D" w:rsidRDefault="00106980" w:rsidP="00A92B5D">
      <w:pPr>
        <w:pStyle w:val="ECHRHeading3"/>
        <w:rPr>
          <w:lang w:val="fr-FR"/>
        </w:rPr>
      </w:pPr>
      <w:r w:rsidRPr="00A92B5D">
        <w:rPr>
          <w:lang w:val="fr-FR"/>
        </w:rPr>
        <w:t>2.  Le décret législatif n</w:t>
      </w:r>
      <w:r w:rsidRPr="00A92B5D">
        <w:rPr>
          <w:vertAlign w:val="superscript"/>
          <w:lang w:val="fr-FR"/>
        </w:rPr>
        <w:t>o </w:t>
      </w:r>
      <w:r w:rsidRPr="00A92B5D">
        <w:rPr>
          <w:lang w:val="fr-FR"/>
        </w:rPr>
        <w:t>235 du 31 décembre 2012</w:t>
      </w:r>
    </w:p>
    <w:bookmarkStart w:id="4" w:name="MONTI"/>
    <w:bookmarkEnd w:id="4"/>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14</w:t>
      </w:r>
      <w:r w:rsidRPr="00A92B5D">
        <w:rPr>
          <w:lang w:val="fr-FR"/>
        </w:rPr>
        <w:fldChar w:fldCharType="end"/>
      </w:r>
      <w:r w:rsidRPr="00A92B5D">
        <w:rPr>
          <w:lang w:val="fr-FR"/>
        </w:rPr>
        <w:t>.  </w:t>
      </w:r>
      <w:r w:rsidRPr="00A92B5D">
        <w:rPr>
          <w:rStyle w:val="ECHRParaChar"/>
          <w:lang w:val="fr-FR"/>
        </w:rPr>
        <w:t>Dans les limites de son pouvoir délégué, le 6 décembre 2012, sur proposition de son ministre de l</w:t>
      </w:r>
      <w:r w:rsidR="00A92B5D" w:rsidRPr="00A92B5D">
        <w:rPr>
          <w:rStyle w:val="ECHRParaChar"/>
          <w:lang w:val="fr-FR"/>
        </w:rPr>
        <w:t>’</w:t>
      </w:r>
      <w:r w:rsidRPr="00A92B5D">
        <w:rPr>
          <w:rStyle w:val="ECHRParaChar"/>
          <w:lang w:val="fr-FR"/>
        </w:rPr>
        <w:t>Intérieur, le « gouvernement Monti » adopta le décret législatif n</w:t>
      </w:r>
      <w:r w:rsidRPr="00A92B5D">
        <w:rPr>
          <w:rStyle w:val="ECHRParaChar"/>
          <w:vertAlign w:val="superscript"/>
          <w:lang w:val="fr-FR"/>
        </w:rPr>
        <w:t>o</w:t>
      </w:r>
      <w:r w:rsidRPr="00A92B5D">
        <w:rPr>
          <w:rStyle w:val="ECHRParaChar"/>
          <w:lang w:val="fr-FR"/>
        </w:rPr>
        <w:t> 235 (« le décret législatif n</w:t>
      </w:r>
      <w:r w:rsidRPr="00A92B5D">
        <w:rPr>
          <w:rStyle w:val="ECHRParaChar"/>
          <w:vertAlign w:val="superscript"/>
          <w:lang w:val="fr-FR"/>
        </w:rPr>
        <w:t>o</w:t>
      </w:r>
      <w:r w:rsidRPr="00A92B5D">
        <w:rPr>
          <w:rStyle w:val="ECHRParaChar"/>
          <w:lang w:val="fr-FR"/>
        </w:rPr>
        <w:t> 235/2012 ») (paragraphes 46-49 ci-dessous).</w:t>
      </w:r>
    </w:p>
    <w:bookmarkStart w:id="5" w:name="Inc"/>
    <w:bookmarkStart w:id="6" w:name="Incandidabilità"/>
    <w:bookmarkEnd w:id="5"/>
    <w:bookmarkEnd w:id="6"/>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15</w:t>
      </w:r>
      <w:r w:rsidRPr="00A92B5D">
        <w:rPr>
          <w:lang w:val="fr-FR"/>
        </w:rPr>
        <w:fldChar w:fldCharType="end"/>
      </w:r>
      <w:r w:rsidRPr="00A92B5D">
        <w:rPr>
          <w:lang w:val="fr-FR"/>
        </w:rPr>
        <w:t>.  </w:t>
      </w:r>
      <w:r w:rsidRPr="00A92B5D">
        <w:rPr>
          <w:rStyle w:val="ECHRParaChar"/>
          <w:lang w:val="fr-FR"/>
        </w:rPr>
        <w:t>Aux termes de l</w:t>
      </w:r>
      <w:r w:rsidR="00A92B5D" w:rsidRPr="00A92B5D">
        <w:rPr>
          <w:rStyle w:val="ECHRParaChar"/>
          <w:lang w:val="fr-FR"/>
        </w:rPr>
        <w:t>’</w:t>
      </w:r>
      <w:r w:rsidRPr="00A92B5D">
        <w:rPr>
          <w:rStyle w:val="ECHRParaChar"/>
          <w:lang w:val="fr-FR"/>
        </w:rPr>
        <w:t>article 1 du décret législatif n</w:t>
      </w:r>
      <w:r w:rsidRPr="00A92B5D">
        <w:rPr>
          <w:rStyle w:val="ECHRParaChar"/>
          <w:vertAlign w:val="superscript"/>
          <w:lang w:val="fr-FR"/>
        </w:rPr>
        <w:t>o</w:t>
      </w:r>
      <w:r w:rsidRPr="00A92B5D">
        <w:rPr>
          <w:rStyle w:val="ECHRParaChar"/>
          <w:lang w:val="fr-FR"/>
        </w:rPr>
        <w:t xml:space="preserve"> 235/2012, il est interdit notamment de se porter candidat aux élections ou d</w:t>
      </w:r>
      <w:r w:rsidR="00A92B5D" w:rsidRPr="00A92B5D">
        <w:rPr>
          <w:rStyle w:val="ECHRParaChar"/>
          <w:lang w:val="fr-FR"/>
        </w:rPr>
        <w:t>’</w:t>
      </w:r>
      <w:r w:rsidRPr="00A92B5D">
        <w:rPr>
          <w:rStyle w:val="ECHRParaChar"/>
          <w:lang w:val="fr-FR"/>
        </w:rPr>
        <w:t>exercer le mandat de sénateur ou de député en cas de condamnation définitive à une peine supérieure à deux ans d</w:t>
      </w:r>
      <w:r w:rsidR="00A92B5D" w:rsidRPr="00A92B5D">
        <w:rPr>
          <w:rStyle w:val="ECHRParaChar"/>
          <w:lang w:val="fr-FR"/>
        </w:rPr>
        <w:t>’</w:t>
      </w:r>
      <w:r w:rsidRPr="00A92B5D">
        <w:rPr>
          <w:rStyle w:val="ECHRParaChar"/>
          <w:lang w:val="fr-FR"/>
        </w:rPr>
        <w:t>emprisonnement pour un délit commis par dol sanctionné par une peine d</w:t>
      </w:r>
      <w:r w:rsidR="00A92B5D" w:rsidRPr="00A92B5D">
        <w:rPr>
          <w:rStyle w:val="ECHRParaChar"/>
          <w:lang w:val="fr-FR"/>
        </w:rPr>
        <w:t>’</w:t>
      </w:r>
      <w:r w:rsidRPr="00A92B5D">
        <w:rPr>
          <w:rStyle w:val="ECHRParaChar"/>
          <w:lang w:val="fr-FR"/>
        </w:rPr>
        <w:t>emprisonnement non inférieure au plafond de quatre ans. Selon son article 3, lorsque la cause d</w:t>
      </w:r>
      <w:r w:rsidR="00A92B5D" w:rsidRPr="00A92B5D">
        <w:rPr>
          <w:rStyle w:val="ECHRParaChar"/>
          <w:lang w:val="fr-FR"/>
        </w:rPr>
        <w:t>’</w:t>
      </w:r>
      <w:proofErr w:type="spellStart"/>
      <w:r w:rsidRPr="00A92B5D">
        <w:rPr>
          <w:rStyle w:val="ECHRParaChar"/>
          <w:i/>
          <w:lang w:val="fr-FR"/>
        </w:rPr>
        <w:t>incandidabilità</w:t>
      </w:r>
      <w:proofErr w:type="spellEnd"/>
      <w:r w:rsidRPr="00A92B5D">
        <w:rPr>
          <w:rStyle w:val="ECHRParaChar"/>
          <w:lang w:val="fr-FR"/>
        </w:rPr>
        <w:t xml:space="preserve"> survient ou est constatée pendant l</w:t>
      </w:r>
      <w:r w:rsidR="00A92B5D" w:rsidRPr="00A92B5D">
        <w:rPr>
          <w:rStyle w:val="ECHRParaChar"/>
          <w:lang w:val="fr-FR"/>
        </w:rPr>
        <w:t>’</w:t>
      </w:r>
      <w:r w:rsidRPr="00A92B5D">
        <w:rPr>
          <w:rStyle w:val="ECHRParaChar"/>
          <w:lang w:val="fr-FR"/>
        </w:rPr>
        <w:t>exercice du mandat électif, il incombe à la chambre à laquelle appartient le député ou le sénateur condamné de délibérer aux fins de l</w:t>
      </w:r>
      <w:r w:rsidR="00A92B5D" w:rsidRPr="00A92B5D">
        <w:rPr>
          <w:rStyle w:val="ECHRParaChar"/>
          <w:lang w:val="fr-FR"/>
        </w:rPr>
        <w:t>’</w:t>
      </w:r>
      <w:r w:rsidRPr="00A92B5D">
        <w:rPr>
          <w:rStyle w:val="ECHRParaChar"/>
          <w:lang w:val="fr-FR"/>
        </w:rPr>
        <w:t>article 66 de la Constitution (paragraphe 41 ci</w:t>
      </w:r>
      <w:r w:rsidRPr="00A92B5D">
        <w:rPr>
          <w:rStyle w:val="ECHRParaChar"/>
          <w:lang w:val="fr-FR"/>
        </w:rPr>
        <w:noBreakHyphen/>
        <w:t>dessous). Équivalant au double de la peine accessoire de l</w:t>
      </w:r>
      <w:r w:rsidR="00A92B5D" w:rsidRPr="00A92B5D">
        <w:rPr>
          <w:rStyle w:val="ECHRParaChar"/>
          <w:lang w:val="fr-FR"/>
        </w:rPr>
        <w:t>’</w:t>
      </w:r>
      <w:r w:rsidRPr="00A92B5D">
        <w:rPr>
          <w:rStyle w:val="ECHRParaChar"/>
          <w:lang w:val="fr-FR"/>
        </w:rPr>
        <w:t>interdiction temporaire d</w:t>
      </w:r>
      <w:r w:rsidR="00A92B5D" w:rsidRPr="00A92B5D">
        <w:rPr>
          <w:rStyle w:val="ECHRParaChar"/>
          <w:lang w:val="fr-FR"/>
        </w:rPr>
        <w:t>’</w:t>
      </w:r>
      <w:r w:rsidRPr="00A92B5D">
        <w:rPr>
          <w:rStyle w:val="ECHRParaChar"/>
          <w:lang w:val="fr-FR"/>
        </w:rPr>
        <w:t>exercer des fonctions publiques infligée par les juridictions pénales, et en aucun cas inférieure à six ans, l</w:t>
      </w:r>
      <w:r w:rsidR="00A92B5D" w:rsidRPr="00A92B5D">
        <w:rPr>
          <w:rStyle w:val="ECHRParaChar"/>
          <w:lang w:val="fr-FR"/>
        </w:rPr>
        <w:t>’</w:t>
      </w:r>
      <w:r w:rsidRPr="00A92B5D">
        <w:rPr>
          <w:rStyle w:val="ECHRParaChar"/>
          <w:lang w:val="fr-FR"/>
        </w:rPr>
        <w:t>interdiction de se porter candidat prévue par le décret législatif n</w:t>
      </w:r>
      <w:r w:rsidRPr="00A92B5D">
        <w:rPr>
          <w:rStyle w:val="ECHRParaChar"/>
          <w:vertAlign w:val="superscript"/>
          <w:lang w:val="fr-FR"/>
        </w:rPr>
        <w:t>o</w:t>
      </w:r>
      <w:r w:rsidRPr="00A92B5D">
        <w:rPr>
          <w:rStyle w:val="ECHRParaChar"/>
          <w:lang w:val="fr-FR"/>
        </w:rPr>
        <w:t> 235/2012 s</w:t>
      </w:r>
      <w:r w:rsidR="00A92B5D" w:rsidRPr="00A92B5D">
        <w:rPr>
          <w:rStyle w:val="ECHRParaChar"/>
          <w:lang w:val="fr-FR"/>
        </w:rPr>
        <w:t>’</w:t>
      </w:r>
      <w:r w:rsidRPr="00A92B5D">
        <w:rPr>
          <w:rStyle w:val="ECHRParaChar"/>
          <w:lang w:val="fr-FR"/>
        </w:rPr>
        <w:t>applique même en l</w:t>
      </w:r>
      <w:r w:rsidR="00A92B5D" w:rsidRPr="00A92B5D">
        <w:rPr>
          <w:rStyle w:val="ECHRParaChar"/>
          <w:lang w:val="fr-FR"/>
        </w:rPr>
        <w:t>’</w:t>
      </w:r>
      <w:r w:rsidRPr="00A92B5D">
        <w:rPr>
          <w:rStyle w:val="ECHRParaChar"/>
          <w:lang w:val="fr-FR"/>
        </w:rPr>
        <w:t>absence de peine accessoire (article 13) et court à partir de la date à laquelle le jugement devient définitif.</w:t>
      </w:r>
    </w:p>
    <w:p w:rsidR="00106980" w:rsidRPr="00A92B5D" w:rsidRDefault="00106980" w:rsidP="00A92B5D">
      <w:pPr>
        <w:pStyle w:val="ECHRHeading3"/>
        <w:rPr>
          <w:lang w:val="fr-FR"/>
        </w:rPr>
      </w:pPr>
      <w:r w:rsidRPr="00A92B5D">
        <w:rPr>
          <w:lang w:val="fr-FR"/>
        </w:rPr>
        <w:t>3.  La condamnation du requérant</w:t>
      </w:r>
    </w:p>
    <w:bookmarkStart w:id="7" w:name="Peineaccessoire"/>
    <w:bookmarkEnd w:id="7"/>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16</w:t>
      </w:r>
      <w:r w:rsidRPr="00A92B5D">
        <w:rPr>
          <w:lang w:val="fr-FR"/>
        </w:rPr>
        <w:fldChar w:fldCharType="end"/>
      </w:r>
      <w:r w:rsidRPr="00A92B5D">
        <w:rPr>
          <w:lang w:val="fr-FR"/>
        </w:rPr>
        <w:t>.  </w:t>
      </w:r>
      <w:r w:rsidRPr="00A92B5D">
        <w:rPr>
          <w:rStyle w:val="ECHRParaChar"/>
          <w:lang w:val="fr-FR"/>
        </w:rPr>
        <w:t>Le 26 octobre 2012, dans le cadre du « procès  </w:t>
      </w:r>
      <w:proofErr w:type="spellStart"/>
      <w:r w:rsidRPr="00A92B5D">
        <w:rPr>
          <w:rStyle w:val="ECHRParaChar"/>
          <w:lang w:val="fr-FR"/>
        </w:rPr>
        <w:t>Mediaset</w:t>
      </w:r>
      <w:proofErr w:type="spellEnd"/>
      <w:r w:rsidRPr="00A92B5D">
        <w:rPr>
          <w:rStyle w:val="ECHRParaChar"/>
          <w:lang w:val="fr-FR"/>
        </w:rPr>
        <w:t> », le tribunal de Milan reconnut le requérant coupable (avec trois autres personnes) de fraude fiscale pour les années 2002 et 2003 et le condamna à une peine de quatre ans d</w:t>
      </w:r>
      <w:r w:rsidR="00A92B5D" w:rsidRPr="00A92B5D">
        <w:rPr>
          <w:rStyle w:val="ECHRParaChar"/>
          <w:lang w:val="fr-FR"/>
        </w:rPr>
        <w:t>’</w:t>
      </w:r>
      <w:r w:rsidRPr="00A92B5D">
        <w:rPr>
          <w:rStyle w:val="ECHRParaChar"/>
          <w:lang w:val="fr-FR"/>
        </w:rPr>
        <w:t>emprisonnement (ramenée à un an en application d</w:t>
      </w:r>
      <w:r w:rsidR="00A92B5D" w:rsidRPr="00A92B5D">
        <w:rPr>
          <w:rStyle w:val="ECHRParaChar"/>
          <w:lang w:val="fr-FR"/>
        </w:rPr>
        <w:t>’</w:t>
      </w:r>
      <w:r w:rsidRPr="00A92B5D">
        <w:rPr>
          <w:rStyle w:val="ECHRParaChar"/>
          <w:lang w:val="fr-FR"/>
        </w:rPr>
        <w:t>une remise de peine), assortie de la peine accessoire d</w:t>
      </w:r>
      <w:r w:rsidR="00A92B5D" w:rsidRPr="00A92B5D">
        <w:rPr>
          <w:rStyle w:val="ECHRParaChar"/>
          <w:lang w:val="fr-FR"/>
        </w:rPr>
        <w:t>’</w:t>
      </w:r>
      <w:r w:rsidRPr="00A92B5D">
        <w:rPr>
          <w:rStyle w:val="ECHRParaChar"/>
          <w:lang w:val="fr-FR"/>
        </w:rPr>
        <w:t>interdiction d</w:t>
      </w:r>
      <w:r w:rsidR="00A92B5D" w:rsidRPr="00A92B5D">
        <w:rPr>
          <w:rStyle w:val="ECHRParaChar"/>
          <w:lang w:val="fr-FR"/>
        </w:rPr>
        <w:t>’</w:t>
      </w:r>
      <w:r w:rsidRPr="00A92B5D">
        <w:rPr>
          <w:rStyle w:val="ECHRParaChar"/>
          <w:lang w:val="fr-FR"/>
        </w:rPr>
        <w:t>exercer des fonctions publiques pendant cinq ans (comportant, entre autres, l</w:t>
      </w:r>
      <w:r w:rsidR="00A92B5D" w:rsidRPr="00A92B5D">
        <w:rPr>
          <w:rStyle w:val="ECHRParaChar"/>
          <w:lang w:val="fr-FR"/>
        </w:rPr>
        <w:t>’</w:t>
      </w:r>
      <w:r w:rsidRPr="00A92B5D">
        <w:rPr>
          <w:rStyle w:val="ECHRParaChar"/>
          <w:lang w:val="fr-FR"/>
        </w:rPr>
        <w:t xml:space="preserve">interdiction de voter et de se porter candidat aux élections). Ce </w:t>
      </w:r>
      <w:r w:rsidRPr="00A92B5D">
        <w:rPr>
          <w:rStyle w:val="ECHRParaChar"/>
          <w:lang w:val="fr-FR"/>
        </w:rPr>
        <w:lastRenderedPageBreak/>
        <w:t>jugement fut ensuite confirmé le 8 mai 2013 par la cour d</w:t>
      </w:r>
      <w:r w:rsidR="00A92B5D" w:rsidRPr="00A92B5D">
        <w:rPr>
          <w:rStyle w:val="ECHRParaChar"/>
          <w:lang w:val="fr-FR"/>
        </w:rPr>
        <w:t>’</w:t>
      </w:r>
      <w:r w:rsidRPr="00A92B5D">
        <w:rPr>
          <w:rStyle w:val="ECHRParaChar"/>
          <w:lang w:val="fr-FR"/>
        </w:rPr>
        <w:t>appel de Milan puis le 1</w:t>
      </w:r>
      <w:r w:rsidRPr="00A92B5D">
        <w:rPr>
          <w:rStyle w:val="ECHRParaChar"/>
          <w:vertAlign w:val="superscript"/>
          <w:lang w:val="fr-FR"/>
        </w:rPr>
        <w:t>er</w:t>
      </w:r>
      <w:r w:rsidRPr="00A92B5D">
        <w:rPr>
          <w:rStyle w:val="ECHRParaChar"/>
          <w:lang w:val="fr-FR"/>
        </w:rPr>
        <w:t> août 2013 par la Cour de cassation quant à la peine principale</w:t>
      </w:r>
      <w:r w:rsidRPr="00A92B5D">
        <w:rPr>
          <w:lang w:val="fr-FR"/>
        </w:rPr>
        <w:t>.</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17</w:t>
      </w:r>
      <w:r w:rsidRPr="00A92B5D">
        <w:rPr>
          <w:lang w:val="fr-FR"/>
        </w:rPr>
        <w:fldChar w:fldCharType="end"/>
      </w:r>
      <w:r w:rsidRPr="00A92B5D">
        <w:rPr>
          <w:lang w:val="fr-FR"/>
        </w:rPr>
        <w:t>.  La haute juridiction renvoya devant la cour d</w:t>
      </w:r>
      <w:r w:rsidR="00A92B5D" w:rsidRPr="00A92B5D">
        <w:rPr>
          <w:lang w:val="fr-FR"/>
        </w:rPr>
        <w:t>’</w:t>
      </w:r>
      <w:r w:rsidRPr="00A92B5D">
        <w:rPr>
          <w:lang w:val="fr-FR"/>
        </w:rPr>
        <w:t>appel de Milan la question de la détermination de la peine accessoire.</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18</w:t>
      </w:r>
      <w:r w:rsidRPr="00A92B5D">
        <w:rPr>
          <w:lang w:val="fr-FR"/>
        </w:rPr>
        <w:fldChar w:fldCharType="end"/>
      </w:r>
      <w:r w:rsidRPr="00A92B5D">
        <w:rPr>
          <w:lang w:val="fr-FR"/>
        </w:rPr>
        <w:t>.  Le 19 octobre 2013, la cour d</w:t>
      </w:r>
      <w:r w:rsidR="00A92B5D" w:rsidRPr="00A92B5D">
        <w:rPr>
          <w:lang w:val="fr-FR"/>
        </w:rPr>
        <w:t>’</w:t>
      </w:r>
      <w:r w:rsidRPr="00A92B5D">
        <w:rPr>
          <w:lang w:val="fr-FR"/>
        </w:rPr>
        <w:t>appel fixa à deux ans la peine accessoire. Elle rejeta la demande du requérant visant à la saisine de la Cour constitutionnelle au sujet de la non-conformité alléguée de l</w:t>
      </w:r>
      <w:r w:rsidR="00A92B5D" w:rsidRPr="00A92B5D">
        <w:rPr>
          <w:lang w:val="fr-FR"/>
        </w:rPr>
        <w:t>’</w:t>
      </w:r>
      <w:r w:rsidRPr="00A92B5D">
        <w:rPr>
          <w:lang w:val="fr-FR"/>
        </w:rPr>
        <w:t>article 13 du décret législatif n</w:t>
      </w:r>
      <w:r w:rsidRPr="00A92B5D">
        <w:rPr>
          <w:vertAlign w:val="superscript"/>
          <w:lang w:val="fr-FR"/>
        </w:rPr>
        <w:t>o </w:t>
      </w:r>
      <w:r w:rsidRPr="00A92B5D">
        <w:rPr>
          <w:lang w:val="fr-FR"/>
        </w:rPr>
        <w:t>235/2012 avec l</w:t>
      </w:r>
      <w:r w:rsidR="00A92B5D" w:rsidRPr="00A92B5D">
        <w:rPr>
          <w:lang w:val="fr-FR"/>
        </w:rPr>
        <w:t>’</w:t>
      </w:r>
      <w:r w:rsidRPr="00A92B5D">
        <w:rPr>
          <w:lang w:val="fr-FR"/>
        </w:rPr>
        <w:t>article 25, alinéa 2, de la Constitution, qui interdit la rétroactivité des lois en matière pénale. Selon la cour d</w:t>
      </w:r>
      <w:r w:rsidR="00A92B5D" w:rsidRPr="00A92B5D">
        <w:rPr>
          <w:lang w:val="fr-FR"/>
        </w:rPr>
        <w:t>’</w:t>
      </w:r>
      <w:r w:rsidRPr="00A92B5D">
        <w:rPr>
          <w:lang w:val="fr-FR"/>
        </w:rPr>
        <w:t>appel, ce point sortait du cadre de l</w:t>
      </w:r>
      <w:r w:rsidR="00A92B5D" w:rsidRPr="00A92B5D">
        <w:rPr>
          <w:lang w:val="fr-FR"/>
        </w:rPr>
        <w:t>’</w:t>
      </w:r>
      <w:r w:rsidRPr="00A92B5D">
        <w:rPr>
          <w:lang w:val="fr-FR"/>
        </w:rPr>
        <w:t>affaire, qui était limité à la détermination de la durée de la peine accessoire.</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19</w:t>
      </w:r>
      <w:r w:rsidRPr="00A92B5D">
        <w:rPr>
          <w:lang w:val="fr-FR"/>
        </w:rPr>
        <w:fldChar w:fldCharType="end"/>
      </w:r>
      <w:r w:rsidRPr="00A92B5D">
        <w:rPr>
          <w:lang w:val="fr-FR"/>
        </w:rPr>
        <w:t xml:space="preserve">.  Le 25 novembre 2013, le requérant se </w:t>
      </w:r>
      <w:proofErr w:type="spellStart"/>
      <w:r w:rsidRPr="00A92B5D">
        <w:rPr>
          <w:lang w:val="fr-FR"/>
        </w:rPr>
        <w:t>pourvut</w:t>
      </w:r>
      <w:proofErr w:type="spellEnd"/>
      <w:r w:rsidRPr="00A92B5D">
        <w:rPr>
          <w:lang w:val="fr-FR"/>
        </w:rPr>
        <w:t xml:space="preserve"> en cassation. Par un arrêt du</w:t>
      </w:r>
      <w:bookmarkStart w:id="8" w:name="Cassation"/>
      <w:bookmarkEnd w:id="8"/>
      <w:r w:rsidRPr="00A92B5D">
        <w:rPr>
          <w:lang w:val="fr-FR"/>
        </w:rPr>
        <w:t xml:space="preserve"> 18 mars 2014 (n</w:t>
      </w:r>
      <w:r w:rsidRPr="00A92B5D">
        <w:rPr>
          <w:vertAlign w:val="superscript"/>
          <w:lang w:val="fr-FR"/>
        </w:rPr>
        <w:t>o </w:t>
      </w:r>
      <w:r w:rsidRPr="00A92B5D">
        <w:rPr>
          <w:lang w:val="fr-FR"/>
        </w:rPr>
        <w:t>16206/2014), la Cour de cassation confirma l</w:t>
      </w:r>
      <w:r w:rsidR="00A92B5D" w:rsidRPr="00A92B5D">
        <w:rPr>
          <w:lang w:val="fr-FR"/>
        </w:rPr>
        <w:t>’</w:t>
      </w:r>
      <w:r w:rsidRPr="00A92B5D">
        <w:rPr>
          <w:lang w:val="fr-FR"/>
        </w:rPr>
        <w:t>arrêt d</w:t>
      </w:r>
      <w:r w:rsidR="00A92B5D" w:rsidRPr="00A92B5D">
        <w:rPr>
          <w:lang w:val="fr-FR"/>
        </w:rPr>
        <w:t>’</w:t>
      </w:r>
      <w:r w:rsidRPr="00A92B5D">
        <w:rPr>
          <w:lang w:val="fr-FR"/>
        </w:rPr>
        <w:t>appel.</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20</w:t>
      </w:r>
      <w:r w:rsidRPr="00A92B5D">
        <w:rPr>
          <w:lang w:val="fr-FR"/>
        </w:rPr>
        <w:fldChar w:fldCharType="end"/>
      </w:r>
      <w:r w:rsidRPr="00A92B5D">
        <w:rPr>
          <w:lang w:val="fr-FR"/>
        </w:rPr>
        <w:t>.  Le 2 août 2013,</w:t>
      </w:r>
      <w:r w:rsidRPr="00A92B5D">
        <w:rPr>
          <w:b/>
          <w:bCs/>
          <w:lang w:val="fr-FR"/>
        </w:rPr>
        <w:t xml:space="preserve"> </w:t>
      </w:r>
      <w:r w:rsidRPr="00A92B5D">
        <w:rPr>
          <w:lang w:val="fr-FR"/>
        </w:rPr>
        <w:t>le parquet avait signifié au requérant l</w:t>
      </w:r>
      <w:r w:rsidR="00A92B5D" w:rsidRPr="00A92B5D">
        <w:rPr>
          <w:lang w:val="fr-FR"/>
        </w:rPr>
        <w:t>’</w:t>
      </w:r>
      <w:r w:rsidRPr="00A92B5D">
        <w:rPr>
          <w:lang w:val="fr-FR"/>
        </w:rPr>
        <w:t>ordre d</w:t>
      </w:r>
      <w:r w:rsidR="00A92B5D" w:rsidRPr="00A92B5D">
        <w:rPr>
          <w:lang w:val="fr-FR"/>
        </w:rPr>
        <w:t>’</w:t>
      </w:r>
      <w:r w:rsidRPr="00A92B5D">
        <w:rPr>
          <w:lang w:val="fr-FR"/>
        </w:rPr>
        <w:t>exécution de la peine et, en même temps, la suspension de l</w:t>
      </w:r>
      <w:r w:rsidR="00A92B5D" w:rsidRPr="00A92B5D">
        <w:rPr>
          <w:lang w:val="fr-FR"/>
        </w:rPr>
        <w:t>’</w:t>
      </w:r>
      <w:r w:rsidRPr="00A92B5D">
        <w:rPr>
          <w:lang w:val="fr-FR"/>
        </w:rPr>
        <w:t>exécution en attendant le dépôt d</w:t>
      </w:r>
      <w:r w:rsidR="00A92B5D" w:rsidRPr="00A92B5D">
        <w:rPr>
          <w:lang w:val="fr-FR"/>
        </w:rPr>
        <w:t>’</w:t>
      </w:r>
      <w:r w:rsidRPr="00A92B5D">
        <w:rPr>
          <w:lang w:val="fr-FR"/>
        </w:rPr>
        <w:t>une éventuelle demande visant à l</w:t>
      </w:r>
      <w:r w:rsidR="00A92B5D" w:rsidRPr="00A92B5D">
        <w:rPr>
          <w:lang w:val="fr-FR"/>
        </w:rPr>
        <w:t>’</w:t>
      </w:r>
      <w:r w:rsidRPr="00A92B5D">
        <w:rPr>
          <w:lang w:val="fr-FR"/>
        </w:rPr>
        <w:t>obtention d</w:t>
      </w:r>
      <w:r w:rsidR="00A92B5D" w:rsidRPr="00A92B5D">
        <w:rPr>
          <w:lang w:val="fr-FR"/>
        </w:rPr>
        <w:t>’</w:t>
      </w:r>
      <w:r w:rsidRPr="00A92B5D">
        <w:rPr>
          <w:lang w:val="fr-FR"/>
        </w:rPr>
        <w:t>une mesure alternative à la détention.</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21</w:t>
      </w:r>
      <w:r w:rsidRPr="00A92B5D">
        <w:rPr>
          <w:lang w:val="fr-FR"/>
        </w:rPr>
        <w:fldChar w:fldCharType="end"/>
      </w:r>
      <w:r w:rsidRPr="00A92B5D">
        <w:rPr>
          <w:lang w:val="fr-FR"/>
        </w:rPr>
        <w:t>.  Le 10 avril 2014, le tribunal de l</w:t>
      </w:r>
      <w:r w:rsidR="00A92B5D" w:rsidRPr="00A92B5D">
        <w:rPr>
          <w:lang w:val="fr-FR"/>
        </w:rPr>
        <w:t>’</w:t>
      </w:r>
      <w:r w:rsidRPr="00A92B5D">
        <w:rPr>
          <w:lang w:val="fr-FR"/>
        </w:rPr>
        <w:t>application des peines de Milan accorda au requérant une mesure alternative à la détention.</w:t>
      </w:r>
    </w:p>
    <w:bookmarkStart w:id="9" w:name="Peineéteinte"/>
    <w:bookmarkEnd w:id="9"/>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22</w:t>
      </w:r>
      <w:r w:rsidRPr="00A92B5D">
        <w:rPr>
          <w:lang w:val="fr-FR"/>
        </w:rPr>
        <w:fldChar w:fldCharType="end"/>
      </w:r>
      <w:r w:rsidRPr="00A92B5D">
        <w:rPr>
          <w:lang w:val="fr-FR"/>
        </w:rPr>
        <w:t>.  Le 9 avril 2015, au terme de l</w:t>
      </w:r>
      <w:r w:rsidR="00A92B5D" w:rsidRPr="00A92B5D">
        <w:rPr>
          <w:lang w:val="fr-FR"/>
        </w:rPr>
        <w:t>’</w:t>
      </w:r>
      <w:r w:rsidRPr="00A92B5D">
        <w:rPr>
          <w:lang w:val="fr-FR"/>
        </w:rPr>
        <w:t>exécution de la mesure alternative, le tribunal de l</w:t>
      </w:r>
      <w:r w:rsidR="00A92B5D" w:rsidRPr="00A92B5D">
        <w:rPr>
          <w:lang w:val="fr-FR"/>
        </w:rPr>
        <w:t>’</w:t>
      </w:r>
      <w:r w:rsidRPr="00A92B5D">
        <w:rPr>
          <w:lang w:val="fr-FR"/>
        </w:rPr>
        <w:t>application des peines déclara éteinte la peine principale et la peine accessoire d</w:t>
      </w:r>
      <w:r w:rsidR="00A92B5D" w:rsidRPr="00A92B5D">
        <w:rPr>
          <w:lang w:val="fr-FR"/>
        </w:rPr>
        <w:t>’</w:t>
      </w:r>
      <w:r w:rsidRPr="00A92B5D">
        <w:rPr>
          <w:lang w:val="fr-FR"/>
        </w:rPr>
        <w:t>interdiction temporaire d</w:t>
      </w:r>
      <w:r w:rsidR="00A92B5D" w:rsidRPr="00A92B5D">
        <w:rPr>
          <w:lang w:val="fr-FR"/>
        </w:rPr>
        <w:t>’</w:t>
      </w:r>
      <w:r w:rsidRPr="00A92B5D">
        <w:rPr>
          <w:lang w:val="fr-FR"/>
        </w:rPr>
        <w:t>exercer des fonctions publiques. La décision fut déposée au greffe le 14 avril 2015. En l</w:t>
      </w:r>
      <w:r w:rsidR="00A92B5D" w:rsidRPr="00A92B5D">
        <w:rPr>
          <w:lang w:val="fr-FR"/>
        </w:rPr>
        <w:t>’</w:t>
      </w:r>
      <w:r w:rsidRPr="00A92B5D">
        <w:rPr>
          <w:lang w:val="fr-FR"/>
        </w:rPr>
        <w:t>absence de pourvoi en cassation formé dans les quinze jours par le parquet, cette décision devint définitive.</w:t>
      </w:r>
    </w:p>
    <w:p w:rsidR="00106980" w:rsidRPr="00A92B5D" w:rsidRDefault="00106980" w:rsidP="00A92B5D">
      <w:pPr>
        <w:pStyle w:val="ECHRHeading3"/>
        <w:rPr>
          <w:lang w:val="fr-FR"/>
        </w:rPr>
      </w:pPr>
      <w:bookmarkStart w:id="10" w:name="REHABIL"/>
      <w:bookmarkEnd w:id="10"/>
      <w:r w:rsidRPr="00A92B5D">
        <w:rPr>
          <w:lang w:val="fr-FR"/>
        </w:rPr>
        <w:t>4.  La procédure de déchéance du mandat de sénateur de la République</w:t>
      </w:r>
    </w:p>
    <w:bookmarkStart w:id="11" w:name="SENATORIALES"/>
    <w:bookmarkEnd w:id="11"/>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23</w:t>
      </w:r>
      <w:r w:rsidRPr="00A92B5D">
        <w:rPr>
          <w:lang w:val="fr-FR"/>
        </w:rPr>
        <w:fldChar w:fldCharType="end"/>
      </w:r>
      <w:r w:rsidRPr="00A92B5D">
        <w:rPr>
          <w:lang w:val="fr-FR"/>
        </w:rPr>
        <w:t>.  Le 24 février 2013 avaient eu lieu des élections sénatoriales, le délai de soumission des listes de candidats aux organes compétents ayant été fixé au 21 janvier 2013. Le requérant avait présenté sa candidature et avait été élu sénateur. La proclamation officielle était intervenue le mois suivant.</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24</w:t>
      </w:r>
      <w:r w:rsidRPr="00A92B5D">
        <w:rPr>
          <w:lang w:val="fr-FR"/>
        </w:rPr>
        <w:fldChar w:fldCharType="end"/>
      </w:r>
      <w:r w:rsidRPr="00A92B5D">
        <w:rPr>
          <w:lang w:val="fr-FR"/>
        </w:rPr>
        <w:t>.  En application de l</w:t>
      </w:r>
      <w:r w:rsidR="00A92B5D" w:rsidRPr="00A92B5D">
        <w:rPr>
          <w:lang w:val="fr-FR"/>
        </w:rPr>
        <w:t>’</w:t>
      </w:r>
      <w:r w:rsidRPr="00A92B5D">
        <w:rPr>
          <w:lang w:val="fr-FR"/>
        </w:rPr>
        <w:t>article 13 du décret législatif n</w:t>
      </w:r>
      <w:r w:rsidRPr="00A92B5D">
        <w:rPr>
          <w:vertAlign w:val="superscript"/>
          <w:lang w:val="fr-FR"/>
        </w:rPr>
        <w:t>o </w:t>
      </w:r>
      <w:r w:rsidRPr="00A92B5D">
        <w:rPr>
          <w:lang w:val="fr-FR"/>
        </w:rPr>
        <w:t>235/2012, le requérant fut frappé par l</w:t>
      </w:r>
      <w:r w:rsidR="00A92B5D" w:rsidRPr="00A92B5D">
        <w:rPr>
          <w:lang w:val="fr-FR"/>
        </w:rPr>
        <w:t>’</w:t>
      </w:r>
      <w:r w:rsidRPr="00A92B5D">
        <w:rPr>
          <w:lang w:val="fr-FR"/>
        </w:rPr>
        <w:t>interdiction de se porter candidat aux élections à compter du 1</w:t>
      </w:r>
      <w:r w:rsidRPr="00A92B5D">
        <w:rPr>
          <w:vertAlign w:val="superscript"/>
          <w:lang w:val="fr-FR"/>
        </w:rPr>
        <w:t>er</w:t>
      </w:r>
      <w:r w:rsidRPr="00A92B5D">
        <w:rPr>
          <w:lang w:val="fr-FR"/>
        </w:rPr>
        <w:t xml:space="preserve"> août 2013, date </w:t>
      </w:r>
      <w:r w:rsidRPr="00A92B5D">
        <w:rPr>
          <w:rFonts w:cstheme="minorHAnsi"/>
          <w:lang w:val="fr-FR"/>
        </w:rPr>
        <w:t>à</w:t>
      </w:r>
      <w:r w:rsidRPr="00A92B5D">
        <w:rPr>
          <w:lang w:val="fr-FR"/>
        </w:rPr>
        <w:t xml:space="preserve"> laquelle sa condamnation devint définitive (paragraphe 16 ci-dessus), et ce pour six ans.</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25</w:t>
      </w:r>
      <w:r w:rsidRPr="00A92B5D">
        <w:rPr>
          <w:lang w:val="fr-FR"/>
        </w:rPr>
        <w:fldChar w:fldCharType="end"/>
      </w:r>
      <w:r w:rsidRPr="00A92B5D">
        <w:rPr>
          <w:lang w:val="fr-FR"/>
        </w:rPr>
        <w:t>.  Le 2 août 2013, en application des articles 1 et 3 du décret législatif n</w:t>
      </w:r>
      <w:r w:rsidRPr="00A92B5D">
        <w:rPr>
          <w:vertAlign w:val="superscript"/>
          <w:lang w:val="fr-FR"/>
        </w:rPr>
        <w:t>o </w:t>
      </w:r>
      <w:r w:rsidRPr="00A92B5D">
        <w:rPr>
          <w:lang w:val="fr-FR"/>
        </w:rPr>
        <w:t>235/2012, le parquet communiqua l</w:t>
      </w:r>
      <w:r w:rsidR="00A92B5D" w:rsidRPr="00A92B5D">
        <w:rPr>
          <w:lang w:val="fr-FR"/>
        </w:rPr>
        <w:t>’</w:t>
      </w:r>
      <w:r w:rsidRPr="00A92B5D">
        <w:rPr>
          <w:lang w:val="fr-FR"/>
        </w:rPr>
        <w:t>extrait du jugement du tribunal de Milan au président du Sénat, lequel le transmit le même jour au comité des élections et des immunités parlementaires du Sénat. En vertu de l</w:t>
      </w:r>
      <w:r w:rsidR="00A92B5D" w:rsidRPr="00A92B5D">
        <w:rPr>
          <w:lang w:val="fr-FR"/>
        </w:rPr>
        <w:t>’</w:t>
      </w:r>
      <w:r w:rsidRPr="00A92B5D">
        <w:rPr>
          <w:lang w:val="fr-FR"/>
        </w:rPr>
        <w:t>article 19, alinéa 4, du règlement du Sénat, cet organe est chargé de vérifier les titres d</w:t>
      </w:r>
      <w:r w:rsidR="00A92B5D" w:rsidRPr="00A92B5D">
        <w:rPr>
          <w:lang w:val="fr-FR"/>
        </w:rPr>
        <w:t>’</w:t>
      </w:r>
      <w:r w:rsidRPr="00A92B5D">
        <w:rPr>
          <w:lang w:val="fr-FR"/>
        </w:rPr>
        <w:t>admission des sénateurs et les causes d</w:t>
      </w:r>
      <w:r w:rsidR="00A92B5D" w:rsidRPr="00A92B5D">
        <w:rPr>
          <w:lang w:val="fr-FR"/>
        </w:rPr>
        <w:t>’</w:t>
      </w:r>
      <w:r w:rsidRPr="00A92B5D">
        <w:rPr>
          <w:lang w:val="fr-FR"/>
        </w:rPr>
        <w:t>inéligibilité ou d</w:t>
      </w:r>
      <w:r w:rsidR="00A92B5D" w:rsidRPr="00A92B5D">
        <w:rPr>
          <w:lang w:val="fr-FR"/>
        </w:rPr>
        <w:t>’</w:t>
      </w:r>
      <w:r w:rsidRPr="00A92B5D">
        <w:rPr>
          <w:lang w:val="fr-FR"/>
        </w:rPr>
        <w:t>incompatibilité pouvant survenir après leur élection.</w:t>
      </w:r>
    </w:p>
    <w:bookmarkStart w:id="12" w:name="Procédure"/>
    <w:bookmarkEnd w:id="12"/>
    <w:p w:rsidR="00106980" w:rsidRPr="00A92B5D" w:rsidRDefault="00106980" w:rsidP="00A92B5D">
      <w:pPr>
        <w:ind w:firstLine="284"/>
        <w:rPr>
          <w:lang w:val="fr-FR"/>
        </w:rPr>
      </w:pPr>
      <w:r w:rsidRPr="00A92B5D">
        <w:rPr>
          <w:lang w:val="fr-FR"/>
        </w:rPr>
        <w:lastRenderedPageBreak/>
        <w:fldChar w:fldCharType="begin"/>
      </w:r>
      <w:r w:rsidRPr="00A92B5D">
        <w:rPr>
          <w:lang w:val="fr-FR"/>
        </w:rPr>
        <w:instrText xml:space="preserve"> SEQ level0 \*arabic </w:instrText>
      </w:r>
      <w:r w:rsidRPr="00A92B5D">
        <w:rPr>
          <w:lang w:val="fr-FR"/>
        </w:rPr>
        <w:fldChar w:fldCharType="separate"/>
      </w:r>
      <w:r w:rsidR="00A92B5D">
        <w:rPr>
          <w:noProof/>
          <w:lang w:val="fr-FR"/>
        </w:rPr>
        <w:t>26</w:t>
      </w:r>
      <w:r w:rsidRPr="00A92B5D">
        <w:rPr>
          <w:lang w:val="fr-FR"/>
        </w:rPr>
        <w:fldChar w:fldCharType="end"/>
      </w:r>
      <w:r w:rsidRPr="00A92B5D">
        <w:rPr>
          <w:lang w:val="fr-FR"/>
        </w:rPr>
        <w:t>.  </w:t>
      </w:r>
      <w:r w:rsidRPr="00A92B5D">
        <w:rPr>
          <w:rStyle w:val="ECHRParaChar"/>
          <w:lang w:val="fr-FR"/>
        </w:rPr>
        <w:t>Le 8 août 2013, le président du comité entama une procédure qui était susceptible d</w:t>
      </w:r>
      <w:r w:rsidR="00A92B5D" w:rsidRPr="00A92B5D">
        <w:rPr>
          <w:rStyle w:val="ECHRParaChar"/>
          <w:lang w:val="fr-FR"/>
        </w:rPr>
        <w:t>’</w:t>
      </w:r>
      <w:r w:rsidRPr="00A92B5D">
        <w:rPr>
          <w:rStyle w:val="ECHRParaChar"/>
          <w:lang w:val="fr-FR"/>
        </w:rPr>
        <w:t>aboutir à une déclaration de contestation de l</w:t>
      </w:r>
      <w:r w:rsidR="00A92B5D" w:rsidRPr="00A92B5D">
        <w:rPr>
          <w:rStyle w:val="ECHRParaChar"/>
          <w:lang w:val="fr-FR"/>
        </w:rPr>
        <w:t>’</w:t>
      </w:r>
      <w:r w:rsidRPr="00A92B5D">
        <w:rPr>
          <w:rStyle w:val="ECHRParaChar"/>
          <w:lang w:val="fr-FR"/>
        </w:rPr>
        <w:t>élection du requérant ; il informa l</w:t>
      </w:r>
      <w:r w:rsidR="00A92B5D" w:rsidRPr="00A92B5D">
        <w:rPr>
          <w:rStyle w:val="ECHRParaChar"/>
          <w:lang w:val="fr-FR"/>
        </w:rPr>
        <w:t>’</w:t>
      </w:r>
      <w:r w:rsidRPr="00A92B5D">
        <w:rPr>
          <w:rStyle w:val="ECHRParaChar"/>
          <w:lang w:val="fr-FR"/>
        </w:rPr>
        <w:t>intéressé que, le comité ayant été saisi, il avait la</w:t>
      </w:r>
      <w:r w:rsidRPr="00A92B5D">
        <w:rPr>
          <w:lang w:val="fr-FR"/>
        </w:rPr>
        <w:t xml:space="preserve"> </w:t>
      </w:r>
      <w:r w:rsidRPr="00A92B5D">
        <w:rPr>
          <w:rStyle w:val="ECHRParaChar"/>
          <w:lang w:val="fr-FR"/>
        </w:rPr>
        <w:t>faculté de déposer des observations dans les vingt jours et de consulter les documents pertinents</w:t>
      </w:r>
      <w:r w:rsidRPr="00A92B5D">
        <w:rPr>
          <w:lang w:val="fr-FR"/>
        </w:rPr>
        <w:t>.</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27</w:t>
      </w:r>
      <w:r w:rsidRPr="00A92B5D">
        <w:rPr>
          <w:lang w:val="fr-FR"/>
        </w:rPr>
        <w:fldChar w:fldCharType="end"/>
      </w:r>
      <w:r w:rsidRPr="00A92B5D">
        <w:rPr>
          <w:lang w:val="fr-FR"/>
        </w:rPr>
        <w:t>.  </w:t>
      </w:r>
      <w:r w:rsidRPr="00A92B5D">
        <w:rPr>
          <w:rStyle w:val="ECHRParaChar"/>
          <w:lang w:val="fr-FR"/>
        </w:rPr>
        <w:t xml:space="preserve">Le 28 août 2013, le requérant fit parvenir au comité ses observations avec, en annexe, six avis </w:t>
      </w:r>
      <w:r w:rsidRPr="00A92B5D">
        <w:rPr>
          <w:rStyle w:val="ECHRParaChar"/>
          <w:i/>
          <w:lang w:val="fr-FR"/>
        </w:rPr>
        <w:t xml:space="preserve">pro </w:t>
      </w:r>
      <w:proofErr w:type="spellStart"/>
      <w:r w:rsidRPr="00A92B5D">
        <w:rPr>
          <w:rStyle w:val="ECHRParaChar"/>
          <w:i/>
          <w:lang w:val="fr-FR"/>
        </w:rPr>
        <w:t>veritate</w:t>
      </w:r>
      <w:proofErr w:type="spellEnd"/>
      <w:r w:rsidRPr="00A92B5D">
        <w:rPr>
          <w:rStyle w:val="ECHRParaChar"/>
          <w:lang w:val="fr-FR"/>
        </w:rPr>
        <w:t xml:space="preserve"> portant notamment sur l</w:t>
      </w:r>
      <w:r w:rsidR="00A92B5D" w:rsidRPr="00A92B5D">
        <w:rPr>
          <w:rStyle w:val="ECHRParaChar"/>
          <w:lang w:val="fr-FR"/>
        </w:rPr>
        <w:t>’</w:t>
      </w:r>
      <w:r w:rsidRPr="00A92B5D">
        <w:rPr>
          <w:rStyle w:val="ECHRParaChar"/>
          <w:lang w:val="fr-FR"/>
        </w:rPr>
        <w:t>inconstitutionnalité alléguée du décret législatif n</w:t>
      </w:r>
      <w:r w:rsidRPr="00A92B5D">
        <w:rPr>
          <w:rStyle w:val="ECHRParaChar"/>
          <w:vertAlign w:val="superscript"/>
          <w:lang w:val="fr-FR"/>
        </w:rPr>
        <w:t>o</w:t>
      </w:r>
      <w:r w:rsidRPr="00A92B5D">
        <w:rPr>
          <w:rStyle w:val="ECHRParaChar"/>
          <w:lang w:val="fr-FR"/>
        </w:rPr>
        <w:t> 235/2012.</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28</w:t>
      </w:r>
      <w:r w:rsidRPr="00A92B5D">
        <w:rPr>
          <w:lang w:val="fr-FR"/>
        </w:rPr>
        <w:fldChar w:fldCharType="end"/>
      </w:r>
      <w:r w:rsidRPr="00A92B5D">
        <w:rPr>
          <w:lang w:val="fr-FR"/>
        </w:rPr>
        <w:t>.  Le 7 septembre 2013, il déposa une copie de la requête qu</w:t>
      </w:r>
      <w:r w:rsidR="00A92B5D" w:rsidRPr="00A92B5D">
        <w:rPr>
          <w:lang w:val="fr-FR"/>
        </w:rPr>
        <w:t>’</w:t>
      </w:r>
      <w:r w:rsidRPr="00A92B5D">
        <w:rPr>
          <w:lang w:val="fr-FR"/>
        </w:rPr>
        <w:t>il venait d</w:t>
      </w:r>
      <w:r w:rsidR="00A92B5D" w:rsidRPr="00A92B5D">
        <w:rPr>
          <w:lang w:val="fr-FR"/>
        </w:rPr>
        <w:t>’</w:t>
      </w:r>
      <w:r w:rsidRPr="00A92B5D">
        <w:rPr>
          <w:lang w:val="fr-FR"/>
        </w:rPr>
        <w:t>envoyer à la Cour européenne des droits de l</w:t>
      </w:r>
      <w:r w:rsidR="00A92B5D" w:rsidRPr="00A92B5D">
        <w:rPr>
          <w:lang w:val="fr-FR"/>
        </w:rPr>
        <w:t>’</w:t>
      </w:r>
      <w:r w:rsidRPr="00A92B5D">
        <w:rPr>
          <w:lang w:val="fr-FR"/>
        </w:rPr>
        <w:t>homme et sollicita la suspension de la procédure en attendant la décision de celle-ci.</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29</w:t>
      </w:r>
      <w:r w:rsidRPr="00A92B5D">
        <w:rPr>
          <w:lang w:val="fr-FR"/>
        </w:rPr>
        <w:fldChar w:fldCharType="end"/>
      </w:r>
      <w:r w:rsidRPr="00A92B5D">
        <w:rPr>
          <w:lang w:val="fr-FR"/>
        </w:rPr>
        <w:t>.  Le 10 septembre 2013, le rapporteur du comité présenta son rapport dans lequel il proposait : 1) de confirmer la validité de l</w:t>
      </w:r>
      <w:r w:rsidR="00A92B5D" w:rsidRPr="00A92B5D">
        <w:rPr>
          <w:lang w:val="fr-FR"/>
        </w:rPr>
        <w:t>’</w:t>
      </w:r>
      <w:r w:rsidRPr="00A92B5D">
        <w:rPr>
          <w:lang w:val="fr-FR"/>
        </w:rPr>
        <w:t>élection du requérant, 2) de saisir la Cour constitutionnelle au sujet de plusieurs questions de constitutionnalité, et 3) de saisir la Cour de justice de l</w:t>
      </w:r>
      <w:r w:rsidR="00A92B5D" w:rsidRPr="00A92B5D">
        <w:rPr>
          <w:lang w:val="fr-FR"/>
        </w:rPr>
        <w:t>’</w:t>
      </w:r>
      <w:r w:rsidRPr="00A92B5D">
        <w:rPr>
          <w:lang w:val="fr-FR"/>
        </w:rPr>
        <w:t>Union européenne (CJUE) d</w:t>
      </w:r>
      <w:r w:rsidR="00A92B5D" w:rsidRPr="00A92B5D">
        <w:rPr>
          <w:lang w:val="fr-FR"/>
        </w:rPr>
        <w:t>’</w:t>
      </w:r>
      <w:r w:rsidRPr="00A92B5D">
        <w:rPr>
          <w:lang w:val="fr-FR"/>
        </w:rPr>
        <w:t>une question préjudicielle.</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30</w:t>
      </w:r>
      <w:r w:rsidRPr="00A92B5D">
        <w:rPr>
          <w:lang w:val="fr-FR"/>
        </w:rPr>
        <w:fldChar w:fldCharType="end"/>
      </w:r>
      <w:r w:rsidRPr="00A92B5D">
        <w:rPr>
          <w:lang w:val="fr-FR"/>
        </w:rPr>
        <w:t>.  </w:t>
      </w:r>
      <w:r w:rsidRPr="00A92B5D">
        <w:rPr>
          <w:rStyle w:val="ECHRParaChar"/>
          <w:lang w:val="fr-FR"/>
        </w:rPr>
        <w:t>Le 18 septembre 2013, le comité rejeta, à la majorité, les trois propositions et déclara que l</w:t>
      </w:r>
      <w:r w:rsidR="00A92B5D" w:rsidRPr="00A92B5D">
        <w:rPr>
          <w:rStyle w:val="ECHRParaChar"/>
          <w:lang w:val="fr-FR"/>
        </w:rPr>
        <w:t>’</w:t>
      </w:r>
      <w:r w:rsidRPr="00A92B5D">
        <w:rPr>
          <w:rStyle w:val="ECHRParaChar"/>
          <w:lang w:val="fr-FR"/>
        </w:rPr>
        <w:t>élection du requérant était contestée. L</w:t>
      </w:r>
      <w:r w:rsidR="00A92B5D" w:rsidRPr="00A92B5D">
        <w:rPr>
          <w:rStyle w:val="ECHRParaChar"/>
          <w:lang w:val="fr-FR"/>
        </w:rPr>
        <w:t>’</w:t>
      </w:r>
      <w:r w:rsidR="0081349B" w:rsidRPr="00A92B5D">
        <w:rPr>
          <w:rStyle w:val="ECHRParaChar"/>
          <w:lang w:val="fr-FR"/>
        </w:rPr>
        <w:t>article </w:t>
      </w:r>
      <w:r w:rsidRPr="00A92B5D">
        <w:rPr>
          <w:rStyle w:val="ECHRParaChar"/>
          <w:lang w:val="fr-FR"/>
        </w:rPr>
        <w:t>11 du règlement sur la vérification des pouvoirs du comité</w:t>
      </w:r>
      <w:r w:rsidRPr="00A92B5D">
        <w:rPr>
          <w:lang w:val="fr-FR"/>
        </w:rPr>
        <w:t xml:space="preserve"> (</w:t>
      </w:r>
      <w:proofErr w:type="spellStart"/>
      <w:r w:rsidRPr="00A92B5D">
        <w:rPr>
          <w:rStyle w:val="ECHRParaChar"/>
          <w:i/>
          <w:lang w:val="fr-FR"/>
        </w:rPr>
        <w:t>Regolamento</w:t>
      </w:r>
      <w:proofErr w:type="spellEnd"/>
      <w:r w:rsidRPr="00A92B5D">
        <w:rPr>
          <w:rStyle w:val="ECHRParaChar"/>
          <w:i/>
          <w:lang w:val="fr-FR"/>
        </w:rPr>
        <w:t xml:space="preserve"> per la </w:t>
      </w:r>
      <w:proofErr w:type="spellStart"/>
      <w:r w:rsidRPr="00A92B5D">
        <w:rPr>
          <w:rStyle w:val="ECHRParaChar"/>
          <w:i/>
          <w:lang w:val="fr-FR"/>
        </w:rPr>
        <w:t>verifica</w:t>
      </w:r>
      <w:proofErr w:type="spellEnd"/>
      <w:r w:rsidRPr="00A92B5D">
        <w:rPr>
          <w:rStyle w:val="ECHRParaChar"/>
          <w:i/>
          <w:lang w:val="fr-FR"/>
        </w:rPr>
        <w:t xml:space="preserve"> dei </w:t>
      </w:r>
      <w:proofErr w:type="spellStart"/>
      <w:r w:rsidRPr="00A92B5D">
        <w:rPr>
          <w:rStyle w:val="ECHRParaChar"/>
          <w:i/>
          <w:lang w:val="fr-FR"/>
        </w:rPr>
        <w:t>poteri</w:t>
      </w:r>
      <w:proofErr w:type="spellEnd"/>
      <w:r w:rsidRPr="00A92B5D">
        <w:rPr>
          <w:rStyle w:val="ECHRParaChar"/>
          <w:i/>
          <w:lang w:val="fr-FR"/>
        </w:rPr>
        <w:t xml:space="preserve"> </w:t>
      </w:r>
      <w:proofErr w:type="spellStart"/>
      <w:r w:rsidRPr="00A92B5D">
        <w:rPr>
          <w:rStyle w:val="ECHRParaChar"/>
          <w:i/>
          <w:lang w:val="fr-FR"/>
        </w:rPr>
        <w:t>della</w:t>
      </w:r>
      <w:proofErr w:type="spellEnd"/>
      <w:r w:rsidRPr="00A92B5D">
        <w:rPr>
          <w:rStyle w:val="ECHRParaChar"/>
          <w:i/>
          <w:lang w:val="fr-FR"/>
        </w:rPr>
        <w:t xml:space="preserve"> Giunta) </w:t>
      </w:r>
      <w:r w:rsidRPr="00A92B5D">
        <w:rPr>
          <w:rStyle w:val="ECHRParaChar"/>
          <w:lang w:val="fr-FR"/>
        </w:rPr>
        <w:t>prévoyant en pareil cas le remplacement du rapporteur, le président du comité décida d</w:t>
      </w:r>
      <w:r w:rsidR="00A92B5D" w:rsidRPr="00A92B5D">
        <w:rPr>
          <w:rStyle w:val="ECHRParaChar"/>
          <w:lang w:val="fr-FR"/>
        </w:rPr>
        <w:t>’</w:t>
      </w:r>
      <w:r w:rsidRPr="00A92B5D">
        <w:rPr>
          <w:rStyle w:val="ECHRParaChar"/>
          <w:lang w:val="fr-FR"/>
        </w:rPr>
        <w:t>assumer cette fonction. Puis il fixa au 4 octobre 2013 la séance publique consacrée au débat sur la contestation de l</w:t>
      </w:r>
      <w:r w:rsidR="00A92B5D" w:rsidRPr="00A92B5D">
        <w:rPr>
          <w:rStyle w:val="ECHRParaChar"/>
          <w:lang w:val="fr-FR"/>
        </w:rPr>
        <w:t>’</w:t>
      </w:r>
      <w:r w:rsidRPr="00A92B5D">
        <w:rPr>
          <w:rStyle w:val="ECHRParaChar"/>
          <w:lang w:val="fr-FR"/>
        </w:rPr>
        <w:t>élection du requérant, conformément à l</w:t>
      </w:r>
      <w:r w:rsidR="00A92B5D" w:rsidRPr="00A92B5D">
        <w:rPr>
          <w:rStyle w:val="ECHRParaChar"/>
          <w:lang w:val="fr-FR"/>
        </w:rPr>
        <w:t>’</w:t>
      </w:r>
      <w:r w:rsidRPr="00A92B5D">
        <w:rPr>
          <w:rStyle w:val="ECHRParaChar"/>
          <w:lang w:val="fr-FR"/>
        </w:rPr>
        <w:t>article 14 du règlement.</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31</w:t>
      </w:r>
      <w:r w:rsidRPr="00A92B5D">
        <w:rPr>
          <w:lang w:val="fr-FR"/>
        </w:rPr>
        <w:fldChar w:fldCharType="end"/>
      </w:r>
      <w:r w:rsidRPr="00A92B5D">
        <w:rPr>
          <w:lang w:val="fr-FR"/>
        </w:rPr>
        <w:t>.  Le 28 septembre 2013, en vue de la séance, le requérant déposa un mémoire dans lequel il réitérait ses arguments.</w:t>
      </w:r>
    </w:p>
    <w:p w:rsidR="00106980" w:rsidRPr="00A92B5D" w:rsidRDefault="00106980" w:rsidP="00A92B5D">
      <w:pPr>
        <w:pStyle w:val="ECHRPara"/>
        <w:rPr>
          <w:lang w:val="fr-FR"/>
        </w:rPr>
      </w:pPr>
      <w:r w:rsidRPr="00A92B5D">
        <w:fldChar w:fldCharType="begin"/>
      </w:r>
      <w:r w:rsidRPr="00A92B5D">
        <w:rPr>
          <w:lang w:val="fr-FR"/>
        </w:rPr>
        <w:instrText xml:space="preserve"> SEQ level0 \*arabic </w:instrText>
      </w:r>
      <w:r w:rsidRPr="00A92B5D">
        <w:fldChar w:fldCharType="separate"/>
      </w:r>
      <w:r w:rsidR="00A92B5D">
        <w:rPr>
          <w:noProof/>
          <w:lang w:val="fr-FR"/>
        </w:rPr>
        <w:t>32</w:t>
      </w:r>
      <w:r w:rsidRPr="00A92B5D">
        <w:fldChar w:fldCharType="end"/>
      </w:r>
      <w:r w:rsidRPr="00A92B5D">
        <w:rPr>
          <w:lang w:val="fr-FR"/>
        </w:rPr>
        <w:t>.  Le 4 octobre 2013, à l</w:t>
      </w:r>
      <w:r w:rsidR="00A92B5D" w:rsidRPr="00A92B5D">
        <w:rPr>
          <w:lang w:val="fr-FR"/>
        </w:rPr>
        <w:t>’</w:t>
      </w:r>
      <w:r w:rsidRPr="00A92B5D">
        <w:rPr>
          <w:lang w:val="fr-FR"/>
        </w:rPr>
        <w:t xml:space="preserve">issue de la séance publique (transmise en direct sur la chaîne satellitaire du Sénat et sur la </w:t>
      </w:r>
      <w:proofErr w:type="spellStart"/>
      <w:r w:rsidRPr="00A92B5D">
        <w:rPr>
          <w:lang w:val="fr-FR"/>
        </w:rPr>
        <w:t>web-TV</w:t>
      </w:r>
      <w:proofErr w:type="spellEnd"/>
      <w:r w:rsidRPr="00A92B5D">
        <w:rPr>
          <w:lang w:val="fr-FR"/>
        </w:rPr>
        <w:t>), à laquelle ni le requérant ni son représentant n</w:t>
      </w:r>
      <w:r w:rsidR="00A92B5D" w:rsidRPr="00A92B5D">
        <w:rPr>
          <w:lang w:val="fr-FR"/>
        </w:rPr>
        <w:t>’</w:t>
      </w:r>
      <w:r w:rsidRPr="00A92B5D">
        <w:rPr>
          <w:lang w:val="fr-FR"/>
        </w:rPr>
        <w:t>avaient participé, le comité délibéra à huis clos et décida, à la majorité, de proposer au Sénat d</w:t>
      </w:r>
      <w:r w:rsidR="00A92B5D" w:rsidRPr="00A92B5D">
        <w:rPr>
          <w:lang w:val="fr-FR"/>
        </w:rPr>
        <w:t>’</w:t>
      </w:r>
      <w:r w:rsidRPr="00A92B5D">
        <w:rPr>
          <w:lang w:val="fr-FR"/>
        </w:rPr>
        <w:t>invalider l</w:t>
      </w:r>
      <w:r w:rsidR="00A92B5D" w:rsidRPr="00A92B5D">
        <w:rPr>
          <w:lang w:val="fr-FR"/>
        </w:rPr>
        <w:t>’</w:t>
      </w:r>
      <w:r w:rsidRPr="00A92B5D">
        <w:rPr>
          <w:lang w:val="fr-FR"/>
        </w:rPr>
        <w:t>élection du requérant.</w:t>
      </w:r>
    </w:p>
    <w:bookmarkStart w:id="13" w:name="Comité"/>
    <w:bookmarkEnd w:id="13"/>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33</w:t>
      </w:r>
      <w:r w:rsidRPr="00A92B5D">
        <w:rPr>
          <w:lang w:val="fr-FR"/>
        </w:rPr>
        <w:fldChar w:fldCharType="end"/>
      </w:r>
      <w:r w:rsidRPr="00A92B5D">
        <w:rPr>
          <w:lang w:val="fr-FR"/>
        </w:rPr>
        <w:t>.  </w:t>
      </w:r>
      <w:r w:rsidRPr="00A92B5D">
        <w:rPr>
          <w:rStyle w:val="ECHRParaChar"/>
          <w:lang w:val="fr-FR"/>
        </w:rPr>
        <w:t>Dans le rapport qu</w:t>
      </w:r>
      <w:r w:rsidR="00A92B5D" w:rsidRPr="00A92B5D">
        <w:rPr>
          <w:rStyle w:val="ECHRParaChar"/>
          <w:lang w:val="fr-FR"/>
        </w:rPr>
        <w:t>’</w:t>
      </w:r>
      <w:r w:rsidRPr="00A92B5D">
        <w:rPr>
          <w:rStyle w:val="ECHRParaChar"/>
          <w:lang w:val="fr-FR"/>
        </w:rPr>
        <w:t>il soumit au Sénat le 15 octobre 2013, le comité exposait la procédure suivie et les points qui avaient été abordés et débattus, à savoir : 1) la nature du comité et de ses fonctions ; 2) la rétroactivité alléguée du décret législatif n</w:t>
      </w:r>
      <w:r w:rsidRPr="00A92B5D">
        <w:rPr>
          <w:rStyle w:val="ECHRParaChar"/>
          <w:vertAlign w:val="superscript"/>
          <w:lang w:val="fr-FR"/>
        </w:rPr>
        <w:t>o</w:t>
      </w:r>
      <w:r w:rsidRPr="00A92B5D">
        <w:rPr>
          <w:rStyle w:val="ECHRParaChar"/>
          <w:lang w:val="fr-FR"/>
        </w:rPr>
        <w:t> 235/2012 et les problèmes de conformité avec la Constitution ; 3) le contenu des débats et les différents points de vue de ses membres ; 4) la loi n</w:t>
      </w:r>
      <w:r w:rsidRPr="00A92B5D">
        <w:rPr>
          <w:rStyle w:val="ECHRParaChar"/>
          <w:vertAlign w:val="superscript"/>
          <w:lang w:val="fr-FR"/>
        </w:rPr>
        <w:t>o</w:t>
      </w:r>
      <w:r w:rsidRPr="00A92B5D">
        <w:rPr>
          <w:rStyle w:val="ECHRParaChar"/>
          <w:lang w:val="fr-FR"/>
        </w:rPr>
        <w:t> 190/2012 ; 5) l</w:t>
      </w:r>
      <w:r w:rsidR="00A92B5D" w:rsidRPr="00A92B5D">
        <w:rPr>
          <w:rStyle w:val="ECHRParaChar"/>
          <w:lang w:val="fr-FR"/>
        </w:rPr>
        <w:t>’</w:t>
      </w:r>
      <w:r w:rsidRPr="00A92B5D">
        <w:rPr>
          <w:rStyle w:val="ECHRParaChar"/>
          <w:lang w:val="fr-FR"/>
        </w:rPr>
        <w:t>origine de l</w:t>
      </w:r>
      <w:r w:rsidR="00A92B5D" w:rsidRPr="00A92B5D">
        <w:rPr>
          <w:rStyle w:val="ECHRParaChar"/>
          <w:lang w:val="fr-FR"/>
        </w:rPr>
        <w:t>’</w:t>
      </w:r>
      <w:proofErr w:type="spellStart"/>
      <w:r w:rsidRPr="00A92B5D">
        <w:rPr>
          <w:rStyle w:val="ECHRParaChar"/>
          <w:i/>
          <w:lang w:val="fr-FR"/>
        </w:rPr>
        <w:t>incandidabilità</w:t>
      </w:r>
      <w:proofErr w:type="spellEnd"/>
      <w:r w:rsidRPr="00A92B5D">
        <w:rPr>
          <w:rStyle w:val="ECHRParaChar"/>
          <w:lang w:val="fr-FR"/>
        </w:rPr>
        <w:t> ; 6) la jurisprudence pertinente ; 7) la requête à la Cour européenne des droits de l</w:t>
      </w:r>
      <w:r w:rsidR="00A92B5D" w:rsidRPr="00A92B5D">
        <w:rPr>
          <w:rStyle w:val="ECHRParaChar"/>
          <w:lang w:val="fr-FR"/>
        </w:rPr>
        <w:t>’</w:t>
      </w:r>
      <w:r w:rsidRPr="00A92B5D">
        <w:rPr>
          <w:rStyle w:val="ECHRParaChar"/>
          <w:lang w:val="fr-FR"/>
        </w:rPr>
        <w:t>homme ; 8) la question de l</w:t>
      </w:r>
      <w:r w:rsidR="00A92B5D" w:rsidRPr="00A92B5D">
        <w:rPr>
          <w:rStyle w:val="ECHRParaChar"/>
          <w:lang w:val="fr-FR"/>
        </w:rPr>
        <w:t>’</w:t>
      </w:r>
      <w:r w:rsidRPr="00A92B5D">
        <w:rPr>
          <w:rStyle w:val="ECHRParaChar"/>
          <w:lang w:val="fr-FR"/>
        </w:rPr>
        <w:t>éventuelle saisine de la CJUE.</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34</w:t>
      </w:r>
      <w:r w:rsidRPr="00A92B5D">
        <w:rPr>
          <w:lang w:val="fr-FR"/>
        </w:rPr>
        <w:fldChar w:fldCharType="end"/>
      </w:r>
      <w:r w:rsidRPr="00A92B5D">
        <w:rPr>
          <w:lang w:val="fr-FR"/>
        </w:rPr>
        <w:t>.  </w:t>
      </w:r>
      <w:r w:rsidRPr="00A92B5D">
        <w:rPr>
          <w:rStyle w:val="ECHRParaChar"/>
          <w:lang w:val="fr-FR"/>
        </w:rPr>
        <w:t>Le rapport soulignait notamment que, le comité n</w:t>
      </w:r>
      <w:r w:rsidR="00A92B5D" w:rsidRPr="00A92B5D">
        <w:rPr>
          <w:rStyle w:val="ECHRParaChar"/>
          <w:lang w:val="fr-FR"/>
        </w:rPr>
        <w:t>’</w:t>
      </w:r>
      <w:r w:rsidRPr="00A92B5D">
        <w:rPr>
          <w:rStyle w:val="ECHRParaChar"/>
          <w:lang w:val="fr-FR"/>
        </w:rPr>
        <w:t>étant pas un organe judiciaire, la procédure suivie devant lui n</w:t>
      </w:r>
      <w:r w:rsidR="00A92B5D" w:rsidRPr="00A92B5D">
        <w:rPr>
          <w:rStyle w:val="ECHRParaChar"/>
          <w:lang w:val="fr-FR"/>
        </w:rPr>
        <w:t>’</w:t>
      </w:r>
      <w:r w:rsidRPr="00A92B5D">
        <w:rPr>
          <w:rStyle w:val="ECHRParaChar"/>
          <w:lang w:val="fr-FR"/>
        </w:rPr>
        <w:t>était pas juridictionnelle et s</w:t>
      </w:r>
      <w:r w:rsidR="00A92B5D" w:rsidRPr="00A92B5D">
        <w:rPr>
          <w:rStyle w:val="ECHRParaChar"/>
          <w:lang w:val="fr-FR"/>
        </w:rPr>
        <w:t>’</w:t>
      </w:r>
      <w:r w:rsidRPr="00A92B5D">
        <w:rPr>
          <w:rStyle w:val="ECHRParaChar"/>
          <w:lang w:val="fr-FR"/>
        </w:rPr>
        <w:t>inspirait « non pas des droits électoraux de l</w:t>
      </w:r>
      <w:r w:rsidR="00A92B5D" w:rsidRPr="00A92B5D">
        <w:rPr>
          <w:rStyle w:val="ECHRParaChar"/>
          <w:lang w:val="fr-FR"/>
        </w:rPr>
        <w:t>’</w:t>
      </w:r>
      <w:r w:rsidRPr="00A92B5D">
        <w:rPr>
          <w:rStyle w:val="ECHRParaChar"/>
          <w:lang w:val="fr-FR"/>
        </w:rPr>
        <w:t>individu, mais de l</w:t>
      </w:r>
      <w:r w:rsidR="00A92B5D" w:rsidRPr="00A92B5D">
        <w:rPr>
          <w:rStyle w:val="ECHRParaChar"/>
          <w:lang w:val="fr-FR"/>
        </w:rPr>
        <w:t>’</w:t>
      </w:r>
      <w:r w:rsidRPr="00A92B5D">
        <w:rPr>
          <w:rStyle w:val="ECHRParaChar"/>
          <w:lang w:val="fr-FR"/>
        </w:rPr>
        <w:t>intérêt du Parlement à garantir la présence en son sein de membres respectant les exigences de légalité, parmi lesquelles l</w:t>
      </w:r>
      <w:r w:rsidR="00A92B5D" w:rsidRPr="00A92B5D">
        <w:rPr>
          <w:rStyle w:val="ECHRParaChar"/>
          <w:lang w:val="fr-FR"/>
        </w:rPr>
        <w:t>’</w:t>
      </w:r>
      <w:r w:rsidRPr="00A92B5D">
        <w:rPr>
          <w:rStyle w:val="ECHRParaChar"/>
          <w:lang w:val="fr-FR"/>
        </w:rPr>
        <w:t xml:space="preserve">absence de condamnation </w:t>
      </w:r>
      <w:r w:rsidRPr="00A92B5D">
        <w:rPr>
          <w:rStyle w:val="ECHRParaChar"/>
          <w:lang w:val="fr-FR"/>
        </w:rPr>
        <w:lastRenderedPageBreak/>
        <w:t>définitive. » Par conséquent, compte tenu de sa nature, le comité ne pouvait pas saisir la Cour constitutionnelle au sujet de la rétroactivité alléguée du décret législatif en question.</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35</w:t>
      </w:r>
      <w:r w:rsidRPr="00A92B5D">
        <w:rPr>
          <w:lang w:val="fr-FR"/>
        </w:rPr>
        <w:fldChar w:fldCharType="end"/>
      </w:r>
      <w:r w:rsidRPr="00A92B5D">
        <w:rPr>
          <w:lang w:val="fr-FR"/>
        </w:rPr>
        <w:t>.  </w:t>
      </w:r>
      <w:r w:rsidRPr="00A92B5D">
        <w:rPr>
          <w:rStyle w:val="ECHRParaChar"/>
          <w:lang w:val="fr-FR"/>
        </w:rPr>
        <w:t xml:space="preserve">Quant à la qualification de la déchéance, le comité rappelait que, dans son arrêt </w:t>
      </w:r>
      <w:proofErr w:type="spellStart"/>
      <w:r w:rsidRPr="00A92B5D">
        <w:rPr>
          <w:rStyle w:val="ECHRParaChar"/>
          <w:i/>
          <w:lang w:val="fr-FR"/>
        </w:rPr>
        <w:t>Paksas</w:t>
      </w:r>
      <w:proofErr w:type="spellEnd"/>
      <w:r w:rsidRPr="00A92B5D">
        <w:rPr>
          <w:rStyle w:val="ECHRParaChar"/>
          <w:i/>
          <w:lang w:val="fr-FR"/>
        </w:rPr>
        <w:t xml:space="preserve"> c. Lituanie</w:t>
      </w:r>
      <w:r w:rsidRPr="00A92B5D">
        <w:rPr>
          <w:rStyle w:val="ECHRParaChar"/>
          <w:lang w:val="fr-FR"/>
        </w:rPr>
        <w:t xml:space="preserve"> ([GC], n</w:t>
      </w:r>
      <w:r w:rsidRPr="00A92B5D">
        <w:rPr>
          <w:rStyle w:val="ECHRParaChar"/>
          <w:vertAlign w:val="superscript"/>
          <w:lang w:val="fr-FR"/>
        </w:rPr>
        <w:t>o</w:t>
      </w:r>
      <w:r w:rsidRPr="00A92B5D">
        <w:rPr>
          <w:rStyle w:val="ECHRParaChar"/>
          <w:lang w:val="fr-FR"/>
        </w:rPr>
        <w:t xml:space="preserve"> 34932/04, CEDH 2011 (extraits)), la Cour avait exclu la nature pénale de ce type de mesure appliquée à un président de la République et ce, comme dans d</w:t>
      </w:r>
      <w:r w:rsidR="00A92B5D" w:rsidRPr="00A92B5D">
        <w:rPr>
          <w:rStyle w:val="ECHRParaChar"/>
          <w:lang w:val="fr-FR"/>
        </w:rPr>
        <w:t>’</w:t>
      </w:r>
      <w:r w:rsidRPr="00A92B5D">
        <w:rPr>
          <w:rStyle w:val="ECHRParaChar"/>
          <w:lang w:val="fr-FR"/>
        </w:rPr>
        <w:t>autres décisions de la même Cour relatives à la perte du droit de vote, au motif que ce genre de limitation visait de manière tout à fait légitime à protéger les institutions démocratiques.</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36</w:t>
      </w:r>
      <w:r w:rsidRPr="00A92B5D">
        <w:rPr>
          <w:lang w:val="fr-FR"/>
        </w:rPr>
        <w:fldChar w:fldCharType="end"/>
      </w:r>
      <w:r w:rsidRPr="00A92B5D">
        <w:rPr>
          <w:lang w:val="fr-FR"/>
        </w:rPr>
        <w:t>.  </w:t>
      </w:r>
      <w:r w:rsidRPr="00A92B5D">
        <w:rPr>
          <w:rStyle w:val="ECHRParaChar"/>
          <w:lang w:val="fr-FR"/>
        </w:rPr>
        <w:t>De plus, le comité observait ceci : « [la loi n</w:t>
      </w:r>
      <w:r w:rsidRPr="00A92B5D">
        <w:rPr>
          <w:rStyle w:val="ECHRParaChar"/>
          <w:vertAlign w:val="superscript"/>
          <w:lang w:val="fr-FR"/>
        </w:rPr>
        <w:t>o</w:t>
      </w:r>
      <w:r w:rsidRPr="00A92B5D">
        <w:rPr>
          <w:rStyle w:val="ECHRParaChar"/>
          <w:lang w:val="fr-FR"/>
        </w:rPr>
        <w:t> 190/2012] se réfère aux causes d</w:t>
      </w:r>
      <w:r w:rsidR="00A92B5D" w:rsidRPr="00A92B5D">
        <w:rPr>
          <w:rStyle w:val="ECHRParaChar"/>
          <w:lang w:val="fr-FR"/>
        </w:rPr>
        <w:t>’</w:t>
      </w:r>
      <w:r w:rsidRPr="00A92B5D">
        <w:rPr>
          <w:rStyle w:val="ECHRParaChar"/>
          <w:lang w:val="fr-FR"/>
        </w:rPr>
        <w:t>interdiction de se porter candidat aux élections avec pour point de départ l</w:t>
      </w:r>
      <w:r w:rsidR="00A92B5D" w:rsidRPr="00A92B5D">
        <w:rPr>
          <w:rStyle w:val="ECHRParaChar"/>
          <w:lang w:val="fr-FR"/>
        </w:rPr>
        <w:t>’</w:t>
      </w:r>
      <w:r w:rsidRPr="00A92B5D">
        <w:rPr>
          <w:rStyle w:val="ECHRParaChar"/>
          <w:lang w:val="fr-FR"/>
        </w:rPr>
        <w:t>établissement des faits et non le moment de leur commission. C</w:t>
      </w:r>
      <w:r w:rsidR="00A92B5D" w:rsidRPr="00A92B5D">
        <w:rPr>
          <w:rStyle w:val="ECHRParaChar"/>
          <w:lang w:val="fr-FR"/>
        </w:rPr>
        <w:t>’</w:t>
      </w:r>
      <w:r w:rsidRPr="00A92B5D">
        <w:rPr>
          <w:rStyle w:val="ECHRParaChar"/>
          <w:lang w:val="fr-FR"/>
        </w:rPr>
        <w:t>est en somme la condamnation qui génère, au sein de la loi, cette ligne de séparation entre l</w:t>
      </w:r>
      <w:r w:rsidR="00A92B5D" w:rsidRPr="00A92B5D">
        <w:rPr>
          <w:rStyle w:val="ECHRParaChar"/>
          <w:lang w:val="fr-FR"/>
        </w:rPr>
        <w:t>’</w:t>
      </w:r>
      <w:r w:rsidRPr="00A92B5D">
        <w:rPr>
          <w:rStyle w:val="ECHRParaChar"/>
          <w:lang w:val="fr-FR"/>
        </w:rPr>
        <w:t>avant et l</w:t>
      </w:r>
      <w:r w:rsidR="00A92B5D" w:rsidRPr="00A92B5D">
        <w:rPr>
          <w:rStyle w:val="ECHRParaChar"/>
          <w:lang w:val="fr-FR"/>
        </w:rPr>
        <w:t>’</w:t>
      </w:r>
      <w:r w:rsidRPr="00A92B5D">
        <w:rPr>
          <w:rStyle w:val="ECHRParaChar"/>
          <w:lang w:val="fr-FR"/>
        </w:rPr>
        <w:t>après qui marque la survenance d</w:t>
      </w:r>
      <w:r w:rsidR="00A92B5D" w:rsidRPr="00A92B5D">
        <w:rPr>
          <w:rStyle w:val="ECHRParaChar"/>
          <w:lang w:val="fr-FR"/>
        </w:rPr>
        <w:t>’</w:t>
      </w:r>
      <w:r w:rsidRPr="00A92B5D">
        <w:rPr>
          <w:rStyle w:val="ECHRParaChar"/>
          <w:lang w:val="fr-FR"/>
        </w:rPr>
        <w:t>une incompatibilité éthique, morale, d</w:t>
      </w:r>
      <w:r w:rsidR="00A92B5D" w:rsidRPr="00A92B5D">
        <w:rPr>
          <w:rStyle w:val="ECHRParaChar"/>
          <w:lang w:val="fr-FR"/>
        </w:rPr>
        <w:t>’</w:t>
      </w:r>
      <w:r w:rsidRPr="00A92B5D">
        <w:rPr>
          <w:rStyle w:val="ECHRParaChar"/>
          <w:lang w:val="fr-FR"/>
        </w:rPr>
        <w:t>un constat d</w:t>
      </w:r>
      <w:r w:rsidR="00A92B5D" w:rsidRPr="00A92B5D">
        <w:rPr>
          <w:rStyle w:val="ECHRParaChar"/>
          <w:lang w:val="fr-FR"/>
        </w:rPr>
        <w:t>’</w:t>
      </w:r>
      <w:r w:rsidRPr="00A92B5D">
        <w:rPr>
          <w:rStyle w:val="ECHRParaChar"/>
          <w:lang w:val="fr-FR"/>
        </w:rPr>
        <w:t>inopportunité découlant de la nouvelle donne qu</w:t>
      </w:r>
      <w:r w:rsidR="00A92B5D" w:rsidRPr="00A92B5D">
        <w:rPr>
          <w:rStyle w:val="ECHRParaChar"/>
          <w:lang w:val="fr-FR"/>
        </w:rPr>
        <w:t>’</w:t>
      </w:r>
      <w:r w:rsidRPr="00A92B5D">
        <w:rPr>
          <w:rStyle w:val="ECHRParaChar"/>
          <w:lang w:val="fr-FR"/>
        </w:rPr>
        <w:t>est la condamnation ».</w:t>
      </w:r>
    </w:p>
    <w:bookmarkStart w:id="14" w:name="votopalese"/>
    <w:bookmarkEnd w:id="14"/>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37</w:t>
      </w:r>
      <w:r w:rsidRPr="00A92B5D">
        <w:rPr>
          <w:lang w:val="fr-FR"/>
        </w:rPr>
        <w:fldChar w:fldCharType="end"/>
      </w:r>
      <w:r w:rsidRPr="00A92B5D">
        <w:rPr>
          <w:lang w:val="fr-FR"/>
        </w:rPr>
        <w:t>.  </w:t>
      </w:r>
      <w:bookmarkStart w:id="15" w:name="Débats"/>
      <w:bookmarkEnd w:id="15"/>
      <w:r w:rsidRPr="00A92B5D">
        <w:rPr>
          <w:lang w:val="fr-FR"/>
        </w:rPr>
        <w:t>Le 27 novembre 2013, le Sénat rejeta, par un vote public, neuf motions contraires à la proposition du comité des élections et des immunités parlementaires, invalida l</w:t>
      </w:r>
      <w:r w:rsidR="00A92B5D" w:rsidRPr="00A92B5D">
        <w:rPr>
          <w:lang w:val="fr-FR"/>
        </w:rPr>
        <w:t>’</w:t>
      </w:r>
      <w:r w:rsidRPr="00A92B5D">
        <w:rPr>
          <w:lang w:val="fr-FR"/>
        </w:rPr>
        <w:t>élection du requérant et déclara celui-ci déchu de son mandat.</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38</w:t>
      </w:r>
      <w:r w:rsidRPr="00A92B5D">
        <w:rPr>
          <w:lang w:val="fr-FR"/>
        </w:rPr>
        <w:fldChar w:fldCharType="end"/>
      </w:r>
      <w:r w:rsidRPr="00A92B5D">
        <w:rPr>
          <w:lang w:val="fr-FR"/>
        </w:rPr>
        <w:t>.  Le même jour, le Sénat déclara M. U.D.G. élu sénateur à la place du requérant.</w:t>
      </w:r>
    </w:p>
    <w:p w:rsidR="00106980" w:rsidRPr="00A92B5D" w:rsidRDefault="00106980" w:rsidP="00A92B5D">
      <w:pPr>
        <w:pStyle w:val="ECHRHeading3"/>
        <w:rPr>
          <w:lang w:val="fr-FR"/>
        </w:rPr>
      </w:pPr>
      <w:r w:rsidRPr="00A92B5D">
        <w:rPr>
          <w:lang w:val="fr-FR"/>
        </w:rPr>
        <w:t>5.  Développements récents</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39</w:t>
      </w:r>
      <w:r w:rsidRPr="00A92B5D">
        <w:rPr>
          <w:lang w:val="fr-FR"/>
        </w:rPr>
        <w:fldChar w:fldCharType="end"/>
      </w:r>
      <w:r w:rsidRPr="00A92B5D">
        <w:rPr>
          <w:lang w:val="fr-FR"/>
        </w:rPr>
        <w:t>.  </w:t>
      </w:r>
      <w:r w:rsidRPr="00A92B5D">
        <w:rPr>
          <w:rStyle w:val="ECHRParaChar"/>
          <w:lang w:val="fr-FR"/>
        </w:rPr>
        <w:t>Le 11 mai 2018, le tribunal de l</w:t>
      </w:r>
      <w:r w:rsidR="00A92B5D" w:rsidRPr="00A92B5D">
        <w:rPr>
          <w:rStyle w:val="ECHRParaChar"/>
          <w:lang w:val="fr-FR"/>
        </w:rPr>
        <w:t>’</w:t>
      </w:r>
      <w:r w:rsidRPr="00A92B5D">
        <w:rPr>
          <w:rStyle w:val="ECHRParaChar"/>
          <w:lang w:val="fr-FR"/>
        </w:rPr>
        <w:t>application des peines de Milan fit droit à la demande de réhabilitation introduite par le requérant le 8 mars 2018. Dans sa décision, le tribunal constatait notamment que l</w:t>
      </w:r>
      <w:r w:rsidR="00A92B5D" w:rsidRPr="00A92B5D">
        <w:rPr>
          <w:rStyle w:val="ECHRParaChar"/>
          <w:lang w:val="fr-FR"/>
        </w:rPr>
        <w:t>’</w:t>
      </w:r>
      <w:r w:rsidRPr="00A92B5D">
        <w:rPr>
          <w:rStyle w:val="ECHRParaChar"/>
          <w:lang w:val="fr-FR"/>
        </w:rPr>
        <w:t>intéressé avait purgé sa peine et que, pendant la période écoulée depuis le passage en force de chose jugée de la décis</w:t>
      </w:r>
      <w:r w:rsidR="0082288C" w:rsidRPr="00A92B5D">
        <w:rPr>
          <w:rStyle w:val="ECHRParaChar"/>
          <w:lang w:val="fr-FR"/>
        </w:rPr>
        <w:t>ion du 9 avril 2015 (paragraphe </w:t>
      </w:r>
      <w:r w:rsidRPr="00A92B5D">
        <w:rPr>
          <w:rStyle w:val="ECHRParaChar"/>
          <w:lang w:val="fr-FR"/>
        </w:rPr>
        <w:t>22 ci</w:t>
      </w:r>
      <w:r w:rsidRPr="00A92B5D">
        <w:rPr>
          <w:rStyle w:val="ECHRParaChar"/>
          <w:lang w:val="fr-FR"/>
        </w:rPr>
        <w:noBreakHyphen/>
        <w:t>dessus), il n</w:t>
      </w:r>
      <w:r w:rsidR="00A92B5D" w:rsidRPr="00A92B5D">
        <w:rPr>
          <w:rStyle w:val="ECHRParaChar"/>
          <w:lang w:val="fr-FR"/>
        </w:rPr>
        <w:t>’</w:t>
      </w:r>
      <w:r w:rsidRPr="00A92B5D">
        <w:rPr>
          <w:rStyle w:val="ECHRParaChar"/>
          <w:lang w:val="fr-FR"/>
        </w:rPr>
        <w:t>avait pas fait l</w:t>
      </w:r>
      <w:r w:rsidR="00A92B5D" w:rsidRPr="00A92B5D">
        <w:rPr>
          <w:rStyle w:val="ECHRParaChar"/>
          <w:lang w:val="fr-FR"/>
        </w:rPr>
        <w:t>’</w:t>
      </w:r>
      <w:r w:rsidRPr="00A92B5D">
        <w:rPr>
          <w:rStyle w:val="ECHRParaChar"/>
          <w:lang w:val="fr-FR"/>
        </w:rPr>
        <w:t>objet d</w:t>
      </w:r>
      <w:r w:rsidR="00A92B5D" w:rsidRPr="00A92B5D">
        <w:rPr>
          <w:rStyle w:val="ECHRParaChar"/>
          <w:lang w:val="fr-FR"/>
        </w:rPr>
        <w:t>’</w:t>
      </w:r>
      <w:r w:rsidRPr="00A92B5D">
        <w:rPr>
          <w:rStyle w:val="ECHRParaChar"/>
          <w:lang w:val="fr-FR"/>
        </w:rPr>
        <w:t>autres condamnations, ce qui montrait sa bonne conduite. La juridiction soulignait que, conformément à la jurisprudence de la Cour de cassation, le fait que le requérant fût poursuivi dans le cadre de trois procédures pénales pour des faits postérieurs à ceux visés par le procès pour fraude fiscale ne constituait pas « en soi un obstacle à l</w:t>
      </w:r>
      <w:r w:rsidR="00A92B5D" w:rsidRPr="00A92B5D">
        <w:rPr>
          <w:rStyle w:val="ECHRParaChar"/>
          <w:lang w:val="fr-FR"/>
        </w:rPr>
        <w:t>’</w:t>
      </w:r>
      <w:r w:rsidRPr="00A92B5D">
        <w:rPr>
          <w:rStyle w:val="ECHRParaChar"/>
          <w:lang w:val="fr-FR"/>
        </w:rPr>
        <w:t>acceptation de la demande de réhabilitation, compte tenu de la présomption d</w:t>
      </w:r>
      <w:r w:rsidR="00A92B5D" w:rsidRPr="00A92B5D">
        <w:rPr>
          <w:rStyle w:val="ECHRParaChar"/>
          <w:lang w:val="fr-FR"/>
        </w:rPr>
        <w:t>’</w:t>
      </w:r>
      <w:r w:rsidRPr="00A92B5D">
        <w:rPr>
          <w:rStyle w:val="ECHRParaChar"/>
          <w:lang w:val="fr-FR"/>
        </w:rPr>
        <w:t>innocence ». La décision devint définitive le 29 mai 2018.</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40</w:t>
      </w:r>
      <w:r w:rsidRPr="00A92B5D">
        <w:rPr>
          <w:lang w:val="fr-FR"/>
        </w:rPr>
        <w:fldChar w:fldCharType="end"/>
      </w:r>
      <w:r w:rsidRPr="00A92B5D">
        <w:rPr>
          <w:lang w:val="fr-FR"/>
        </w:rPr>
        <w:t>.  </w:t>
      </w:r>
      <w:r w:rsidRPr="00A92B5D">
        <w:rPr>
          <w:rStyle w:val="ECHRParaChar"/>
          <w:lang w:val="fr-FR"/>
        </w:rPr>
        <w:t>Par la suite, le requérant demanda à la Cour l</w:t>
      </w:r>
      <w:r w:rsidR="00A92B5D" w:rsidRPr="00A92B5D">
        <w:rPr>
          <w:rStyle w:val="ECHRParaChar"/>
          <w:lang w:val="fr-FR"/>
        </w:rPr>
        <w:t>’</w:t>
      </w:r>
      <w:r w:rsidRPr="00A92B5D">
        <w:rPr>
          <w:rStyle w:val="ECHRParaChar"/>
          <w:lang w:val="fr-FR"/>
        </w:rPr>
        <w:t>autorisation de déposer les documents relatifs à la procédure de réhabilitation ainsi que des observations écrites concernant les effets de la mesure sur la recevabilité et le fond de la requête. Selon lui, la réhabilitation démontrait la nature</w:t>
      </w:r>
      <w:r w:rsidRPr="00A92B5D">
        <w:rPr>
          <w:lang w:val="fr-FR"/>
        </w:rPr>
        <w:t xml:space="preserve"> </w:t>
      </w:r>
      <w:r w:rsidRPr="00A92B5D">
        <w:rPr>
          <w:rStyle w:val="ECHRParaChar"/>
          <w:lang w:val="fr-FR"/>
        </w:rPr>
        <w:t>purement pénale de</w:t>
      </w:r>
      <w:r w:rsidRPr="00A92B5D">
        <w:rPr>
          <w:lang w:val="fr-FR"/>
        </w:rPr>
        <w:t xml:space="preserve"> </w:t>
      </w:r>
      <w:r w:rsidRPr="00A92B5D">
        <w:rPr>
          <w:rStyle w:val="ECHRParaChar"/>
          <w:lang w:val="fr-FR"/>
        </w:rPr>
        <w:t>l</w:t>
      </w:r>
      <w:r w:rsidR="00A92B5D" w:rsidRPr="00A92B5D">
        <w:rPr>
          <w:lang w:val="fr-FR"/>
        </w:rPr>
        <w:t>’</w:t>
      </w:r>
      <w:proofErr w:type="spellStart"/>
      <w:r w:rsidRPr="00A92B5D">
        <w:rPr>
          <w:rStyle w:val="ECHRParaChar"/>
          <w:i/>
          <w:lang w:val="fr-FR"/>
        </w:rPr>
        <w:t>incandidabilità</w:t>
      </w:r>
      <w:proofErr w:type="spellEnd"/>
      <w:r w:rsidRPr="00A92B5D">
        <w:rPr>
          <w:i/>
          <w:lang w:val="fr-FR"/>
        </w:rPr>
        <w:t xml:space="preserve"> </w:t>
      </w:r>
      <w:r w:rsidRPr="00A92B5D">
        <w:rPr>
          <w:rStyle w:val="ECHRParaChar"/>
          <w:lang w:val="fr-FR"/>
        </w:rPr>
        <w:t>et était susceptible d</w:t>
      </w:r>
      <w:r w:rsidR="00A92B5D" w:rsidRPr="00A92B5D">
        <w:rPr>
          <w:rStyle w:val="ECHRParaChar"/>
          <w:lang w:val="fr-FR"/>
        </w:rPr>
        <w:t>’</w:t>
      </w:r>
      <w:r w:rsidRPr="00A92B5D">
        <w:rPr>
          <w:rStyle w:val="ECHRParaChar"/>
          <w:lang w:val="fr-FR"/>
        </w:rPr>
        <w:t xml:space="preserve">avoir un impact sur sa qualité de victime. La présidente de la Grande Chambre autorisa le </w:t>
      </w:r>
      <w:r w:rsidRPr="00A92B5D">
        <w:rPr>
          <w:rStyle w:val="ECHRParaChar"/>
          <w:lang w:val="fr-FR"/>
        </w:rPr>
        <w:lastRenderedPageBreak/>
        <w:t>dépôt de documents. En revanche, elle refusa (par deux fois, les 14 juin et 19 juillet 2018) le dépôt des observations (articles 38 § 1 et 71 du règlement).</w:t>
      </w:r>
    </w:p>
    <w:p w:rsidR="00106980" w:rsidRPr="00A92B5D" w:rsidRDefault="00106980" w:rsidP="00A92B5D">
      <w:pPr>
        <w:pStyle w:val="ECHRPara"/>
        <w:rPr>
          <w:lang w:val="fr-FR"/>
        </w:rPr>
      </w:pPr>
      <w:r w:rsidRPr="00A92B5D">
        <w:rPr>
          <w:lang w:val="fr-FR"/>
        </w:rPr>
        <w:t>Le 27 juillet 2018, le requérant informa la Cour de son intention de ne plus maintenir sa requête.</w:t>
      </w:r>
    </w:p>
    <w:p w:rsidR="00106980" w:rsidRPr="00A92B5D" w:rsidRDefault="00106980" w:rsidP="00A92B5D">
      <w:pPr>
        <w:pStyle w:val="ECHRHeading2"/>
        <w:rPr>
          <w:lang w:val="fr-FR"/>
        </w:rPr>
      </w:pPr>
      <w:r w:rsidRPr="00A92B5D">
        <w:rPr>
          <w:lang w:val="fr-FR"/>
        </w:rPr>
        <w:t>B.  Le droit interne pertinent</w:t>
      </w:r>
    </w:p>
    <w:p w:rsidR="00106980" w:rsidRPr="00A92B5D" w:rsidRDefault="00106980" w:rsidP="00A92B5D">
      <w:pPr>
        <w:pStyle w:val="ECHRHeading3"/>
        <w:rPr>
          <w:lang w:val="fr-FR"/>
        </w:rPr>
      </w:pPr>
      <w:r w:rsidRPr="00A92B5D">
        <w:rPr>
          <w:lang w:val="fr-FR"/>
        </w:rPr>
        <w:t>1.  Les dispositions de la Constitution italienne</w:t>
      </w:r>
    </w:p>
    <w:bookmarkStart w:id="16" w:name="cost236"/>
    <w:bookmarkStart w:id="17" w:name="ARTICLESCONSTIT"/>
    <w:bookmarkEnd w:id="16"/>
    <w:bookmarkEnd w:id="17"/>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41</w:t>
      </w:r>
      <w:r w:rsidRPr="00A92B5D">
        <w:rPr>
          <w:lang w:val="fr-FR"/>
        </w:rPr>
        <w:fldChar w:fldCharType="end"/>
      </w:r>
      <w:r w:rsidRPr="00A92B5D">
        <w:rPr>
          <w:lang w:val="fr-FR"/>
        </w:rPr>
        <w:t>.  </w:t>
      </w:r>
      <w:r w:rsidRPr="00A92B5D">
        <w:rPr>
          <w:rStyle w:val="ECHRParaChar"/>
          <w:lang w:val="fr-FR"/>
        </w:rPr>
        <w:t>Les dispositions pertinentes de la Constitution se lisent comme suit</w:t>
      </w:r>
      <w:r w:rsidRPr="00A92B5D">
        <w:rPr>
          <w:lang w:val="fr-FR"/>
        </w:rPr>
        <w:t> :</w:t>
      </w:r>
    </w:p>
    <w:p w:rsidR="00106980" w:rsidRPr="00A92B5D" w:rsidRDefault="00106980" w:rsidP="00A92B5D">
      <w:pPr>
        <w:pStyle w:val="ECHRTitleCentre3"/>
        <w:rPr>
          <w:lang w:val="fr-FR"/>
        </w:rPr>
      </w:pPr>
      <w:r w:rsidRPr="00A92B5D">
        <w:rPr>
          <w:lang w:val="fr-FR"/>
        </w:rPr>
        <w:t>Article 25</w:t>
      </w:r>
    </w:p>
    <w:p w:rsidR="00106980" w:rsidRPr="00A92B5D" w:rsidRDefault="00106980" w:rsidP="00A92B5D">
      <w:pPr>
        <w:pStyle w:val="ECHRParaQuote"/>
        <w:rPr>
          <w:lang w:val="fr-FR"/>
        </w:rPr>
      </w:pPr>
      <w:r w:rsidRPr="00A92B5D">
        <w:rPr>
          <w:lang w:val="fr-FR"/>
        </w:rPr>
        <w:t>« (...)</w:t>
      </w:r>
    </w:p>
    <w:p w:rsidR="00106980" w:rsidRPr="00A92B5D" w:rsidRDefault="00106980" w:rsidP="00A92B5D">
      <w:pPr>
        <w:pStyle w:val="ECHRParaQuote"/>
        <w:rPr>
          <w:lang w:val="fr-FR"/>
        </w:rPr>
      </w:pPr>
      <w:r w:rsidRPr="00A92B5D">
        <w:rPr>
          <w:lang w:val="fr-FR"/>
        </w:rPr>
        <w:t>2. Nul ne peut être puni, si ce n</w:t>
      </w:r>
      <w:r w:rsidR="00A92B5D" w:rsidRPr="00A92B5D">
        <w:rPr>
          <w:lang w:val="fr-FR"/>
        </w:rPr>
        <w:t>’</w:t>
      </w:r>
      <w:r w:rsidRPr="00A92B5D">
        <w:rPr>
          <w:lang w:val="fr-FR"/>
        </w:rPr>
        <w:t>est en vertu d</w:t>
      </w:r>
      <w:r w:rsidR="00A92B5D" w:rsidRPr="00A92B5D">
        <w:rPr>
          <w:lang w:val="fr-FR"/>
        </w:rPr>
        <w:t>’</w:t>
      </w:r>
      <w:r w:rsidRPr="00A92B5D">
        <w:rPr>
          <w:lang w:val="fr-FR"/>
        </w:rPr>
        <w:t>une loi entrée en vigueur avant la commission du fait.</w:t>
      </w:r>
    </w:p>
    <w:p w:rsidR="00106980" w:rsidRPr="00A92B5D" w:rsidRDefault="00106980" w:rsidP="00A92B5D">
      <w:pPr>
        <w:pStyle w:val="ECHRParaQuote"/>
        <w:rPr>
          <w:lang w:val="fr-FR"/>
        </w:rPr>
      </w:pPr>
      <w:r w:rsidRPr="00A92B5D">
        <w:rPr>
          <w:lang w:val="fr-FR"/>
        </w:rPr>
        <w:t>(...) »</w:t>
      </w:r>
    </w:p>
    <w:p w:rsidR="00106980" w:rsidRPr="00A92B5D" w:rsidRDefault="00106980" w:rsidP="00A92B5D">
      <w:pPr>
        <w:pStyle w:val="ECHRTitleCentre3"/>
        <w:rPr>
          <w:lang w:val="fr-FR"/>
        </w:rPr>
      </w:pPr>
      <w:r w:rsidRPr="00A92B5D">
        <w:rPr>
          <w:lang w:val="fr-FR"/>
        </w:rPr>
        <w:t>Article 65</w:t>
      </w:r>
    </w:p>
    <w:p w:rsidR="00106980" w:rsidRPr="00A92B5D" w:rsidRDefault="00106980" w:rsidP="00A92B5D">
      <w:pPr>
        <w:pStyle w:val="ECHRParaQuote"/>
        <w:rPr>
          <w:lang w:val="fr-FR"/>
        </w:rPr>
      </w:pPr>
      <w:r w:rsidRPr="00A92B5D">
        <w:rPr>
          <w:lang w:val="fr-FR"/>
        </w:rPr>
        <w:t>« 1.  La loi détermine les cas d</w:t>
      </w:r>
      <w:r w:rsidR="00A92B5D" w:rsidRPr="00A92B5D">
        <w:rPr>
          <w:lang w:val="fr-FR"/>
        </w:rPr>
        <w:t>’</w:t>
      </w:r>
      <w:r w:rsidRPr="00A92B5D">
        <w:rPr>
          <w:lang w:val="fr-FR"/>
        </w:rPr>
        <w:t>inéligibilité et d</w:t>
      </w:r>
      <w:r w:rsidR="00A92B5D" w:rsidRPr="00A92B5D">
        <w:rPr>
          <w:lang w:val="fr-FR"/>
        </w:rPr>
        <w:t>’</w:t>
      </w:r>
      <w:r w:rsidRPr="00A92B5D">
        <w:rPr>
          <w:lang w:val="fr-FR"/>
        </w:rPr>
        <w:t>incompatibilité avec le mandat de député ou de sénateur.</w:t>
      </w:r>
    </w:p>
    <w:p w:rsidR="00106980" w:rsidRPr="00A92B5D" w:rsidRDefault="00106980" w:rsidP="00A92B5D">
      <w:pPr>
        <w:pStyle w:val="ECHRParaQuote"/>
        <w:rPr>
          <w:lang w:val="fr-FR"/>
        </w:rPr>
      </w:pPr>
      <w:r w:rsidRPr="00A92B5D">
        <w:rPr>
          <w:lang w:val="fr-FR"/>
        </w:rPr>
        <w:t>(...) »</w:t>
      </w:r>
    </w:p>
    <w:p w:rsidR="00106980" w:rsidRPr="00A92B5D" w:rsidRDefault="00106980" w:rsidP="00A92B5D">
      <w:pPr>
        <w:pStyle w:val="ECHRTitleCentre3"/>
        <w:rPr>
          <w:lang w:val="fr-FR"/>
        </w:rPr>
      </w:pPr>
      <w:r w:rsidRPr="00A92B5D">
        <w:rPr>
          <w:lang w:val="fr-FR"/>
        </w:rPr>
        <w:t>Article 66</w:t>
      </w:r>
    </w:p>
    <w:p w:rsidR="00106980" w:rsidRPr="00A92B5D" w:rsidRDefault="00106980" w:rsidP="00A92B5D">
      <w:pPr>
        <w:pStyle w:val="ECHRParaQuote"/>
        <w:rPr>
          <w:lang w:val="fr-FR"/>
        </w:rPr>
      </w:pPr>
      <w:r w:rsidRPr="00A92B5D">
        <w:rPr>
          <w:lang w:val="fr-FR"/>
        </w:rPr>
        <w:t>« Chacune des deux chambres juge des titres d</w:t>
      </w:r>
      <w:r w:rsidR="00A92B5D" w:rsidRPr="00A92B5D">
        <w:rPr>
          <w:lang w:val="fr-FR"/>
        </w:rPr>
        <w:t>’</w:t>
      </w:r>
      <w:r w:rsidRPr="00A92B5D">
        <w:rPr>
          <w:lang w:val="fr-FR"/>
        </w:rPr>
        <w:t>admission de ses membres et des causes d</w:t>
      </w:r>
      <w:r w:rsidR="00A92B5D" w:rsidRPr="00A92B5D">
        <w:rPr>
          <w:lang w:val="fr-FR"/>
        </w:rPr>
        <w:t>’</w:t>
      </w:r>
      <w:r w:rsidRPr="00A92B5D">
        <w:rPr>
          <w:lang w:val="fr-FR"/>
        </w:rPr>
        <w:t>inéligibilité et d</w:t>
      </w:r>
      <w:r w:rsidR="00A92B5D" w:rsidRPr="00A92B5D">
        <w:rPr>
          <w:lang w:val="fr-FR"/>
        </w:rPr>
        <w:t>’</w:t>
      </w:r>
      <w:r w:rsidRPr="00A92B5D">
        <w:rPr>
          <w:lang w:val="fr-FR"/>
        </w:rPr>
        <w:t xml:space="preserve">incompatibilité qui surviendraient </w:t>
      </w:r>
      <w:r w:rsidRPr="00A92B5D">
        <w:rPr>
          <w:i/>
          <w:iCs/>
          <w:lang w:val="fr-FR"/>
        </w:rPr>
        <w:t>a posteriori</w:t>
      </w:r>
      <w:r w:rsidRPr="00A92B5D">
        <w:rPr>
          <w:lang w:val="fr-FR"/>
        </w:rPr>
        <w:t>. »</w:t>
      </w:r>
    </w:p>
    <w:p w:rsidR="00106980" w:rsidRPr="00A92B5D" w:rsidRDefault="00106980" w:rsidP="00A92B5D">
      <w:pPr>
        <w:pStyle w:val="ECHRHeading3"/>
        <w:rPr>
          <w:lang w:val="fr-FR"/>
        </w:rPr>
      </w:pPr>
      <w:r w:rsidRPr="00A92B5D">
        <w:rPr>
          <w:lang w:val="fr-FR"/>
        </w:rPr>
        <w:t>2.  La loi n</w:t>
      </w:r>
      <w:r w:rsidRPr="00A92B5D">
        <w:rPr>
          <w:vertAlign w:val="superscript"/>
          <w:lang w:val="fr-FR"/>
        </w:rPr>
        <w:t>o </w:t>
      </w:r>
      <w:r w:rsidRPr="00A92B5D">
        <w:rPr>
          <w:lang w:val="fr-FR"/>
        </w:rPr>
        <w:t>190 du 6 novembre 2012</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42</w:t>
      </w:r>
      <w:r w:rsidRPr="00A92B5D">
        <w:rPr>
          <w:lang w:val="fr-FR"/>
        </w:rPr>
        <w:fldChar w:fldCharType="end"/>
      </w:r>
      <w:r w:rsidRPr="00A92B5D">
        <w:rPr>
          <w:lang w:val="fr-FR"/>
        </w:rPr>
        <w:t>.  </w:t>
      </w:r>
      <w:r w:rsidRPr="00A92B5D">
        <w:rPr>
          <w:rStyle w:val="ECHRParaChar"/>
          <w:lang w:val="fr-FR"/>
        </w:rPr>
        <w:t>La loi n</w:t>
      </w:r>
      <w:r w:rsidRPr="00A92B5D">
        <w:rPr>
          <w:rStyle w:val="ECHRParaChar"/>
          <w:vertAlign w:val="superscript"/>
          <w:lang w:val="fr-FR"/>
        </w:rPr>
        <w:t>o</w:t>
      </w:r>
      <w:r w:rsidRPr="00A92B5D">
        <w:rPr>
          <w:rStyle w:val="ECHRParaChar"/>
          <w:lang w:val="fr-FR"/>
        </w:rPr>
        <w:t xml:space="preserve"> 190/2012 fut adoptée par le Sénat le 17 octobre 2012 et par la Chambre des députés le 31 octobre 2012, fut signée par le président de la République le 6 novembre 2012 et entra en vigueur le 28 novembre 2012, quinze jours après sa publication au Journal officiel.</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43</w:t>
      </w:r>
      <w:r w:rsidRPr="00A92B5D">
        <w:rPr>
          <w:lang w:val="fr-FR"/>
        </w:rPr>
        <w:fldChar w:fldCharType="end"/>
      </w:r>
      <w:r w:rsidRPr="00A92B5D">
        <w:rPr>
          <w:lang w:val="fr-FR"/>
        </w:rPr>
        <w:t>.  </w:t>
      </w:r>
      <w:r w:rsidRPr="00A92B5D">
        <w:rPr>
          <w:rStyle w:val="ECHRParaChar"/>
          <w:lang w:val="fr-FR"/>
        </w:rPr>
        <w:t>L</w:t>
      </w:r>
      <w:r w:rsidR="00A92B5D" w:rsidRPr="00A92B5D">
        <w:rPr>
          <w:rStyle w:val="ECHRParaChar"/>
          <w:lang w:val="fr-FR"/>
        </w:rPr>
        <w:t>’</w:t>
      </w:r>
      <w:r w:rsidRPr="00A92B5D">
        <w:rPr>
          <w:rStyle w:val="ECHRParaChar"/>
          <w:lang w:val="fr-FR"/>
        </w:rPr>
        <w:t>article 1, alinéa 64, de cette loi définissait les principes et les critères clés du décret législatif que le gouvernement devait adopter (aux termes de l</w:t>
      </w:r>
      <w:r w:rsidR="00A92B5D" w:rsidRPr="00A92B5D">
        <w:rPr>
          <w:rStyle w:val="ECHRParaChar"/>
          <w:lang w:val="fr-FR"/>
        </w:rPr>
        <w:t>’</w:t>
      </w:r>
      <w:r w:rsidRPr="00A92B5D">
        <w:rPr>
          <w:rStyle w:val="ECHRParaChar"/>
          <w:lang w:val="fr-FR"/>
        </w:rPr>
        <w:t>alinéa 63) dans le but de réunir en un texte les dispositions relatives à l</w:t>
      </w:r>
      <w:r w:rsidR="00A92B5D" w:rsidRPr="00A92B5D">
        <w:rPr>
          <w:rStyle w:val="ECHRParaChar"/>
          <w:lang w:val="fr-FR"/>
        </w:rPr>
        <w:t>’</w:t>
      </w:r>
      <w:proofErr w:type="spellStart"/>
      <w:r w:rsidRPr="00A92B5D">
        <w:rPr>
          <w:rStyle w:val="ECHRParaChar"/>
          <w:i/>
          <w:lang w:val="fr-FR"/>
        </w:rPr>
        <w:t>incandidabilità</w:t>
      </w:r>
      <w:proofErr w:type="spellEnd"/>
      <w:r w:rsidRPr="00A92B5D">
        <w:rPr>
          <w:rStyle w:val="ECHRParaChar"/>
          <w:lang w:val="fr-FR"/>
        </w:rPr>
        <w:t xml:space="preserve"> aux fonctions notamment de membre du Parlement européen, de député et de sénateur de la République, et à l</w:t>
      </w:r>
      <w:r w:rsidR="00A92B5D" w:rsidRPr="00A92B5D">
        <w:rPr>
          <w:rStyle w:val="ECHRParaChar"/>
          <w:lang w:val="fr-FR"/>
        </w:rPr>
        <w:t>’</w:t>
      </w:r>
      <w:r w:rsidRPr="00A92B5D">
        <w:rPr>
          <w:rStyle w:val="ECHRParaChar"/>
          <w:lang w:val="fr-FR"/>
        </w:rPr>
        <w:t>interdiction d</w:t>
      </w:r>
      <w:r w:rsidR="00A92B5D" w:rsidRPr="00A92B5D">
        <w:rPr>
          <w:rStyle w:val="ECHRParaChar"/>
          <w:lang w:val="fr-FR"/>
        </w:rPr>
        <w:t>’</w:t>
      </w:r>
      <w:r w:rsidRPr="00A92B5D">
        <w:rPr>
          <w:rStyle w:val="ECHRParaChar"/>
          <w:lang w:val="fr-FR"/>
        </w:rPr>
        <w:t>exercer des fonctions électives et de gouvernement. Ce décret devait :</w:t>
      </w:r>
    </w:p>
    <w:p w:rsidR="00106980" w:rsidRPr="00A92B5D" w:rsidRDefault="00106980" w:rsidP="00A92B5D">
      <w:pPr>
        <w:pStyle w:val="ECHRParaQuote"/>
        <w:rPr>
          <w:lang w:val="fr-FR"/>
        </w:rPr>
      </w:pPr>
      <w:r w:rsidRPr="00A92B5D">
        <w:rPr>
          <w:lang w:val="fr-FR"/>
        </w:rPr>
        <w:t>« a) (...) prévoir l</w:t>
      </w:r>
      <w:r w:rsidR="00A92B5D" w:rsidRPr="00A92B5D">
        <w:rPr>
          <w:lang w:val="fr-FR"/>
        </w:rPr>
        <w:t>’</w:t>
      </w:r>
      <w:r w:rsidRPr="00A92B5D">
        <w:rPr>
          <w:lang w:val="fr-FR"/>
        </w:rPr>
        <w:t>interdiction temporaire de se porter candidat aux fonctions de député et de sénateur en cas de condamnation définitive à des peines supérieures à deux ans d</w:t>
      </w:r>
      <w:r w:rsidR="00A92B5D" w:rsidRPr="00A92B5D">
        <w:rPr>
          <w:lang w:val="fr-FR"/>
        </w:rPr>
        <w:t>’</w:t>
      </w:r>
      <w:r w:rsidRPr="00A92B5D">
        <w:rPr>
          <w:lang w:val="fr-FR"/>
        </w:rPr>
        <w:t>emprisonnement pour des délits mentionnés à l</w:t>
      </w:r>
      <w:r w:rsidR="00A92B5D" w:rsidRPr="00A92B5D">
        <w:rPr>
          <w:lang w:val="fr-FR"/>
        </w:rPr>
        <w:t>’</w:t>
      </w:r>
      <w:r w:rsidRPr="00A92B5D">
        <w:rPr>
          <w:lang w:val="fr-FR"/>
        </w:rPr>
        <w:t xml:space="preserve">article 51, alinéas 3 </w:t>
      </w:r>
      <w:r w:rsidRPr="00A92B5D">
        <w:rPr>
          <w:i/>
          <w:iCs/>
          <w:lang w:val="fr-FR"/>
        </w:rPr>
        <w:t>bis</w:t>
      </w:r>
      <w:r w:rsidRPr="00A92B5D">
        <w:rPr>
          <w:lang w:val="fr-FR"/>
        </w:rPr>
        <w:t xml:space="preserve"> et </w:t>
      </w:r>
      <w:r w:rsidRPr="00A92B5D">
        <w:rPr>
          <w:i/>
          <w:iCs/>
          <w:lang w:val="fr-FR"/>
        </w:rPr>
        <w:t>quater</w:t>
      </w:r>
      <w:r w:rsidRPr="00A92B5D">
        <w:rPr>
          <w:lang w:val="fr-FR"/>
        </w:rPr>
        <w:t xml:space="preserve"> du code de procédure pénale [notamment ceux relatifs aux associations de malfaiteurs de type mafieux et au terrorisme] ;</w:t>
      </w:r>
    </w:p>
    <w:p w:rsidR="00106980" w:rsidRPr="00A92B5D" w:rsidRDefault="00106980" w:rsidP="00A92B5D">
      <w:pPr>
        <w:pStyle w:val="ECHRParaQuote"/>
        <w:rPr>
          <w:lang w:val="fr-FR"/>
        </w:rPr>
      </w:pPr>
      <w:r w:rsidRPr="00A92B5D">
        <w:rPr>
          <w:lang w:val="fr-FR"/>
        </w:rPr>
        <w:lastRenderedPageBreak/>
        <w:t>b) prévoir en outre la même interdiction pour toute personne qui s</w:t>
      </w:r>
      <w:r w:rsidR="00A92B5D" w:rsidRPr="00A92B5D">
        <w:rPr>
          <w:lang w:val="fr-FR"/>
        </w:rPr>
        <w:t>’</w:t>
      </w:r>
      <w:r w:rsidRPr="00A92B5D">
        <w:rPr>
          <w:lang w:val="fr-FR"/>
        </w:rPr>
        <w:t>est vu infliger une peine définitive d</w:t>
      </w:r>
      <w:r w:rsidR="00A92B5D" w:rsidRPr="00A92B5D">
        <w:rPr>
          <w:lang w:val="fr-FR"/>
        </w:rPr>
        <w:t>’</w:t>
      </w:r>
      <w:r w:rsidRPr="00A92B5D">
        <w:rPr>
          <w:lang w:val="fr-FR"/>
        </w:rPr>
        <w:t>emprisonnement supérieure à deux ans pour les délits [contre l</w:t>
      </w:r>
      <w:r w:rsidR="00A92B5D" w:rsidRPr="00A92B5D">
        <w:rPr>
          <w:lang w:val="fr-FR"/>
        </w:rPr>
        <w:t>’</w:t>
      </w:r>
      <w:r w:rsidRPr="00A92B5D">
        <w:rPr>
          <w:lang w:val="fr-FR"/>
        </w:rPr>
        <w:t>administration publique] ou pour les autres délits pour lesquels la loi a fixé une peine de détention dont le maximum est supérieur à trois ans ;</w:t>
      </w:r>
    </w:p>
    <w:p w:rsidR="00106980" w:rsidRPr="00A92B5D" w:rsidRDefault="00106980" w:rsidP="00A92B5D">
      <w:pPr>
        <w:pStyle w:val="ECHRParaQuote"/>
        <w:rPr>
          <w:lang w:val="fr-FR"/>
        </w:rPr>
      </w:pPr>
      <w:r w:rsidRPr="00A92B5D">
        <w:rPr>
          <w:lang w:val="fr-FR"/>
        </w:rPr>
        <w:t>c) prévoir la durée de l</w:t>
      </w:r>
      <w:r w:rsidR="00A92B5D" w:rsidRPr="00A92B5D">
        <w:rPr>
          <w:lang w:val="fr-FR"/>
        </w:rPr>
        <w:t>’</w:t>
      </w:r>
      <w:r w:rsidRPr="00A92B5D">
        <w:rPr>
          <w:lang w:val="fr-FR"/>
        </w:rPr>
        <w:t>interdiction ;</w:t>
      </w:r>
    </w:p>
    <w:p w:rsidR="00106980" w:rsidRPr="00A92B5D" w:rsidRDefault="00106980" w:rsidP="00A92B5D">
      <w:pPr>
        <w:pStyle w:val="ECHRParaQuote"/>
        <w:rPr>
          <w:lang w:val="fr-FR"/>
        </w:rPr>
      </w:pPr>
      <w:r w:rsidRPr="00A92B5D">
        <w:rPr>
          <w:lang w:val="fr-FR"/>
        </w:rPr>
        <w:t>d) prévoir qu</w:t>
      </w:r>
      <w:r w:rsidR="00A92B5D" w:rsidRPr="00A92B5D">
        <w:rPr>
          <w:lang w:val="fr-FR"/>
        </w:rPr>
        <w:t>’</w:t>
      </w:r>
      <w:r w:rsidRPr="00A92B5D">
        <w:rPr>
          <w:lang w:val="fr-FR"/>
        </w:rPr>
        <w:t>elle couvre également l</w:t>
      </w:r>
      <w:r w:rsidR="00A92B5D" w:rsidRPr="00A92B5D">
        <w:rPr>
          <w:lang w:val="fr-FR"/>
        </w:rPr>
        <w:t>’</w:t>
      </w:r>
      <w:r w:rsidRPr="00A92B5D">
        <w:rPr>
          <w:lang w:val="fr-FR"/>
        </w:rPr>
        <w:t>hypothèse de l</w:t>
      </w:r>
      <w:r w:rsidR="00A92B5D" w:rsidRPr="00A92B5D">
        <w:rPr>
          <w:lang w:val="fr-FR"/>
        </w:rPr>
        <w:t>’</w:t>
      </w:r>
      <w:r w:rsidRPr="00A92B5D">
        <w:rPr>
          <w:lang w:val="fr-FR"/>
        </w:rPr>
        <w:t>application de la peine à la suite de l</w:t>
      </w:r>
      <w:r w:rsidR="00A92B5D" w:rsidRPr="00A92B5D">
        <w:rPr>
          <w:lang w:val="fr-FR"/>
        </w:rPr>
        <w:t>’</w:t>
      </w:r>
      <w:r w:rsidRPr="00A92B5D">
        <w:rPr>
          <w:lang w:val="fr-FR"/>
        </w:rPr>
        <w:t>accord entre le prévenu et le parquet, aux termes de l</w:t>
      </w:r>
      <w:r w:rsidR="00A92B5D" w:rsidRPr="00A92B5D">
        <w:rPr>
          <w:lang w:val="fr-FR"/>
        </w:rPr>
        <w:t>’</w:t>
      </w:r>
      <w:r w:rsidRPr="00A92B5D">
        <w:rPr>
          <w:lang w:val="fr-FR"/>
        </w:rPr>
        <w:t>article 444 du code de procédure pénale ;</w:t>
      </w:r>
    </w:p>
    <w:p w:rsidR="00106980" w:rsidRPr="00A92B5D" w:rsidRDefault="00106980" w:rsidP="00A92B5D">
      <w:pPr>
        <w:pStyle w:val="ECHRParaQuote"/>
        <w:rPr>
          <w:lang w:val="fr-FR"/>
        </w:rPr>
      </w:pPr>
      <w:r w:rsidRPr="00A92B5D">
        <w:rPr>
          <w:lang w:val="fr-FR"/>
        </w:rPr>
        <w:t>e) coordonner les dispositions relatives à l</w:t>
      </w:r>
      <w:r w:rsidR="00A92B5D" w:rsidRPr="00A92B5D">
        <w:rPr>
          <w:lang w:val="fr-FR"/>
        </w:rPr>
        <w:t>’</w:t>
      </w:r>
      <w:r w:rsidRPr="00A92B5D">
        <w:rPr>
          <w:lang w:val="fr-FR"/>
        </w:rPr>
        <w:t>interdiction de se porter candidat et les dispositions en vigueur en matière d</w:t>
      </w:r>
      <w:r w:rsidR="00A92B5D" w:rsidRPr="00A92B5D">
        <w:rPr>
          <w:lang w:val="fr-FR"/>
        </w:rPr>
        <w:t>’</w:t>
      </w:r>
      <w:r w:rsidRPr="00A92B5D">
        <w:rPr>
          <w:lang w:val="fr-FR"/>
        </w:rPr>
        <w:t>interdiction d</w:t>
      </w:r>
      <w:r w:rsidR="00A92B5D" w:rsidRPr="00A92B5D">
        <w:rPr>
          <w:lang w:val="fr-FR"/>
        </w:rPr>
        <w:t>’</w:t>
      </w:r>
      <w:r w:rsidRPr="00A92B5D">
        <w:rPr>
          <w:lang w:val="fr-FR"/>
        </w:rPr>
        <w:t>exercer des fonctions publiques et de réhabilitation, et les restrictions à l</w:t>
      </w:r>
      <w:r w:rsidR="00A92B5D" w:rsidRPr="00A92B5D">
        <w:rPr>
          <w:lang w:val="fr-FR"/>
        </w:rPr>
        <w:t>’</w:t>
      </w:r>
      <w:r w:rsidRPr="00A92B5D">
        <w:rPr>
          <w:lang w:val="fr-FR"/>
        </w:rPr>
        <w:t>exercice du droit de vote ;</w:t>
      </w:r>
    </w:p>
    <w:p w:rsidR="00106980" w:rsidRPr="00A92B5D" w:rsidRDefault="00106980" w:rsidP="00A92B5D">
      <w:pPr>
        <w:pStyle w:val="ECHRParaQuote"/>
        <w:rPr>
          <w:lang w:val="fr-FR"/>
        </w:rPr>
      </w:pPr>
      <w:r w:rsidRPr="00A92B5D">
        <w:rPr>
          <w:lang w:val="fr-FR"/>
        </w:rPr>
        <w:t>f) prévoir que les conditions de l</w:t>
      </w:r>
      <w:r w:rsidR="00A92B5D" w:rsidRPr="00A92B5D">
        <w:rPr>
          <w:lang w:val="fr-FR"/>
        </w:rPr>
        <w:t>’</w:t>
      </w:r>
      <w:r w:rsidRPr="00A92B5D">
        <w:rPr>
          <w:lang w:val="fr-FR"/>
        </w:rPr>
        <w:t>interdiction de se porter candidat aux fonctions de député et de sénateur s</w:t>
      </w:r>
      <w:r w:rsidR="00A92B5D" w:rsidRPr="00A92B5D">
        <w:rPr>
          <w:lang w:val="fr-FR"/>
        </w:rPr>
        <w:t>’</w:t>
      </w:r>
      <w:r w:rsidRPr="00A92B5D">
        <w:rPr>
          <w:lang w:val="fr-FR"/>
        </w:rPr>
        <w:t>appliquent aussi dans le cadre des fonctions de l</w:t>
      </w:r>
      <w:r w:rsidR="00A92B5D" w:rsidRPr="00A92B5D">
        <w:rPr>
          <w:lang w:val="fr-FR"/>
        </w:rPr>
        <w:t>’</w:t>
      </w:r>
      <w:r w:rsidRPr="00A92B5D">
        <w:rPr>
          <w:lang w:val="fr-FR"/>
        </w:rPr>
        <w:t>organe exécutif ;</w:t>
      </w:r>
    </w:p>
    <w:p w:rsidR="00106980" w:rsidRPr="00A92B5D" w:rsidRDefault="00106980" w:rsidP="00A92B5D">
      <w:pPr>
        <w:pStyle w:val="ECHRParaQuote"/>
        <w:rPr>
          <w:lang w:val="fr-FR"/>
        </w:rPr>
      </w:pPr>
      <w:r w:rsidRPr="00A92B5D">
        <w:rPr>
          <w:lang w:val="fr-FR"/>
        </w:rPr>
        <w:t>(...)</w:t>
      </w:r>
    </w:p>
    <w:p w:rsidR="00106980" w:rsidRPr="00A92B5D" w:rsidRDefault="00106980" w:rsidP="00A92B5D">
      <w:pPr>
        <w:pStyle w:val="ECHRParaQuote"/>
        <w:rPr>
          <w:lang w:val="fr-FR"/>
        </w:rPr>
      </w:pPr>
      <w:r w:rsidRPr="00A92B5D">
        <w:rPr>
          <w:lang w:val="fr-FR"/>
        </w:rPr>
        <w:t>m) fixer les cas de suspension et déchéance automatiques des fonctions visés à l</w:t>
      </w:r>
      <w:r w:rsidR="00A92B5D" w:rsidRPr="00A92B5D">
        <w:rPr>
          <w:lang w:val="fr-FR"/>
        </w:rPr>
        <w:t>’</w:t>
      </w:r>
      <w:r w:rsidRPr="00A92B5D">
        <w:rPr>
          <w:lang w:val="fr-FR"/>
        </w:rPr>
        <w:t>alinéa 63 à la suite d</w:t>
      </w:r>
      <w:r w:rsidR="00A92B5D" w:rsidRPr="00A92B5D">
        <w:rPr>
          <w:lang w:val="fr-FR"/>
        </w:rPr>
        <w:t>’</w:t>
      </w:r>
      <w:r w:rsidRPr="00A92B5D">
        <w:rPr>
          <w:lang w:val="fr-FR"/>
        </w:rPr>
        <w:t>une condamnation définitive pour délit commis avec dol postérieure à la présentation de la candidature ou à l</w:t>
      </w:r>
      <w:r w:rsidR="00A92B5D" w:rsidRPr="00A92B5D">
        <w:rPr>
          <w:lang w:val="fr-FR"/>
        </w:rPr>
        <w:t>’</w:t>
      </w:r>
      <w:r w:rsidRPr="00A92B5D">
        <w:rPr>
          <w:lang w:val="fr-FR"/>
        </w:rPr>
        <w:t>attribution de la fonction. »</w:t>
      </w:r>
    </w:p>
    <w:bookmarkStart w:id="18" w:name="ART1ALINEA64"/>
    <w:bookmarkEnd w:id="18"/>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44</w:t>
      </w:r>
      <w:r w:rsidRPr="00A92B5D">
        <w:rPr>
          <w:lang w:val="fr-FR"/>
        </w:rPr>
        <w:fldChar w:fldCharType="end"/>
      </w:r>
      <w:r w:rsidRPr="00A92B5D">
        <w:rPr>
          <w:lang w:val="fr-FR"/>
        </w:rPr>
        <w:t>.  </w:t>
      </w:r>
      <w:r w:rsidRPr="00A92B5D">
        <w:rPr>
          <w:rStyle w:val="ECHRParaChar"/>
          <w:lang w:val="fr-FR"/>
        </w:rPr>
        <w:t>Selon le rapport explicatif, l</w:t>
      </w:r>
      <w:r w:rsidR="00A92B5D" w:rsidRPr="00A92B5D">
        <w:rPr>
          <w:rStyle w:val="ECHRParaChar"/>
          <w:lang w:val="fr-FR"/>
        </w:rPr>
        <w:t>’</w:t>
      </w:r>
      <w:r w:rsidRPr="00A92B5D">
        <w:rPr>
          <w:rStyle w:val="ECHRParaChar"/>
          <w:lang w:val="fr-FR"/>
        </w:rPr>
        <w:t>objectif de la loi était la prévention et la répression du phénomène de la corruption au moyen d</w:t>
      </w:r>
      <w:r w:rsidR="00A92B5D" w:rsidRPr="00A92B5D">
        <w:rPr>
          <w:rStyle w:val="ECHRParaChar"/>
          <w:lang w:val="fr-FR"/>
        </w:rPr>
        <w:t>’</w:t>
      </w:r>
      <w:r w:rsidRPr="00A92B5D">
        <w:rPr>
          <w:rStyle w:val="ECHRParaChar"/>
          <w:lang w:val="fr-FR"/>
        </w:rPr>
        <w:t>une approche multidisciplinaire dans le cadre de laquelle les sanctions constituent seulement une partie des éléments de la lutte contre la corruption et l</w:t>
      </w:r>
      <w:r w:rsidR="00A92B5D" w:rsidRPr="00A92B5D">
        <w:rPr>
          <w:rStyle w:val="ECHRParaChar"/>
          <w:lang w:val="fr-FR"/>
        </w:rPr>
        <w:t>’</w:t>
      </w:r>
      <w:r w:rsidRPr="00A92B5D">
        <w:rPr>
          <w:rStyle w:val="ECHRParaChar"/>
          <w:lang w:val="fr-FR"/>
        </w:rPr>
        <w:t>illégalité dans l</w:t>
      </w:r>
      <w:r w:rsidR="00A92B5D" w:rsidRPr="00A92B5D">
        <w:rPr>
          <w:rStyle w:val="ECHRParaChar"/>
          <w:lang w:val="fr-FR"/>
        </w:rPr>
        <w:t>’</w:t>
      </w:r>
      <w:r w:rsidRPr="00A92B5D">
        <w:rPr>
          <w:rStyle w:val="ECHRParaChar"/>
          <w:lang w:val="fr-FR"/>
        </w:rPr>
        <w:t>action de l</w:t>
      </w:r>
      <w:r w:rsidR="00A92B5D" w:rsidRPr="00A92B5D">
        <w:rPr>
          <w:rStyle w:val="ECHRParaChar"/>
          <w:lang w:val="fr-FR"/>
        </w:rPr>
        <w:t>’</w:t>
      </w:r>
      <w:r w:rsidRPr="00A92B5D">
        <w:rPr>
          <w:rStyle w:val="ECHRParaChar"/>
          <w:lang w:val="fr-FR"/>
        </w:rPr>
        <w:t>administration. À la base de la loi se trouvent les exigences de transparence et de contrôle de la part des citoyens, et de mise en conformité du système juridique italien avec les normes internationales. Le rapport précisait aussi que la corruption sapait la crédibilité du pays et décourageait les investissements, y compris étrangers, ralentissant ainsi le développement économique.</w:t>
      </w:r>
    </w:p>
    <w:p w:rsidR="00106980" w:rsidRPr="00A92B5D" w:rsidRDefault="00106980" w:rsidP="00A92B5D">
      <w:pPr>
        <w:pStyle w:val="ECHRHeading3"/>
        <w:rPr>
          <w:lang w:val="fr-FR"/>
        </w:rPr>
      </w:pPr>
      <w:r w:rsidRPr="00A92B5D">
        <w:rPr>
          <w:lang w:val="fr-FR"/>
        </w:rPr>
        <w:t>3.  Le décret législatif n</w:t>
      </w:r>
      <w:r w:rsidRPr="00A92B5D">
        <w:rPr>
          <w:vertAlign w:val="superscript"/>
          <w:lang w:val="fr-FR"/>
        </w:rPr>
        <w:t>o</w:t>
      </w:r>
      <w:r w:rsidRPr="00A92B5D">
        <w:rPr>
          <w:lang w:val="fr-FR"/>
        </w:rPr>
        <w:t xml:space="preserve"> 235 du 31 décembre 2012</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45</w:t>
      </w:r>
      <w:r w:rsidRPr="00A92B5D">
        <w:rPr>
          <w:lang w:val="fr-FR"/>
        </w:rPr>
        <w:fldChar w:fldCharType="end"/>
      </w:r>
      <w:r w:rsidRPr="00A92B5D">
        <w:rPr>
          <w:lang w:val="fr-FR"/>
        </w:rPr>
        <w:t>.  </w:t>
      </w:r>
      <w:r w:rsidRPr="00A92B5D">
        <w:rPr>
          <w:rStyle w:val="ECHRParaChar"/>
          <w:lang w:val="fr-FR"/>
        </w:rPr>
        <w:t>Adopté le 6 décembre 2012, le décret législatif n</w:t>
      </w:r>
      <w:r w:rsidRPr="00A92B5D">
        <w:rPr>
          <w:rStyle w:val="ECHRParaChar"/>
          <w:vertAlign w:val="superscript"/>
          <w:lang w:val="fr-FR"/>
        </w:rPr>
        <w:t>o</w:t>
      </w:r>
      <w:r w:rsidRPr="00A92B5D">
        <w:rPr>
          <w:rStyle w:val="ECHRParaChar"/>
          <w:lang w:val="fr-FR"/>
        </w:rPr>
        <w:t> 235 fut signé par le président de la République le 31 décembre 2012 et entra en vigueur le 5 janvier 2013, au lendemain de sa publication au Journal officiel.</w:t>
      </w:r>
    </w:p>
    <w:bookmarkStart w:id="19" w:name="ART1DL"/>
    <w:bookmarkEnd w:id="19"/>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46</w:t>
      </w:r>
      <w:r w:rsidRPr="00A92B5D">
        <w:rPr>
          <w:lang w:val="fr-FR"/>
        </w:rPr>
        <w:fldChar w:fldCharType="end"/>
      </w:r>
      <w:r w:rsidRPr="00A92B5D">
        <w:rPr>
          <w:lang w:val="fr-FR"/>
        </w:rPr>
        <w:t>.  </w:t>
      </w:r>
      <w:r w:rsidRPr="00A92B5D">
        <w:rPr>
          <w:rStyle w:val="ECHRParaChar"/>
          <w:lang w:val="fr-FR"/>
        </w:rPr>
        <w:t>Aux termes de l</w:t>
      </w:r>
      <w:r w:rsidR="00A92B5D" w:rsidRPr="00A92B5D">
        <w:rPr>
          <w:rStyle w:val="ECHRParaChar"/>
          <w:lang w:val="fr-FR"/>
        </w:rPr>
        <w:t>’</w:t>
      </w:r>
      <w:r w:rsidRPr="00A92B5D">
        <w:rPr>
          <w:rStyle w:val="ECHRParaChar"/>
          <w:lang w:val="fr-FR"/>
        </w:rPr>
        <w:t>article 1 du décret législatif</w:t>
      </w:r>
      <w:r w:rsidRPr="00A92B5D">
        <w:rPr>
          <w:lang w:val="fr-FR"/>
        </w:rPr>
        <w:t>,</w:t>
      </w:r>
    </w:p>
    <w:p w:rsidR="00555C3E" w:rsidRPr="00A92B5D" w:rsidRDefault="00555C3E" w:rsidP="00A92B5D">
      <w:pPr>
        <w:pStyle w:val="ECHRParaQuote"/>
        <w:rPr>
          <w:lang w:val="fr-FR"/>
        </w:rPr>
      </w:pPr>
      <w:r w:rsidRPr="00A92B5D">
        <w:rPr>
          <w:lang w:val="fr-FR"/>
        </w:rPr>
        <w:t xml:space="preserve">« </w:t>
      </w:r>
      <w:r w:rsidR="00A7676D" w:rsidRPr="00A92B5D">
        <w:rPr>
          <w:lang w:val="fr-FR"/>
        </w:rPr>
        <w:t>1. </w:t>
      </w:r>
      <w:r w:rsidRPr="00A92B5D">
        <w:rPr>
          <w:lang w:val="fr-FR"/>
        </w:rPr>
        <w:t>I</w:t>
      </w:r>
      <w:r w:rsidR="00106980" w:rsidRPr="00A92B5D">
        <w:rPr>
          <w:lang w:val="fr-FR"/>
        </w:rPr>
        <w:t>l est interdit à une personne de se porter candidate aux élections en vue d</w:t>
      </w:r>
      <w:r w:rsidR="00A92B5D" w:rsidRPr="00A92B5D">
        <w:rPr>
          <w:lang w:val="fr-FR"/>
        </w:rPr>
        <w:t>’</w:t>
      </w:r>
      <w:r w:rsidR="00106980" w:rsidRPr="00A92B5D">
        <w:rPr>
          <w:lang w:val="fr-FR"/>
        </w:rPr>
        <w:t>accéder aux fonctions de député et sénateur et d</w:t>
      </w:r>
      <w:r w:rsidR="00A92B5D" w:rsidRPr="00A92B5D">
        <w:rPr>
          <w:lang w:val="fr-FR"/>
        </w:rPr>
        <w:t>’</w:t>
      </w:r>
      <w:r w:rsidR="00106980" w:rsidRPr="00A92B5D">
        <w:rPr>
          <w:lang w:val="fr-FR"/>
        </w:rPr>
        <w:t>exercer ces fonctions :</w:t>
      </w:r>
    </w:p>
    <w:p w:rsidR="00A92B5D" w:rsidRPr="00A92B5D" w:rsidRDefault="00555C3E" w:rsidP="00A92B5D">
      <w:pPr>
        <w:pStyle w:val="ECHRParaQuote"/>
        <w:rPr>
          <w:lang w:val="fr-FR"/>
        </w:rPr>
      </w:pPr>
      <w:r w:rsidRPr="00A92B5D">
        <w:rPr>
          <w:lang w:val="fr-FR"/>
        </w:rPr>
        <w:t>a) </w:t>
      </w:r>
      <w:r w:rsidR="00106980" w:rsidRPr="00A92B5D">
        <w:rPr>
          <w:lang w:val="fr-FR"/>
        </w:rPr>
        <w:t>si elle a été condamnée définitivement à une peine supérieure à deux ans d</w:t>
      </w:r>
      <w:r w:rsidR="00A92B5D" w:rsidRPr="00A92B5D">
        <w:rPr>
          <w:lang w:val="fr-FR"/>
        </w:rPr>
        <w:t>’</w:t>
      </w:r>
      <w:r w:rsidR="00106980" w:rsidRPr="00A92B5D">
        <w:rPr>
          <w:lang w:val="fr-FR"/>
        </w:rPr>
        <w:t>emprisonnement pour un délit (...) visé à l</w:t>
      </w:r>
      <w:r w:rsidR="00A92B5D" w:rsidRPr="00A92B5D">
        <w:rPr>
          <w:lang w:val="fr-FR"/>
        </w:rPr>
        <w:t>’</w:t>
      </w:r>
      <w:r w:rsidR="00106980" w:rsidRPr="00A92B5D">
        <w:rPr>
          <w:lang w:val="fr-FR"/>
        </w:rPr>
        <w:t xml:space="preserve">article 51, alinéas 3 </w:t>
      </w:r>
      <w:r w:rsidR="00106980" w:rsidRPr="00A92B5D">
        <w:rPr>
          <w:i/>
          <w:iCs/>
          <w:lang w:val="fr-FR"/>
        </w:rPr>
        <w:t>bis</w:t>
      </w:r>
      <w:r w:rsidR="00106980" w:rsidRPr="00A92B5D">
        <w:rPr>
          <w:lang w:val="fr-FR"/>
        </w:rPr>
        <w:t xml:space="preserve"> et </w:t>
      </w:r>
      <w:r w:rsidR="00106980" w:rsidRPr="00A92B5D">
        <w:rPr>
          <w:i/>
          <w:iCs/>
          <w:lang w:val="fr-FR"/>
        </w:rPr>
        <w:t>quater</w:t>
      </w:r>
      <w:r w:rsidR="00106980" w:rsidRPr="00A92B5D">
        <w:rPr>
          <w:lang w:val="fr-FR"/>
        </w:rPr>
        <w:t xml:space="preserve"> du code de procédure pénale ;</w:t>
      </w:r>
    </w:p>
    <w:p w:rsidR="00A92B5D" w:rsidRPr="00A92B5D" w:rsidRDefault="00555C3E" w:rsidP="00A92B5D">
      <w:pPr>
        <w:pStyle w:val="ECHRParaQuote"/>
        <w:rPr>
          <w:lang w:val="fr-FR"/>
        </w:rPr>
      </w:pPr>
      <w:r w:rsidRPr="00A92B5D">
        <w:rPr>
          <w:lang w:val="fr-FR"/>
        </w:rPr>
        <w:t>b) </w:t>
      </w:r>
      <w:r w:rsidR="00106980" w:rsidRPr="00A92B5D">
        <w:rPr>
          <w:lang w:val="fr-FR"/>
        </w:rPr>
        <w:t>si elle a été condamnée définitivement à une peine supérieure à deux ans d</w:t>
      </w:r>
      <w:r w:rsidR="00A92B5D" w:rsidRPr="00A92B5D">
        <w:rPr>
          <w:lang w:val="fr-FR"/>
        </w:rPr>
        <w:t>’</w:t>
      </w:r>
      <w:r w:rsidR="00106980" w:rsidRPr="00A92B5D">
        <w:rPr>
          <w:lang w:val="fr-FR"/>
        </w:rPr>
        <w:t>emprisonnement pour un délit [contre l</w:t>
      </w:r>
      <w:r w:rsidR="00A92B5D" w:rsidRPr="00A92B5D">
        <w:rPr>
          <w:lang w:val="fr-FR"/>
        </w:rPr>
        <w:t>’</w:t>
      </w:r>
      <w:r w:rsidR="00106980" w:rsidRPr="00A92B5D">
        <w:rPr>
          <w:lang w:val="fr-FR"/>
        </w:rPr>
        <w:t>administration publique] ;</w:t>
      </w:r>
    </w:p>
    <w:p w:rsidR="00106980" w:rsidRPr="00A92B5D" w:rsidRDefault="00555C3E" w:rsidP="00A92B5D">
      <w:pPr>
        <w:pStyle w:val="ECHRParaQuote"/>
        <w:rPr>
          <w:lang w:val="fr-FR"/>
        </w:rPr>
      </w:pPr>
      <w:r w:rsidRPr="00A92B5D">
        <w:rPr>
          <w:lang w:val="fr-FR"/>
        </w:rPr>
        <w:t>c) </w:t>
      </w:r>
      <w:r w:rsidR="00106980" w:rsidRPr="00A92B5D">
        <w:rPr>
          <w:lang w:val="fr-FR"/>
        </w:rPr>
        <w:t>si elle a été condamnée définitivement à une peine supérieure à deux ans d</w:t>
      </w:r>
      <w:r w:rsidR="00A92B5D" w:rsidRPr="00A92B5D">
        <w:rPr>
          <w:lang w:val="fr-FR"/>
        </w:rPr>
        <w:t>’</w:t>
      </w:r>
      <w:r w:rsidR="00106980" w:rsidRPr="00A92B5D">
        <w:rPr>
          <w:lang w:val="fr-FR"/>
        </w:rPr>
        <w:t>emprisonnement pour un délit (...) commis avec dol pour lequel la loi prévoit une peine d</w:t>
      </w:r>
      <w:r w:rsidR="00A92B5D" w:rsidRPr="00A92B5D">
        <w:rPr>
          <w:lang w:val="fr-FR"/>
        </w:rPr>
        <w:t>’</w:t>
      </w:r>
      <w:r w:rsidR="00106980" w:rsidRPr="00A92B5D">
        <w:rPr>
          <w:lang w:val="fr-FR"/>
        </w:rPr>
        <w:t>emprisonnement non inférieure</w:t>
      </w:r>
      <w:r w:rsidRPr="00A92B5D">
        <w:rPr>
          <w:lang w:val="fr-FR"/>
        </w:rPr>
        <w:t xml:space="preserve"> au plafond de quatre ans (...) </w:t>
      </w:r>
      <w:r w:rsidR="00106980" w:rsidRPr="00A92B5D">
        <w:rPr>
          <w:lang w:val="fr-FR"/>
        </w:rPr>
        <w:t>»</w:t>
      </w:r>
    </w:p>
    <w:bookmarkStart w:id="20" w:name="A3severino"/>
    <w:bookmarkEnd w:id="20"/>
    <w:p w:rsidR="00106980" w:rsidRPr="00A92B5D" w:rsidRDefault="00106980" w:rsidP="00A92B5D">
      <w:pPr>
        <w:ind w:firstLine="284"/>
        <w:rPr>
          <w:lang w:val="fr-FR"/>
        </w:rPr>
      </w:pPr>
      <w:r w:rsidRPr="00A92B5D">
        <w:rPr>
          <w:lang w:val="fr-FR"/>
        </w:rPr>
        <w:lastRenderedPageBreak/>
        <w:fldChar w:fldCharType="begin"/>
      </w:r>
      <w:r w:rsidRPr="00A92B5D">
        <w:rPr>
          <w:lang w:val="fr-FR"/>
        </w:rPr>
        <w:instrText xml:space="preserve"> SEQ level0 \*arabic </w:instrText>
      </w:r>
      <w:r w:rsidRPr="00A92B5D">
        <w:rPr>
          <w:lang w:val="fr-FR"/>
        </w:rPr>
        <w:fldChar w:fldCharType="separate"/>
      </w:r>
      <w:r w:rsidR="00A92B5D">
        <w:rPr>
          <w:noProof/>
          <w:lang w:val="fr-FR"/>
        </w:rPr>
        <w:t>47</w:t>
      </w:r>
      <w:r w:rsidRPr="00A92B5D">
        <w:rPr>
          <w:lang w:val="fr-FR"/>
        </w:rPr>
        <w:fldChar w:fldCharType="end"/>
      </w:r>
      <w:r w:rsidRPr="00A92B5D">
        <w:rPr>
          <w:lang w:val="fr-FR"/>
        </w:rPr>
        <w:t>.  </w:t>
      </w:r>
      <w:r w:rsidRPr="00A92B5D">
        <w:rPr>
          <w:rStyle w:val="ECHRParaChar"/>
          <w:lang w:val="fr-FR"/>
        </w:rPr>
        <w:t>L</w:t>
      </w:r>
      <w:r w:rsidR="00A92B5D" w:rsidRPr="00A92B5D">
        <w:rPr>
          <w:rStyle w:val="ECHRParaChar"/>
          <w:lang w:val="fr-FR"/>
        </w:rPr>
        <w:t>’</w:t>
      </w:r>
      <w:r w:rsidRPr="00A92B5D">
        <w:rPr>
          <w:rStyle w:val="ECHRParaChar"/>
          <w:lang w:val="fr-FR"/>
        </w:rPr>
        <w:t>article 3 est ainsi libellé</w:t>
      </w:r>
      <w:r w:rsidRPr="00A92B5D">
        <w:rPr>
          <w:lang w:val="fr-FR"/>
        </w:rPr>
        <w:t xml:space="preserve"> :</w:t>
      </w:r>
    </w:p>
    <w:p w:rsidR="00106980" w:rsidRPr="00A92B5D" w:rsidRDefault="00106980" w:rsidP="00A92B5D">
      <w:pPr>
        <w:pStyle w:val="ECHRParaQuote"/>
        <w:rPr>
          <w:lang w:val="fr-FR"/>
        </w:rPr>
      </w:pPr>
      <w:r w:rsidRPr="00A92B5D">
        <w:rPr>
          <w:lang w:val="fr-FR"/>
        </w:rPr>
        <w:t>« Lorsqu</w:t>
      </w:r>
      <w:r w:rsidR="00A92B5D" w:rsidRPr="00A92B5D">
        <w:rPr>
          <w:lang w:val="fr-FR"/>
        </w:rPr>
        <w:t>’</w:t>
      </w:r>
      <w:r w:rsidRPr="00A92B5D">
        <w:rPr>
          <w:lang w:val="fr-FR"/>
        </w:rPr>
        <w:t>une cause d</w:t>
      </w:r>
      <w:r w:rsidR="00A92B5D" w:rsidRPr="00A92B5D">
        <w:rPr>
          <w:lang w:val="fr-FR"/>
        </w:rPr>
        <w:t>’</w:t>
      </w:r>
      <w:r w:rsidRPr="00A92B5D">
        <w:rPr>
          <w:lang w:val="fr-FR"/>
        </w:rPr>
        <w:t>interdiction survient ou est constatée pendant l</w:t>
      </w:r>
      <w:r w:rsidR="00A92B5D" w:rsidRPr="00A92B5D">
        <w:rPr>
          <w:lang w:val="fr-FR"/>
        </w:rPr>
        <w:t>’</w:t>
      </w:r>
      <w:r w:rsidRPr="00A92B5D">
        <w:rPr>
          <w:lang w:val="fr-FR"/>
        </w:rPr>
        <w:t>exercice du mandat électif, il incombe à la chambre à laquelle appartient le député ou le sénateur condamné de délibérer aux fins de l</w:t>
      </w:r>
      <w:r w:rsidR="00A92B5D" w:rsidRPr="00A92B5D">
        <w:rPr>
          <w:lang w:val="fr-FR"/>
        </w:rPr>
        <w:t>’</w:t>
      </w:r>
      <w:r w:rsidRPr="00A92B5D">
        <w:rPr>
          <w:lang w:val="fr-FR"/>
        </w:rPr>
        <w:t>article 66 de la Constitution. Les jugements définitifs de condamnation visés à l</w:t>
      </w:r>
      <w:r w:rsidR="00A92B5D" w:rsidRPr="00A92B5D">
        <w:rPr>
          <w:lang w:val="fr-FR"/>
        </w:rPr>
        <w:t>’</w:t>
      </w:r>
      <w:r w:rsidRPr="00A92B5D">
        <w:rPr>
          <w:lang w:val="fr-FR"/>
        </w:rPr>
        <w:t>article 1 émis à l</w:t>
      </w:r>
      <w:r w:rsidR="00A92B5D" w:rsidRPr="00A92B5D">
        <w:rPr>
          <w:lang w:val="fr-FR"/>
        </w:rPr>
        <w:t>’</w:t>
      </w:r>
      <w:r w:rsidRPr="00A92B5D">
        <w:rPr>
          <w:lang w:val="fr-FR"/>
        </w:rPr>
        <w:t>encontre de députés ou de sénateurs en fonction sont par conséquent communiqués immédiatement par le parquet [compétent] à la chambre à laquelle appartient [le condamné] (...) »</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48</w:t>
      </w:r>
      <w:r w:rsidRPr="00A92B5D">
        <w:rPr>
          <w:lang w:val="fr-FR"/>
        </w:rPr>
        <w:fldChar w:fldCharType="end"/>
      </w:r>
      <w:r w:rsidRPr="00A92B5D">
        <w:rPr>
          <w:lang w:val="fr-FR"/>
        </w:rPr>
        <w:t>.  </w:t>
      </w:r>
      <w:r w:rsidRPr="00A92B5D">
        <w:rPr>
          <w:rStyle w:val="ECHRParaChar"/>
          <w:lang w:val="fr-FR"/>
        </w:rPr>
        <w:t>Quant à la durée de la mesure, l</w:t>
      </w:r>
      <w:r w:rsidR="00A92B5D" w:rsidRPr="00A92B5D">
        <w:rPr>
          <w:rStyle w:val="ECHRParaChar"/>
          <w:lang w:val="fr-FR"/>
        </w:rPr>
        <w:t>’</w:t>
      </w:r>
      <w:r w:rsidRPr="00A92B5D">
        <w:rPr>
          <w:rStyle w:val="ECHRParaChar"/>
          <w:lang w:val="fr-FR"/>
        </w:rPr>
        <w:t>article 13 prévoit que</w:t>
      </w:r>
      <w:r w:rsidR="0081349B" w:rsidRPr="00A92B5D">
        <w:rPr>
          <w:rStyle w:val="ECHRParaChar"/>
          <w:lang w:val="fr-FR"/>
        </w:rPr>
        <w:t> :</w:t>
      </w:r>
    </w:p>
    <w:p w:rsidR="00106980" w:rsidRPr="00A92B5D" w:rsidRDefault="00106980" w:rsidP="00A92B5D">
      <w:pPr>
        <w:pStyle w:val="ECHRParaQuote"/>
        <w:rPr>
          <w:lang w:val="fr-FR"/>
        </w:rPr>
      </w:pPr>
      <w:r w:rsidRPr="00A92B5D">
        <w:rPr>
          <w:lang w:val="fr-FR"/>
        </w:rPr>
        <w:t>« (...) l</w:t>
      </w:r>
      <w:r w:rsidR="00A92B5D" w:rsidRPr="00A92B5D">
        <w:rPr>
          <w:lang w:val="fr-FR"/>
        </w:rPr>
        <w:t>’</w:t>
      </w:r>
      <w:r w:rsidRPr="00A92B5D">
        <w:rPr>
          <w:lang w:val="fr-FR"/>
        </w:rPr>
        <w:t>interdiction de se porter candidat aux élections en vue d</w:t>
      </w:r>
      <w:r w:rsidR="00A92B5D" w:rsidRPr="00A92B5D">
        <w:rPr>
          <w:lang w:val="fr-FR"/>
        </w:rPr>
        <w:t>’</w:t>
      </w:r>
      <w:r w:rsidRPr="00A92B5D">
        <w:rPr>
          <w:lang w:val="fr-FR"/>
        </w:rPr>
        <w:t>accéder aux fonctions de député, de sénateur et de membre du Parlement européen au titre de l</w:t>
      </w:r>
      <w:r w:rsidR="00A92B5D" w:rsidRPr="00A92B5D">
        <w:rPr>
          <w:lang w:val="fr-FR"/>
        </w:rPr>
        <w:t>’</w:t>
      </w:r>
      <w:r w:rsidRPr="00A92B5D">
        <w:rPr>
          <w:lang w:val="fr-FR"/>
        </w:rPr>
        <w:t>Italie court à partir de la date à laquelle le jugement de condamnation devient définitif et déploie ses effets sur une période équivalant au double de la peine accessoire de l</w:t>
      </w:r>
      <w:r w:rsidR="00A92B5D" w:rsidRPr="00A92B5D">
        <w:rPr>
          <w:lang w:val="fr-FR"/>
        </w:rPr>
        <w:t>’</w:t>
      </w:r>
      <w:r w:rsidRPr="00A92B5D">
        <w:rPr>
          <w:lang w:val="fr-FR"/>
        </w:rPr>
        <w:t>interdiction temporaire d</w:t>
      </w:r>
      <w:r w:rsidR="00A92B5D" w:rsidRPr="00A92B5D">
        <w:rPr>
          <w:lang w:val="fr-FR"/>
        </w:rPr>
        <w:t>’</w:t>
      </w:r>
      <w:r w:rsidRPr="00A92B5D">
        <w:rPr>
          <w:lang w:val="fr-FR"/>
        </w:rPr>
        <w:t>exercer des fonctions publiques infligée par les juridictions. En tout état de cause, l</w:t>
      </w:r>
      <w:r w:rsidR="00A92B5D" w:rsidRPr="00A92B5D">
        <w:rPr>
          <w:lang w:val="fr-FR"/>
        </w:rPr>
        <w:t>’</w:t>
      </w:r>
      <w:r w:rsidRPr="00A92B5D">
        <w:rPr>
          <w:lang w:val="fr-FR"/>
        </w:rPr>
        <w:t>interdiction ne peut être d</w:t>
      </w:r>
      <w:r w:rsidR="00A92B5D" w:rsidRPr="00A92B5D">
        <w:rPr>
          <w:lang w:val="fr-FR"/>
        </w:rPr>
        <w:t>’</w:t>
      </w:r>
      <w:r w:rsidRPr="00A92B5D">
        <w:rPr>
          <w:lang w:val="fr-FR"/>
        </w:rPr>
        <w:t>une durée inférieure à six ans, même en l</w:t>
      </w:r>
      <w:r w:rsidR="00A92B5D" w:rsidRPr="00A92B5D">
        <w:rPr>
          <w:lang w:val="fr-FR"/>
        </w:rPr>
        <w:t>’</w:t>
      </w:r>
      <w:r w:rsidRPr="00A92B5D">
        <w:rPr>
          <w:lang w:val="fr-FR"/>
        </w:rPr>
        <w:t>absence de peine accessoire. »</w:t>
      </w:r>
    </w:p>
    <w:bookmarkStart w:id="21" w:name="Rappexplic"/>
    <w:bookmarkEnd w:id="21"/>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49</w:t>
      </w:r>
      <w:r w:rsidRPr="00A92B5D">
        <w:rPr>
          <w:lang w:val="fr-FR"/>
        </w:rPr>
        <w:fldChar w:fldCharType="end"/>
      </w:r>
      <w:r w:rsidRPr="00A92B5D">
        <w:rPr>
          <w:lang w:val="fr-FR"/>
        </w:rPr>
        <w:t>.  </w:t>
      </w:r>
      <w:r w:rsidRPr="00A92B5D">
        <w:rPr>
          <w:rStyle w:val="ECHRParaChar"/>
          <w:lang w:val="fr-FR"/>
        </w:rPr>
        <w:t>En ce qui concerne le choix de la condamnation justifiant l</w:t>
      </w:r>
      <w:r w:rsidR="00A92B5D" w:rsidRPr="00A92B5D">
        <w:rPr>
          <w:rStyle w:val="ECHRParaChar"/>
          <w:lang w:val="fr-FR"/>
        </w:rPr>
        <w:t>’</w:t>
      </w:r>
      <w:r w:rsidRPr="00A92B5D">
        <w:rPr>
          <w:rStyle w:val="ECHRParaChar"/>
          <w:lang w:val="fr-FR"/>
        </w:rPr>
        <w:t>interdiction de se porter candidat, le rapport explicatif indique que :</w:t>
      </w:r>
    </w:p>
    <w:p w:rsidR="00106980" w:rsidRPr="00A92B5D" w:rsidRDefault="00106980" w:rsidP="00A92B5D">
      <w:pPr>
        <w:pStyle w:val="ECHRParaQuote"/>
        <w:rPr>
          <w:lang w:val="fr-FR"/>
        </w:rPr>
      </w:pPr>
      <w:r w:rsidRPr="00A92B5D">
        <w:rPr>
          <w:lang w:val="fr-FR"/>
        </w:rPr>
        <w:t>« (...) l</w:t>
      </w:r>
      <w:r w:rsidR="00A92B5D" w:rsidRPr="00A92B5D">
        <w:rPr>
          <w:lang w:val="fr-FR"/>
        </w:rPr>
        <w:t>’</w:t>
      </w:r>
      <w:r w:rsidRPr="00A92B5D">
        <w:rPr>
          <w:lang w:val="fr-FR"/>
        </w:rPr>
        <w:t>existence d</w:t>
      </w:r>
      <w:r w:rsidR="00A92B5D" w:rsidRPr="00A92B5D">
        <w:rPr>
          <w:lang w:val="fr-FR"/>
        </w:rPr>
        <w:t>’</w:t>
      </w:r>
      <w:r w:rsidRPr="00A92B5D">
        <w:rPr>
          <w:lang w:val="fr-FR"/>
        </w:rPr>
        <w:t>une condamnation pour des infractions clairement établies et concernant un large éventail d</w:t>
      </w:r>
      <w:r w:rsidR="00A92B5D" w:rsidRPr="00A92B5D">
        <w:rPr>
          <w:lang w:val="fr-FR"/>
        </w:rPr>
        <w:t>’</w:t>
      </w:r>
      <w:r w:rsidRPr="00A92B5D">
        <w:rPr>
          <w:lang w:val="fr-FR"/>
        </w:rPr>
        <w:t>intérêts juridiques, spécifiquement et obligatoirement identifiés et classés pour éviter toute incertitude ou attitude contradictoire qui risqueraient de porter atteinte au domaine protégé par l</w:t>
      </w:r>
      <w:r w:rsidR="00A92B5D" w:rsidRPr="00A92B5D">
        <w:rPr>
          <w:lang w:val="fr-FR"/>
        </w:rPr>
        <w:t>’</w:t>
      </w:r>
      <w:r w:rsidRPr="00A92B5D">
        <w:rPr>
          <w:lang w:val="fr-FR"/>
        </w:rPr>
        <w:t>article 51 de la Constitution, a été choisie, sur la base d</w:t>
      </w:r>
      <w:r w:rsidR="00A92B5D" w:rsidRPr="00A92B5D">
        <w:rPr>
          <w:lang w:val="fr-FR"/>
        </w:rPr>
        <w:t>’</w:t>
      </w:r>
      <w:r w:rsidRPr="00A92B5D">
        <w:rPr>
          <w:lang w:val="fr-FR"/>
        </w:rPr>
        <w:t>une appréciation abstraite, comme condition pour l</w:t>
      </w:r>
      <w:r w:rsidR="00A92B5D" w:rsidRPr="00A92B5D">
        <w:rPr>
          <w:lang w:val="fr-FR"/>
        </w:rPr>
        <w:t>’</w:t>
      </w:r>
      <w:r w:rsidRPr="00A92B5D">
        <w:rPr>
          <w:lang w:val="fr-FR"/>
        </w:rPr>
        <w:t>interdiction d</w:t>
      </w:r>
      <w:r w:rsidR="00A92B5D" w:rsidRPr="00A92B5D">
        <w:rPr>
          <w:lang w:val="fr-FR"/>
        </w:rPr>
        <w:t>’</w:t>
      </w:r>
      <w:r w:rsidRPr="00A92B5D">
        <w:rPr>
          <w:lang w:val="fr-FR"/>
        </w:rPr>
        <w:t>exercer un rôle ou une fonction publique électifs ; l</w:t>
      </w:r>
      <w:r w:rsidR="00A92B5D" w:rsidRPr="00A92B5D">
        <w:rPr>
          <w:lang w:val="fr-FR"/>
        </w:rPr>
        <w:t>’</w:t>
      </w:r>
      <w:r w:rsidRPr="00A92B5D">
        <w:rPr>
          <w:lang w:val="fr-FR"/>
        </w:rPr>
        <w:t>interdiction de l</w:t>
      </w:r>
      <w:r w:rsidR="00A92B5D" w:rsidRPr="00A92B5D">
        <w:rPr>
          <w:lang w:val="fr-FR"/>
        </w:rPr>
        <w:t>’</w:t>
      </w:r>
      <w:r w:rsidRPr="00A92B5D">
        <w:rPr>
          <w:lang w:val="fr-FR"/>
        </w:rPr>
        <w:t>accès est une conséquence automatique pour laquelle il n</w:t>
      </w:r>
      <w:r w:rsidR="00A92B5D" w:rsidRPr="00A92B5D">
        <w:rPr>
          <w:lang w:val="fr-FR"/>
        </w:rPr>
        <w:t>’</w:t>
      </w:r>
      <w:r w:rsidRPr="00A92B5D">
        <w:rPr>
          <w:lang w:val="fr-FR"/>
        </w:rPr>
        <w:t>est prévu ni pondération des situations individuelles ni appréciation discrétionnaire. À cet égard, la Cour de cassation (arrêt n</w:t>
      </w:r>
      <w:r w:rsidRPr="00A92B5D">
        <w:rPr>
          <w:vertAlign w:val="superscript"/>
          <w:lang w:val="fr-FR"/>
        </w:rPr>
        <w:t>o</w:t>
      </w:r>
      <w:r w:rsidRPr="00A92B5D">
        <w:rPr>
          <w:lang w:val="fr-FR"/>
        </w:rPr>
        <w:t xml:space="preserve"> 3904 de 2005) a estimé que les condamnations pour des infractions entraînant l</w:t>
      </w:r>
      <w:r w:rsidR="00A92B5D" w:rsidRPr="00A92B5D">
        <w:rPr>
          <w:lang w:val="fr-FR"/>
        </w:rPr>
        <w:t>’</w:t>
      </w:r>
      <w:r w:rsidRPr="00A92B5D">
        <w:rPr>
          <w:lang w:val="fr-FR"/>
        </w:rPr>
        <w:t>interdiction d</w:t>
      </w:r>
      <w:r w:rsidR="00A92B5D" w:rsidRPr="00A92B5D">
        <w:rPr>
          <w:lang w:val="fr-FR"/>
        </w:rPr>
        <w:t>’</w:t>
      </w:r>
      <w:r w:rsidRPr="00A92B5D">
        <w:rPr>
          <w:lang w:val="fr-FR"/>
        </w:rPr>
        <w:t>exercer des fonctions publiques impliquent une inaptitude fonctionnelle absolue et irrévocable de l</w:t>
      </w:r>
      <w:r w:rsidR="00A92B5D" w:rsidRPr="00A92B5D">
        <w:rPr>
          <w:lang w:val="fr-FR"/>
        </w:rPr>
        <w:t>’</w:t>
      </w:r>
      <w:r w:rsidRPr="00A92B5D">
        <w:rPr>
          <w:lang w:val="fr-FR"/>
        </w:rPr>
        <w:t>intéressé, qui vise à préserver « le bon fonctionnement et la transparence des administrations publiques, l</w:t>
      </w:r>
      <w:r w:rsidR="00A92B5D" w:rsidRPr="00A92B5D">
        <w:rPr>
          <w:lang w:val="fr-FR"/>
        </w:rPr>
        <w:t>’</w:t>
      </w:r>
      <w:r w:rsidRPr="00A92B5D">
        <w:rPr>
          <w:lang w:val="fr-FR"/>
        </w:rPr>
        <w:t>ordre et la sûreté, la libre prise de décision des organes électifs » (voir aussi Cour constitutionnelle, arrêts n</w:t>
      </w:r>
      <w:r w:rsidRPr="00A92B5D">
        <w:rPr>
          <w:vertAlign w:val="superscript"/>
          <w:lang w:val="fr-FR"/>
        </w:rPr>
        <w:t>o</w:t>
      </w:r>
      <w:r w:rsidRPr="00A92B5D">
        <w:rPr>
          <w:lang w:val="fr-FR"/>
        </w:rPr>
        <w:t xml:space="preserve"> 407 de 1992, n</w:t>
      </w:r>
      <w:r w:rsidRPr="00A92B5D">
        <w:rPr>
          <w:vertAlign w:val="superscript"/>
          <w:lang w:val="fr-FR"/>
        </w:rPr>
        <w:t>o</w:t>
      </w:r>
      <w:r w:rsidRPr="00A92B5D">
        <w:rPr>
          <w:lang w:val="fr-FR"/>
        </w:rPr>
        <w:t xml:space="preserve"> 197 de 1993 et n</w:t>
      </w:r>
      <w:r w:rsidRPr="00A92B5D">
        <w:rPr>
          <w:vertAlign w:val="superscript"/>
          <w:lang w:val="fr-FR"/>
        </w:rPr>
        <w:t>o</w:t>
      </w:r>
      <w:r w:rsidRPr="00A92B5D">
        <w:rPr>
          <w:lang w:val="fr-FR"/>
        </w:rPr>
        <w:t xml:space="preserve"> 118 de 1994). »</w:t>
      </w:r>
    </w:p>
    <w:p w:rsidR="00106980" w:rsidRPr="00A92B5D" w:rsidRDefault="00106980" w:rsidP="00A92B5D">
      <w:pPr>
        <w:pStyle w:val="ECHRHeading2"/>
        <w:rPr>
          <w:lang w:val="fr-FR"/>
        </w:rPr>
      </w:pPr>
      <w:bookmarkStart w:id="22" w:name="RegSenat"/>
      <w:bookmarkStart w:id="23" w:name="Article28"/>
      <w:bookmarkStart w:id="24" w:name="sentenza236"/>
      <w:bookmarkStart w:id="25" w:name="Rétroactivité"/>
      <w:bookmarkEnd w:id="22"/>
      <w:bookmarkEnd w:id="23"/>
      <w:bookmarkEnd w:id="24"/>
      <w:bookmarkEnd w:id="25"/>
      <w:r w:rsidRPr="00A92B5D">
        <w:rPr>
          <w:lang w:val="fr-FR"/>
        </w:rPr>
        <w:t>C.  Le droit international pertinent</w:t>
      </w:r>
    </w:p>
    <w:p w:rsidR="00106980" w:rsidRPr="00A92B5D" w:rsidRDefault="00106980" w:rsidP="00A92B5D">
      <w:pPr>
        <w:pStyle w:val="ECHRHeading3"/>
        <w:rPr>
          <w:lang w:val="fr-FR"/>
        </w:rPr>
      </w:pPr>
      <w:r w:rsidRPr="00A92B5D">
        <w:rPr>
          <w:lang w:val="fr-FR"/>
        </w:rPr>
        <w:t>1.  La lutte contre la corruption</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50</w:t>
      </w:r>
      <w:r w:rsidRPr="00A92B5D">
        <w:rPr>
          <w:lang w:val="fr-FR"/>
        </w:rPr>
        <w:fldChar w:fldCharType="end"/>
      </w:r>
      <w:r w:rsidRPr="00A92B5D">
        <w:rPr>
          <w:lang w:val="fr-FR"/>
        </w:rPr>
        <w:t>.  </w:t>
      </w:r>
      <w:r w:rsidRPr="00A92B5D">
        <w:rPr>
          <w:rStyle w:val="ECHRParaChar"/>
          <w:lang w:val="fr-FR"/>
        </w:rPr>
        <w:t>L</w:t>
      </w:r>
      <w:r w:rsidR="00A92B5D" w:rsidRPr="00A92B5D">
        <w:rPr>
          <w:rStyle w:val="ECHRParaChar"/>
          <w:lang w:val="fr-FR"/>
        </w:rPr>
        <w:t>’</w:t>
      </w:r>
      <w:r w:rsidRPr="00A92B5D">
        <w:rPr>
          <w:rStyle w:val="ECHRParaChar"/>
          <w:lang w:val="fr-FR"/>
        </w:rPr>
        <w:t>article 6 de la Convention des Nations Unies contre la corruption, adoptée le 31 octobre 2003, énonce</w:t>
      </w:r>
      <w:r w:rsidRPr="00A92B5D">
        <w:rPr>
          <w:lang w:val="fr-FR"/>
        </w:rPr>
        <w:t> :</w:t>
      </w:r>
    </w:p>
    <w:p w:rsidR="00106980" w:rsidRPr="00A92B5D" w:rsidRDefault="00106980" w:rsidP="00A92B5D">
      <w:pPr>
        <w:pStyle w:val="ECHRParaQuote"/>
        <w:rPr>
          <w:lang w:val="fr-FR"/>
        </w:rPr>
      </w:pPr>
      <w:r w:rsidRPr="00A92B5D">
        <w:rPr>
          <w:lang w:val="fr-FR"/>
        </w:rPr>
        <w:t>« 1. Chaque État Partie fait en sorte, conformément aux principes fondamentaux de son système juridique, qu</w:t>
      </w:r>
      <w:r w:rsidR="00A92B5D" w:rsidRPr="00A92B5D">
        <w:rPr>
          <w:lang w:val="fr-FR"/>
        </w:rPr>
        <w:t>’</w:t>
      </w:r>
      <w:r w:rsidRPr="00A92B5D">
        <w:rPr>
          <w:lang w:val="fr-FR"/>
        </w:rPr>
        <w:t>existent un ou plusieurs organes, selon qu</w:t>
      </w:r>
      <w:r w:rsidR="00A92B5D" w:rsidRPr="00A92B5D">
        <w:rPr>
          <w:lang w:val="fr-FR"/>
        </w:rPr>
        <w:t>’</w:t>
      </w:r>
      <w:r w:rsidRPr="00A92B5D">
        <w:rPr>
          <w:lang w:val="fr-FR"/>
        </w:rPr>
        <w:t>il convient, chargés de prévenir la corruption par des moyens tels que</w:t>
      </w:r>
      <w:r w:rsidR="00555C3E" w:rsidRPr="00A92B5D">
        <w:rPr>
          <w:lang w:val="fr-FR"/>
        </w:rPr>
        <w:t xml:space="preserve"> </w:t>
      </w:r>
      <w:r w:rsidRPr="00A92B5D">
        <w:rPr>
          <w:lang w:val="fr-FR"/>
        </w:rPr>
        <w:t>:</w:t>
      </w:r>
    </w:p>
    <w:p w:rsidR="00106980" w:rsidRPr="00A92B5D" w:rsidRDefault="00106980" w:rsidP="00A92B5D">
      <w:pPr>
        <w:pStyle w:val="ECHRParaQuote"/>
        <w:rPr>
          <w:lang w:val="fr-FR"/>
        </w:rPr>
      </w:pPr>
      <w:r w:rsidRPr="00A92B5D">
        <w:rPr>
          <w:lang w:val="fr-FR"/>
        </w:rPr>
        <w:t>a)</w:t>
      </w:r>
      <w:r w:rsidRPr="00A92B5D">
        <w:rPr>
          <w:rFonts w:ascii="AGaramond-Italic" w:hAnsi="AGaramond-Italic" w:cs="AGaramond-Italic"/>
          <w:i/>
          <w:iCs/>
          <w:lang w:val="fr-FR"/>
        </w:rPr>
        <w:t xml:space="preserve"> </w:t>
      </w:r>
      <w:r w:rsidRPr="00A92B5D">
        <w:rPr>
          <w:lang w:val="fr-FR"/>
        </w:rPr>
        <w:t>L</w:t>
      </w:r>
      <w:r w:rsidR="00A92B5D" w:rsidRPr="00A92B5D">
        <w:rPr>
          <w:lang w:val="fr-FR"/>
        </w:rPr>
        <w:t>’</w:t>
      </w:r>
      <w:r w:rsidRPr="00A92B5D">
        <w:rPr>
          <w:lang w:val="fr-FR"/>
        </w:rPr>
        <w:t>application des politiques visées à l</w:t>
      </w:r>
      <w:r w:rsidR="00A92B5D" w:rsidRPr="00A92B5D">
        <w:rPr>
          <w:lang w:val="fr-FR"/>
        </w:rPr>
        <w:t>’</w:t>
      </w:r>
      <w:r w:rsidRPr="00A92B5D">
        <w:rPr>
          <w:lang w:val="fr-FR"/>
        </w:rPr>
        <w:t>article 5 de la présente Convention et, s</w:t>
      </w:r>
      <w:r w:rsidR="00A92B5D" w:rsidRPr="00A92B5D">
        <w:rPr>
          <w:lang w:val="fr-FR"/>
        </w:rPr>
        <w:t>’</w:t>
      </w:r>
      <w:r w:rsidRPr="00A92B5D">
        <w:rPr>
          <w:lang w:val="fr-FR"/>
        </w:rPr>
        <w:t>il y a lieu, la supervision et la coordination de cette application;</w:t>
      </w:r>
    </w:p>
    <w:p w:rsidR="00106980" w:rsidRPr="00A92B5D" w:rsidRDefault="00106980" w:rsidP="00A92B5D">
      <w:pPr>
        <w:pStyle w:val="ECHRParaQuote"/>
        <w:rPr>
          <w:lang w:val="fr-FR"/>
        </w:rPr>
      </w:pPr>
      <w:r w:rsidRPr="00A92B5D">
        <w:rPr>
          <w:lang w:val="fr-FR"/>
        </w:rPr>
        <w:t>b)</w:t>
      </w:r>
      <w:r w:rsidRPr="00A92B5D">
        <w:rPr>
          <w:rFonts w:ascii="AGaramond-Italic" w:hAnsi="AGaramond-Italic" w:cs="AGaramond-Italic"/>
          <w:i/>
          <w:iCs/>
          <w:lang w:val="fr-FR"/>
        </w:rPr>
        <w:t xml:space="preserve"> </w:t>
      </w:r>
      <w:r w:rsidRPr="00A92B5D">
        <w:rPr>
          <w:lang w:val="fr-FR"/>
        </w:rPr>
        <w:t>L</w:t>
      </w:r>
      <w:r w:rsidR="00A92B5D" w:rsidRPr="00A92B5D">
        <w:rPr>
          <w:lang w:val="fr-FR"/>
        </w:rPr>
        <w:t>’</w:t>
      </w:r>
      <w:r w:rsidRPr="00A92B5D">
        <w:rPr>
          <w:lang w:val="fr-FR"/>
        </w:rPr>
        <w:t>accroissement et la diffusion des connaissances concernant la prévention de la corruption.</w:t>
      </w:r>
    </w:p>
    <w:p w:rsidR="00106980" w:rsidRPr="00A92B5D" w:rsidRDefault="00106980" w:rsidP="00A92B5D">
      <w:pPr>
        <w:pStyle w:val="ECHRParaQuote"/>
        <w:rPr>
          <w:lang w:val="fr-FR"/>
        </w:rPr>
      </w:pPr>
      <w:r w:rsidRPr="00A92B5D">
        <w:rPr>
          <w:lang w:val="fr-FR"/>
        </w:rPr>
        <w:t>(...) »</w:t>
      </w:r>
    </w:p>
    <w:p w:rsidR="00106980" w:rsidRPr="00A92B5D" w:rsidRDefault="00106980" w:rsidP="00A92B5D">
      <w:pPr>
        <w:ind w:firstLine="284"/>
        <w:rPr>
          <w:lang w:val="fr-FR"/>
        </w:rPr>
      </w:pPr>
      <w:r w:rsidRPr="00A92B5D">
        <w:rPr>
          <w:lang w:val="fr-FR"/>
        </w:rPr>
        <w:lastRenderedPageBreak/>
        <w:fldChar w:fldCharType="begin"/>
      </w:r>
      <w:r w:rsidRPr="00A92B5D">
        <w:rPr>
          <w:lang w:val="fr-FR"/>
        </w:rPr>
        <w:instrText xml:space="preserve"> SEQ level0 \*arabic </w:instrText>
      </w:r>
      <w:r w:rsidRPr="00A92B5D">
        <w:rPr>
          <w:lang w:val="fr-FR"/>
        </w:rPr>
        <w:fldChar w:fldCharType="separate"/>
      </w:r>
      <w:r w:rsidR="00A92B5D">
        <w:rPr>
          <w:noProof/>
          <w:lang w:val="fr-FR"/>
        </w:rPr>
        <w:t>51</w:t>
      </w:r>
      <w:r w:rsidRPr="00A92B5D">
        <w:rPr>
          <w:lang w:val="fr-FR"/>
        </w:rPr>
        <w:fldChar w:fldCharType="end"/>
      </w:r>
      <w:r w:rsidRPr="00A92B5D">
        <w:rPr>
          <w:lang w:val="fr-FR"/>
        </w:rPr>
        <w:t>.  </w:t>
      </w:r>
      <w:r w:rsidRPr="00A92B5D">
        <w:rPr>
          <w:rStyle w:val="ECHRParaChar"/>
          <w:lang w:val="fr-FR"/>
        </w:rPr>
        <w:t>Les articles 20 et 21 de la Convention pénale du Conseil de l</w:t>
      </w:r>
      <w:r w:rsidR="00A92B5D" w:rsidRPr="00A92B5D">
        <w:rPr>
          <w:rStyle w:val="ECHRParaChar"/>
          <w:lang w:val="fr-FR"/>
        </w:rPr>
        <w:t>’</w:t>
      </w:r>
      <w:r w:rsidRPr="00A92B5D">
        <w:rPr>
          <w:rStyle w:val="ECHRParaChar"/>
          <w:lang w:val="fr-FR"/>
        </w:rPr>
        <w:t>Europe sur la corruption, adoptée le 27 janvier 1999, se lisent ainsi :</w:t>
      </w:r>
    </w:p>
    <w:p w:rsidR="00106980" w:rsidRPr="00A92B5D" w:rsidRDefault="00106980" w:rsidP="00A92B5D">
      <w:pPr>
        <w:pStyle w:val="ECHRTitleCentre3"/>
        <w:rPr>
          <w:lang w:val="fr-FR"/>
        </w:rPr>
      </w:pPr>
      <w:r w:rsidRPr="00A92B5D">
        <w:rPr>
          <w:lang w:val="fr-FR"/>
        </w:rPr>
        <w:t>Article 20 – Autorités spécialisées</w:t>
      </w:r>
    </w:p>
    <w:p w:rsidR="00106980" w:rsidRPr="00A92B5D" w:rsidRDefault="00106980" w:rsidP="00A92B5D">
      <w:pPr>
        <w:pStyle w:val="ECHRParaQuote"/>
        <w:rPr>
          <w:lang w:val="fr-FR"/>
        </w:rPr>
      </w:pPr>
      <w:r w:rsidRPr="00A92B5D">
        <w:rPr>
          <w:lang w:val="fr-FR"/>
        </w:rPr>
        <w:t>« Chaque Partie adopte les mesures qui se révèlent nécessaires pour que des personnes ou des entités soient spécialisées dans la lutte contre la corruption. Elles disposeront de l</w:t>
      </w:r>
      <w:r w:rsidR="00A92B5D" w:rsidRPr="00A92B5D">
        <w:rPr>
          <w:lang w:val="fr-FR"/>
        </w:rPr>
        <w:t>’</w:t>
      </w:r>
      <w:r w:rsidRPr="00A92B5D">
        <w:rPr>
          <w:lang w:val="fr-FR"/>
        </w:rPr>
        <w:t>indépendance nécessaire, dans le cadre des principes fondamentaux du système juridique de la Partie, pour pouvoir exercer leurs fonctions efficacement et libres de toute pression illicite. Les Parties veillent à ce que le personnel desdites entités dispose d</w:t>
      </w:r>
      <w:r w:rsidR="00A92B5D" w:rsidRPr="00A92B5D">
        <w:rPr>
          <w:lang w:val="fr-FR"/>
        </w:rPr>
        <w:t>’</w:t>
      </w:r>
      <w:r w:rsidRPr="00A92B5D">
        <w:rPr>
          <w:lang w:val="fr-FR"/>
        </w:rPr>
        <w:t>une formation et des ressources financières adaptées aux fonctions qu</w:t>
      </w:r>
      <w:r w:rsidR="00A92B5D" w:rsidRPr="00A92B5D">
        <w:rPr>
          <w:lang w:val="fr-FR"/>
        </w:rPr>
        <w:t>’</w:t>
      </w:r>
      <w:r w:rsidRPr="00A92B5D">
        <w:rPr>
          <w:lang w:val="fr-FR"/>
        </w:rPr>
        <w:t>elles exercent. »</w:t>
      </w:r>
    </w:p>
    <w:p w:rsidR="00106980" w:rsidRPr="00A92B5D" w:rsidRDefault="00106980" w:rsidP="00A92B5D">
      <w:pPr>
        <w:pStyle w:val="ECHRTitleCentre3"/>
        <w:rPr>
          <w:lang w:val="fr-FR"/>
        </w:rPr>
      </w:pPr>
      <w:r w:rsidRPr="00A92B5D">
        <w:rPr>
          <w:lang w:val="fr-FR"/>
        </w:rPr>
        <w:t>Article 21 – Coopération entre autorités nationales</w:t>
      </w:r>
    </w:p>
    <w:p w:rsidR="00106980" w:rsidRPr="00A92B5D" w:rsidRDefault="00106980" w:rsidP="00A92B5D">
      <w:pPr>
        <w:pStyle w:val="ECHRParaQuote"/>
        <w:rPr>
          <w:lang w:val="fr-FR"/>
        </w:rPr>
      </w:pPr>
      <w:r w:rsidRPr="00A92B5D">
        <w:rPr>
          <w:lang w:val="fr-FR"/>
        </w:rPr>
        <w:t>« Chaque Partie adopte les mesures appropriées qui se révèlent nécessaires pour s</w:t>
      </w:r>
      <w:r w:rsidR="00A92B5D" w:rsidRPr="00A92B5D">
        <w:rPr>
          <w:lang w:val="fr-FR"/>
        </w:rPr>
        <w:t>’</w:t>
      </w:r>
      <w:r w:rsidRPr="00A92B5D">
        <w:rPr>
          <w:lang w:val="fr-FR"/>
        </w:rPr>
        <w:t>assurer que les autorités publiques, ainsi que tout agent public, coopèrent, en conformité avec le droit national, avec les autorités chargées des investigations et poursuites des infractions pénales (...) »</w:t>
      </w:r>
    </w:p>
    <w:p w:rsidR="00106980" w:rsidRPr="00A92B5D" w:rsidRDefault="00106980" w:rsidP="00A92B5D">
      <w:pPr>
        <w:ind w:firstLine="284"/>
        <w:rPr>
          <w:rFonts w:eastAsiaTheme="minorHAnsi"/>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52</w:t>
      </w:r>
      <w:r w:rsidRPr="00A92B5D">
        <w:rPr>
          <w:lang w:val="fr-FR"/>
        </w:rPr>
        <w:fldChar w:fldCharType="end"/>
      </w:r>
      <w:r w:rsidRPr="00A92B5D">
        <w:rPr>
          <w:lang w:val="fr-FR"/>
        </w:rPr>
        <w:t>.  D</w:t>
      </w:r>
      <w:r w:rsidRPr="00A92B5D">
        <w:rPr>
          <w:rFonts w:eastAsiaTheme="minorHAnsi"/>
          <w:lang w:val="fr-FR"/>
        </w:rPr>
        <w:t>ans l</w:t>
      </w:r>
      <w:r w:rsidR="00A92B5D" w:rsidRPr="00A92B5D">
        <w:rPr>
          <w:rFonts w:eastAsiaTheme="minorHAnsi"/>
          <w:lang w:val="fr-FR"/>
        </w:rPr>
        <w:t>’</w:t>
      </w:r>
      <w:r w:rsidRPr="00A92B5D">
        <w:rPr>
          <w:rFonts w:eastAsiaTheme="minorHAnsi"/>
          <w:lang w:val="fr-FR"/>
        </w:rPr>
        <w:t>Addendum au Rapport de conformité sur l</w:t>
      </w:r>
      <w:r w:rsidR="00A92B5D" w:rsidRPr="00A92B5D">
        <w:rPr>
          <w:rFonts w:eastAsiaTheme="minorHAnsi"/>
          <w:lang w:val="fr-FR"/>
        </w:rPr>
        <w:t>’</w:t>
      </w:r>
      <w:r w:rsidRPr="00A92B5D">
        <w:rPr>
          <w:rFonts w:eastAsiaTheme="minorHAnsi"/>
          <w:lang w:val="fr-FR"/>
        </w:rPr>
        <w:t>Italie relatif aux premier et deuxième cycles d</w:t>
      </w:r>
      <w:r w:rsidR="00A92B5D" w:rsidRPr="00A92B5D">
        <w:rPr>
          <w:rFonts w:eastAsiaTheme="minorHAnsi"/>
          <w:lang w:val="fr-FR"/>
        </w:rPr>
        <w:t>’</w:t>
      </w:r>
      <w:r w:rsidRPr="00A92B5D">
        <w:rPr>
          <w:rFonts w:eastAsiaTheme="minorHAnsi"/>
          <w:lang w:val="fr-FR"/>
        </w:rPr>
        <w:t>évaluation conjoints (2008 et 2009 respectivement) publié le 1</w:t>
      </w:r>
      <w:r w:rsidRPr="00A92B5D">
        <w:rPr>
          <w:rFonts w:eastAsiaTheme="minorHAnsi"/>
          <w:vertAlign w:val="superscript"/>
          <w:lang w:val="fr-FR"/>
        </w:rPr>
        <w:t>er</w:t>
      </w:r>
      <w:r w:rsidRPr="00A92B5D">
        <w:rPr>
          <w:rFonts w:eastAsiaTheme="minorHAnsi"/>
          <w:lang w:val="fr-FR"/>
        </w:rPr>
        <w:t xml:space="preserve"> juillet 2013 (Greco RC-I/II (2011)1F), le Groupe d</w:t>
      </w:r>
      <w:r w:rsidR="00A92B5D" w:rsidRPr="00A92B5D">
        <w:rPr>
          <w:rFonts w:eastAsiaTheme="minorHAnsi"/>
          <w:lang w:val="fr-FR"/>
        </w:rPr>
        <w:t>’</w:t>
      </w:r>
      <w:r w:rsidRPr="00A92B5D">
        <w:rPr>
          <w:rFonts w:eastAsiaTheme="minorHAnsi"/>
          <w:lang w:val="fr-FR"/>
        </w:rPr>
        <w:t>États contre la corruption (GRECO) a formulé notamment les conclusions suivantes au sujet de la lutte contre la corruption :</w:t>
      </w:r>
    </w:p>
    <w:p w:rsidR="00106980" w:rsidRPr="00A92B5D" w:rsidRDefault="00106980" w:rsidP="00A92B5D">
      <w:pPr>
        <w:pStyle w:val="ECHRParaQuote"/>
        <w:rPr>
          <w:rFonts w:eastAsiaTheme="minorHAnsi"/>
          <w:lang w:val="fr-FR"/>
        </w:rPr>
      </w:pPr>
      <w:r w:rsidRPr="00A92B5D">
        <w:rPr>
          <w:rFonts w:eastAsiaTheme="minorHAnsi"/>
          <w:lang w:val="fr-FR"/>
        </w:rPr>
        <w:t>« (...)</w:t>
      </w:r>
    </w:p>
    <w:p w:rsidR="00106980" w:rsidRPr="00A92B5D" w:rsidRDefault="00106980" w:rsidP="00A92B5D">
      <w:pPr>
        <w:pStyle w:val="ECHRParaQuote"/>
        <w:rPr>
          <w:lang w:val="fr-FR"/>
        </w:rPr>
      </w:pPr>
      <w:r w:rsidRPr="00A92B5D">
        <w:rPr>
          <w:rFonts w:ascii="Times New Roman" w:eastAsiaTheme="minorHAnsi" w:hAnsi="Times New Roman" w:cs="Times New Roman"/>
          <w:color w:val="000000"/>
          <w:lang w:val="fr-FR"/>
        </w:rPr>
        <w:t>76. Il convient de saluer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Italie pour les dispositions prises en vue de clarifier sa politique de lutte contre la corruption ;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adoption, en novembre 2012,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une nouvelle loi-cadre anticorruption constitue un signal clair dans cette direction. En outre,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Italie a désormais ratifié la Convention pénale sur la corruption (STE n</w:t>
      </w:r>
      <w:r w:rsidRPr="00A92B5D">
        <w:rPr>
          <w:rFonts w:ascii="Times New Roman" w:eastAsiaTheme="minorHAnsi" w:hAnsi="Times New Roman" w:cs="Times New Roman"/>
          <w:color w:val="000000"/>
          <w:vertAlign w:val="superscript"/>
          <w:lang w:val="fr-FR"/>
        </w:rPr>
        <w:t>o</w:t>
      </w:r>
      <w:r w:rsidRPr="00A92B5D">
        <w:rPr>
          <w:rFonts w:ascii="Times New Roman" w:eastAsiaTheme="minorHAnsi" w:hAnsi="Times New Roman" w:cs="Times New Roman"/>
          <w:color w:val="000000"/>
          <w:lang w:val="fr-FR"/>
        </w:rPr>
        <w:t xml:space="preserve"> 173) ainsi que la Convention civile sur la corruption (STE n</w:t>
      </w:r>
      <w:r w:rsidRPr="00A92B5D">
        <w:rPr>
          <w:rFonts w:ascii="Times New Roman" w:eastAsiaTheme="minorHAnsi" w:hAnsi="Times New Roman" w:cs="Times New Roman"/>
          <w:color w:val="000000"/>
          <w:vertAlign w:val="superscript"/>
          <w:lang w:val="fr-FR"/>
        </w:rPr>
        <w:t>o</w:t>
      </w:r>
      <w:r w:rsidRPr="00A92B5D">
        <w:rPr>
          <w:rFonts w:ascii="Times New Roman" w:eastAsiaTheme="minorHAnsi" w:hAnsi="Times New Roman" w:cs="Times New Roman"/>
          <w:color w:val="000000"/>
          <w:lang w:val="fr-FR"/>
        </w:rPr>
        <w:t> 174). Plusieurs mesures ont été introduites pour accroître la transparence et le contrôle au sein de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administration publique et mieux cibler des questions préoccupantes pour le public</w:t>
      </w:r>
      <w:r w:rsidRPr="00A92B5D">
        <w:rPr>
          <w:rFonts w:ascii="Times New Roman" w:eastAsiaTheme="minorHAnsi" w:hAnsi="Times New Roman" w:cs="Times New Roman"/>
          <w:i/>
          <w:iCs/>
          <w:color w:val="000000"/>
          <w:lang w:val="fr-FR"/>
        </w:rPr>
        <w:t xml:space="preserve">, </w:t>
      </w:r>
      <w:r w:rsidRPr="00A92B5D">
        <w:rPr>
          <w:rFonts w:ascii="Times New Roman" w:eastAsiaTheme="minorHAnsi" w:hAnsi="Times New Roman" w:cs="Times New Roman"/>
          <w:color w:val="000000"/>
          <w:lang w:val="fr-FR"/>
        </w:rPr>
        <w:t>parmi lesquelles la réglementation des appels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offres et marchés publics, les conflits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intérêts,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intégrité et la déontologie au sein de la fonction publique, la responsabilité des dirigeants et la protection des donneurs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alerte. De même, un cadre institutionnel a été mis en place pour adopter, mettre en œuvre, contrôler et évaluer les politiques anticorruption. La Commission pour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évaluation, la transparence et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intégrité de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administration publique [devenue plus tard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 xml:space="preserve">ANAC] a été désignée comme autorité nationale pour la lutte contre la corruption afin de mettre en œuvre les obligations découlant de l </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article 6 de la Convention des Nations Unies contre la corruption, ainsi que les articles 20 et 21 du STE n</w:t>
      </w:r>
      <w:r w:rsidRPr="00A92B5D">
        <w:rPr>
          <w:rFonts w:ascii="Times New Roman" w:eastAsiaTheme="minorHAnsi" w:hAnsi="Times New Roman" w:cs="Times New Roman"/>
          <w:color w:val="000000"/>
          <w:vertAlign w:val="superscript"/>
          <w:lang w:val="fr-FR"/>
        </w:rPr>
        <w:t>o</w:t>
      </w:r>
      <w:r w:rsidRPr="00A92B5D">
        <w:rPr>
          <w:rFonts w:ascii="Times New Roman" w:eastAsiaTheme="minorHAnsi" w:hAnsi="Times New Roman" w:cs="Times New Roman"/>
          <w:color w:val="000000"/>
          <w:lang w:val="fr-FR"/>
        </w:rPr>
        <w:t> 173 ; les administrations aux niveaux national et local se sont vu confier des missions essentielles en matière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élaboration de plans contre la corruption et pour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intégrité dans leurs secteurs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activité respectifs. Le temps et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expérience diront si le nouveau dispositif répond efficacement aux objectifs de prévention et de dissuasion de la corruption. Il sera crucial de faire en sorte que toutes les nouvelles dispositions législatives soient assorties de mécanismes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application efficaces, y compris de conseils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orientation à l</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intention de ceux qui doivent se conformer à la loi et de sanctions appropriées en cas d</w:t>
      </w:r>
      <w:r w:rsidR="00A92B5D" w:rsidRPr="00A92B5D">
        <w:rPr>
          <w:rFonts w:ascii="Times New Roman" w:eastAsiaTheme="minorHAnsi" w:hAnsi="Times New Roman" w:cs="Times New Roman"/>
          <w:color w:val="000000"/>
          <w:lang w:val="fr-FR"/>
        </w:rPr>
        <w:t>’</w:t>
      </w:r>
      <w:r w:rsidRPr="00A92B5D">
        <w:rPr>
          <w:rFonts w:ascii="Times New Roman" w:eastAsiaTheme="minorHAnsi" w:hAnsi="Times New Roman" w:cs="Times New Roman"/>
          <w:color w:val="000000"/>
          <w:lang w:val="fr-FR"/>
        </w:rPr>
        <w:t>abus. Cela demande un engagement politique qui s</w:t>
      </w:r>
      <w:r w:rsidR="00A92B5D" w:rsidRPr="00A92B5D">
        <w:rPr>
          <w:rFonts w:ascii="Times New Roman" w:eastAsiaTheme="minorHAnsi" w:hAnsi="Times New Roman" w:cs="Times New Roman"/>
          <w:color w:val="000000"/>
          <w:lang w:val="fr-FR"/>
        </w:rPr>
        <w:t>’</w:t>
      </w:r>
      <w:r w:rsidR="00555C3E" w:rsidRPr="00A92B5D">
        <w:rPr>
          <w:rFonts w:ascii="Times New Roman" w:eastAsiaTheme="minorHAnsi" w:hAnsi="Times New Roman" w:cs="Times New Roman"/>
          <w:color w:val="000000"/>
          <w:lang w:val="fr-FR"/>
        </w:rPr>
        <w:t>inscrive dans la durée. (...)</w:t>
      </w:r>
      <w:r w:rsidRPr="00A92B5D">
        <w:rPr>
          <w:rFonts w:ascii="Times New Roman" w:eastAsiaTheme="minorHAnsi" w:hAnsi="Times New Roman" w:cs="Times New Roman"/>
          <w:color w:val="000000"/>
          <w:lang w:val="fr-FR"/>
        </w:rPr>
        <w:t> »</w:t>
      </w:r>
    </w:p>
    <w:p w:rsidR="00106980" w:rsidRPr="00A92B5D" w:rsidRDefault="00106980" w:rsidP="00A92B5D">
      <w:pPr>
        <w:pStyle w:val="ECHRHeading3"/>
        <w:rPr>
          <w:lang w:val="fr-FR"/>
        </w:rPr>
      </w:pPr>
      <w:r w:rsidRPr="00A92B5D">
        <w:rPr>
          <w:lang w:val="fr-FR"/>
        </w:rPr>
        <w:lastRenderedPageBreak/>
        <w:t>2.  Les restrictions au droit de vote (volet passif)</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53</w:t>
      </w:r>
      <w:r w:rsidRPr="00A92B5D">
        <w:rPr>
          <w:lang w:val="fr-FR"/>
        </w:rPr>
        <w:fldChar w:fldCharType="end"/>
      </w:r>
      <w:r w:rsidRPr="00A92B5D">
        <w:rPr>
          <w:lang w:val="fr-FR"/>
        </w:rPr>
        <w:t>.  </w:t>
      </w:r>
      <w:r w:rsidRPr="00A92B5D">
        <w:rPr>
          <w:rStyle w:val="ECHRParaChar"/>
          <w:lang w:val="fr-FR"/>
        </w:rPr>
        <w:t>Les instruments européens et internationaux pertinents en matière de déchéance d</w:t>
      </w:r>
      <w:r w:rsidR="00A92B5D" w:rsidRPr="00A92B5D">
        <w:rPr>
          <w:rStyle w:val="ECHRParaChar"/>
          <w:lang w:val="fr-FR"/>
        </w:rPr>
        <w:t>’</w:t>
      </w:r>
      <w:r w:rsidRPr="00A92B5D">
        <w:rPr>
          <w:rStyle w:val="ECHRParaChar"/>
          <w:lang w:val="fr-FR"/>
        </w:rPr>
        <w:t>un mandat parlementaire prévoient tous la possibilité de</w:t>
      </w:r>
      <w:r w:rsidRPr="00A92B5D">
        <w:rPr>
          <w:lang w:val="fr-FR"/>
        </w:rPr>
        <w:t xml:space="preserve"> </w:t>
      </w:r>
      <w:r w:rsidRPr="00A92B5D">
        <w:rPr>
          <w:rStyle w:val="ECHRParaChar"/>
          <w:lang w:val="fr-FR"/>
        </w:rPr>
        <w:t>restreindre le droit d</w:t>
      </w:r>
      <w:r w:rsidR="00A92B5D" w:rsidRPr="00A92B5D">
        <w:rPr>
          <w:rStyle w:val="ECHRParaChar"/>
          <w:lang w:val="fr-FR"/>
        </w:rPr>
        <w:t>’</w:t>
      </w:r>
      <w:r w:rsidRPr="00A92B5D">
        <w:rPr>
          <w:rStyle w:val="ECHRParaChar"/>
          <w:lang w:val="fr-FR"/>
        </w:rPr>
        <w:t>être élu et celui d</w:t>
      </w:r>
      <w:r w:rsidR="00A92B5D" w:rsidRPr="00A92B5D">
        <w:rPr>
          <w:rStyle w:val="ECHRParaChar"/>
          <w:lang w:val="fr-FR"/>
        </w:rPr>
        <w:t>’</w:t>
      </w:r>
      <w:r w:rsidRPr="00A92B5D">
        <w:rPr>
          <w:rStyle w:val="ECHRParaChar"/>
          <w:lang w:val="fr-FR"/>
        </w:rPr>
        <w:t>exercer le mandat, sous réserve que la restriction réponde à certaines exigences, à tout le moins de légalité, de nécessité et de proportionnalité.</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54</w:t>
      </w:r>
      <w:r w:rsidRPr="00A92B5D">
        <w:rPr>
          <w:lang w:val="fr-FR"/>
        </w:rPr>
        <w:fldChar w:fldCharType="end"/>
      </w:r>
      <w:r w:rsidRPr="00A92B5D">
        <w:rPr>
          <w:lang w:val="fr-FR"/>
        </w:rPr>
        <w:t>.  </w:t>
      </w:r>
      <w:r w:rsidRPr="00A92B5D">
        <w:rPr>
          <w:rStyle w:val="ECHRParaChar"/>
          <w:lang w:val="fr-FR"/>
        </w:rPr>
        <w:t>En particulier, dans son rapport sur l</w:t>
      </w:r>
      <w:r w:rsidR="00A92B5D" w:rsidRPr="00A92B5D">
        <w:rPr>
          <w:rStyle w:val="ECHRParaChar"/>
          <w:lang w:val="fr-FR"/>
        </w:rPr>
        <w:t>’</w:t>
      </w:r>
      <w:r w:rsidRPr="00A92B5D">
        <w:rPr>
          <w:rStyle w:val="ECHRParaChar"/>
          <w:lang w:val="fr-FR"/>
        </w:rPr>
        <w:t>exclusion des délinquants du parlement (Avis n</w:t>
      </w:r>
      <w:r w:rsidRPr="00A92B5D">
        <w:rPr>
          <w:rStyle w:val="ECHRParaChar"/>
          <w:vertAlign w:val="superscript"/>
          <w:lang w:val="fr-FR"/>
        </w:rPr>
        <w:t>o</w:t>
      </w:r>
      <w:r w:rsidRPr="00A92B5D">
        <w:rPr>
          <w:rStyle w:val="ECHRParaChar"/>
          <w:lang w:val="fr-FR"/>
        </w:rPr>
        <w:t> 807/2015, CDL-AD (2015)036), la Commission de Venise a souligné l</w:t>
      </w:r>
      <w:r w:rsidR="00A92B5D" w:rsidRPr="00A92B5D">
        <w:rPr>
          <w:rStyle w:val="ECHRParaChar"/>
          <w:lang w:val="fr-FR"/>
        </w:rPr>
        <w:t>’</w:t>
      </w:r>
      <w:r w:rsidRPr="00A92B5D">
        <w:rPr>
          <w:rStyle w:val="ECHRParaChar"/>
          <w:lang w:val="fr-FR"/>
        </w:rPr>
        <w:t>objectif légitime de préservation de la démocratie que poursuivent les mesures restrictives telles que la déchéance. Pour la Commission de Venise, « inéligibilité » et déchéance sont étroitement liées car elles doivent répondre à ces mêmes exigences : être fondées sur des règles de droit précises, poursuivre un but légitime et respecter le principe de proportionnalité.</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55</w:t>
      </w:r>
      <w:r w:rsidRPr="00A92B5D">
        <w:rPr>
          <w:lang w:val="fr-FR"/>
        </w:rPr>
        <w:fldChar w:fldCharType="end"/>
      </w:r>
      <w:r w:rsidRPr="00A92B5D">
        <w:rPr>
          <w:lang w:val="fr-FR"/>
        </w:rPr>
        <w:t>.  </w:t>
      </w:r>
      <w:r w:rsidRPr="00A92B5D">
        <w:rPr>
          <w:rStyle w:val="ECHRParaChar"/>
          <w:lang w:val="fr-FR"/>
        </w:rPr>
        <w:t>Les passages pertinents du rapport sont les suivants :</w:t>
      </w:r>
    </w:p>
    <w:p w:rsidR="00106980" w:rsidRPr="00A92B5D" w:rsidRDefault="00106980" w:rsidP="00A92B5D">
      <w:pPr>
        <w:spacing w:before="120" w:after="120"/>
        <w:ind w:left="425" w:firstLine="142"/>
        <w:rPr>
          <w:sz w:val="20"/>
          <w:lang w:val="fr-FR"/>
        </w:rPr>
      </w:pPr>
      <w:r w:rsidRPr="00A92B5D">
        <w:rPr>
          <w:sz w:val="20"/>
          <w:lang w:val="fr-FR"/>
        </w:rPr>
        <w:t>« (...)</w:t>
      </w:r>
    </w:p>
    <w:p w:rsidR="00106980" w:rsidRPr="00A92B5D" w:rsidRDefault="00106980" w:rsidP="00A92B5D">
      <w:pPr>
        <w:pStyle w:val="ECHRParaQuote"/>
        <w:rPr>
          <w:lang w:val="fr-FR"/>
        </w:rPr>
      </w:pPr>
      <w:r w:rsidRPr="00A92B5D">
        <w:rPr>
          <w:lang w:val="fr-FR"/>
        </w:rPr>
        <w:t>139. La légalité constitue le premier élément de la prééminence du droit et suppose que la législation soit respectée par les individus et par les autorités. L</w:t>
      </w:r>
      <w:r w:rsidR="00A92B5D" w:rsidRPr="00A92B5D">
        <w:rPr>
          <w:lang w:val="fr-FR"/>
        </w:rPr>
        <w:t>’</w:t>
      </w:r>
      <w:r w:rsidRPr="00A92B5D">
        <w:rPr>
          <w:lang w:val="fr-FR"/>
        </w:rPr>
        <w:t>exercice du pouvoir politique par des personnes ayant gravement enfreint la loi compromet la mise en œuvre de ce principe, qui constitue à son tour une condition de la démocratie et peut donc menacer le caractère démocratique de l</w:t>
      </w:r>
      <w:r w:rsidR="00A92B5D" w:rsidRPr="00A92B5D">
        <w:rPr>
          <w:lang w:val="fr-FR"/>
        </w:rPr>
        <w:t>’</w:t>
      </w:r>
      <w:r w:rsidRPr="00A92B5D">
        <w:rPr>
          <w:lang w:val="fr-FR"/>
        </w:rPr>
        <w:t>État : une personne qui n</w:t>
      </w:r>
      <w:r w:rsidR="00A92B5D" w:rsidRPr="00A92B5D">
        <w:rPr>
          <w:lang w:val="fr-FR"/>
        </w:rPr>
        <w:t>’</w:t>
      </w:r>
      <w:r w:rsidRPr="00A92B5D">
        <w:rPr>
          <w:lang w:val="fr-FR"/>
        </w:rPr>
        <w:t xml:space="preserve">est pas encline </w:t>
      </w:r>
      <w:proofErr w:type="spellStart"/>
      <w:r w:rsidRPr="00A92B5D">
        <w:rPr>
          <w:lang w:val="fr-FR"/>
        </w:rPr>
        <w:t>a</w:t>
      </w:r>
      <w:proofErr w:type="spellEnd"/>
      <w:r w:rsidRPr="00A92B5D">
        <w:rPr>
          <w:lang w:val="fr-FR"/>
        </w:rPr>
        <w:t xml:space="preserve">̀ reconnaitre les règles de conduite dans une société démocratique risque de ne pas être disposée </w:t>
      </w:r>
      <w:proofErr w:type="spellStart"/>
      <w:r w:rsidRPr="00A92B5D">
        <w:rPr>
          <w:lang w:val="fr-FR"/>
        </w:rPr>
        <w:t>a</w:t>
      </w:r>
      <w:proofErr w:type="spellEnd"/>
      <w:r w:rsidRPr="00A92B5D">
        <w:rPr>
          <w:lang w:val="fr-FR"/>
        </w:rPr>
        <w:t>̀ respecter les règles constitutionnelles et internationales de la démocratie et de l</w:t>
      </w:r>
      <w:r w:rsidR="00A92B5D" w:rsidRPr="00A92B5D">
        <w:rPr>
          <w:lang w:val="fr-FR"/>
        </w:rPr>
        <w:t>’</w:t>
      </w:r>
      <w:r w:rsidRPr="00A92B5D">
        <w:rPr>
          <w:lang w:val="fr-FR"/>
        </w:rPr>
        <w:t>État de droit. En pareil cas, la restriction du droit d</w:t>
      </w:r>
      <w:r w:rsidR="00A92B5D" w:rsidRPr="00A92B5D">
        <w:rPr>
          <w:lang w:val="fr-FR"/>
        </w:rPr>
        <w:t>’</w:t>
      </w:r>
      <w:r w:rsidRPr="00A92B5D">
        <w:rPr>
          <w:lang w:val="fr-FR"/>
        </w:rPr>
        <w:t>être élu ou du droit de siéger au Parlement repose notamment sur la violation constatée du droit pénal adopté démocratiquement, c</w:t>
      </w:r>
      <w:r w:rsidR="00A92B5D" w:rsidRPr="00A92B5D">
        <w:rPr>
          <w:lang w:val="fr-FR"/>
        </w:rPr>
        <w:t>’</w:t>
      </w:r>
      <w:r w:rsidRPr="00A92B5D">
        <w:rPr>
          <w:lang w:val="fr-FR"/>
        </w:rPr>
        <w:t>est-à-dire des règles de conduite généralement admises.</w:t>
      </w:r>
    </w:p>
    <w:p w:rsidR="00106980" w:rsidRPr="00A92B5D" w:rsidRDefault="00106980" w:rsidP="00A92B5D">
      <w:pPr>
        <w:pStyle w:val="ECHRParaQuote"/>
        <w:rPr>
          <w:lang w:val="fr-FR"/>
        </w:rPr>
      </w:pPr>
      <w:r w:rsidRPr="00A92B5D">
        <w:rPr>
          <w:lang w:val="fr-FR"/>
        </w:rPr>
        <w:t>140. En vertu de la jurisprudence de la Cour européenne des droits de l</w:t>
      </w:r>
      <w:r w:rsidR="00A92B5D" w:rsidRPr="00A92B5D">
        <w:rPr>
          <w:lang w:val="fr-FR"/>
        </w:rPr>
        <w:t>’</w:t>
      </w:r>
      <w:r w:rsidRPr="00A92B5D">
        <w:rPr>
          <w:lang w:val="fr-FR"/>
        </w:rPr>
        <w:t>homme relative à l</w:t>
      </w:r>
      <w:r w:rsidR="00A92B5D" w:rsidRPr="00A92B5D">
        <w:rPr>
          <w:lang w:val="fr-FR"/>
        </w:rPr>
        <w:t>’</w:t>
      </w:r>
      <w:r w:rsidRPr="00A92B5D">
        <w:rPr>
          <w:lang w:val="fr-FR"/>
        </w:rPr>
        <w:t>article 3 du Protocole n</w:t>
      </w:r>
      <w:r w:rsidRPr="00A92B5D">
        <w:rPr>
          <w:vertAlign w:val="superscript"/>
          <w:lang w:val="fr-FR"/>
        </w:rPr>
        <w:t>o</w:t>
      </w:r>
      <w:r w:rsidRPr="00A92B5D">
        <w:rPr>
          <w:lang w:val="fr-FR"/>
        </w:rPr>
        <w:t xml:space="preserve"> 1, (...) les restrictions au droit d</w:t>
      </w:r>
      <w:r w:rsidR="00A92B5D" w:rsidRPr="00A92B5D">
        <w:rPr>
          <w:lang w:val="fr-FR"/>
        </w:rPr>
        <w:t>’</w:t>
      </w:r>
      <w:r w:rsidRPr="00A92B5D">
        <w:rPr>
          <w:lang w:val="fr-FR"/>
        </w:rPr>
        <w:t>être élu doivent se limiter aux mesures nécessaires pour garantir le bon fonctionnement et la préservation du régime démocratique. Ce fonctionnement est plus gravement menacé si l</w:t>
      </w:r>
      <w:r w:rsidR="00A92B5D" w:rsidRPr="00A92B5D">
        <w:rPr>
          <w:lang w:val="fr-FR"/>
        </w:rPr>
        <w:t>’</w:t>
      </w:r>
      <w:r w:rsidRPr="00A92B5D">
        <w:rPr>
          <w:lang w:val="fr-FR"/>
        </w:rPr>
        <w:t>intéressé peut exercer une fonction élective que s</w:t>
      </w:r>
      <w:r w:rsidR="00A92B5D" w:rsidRPr="00A92B5D">
        <w:rPr>
          <w:lang w:val="fr-FR"/>
        </w:rPr>
        <w:t>’</w:t>
      </w:r>
      <w:r w:rsidRPr="00A92B5D">
        <w:rPr>
          <w:lang w:val="fr-FR"/>
        </w:rPr>
        <w:t>il exerce ses droits électoraux actifs en tant que simple électeur. Les restrictions examinées ne doivent pas être considérées comme portant atteinte à la démocratie, mais plutôt comme un moyen de la préserver.</w:t>
      </w:r>
    </w:p>
    <w:p w:rsidR="00106980" w:rsidRPr="00A92B5D" w:rsidRDefault="00106980" w:rsidP="00A92B5D">
      <w:pPr>
        <w:pStyle w:val="ECHRParaQuote"/>
        <w:rPr>
          <w:lang w:val="fr-FR"/>
        </w:rPr>
      </w:pPr>
      <w:r w:rsidRPr="00A92B5D">
        <w:rPr>
          <w:lang w:val="fr-FR"/>
        </w:rPr>
        <w:t>141. La vaste majorité, si ce n</w:t>
      </w:r>
      <w:r w:rsidR="00A92B5D" w:rsidRPr="00A92B5D">
        <w:rPr>
          <w:lang w:val="fr-FR"/>
        </w:rPr>
        <w:t>’</w:t>
      </w:r>
      <w:r w:rsidRPr="00A92B5D">
        <w:rPr>
          <w:lang w:val="fr-FR"/>
        </w:rPr>
        <w:t>est la totalité, des États examinés dans le présent rapport reconnaissent l</w:t>
      </w:r>
      <w:r w:rsidR="00A92B5D" w:rsidRPr="00A92B5D">
        <w:rPr>
          <w:lang w:val="fr-FR"/>
        </w:rPr>
        <w:t>’</w:t>
      </w:r>
      <w:r w:rsidRPr="00A92B5D">
        <w:rPr>
          <w:lang w:val="fr-FR"/>
        </w:rPr>
        <w:t>intérêt public à écarter les délinquants du Parlement, et la plupart de ces pays ont adopté des mesures législatives à cet effet.</w:t>
      </w:r>
    </w:p>
    <w:p w:rsidR="00106980" w:rsidRPr="00A92B5D" w:rsidRDefault="00106980" w:rsidP="00A92B5D">
      <w:pPr>
        <w:pStyle w:val="ECHRParaQuote"/>
        <w:rPr>
          <w:lang w:val="fr-FR"/>
        </w:rPr>
      </w:pPr>
      <w:r w:rsidRPr="00A92B5D">
        <w:rPr>
          <w:lang w:val="fr-FR"/>
        </w:rPr>
        <w:t>(...)</w:t>
      </w:r>
    </w:p>
    <w:p w:rsidR="00106980" w:rsidRPr="00A92B5D" w:rsidRDefault="00106980" w:rsidP="00A92B5D">
      <w:pPr>
        <w:pStyle w:val="ECHRParaQuote"/>
        <w:rPr>
          <w:lang w:val="fr-FR"/>
        </w:rPr>
      </w:pPr>
      <w:r w:rsidRPr="00A92B5D">
        <w:rPr>
          <w:lang w:val="fr-FR"/>
        </w:rPr>
        <w:t>164. La Commission de Venise estime que la perte par un parlementaire de son mandat à cause d</w:t>
      </w:r>
      <w:r w:rsidR="00A92B5D" w:rsidRPr="00A92B5D">
        <w:rPr>
          <w:lang w:val="fr-FR"/>
        </w:rPr>
        <w:t>’</w:t>
      </w:r>
      <w:r w:rsidRPr="00A92B5D">
        <w:rPr>
          <w:lang w:val="fr-FR"/>
        </w:rPr>
        <w:t>une condamnation devenue définitive après les élections est justifiée si l</w:t>
      </w:r>
      <w:r w:rsidR="00A92B5D" w:rsidRPr="00A92B5D">
        <w:rPr>
          <w:lang w:val="fr-FR"/>
        </w:rPr>
        <w:t>’</w:t>
      </w:r>
      <w:r w:rsidRPr="00A92B5D">
        <w:rPr>
          <w:lang w:val="fr-FR"/>
        </w:rPr>
        <w:t>infraction commise est une cause d</w:t>
      </w:r>
      <w:r w:rsidR="00A92B5D" w:rsidRPr="00A92B5D">
        <w:rPr>
          <w:lang w:val="fr-FR"/>
        </w:rPr>
        <w:t>’</w:t>
      </w:r>
      <w:r w:rsidRPr="00A92B5D">
        <w:rPr>
          <w:lang w:val="fr-FR"/>
        </w:rPr>
        <w:t>inéligibilité</w:t>
      </w:r>
      <w:r w:rsidR="00BE5EA5" w:rsidRPr="00A92B5D">
        <w:rPr>
          <w:lang w:val="fr-FR"/>
        </w:rPr>
        <w:t>.</w:t>
      </w:r>
      <w:r w:rsidRPr="00A92B5D">
        <w:rPr>
          <w:lang w:val="fr-FR"/>
        </w:rPr>
        <w:t xml:space="preserve"> (...)</w:t>
      </w:r>
    </w:p>
    <w:p w:rsidR="00106980" w:rsidRPr="00A92B5D" w:rsidRDefault="00106980" w:rsidP="00A92B5D">
      <w:pPr>
        <w:pStyle w:val="ECHRParaQuote"/>
        <w:rPr>
          <w:lang w:val="fr-FR"/>
        </w:rPr>
      </w:pPr>
      <w:r w:rsidRPr="00A92B5D">
        <w:rPr>
          <w:lang w:val="fr-FR"/>
        </w:rPr>
        <w:t>(...)</w:t>
      </w:r>
    </w:p>
    <w:p w:rsidR="00106980" w:rsidRPr="00A92B5D" w:rsidRDefault="00106980" w:rsidP="00A92B5D">
      <w:pPr>
        <w:pStyle w:val="ECHRParaQuote"/>
        <w:rPr>
          <w:lang w:val="fr-FR"/>
        </w:rPr>
      </w:pPr>
      <w:r w:rsidRPr="00A92B5D">
        <w:rPr>
          <w:lang w:val="fr-FR"/>
        </w:rPr>
        <w:t>174. La Commission de Venise estime que, si le simple fonctionnement des mécanismes électoraux ne permet pas l</w:t>
      </w:r>
      <w:r w:rsidR="00A92B5D" w:rsidRPr="00A92B5D">
        <w:rPr>
          <w:lang w:val="fr-FR"/>
        </w:rPr>
        <w:t>’</w:t>
      </w:r>
      <w:r w:rsidRPr="00A92B5D">
        <w:rPr>
          <w:lang w:val="fr-FR"/>
        </w:rPr>
        <w:t>exclusion des délinquants des assemblées élues, l</w:t>
      </w:r>
      <w:r w:rsidR="00A92B5D" w:rsidRPr="00A92B5D">
        <w:rPr>
          <w:lang w:val="fr-FR"/>
        </w:rPr>
        <w:t>’</w:t>
      </w:r>
      <w:r w:rsidRPr="00A92B5D">
        <w:rPr>
          <w:lang w:val="fr-FR"/>
        </w:rPr>
        <w:t>intervention législative devient nécessaire.</w:t>
      </w:r>
    </w:p>
    <w:p w:rsidR="00106980" w:rsidRPr="00A92B5D" w:rsidRDefault="00106980" w:rsidP="00A92B5D">
      <w:pPr>
        <w:pStyle w:val="ECHRParaQuote"/>
        <w:rPr>
          <w:lang w:val="fr-FR"/>
        </w:rPr>
      </w:pPr>
      <w:r w:rsidRPr="00A92B5D">
        <w:rPr>
          <w:lang w:val="fr-FR"/>
        </w:rPr>
        <w:lastRenderedPageBreak/>
        <w:t>(...)</w:t>
      </w:r>
    </w:p>
    <w:p w:rsidR="00106980" w:rsidRPr="00A92B5D" w:rsidRDefault="00106980" w:rsidP="00A92B5D">
      <w:pPr>
        <w:pStyle w:val="ECHRParaQuote"/>
        <w:rPr>
          <w:lang w:val="fr-FR"/>
        </w:rPr>
      </w:pPr>
      <w:r w:rsidRPr="00A92B5D">
        <w:rPr>
          <w:lang w:val="fr-FR"/>
        </w:rPr>
        <w:t>179. Enfin, la Commission juge approprié que la Constitution régisse au moins les aspects les plus importants des restrictions au droit d</w:t>
      </w:r>
      <w:r w:rsidR="00A92B5D" w:rsidRPr="00A92B5D">
        <w:rPr>
          <w:lang w:val="fr-FR"/>
        </w:rPr>
        <w:t>’</w:t>
      </w:r>
      <w:r w:rsidRPr="00A92B5D">
        <w:rPr>
          <w:lang w:val="fr-FR"/>
        </w:rPr>
        <w:t>éligibilité et de la perte du mandat parlementaire. Tel est d</w:t>
      </w:r>
      <w:r w:rsidR="00A92B5D" w:rsidRPr="00A92B5D">
        <w:rPr>
          <w:lang w:val="fr-FR"/>
        </w:rPr>
        <w:t>’</w:t>
      </w:r>
      <w:r w:rsidRPr="00A92B5D">
        <w:rPr>
          <w:lang w:val="fr-FR"/>
        </w:rPr>
        <w:t>ailleurs le cas dans de nombreux États. »</w:t>
      </w:r>
    </w:p>
    <w:p w:rsidR="00106980" w:rsidRPr="00A92B5D" w:rsidRDefault="00106980" w:rsidP="00A92B5D">
      <w:pPr>
        <w:pStyle w:val="ECHRTitle1"/>
        <w:rPr>
          <w:lang w:val="fr-FR"/>
        </w:rPr>
      </w:pPr>
      <w:bookmarkStart w:id="26" w:name="GRECO"/>
      <w:bookmarkEnd w:id="26"/>
      <w:r w:rsidRPr="00A92B5D">
        <w:rPr>
          <w:lang w:val="fr-FR"/>
        </w:rPr>
        <w:t>GRIEFS</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56</w:t>
      </w:r>
      <w:r w:rsidRPr="00A92B5D">
        <w:rPr>
          <w:lang w:val="fr-FR"/>
        </w:rPr>
        <w:fldChar w:fldCharType="end"/>
      </w:r>
      <w:r w:rsidRPr="00A92B5D">
        <w:rPr>
          <w:lang w:val="fr-FR"/>
        </w:rPr>
        <w:t>.  </w:t>
      </w:r>
      <w:r w:rsidRPr="00A92B5D">
        <w:rPr>
          <w:rStyle w:val="ECHRParaChar"/>
          <w:lang w:val="fr-FR"/>
        </w:rPr>
        <w:t>Invoquant l</w:t>
      </w:r>
      <w:r w:rsidR="00A92B5D" w:rsidRPr="00A92B5D">
        <w:rPr>
          <w:rStyle w:val="ECHRParaChar"/>
          <w:lang w:val="fr-FR"/>
        </w:rPr>
        <w:t>’</w:t>
      </w:r>
      <w:r w:rsidRPr="00A92B5D">
        <w:rPr>
          <w:rStyle w:val="ECHRParaChar"/>
          <w:lang w:val="fr-FR"/>
        </w:rPr>
        <w:t>article 7 de la Convention, le requérant alléguait que l</w:t>
      </w:r>
      <w:r w:rsidR="00A92B5D" w:rsidRPr="00A92B5D">
        <w:rPr>
          <w:rStyle w:val="ECHRParaChar"/>
          <w:lang w:val="fr-FR"/>
        </w:rPr>
        <w:t>’</w:t>
      </w:r>
      <w:r w:rsidRPr="00A92B5D">
        <w:rPr>
          <w:rStyle w:val="ECHRParaChar"/>
          <w:lang w:val="fr-FR"/>
        </w:rPr>
        <w:t>application du décret législatif n</w:t>
      </w:r>
      <w:r w:rsidRPr="00A92B5D">
        <w:rPr>
          <w:rStyle w:val="ECHRParaChar"/>
          <w:vertAlign w:val="superscript"/>
          <w:lang w:val="fr-FR"/>
        </w:rPr>
        <w:t>o</w:t>
      </w:r>
      <w:r w:rsidRPr="00A92B5D">
        <w:rPr>
          <w:rStyle w:val="ECHRParaChar"/>
          <w:lang w:val="fr-FR"/>
        </w:rPr>
        <w:t> 235/2012, qui avait eu pour effets de lui interdire de se porter candidat aux élections et de le déchoir de son mandat de sénateur à la suite de sa condamnation définitive pour fraude fiscale, avait enfreint les principes de légalité, de prévisibilité, de proportionnalité et de non-rétroactivité des sanctions pénales.</w:t>
      </w:r>
    </w:p>
    <w:p w:rsidR="00106980" w:rsidRPr="00A92B5D" w:rsidRDefault="00106980" w:rsidP="00A92B5D">
      <w:pPr>
        <w:ind w:firstLine="284"/>
        <w:rPr>
          <w:rFonts w:ascii="Times New Roman" w:hAnsi="Times New Roman" w:cs="Times New Roman"/>
          <w:color w:val="000000"/>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57</w:t>
      </w:r>
      <w:r w:rsidRPr="00A92B5D">
        <w:rPr>
          <w:lang w:val="fr-FR"/>
        </w:rPr>
        <w:fldChar w:fldCharType="end"/>
      </w:r>
      <w:r w:rsidRPr="00A92B5D">
        <w:rPr>
          <w:lang w:val="fr-FR"/>
        </w:rPr>
        <w:t>.  </w:t>
      </w:r>
      <w:r w:rsidRPr="00A92B5D">
        <w:rPr>
          <w:rStyle w:val="ECHRParaChar"/>
          <w:lang w:val="fr-FR"/>
        </w:rPr>
        <w:t>S</w:t>
      </w:r>
      <w:r w:rsidR="00A92B5D" w:rsidRPr="00A92B5D">
        <w:rPr>
          <w:rStyle w:val="ECHRParaChar"/>
          <w:lang w:val="fr-FR"/>
        </w:rPr>
        <w:t>’</w:t>
      </w:r>
      <w:r w:rsidRPr="00A92B5D">
        <w:rPr>
          <w:rStyle w:val="ECHRParaChar"/>
          <w:lang w:val="fr-FR"/>
        </w:rPr>
        <w:t>appuyant sur l</w:t>
      </w:r>
      <w:r w:rsidR="00A92B5D" w:rsidRPr="00A92B5D">
        <w:rPr>
          <w:rStyle w:val="ECHRParaChar"/>
          <w:lang w:val="fr-FR"/>
        </w:rPr>
        <w:t>’</w:t>
      </w:r>
      <w:r w:rsidRPr="00A92B5D">
        <w:rPr>
          <w:rStyle w:val="ECHRParaChar"/>
          <w:lang w:val="fr-FR"/>
        </w:rPr>
        <w:t>article 3 du Protocole n</w:t>
      </w:r>
      <w:r w:rsidRPr="00A92B5D">
        <w:rPr>
          <w:rStyle w:val="ECHRParaChar"/>
          <w:vertAlign w:val="superscript"/>
          <w:lang w:val="fr-FR"/>
        </w:rPr>
        <w:t>o</w:t>
      </w:r>
      <w:r w:rsidRPr="00A92B5D">
        <w:rPr>
          <w:rStyle w:val="ECHRParaChar"/>
          <w:lang w:val="fr-FR"/>
        </w:rPr>
        <w:t> 1, il estimait ensuite que l</w:t>
      </w:r>
      <w:r w:rsidR="00A92B5D" w:rsidRPr="00A92B5D">
        <w:rPr>
          <w:rStyle w:val="ECHRParaChar"/>
          <w:lang w:val="fr-FR"/>
        </w:rPr>
        <w:t>’</w:t>
      </w:r>
      <w:r w:rsidRPr="00A92B5D">
        <w:rPr>
          <w:rStyle w:val="ECHRParaChar"/>
          <w:lang w:val="fr-FR"/>
        </w:rPr>
        <w:t>interdiction prévue par ledit décret législatif ne respectait pas les principes de légalité et de proportionnalité au but poursuivi, en violation de son droit à exercer son mandat électif et au mépris de l</w:t>
      </w:r>
      <w:r w:rsidR="00A92B5D" w:rsidRPr="00A92B5D">
        <w:rPr>
          <w:rStyle w:val="ECHRParaChar"/>
          <w:lang w:val="fr-FR"/>
        </w:rPr>
        <w:t>’</w:t>
      </w:r>
      <w:r w:rsidRPr="00A92B5D">
        <w:rPr>
          <w:rStyle w:val="ECHRParaChar"/>
          <w:lang w:val="fr-FR"/>
        </w:rPr>
        <w:t>espérance légitime du corps électoral de le voir accomplir le mandat de sénateur.</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58</w:t>
      </w:r>
      <w:r w:rsidRPr="00A92B5D">
        <w:rPr>
          <w:lang w:val="fr-FR"/>
        </w:rPr>
        <w:fldChar w:fldCharType="end"/>
      </w:r>
      <w:r w:rsidRPr="00A92B5D">
        <w:rPr>
          <w:lang w:val="fr-FR"/>
        </w:rPr>
        <w:t>.  En outre, le requérant considérait que l</w:t>
      </w:r>
      <w:r w:rsidR="00A92B5D" w:rsidRPr="00A92B5D">
        <w:rPr>
          <w:lang w:val="fr-FR"/>
        </w:rPr>
        <w:t>’</w:t>
      </w:r>
      <w:r w:rsidRPr="00A92B5D">
        <w:rPr>
          <w:lang w:val="fr-FR"/>
        </w:rPr>
        <w:t>absence en droit interne d</w:t>
      </w:r>
      <w:r w:rsidR="00A92B5D" w:rsidRPr="00A92B5D">
        <w:rPr>
          <w:lang w:val="fr-FR"/>
        </w:rPr>
        <w:t>’</w:t>
      </w:r>
      <w:r w:rsidRPr="00A92B5D">
        <w:rPr>
          <w:lang w:val="fr-FR"/>
        </w:rPr>
        <w:t>un recours accessible et effectif permettant de contester la compatibilité du décret législatif n</w:t>
      </w:r>
      <w:r w:rsidRPr="00A92B5D">
        <w:rPr>
          <w:vertAlign w:val="superscript"/>
          <w:lang w:val="fr-FR"/>
        </w:rPr>
        <w:t>o</w:t>
      </w:r>
      <w:r w:rsidRPr="00A92B5D">
        <w:rPr>
          <w:lang w:val="fr-FR"/>
        </w:rPr>
        <w:t> 235/2012 avec la Convention ainsi que la décision du Sénat du 27 novembre 2013 était contraire à l</w:t>
      </w:r>
      <w:r w:rsidR="00A92B5D" w:rsidRPr="00A92B5D">
        <w:rPr>
          <w:lang w:val="fr-FR"/>
        </w:rPr>
        <w:t>’</w:t>
      </w:r>
      <w:r w:rsidRPr="00A92B5D">
        <w:rPr>
          <w:lang w:val="fr-FR"/>
        </w:rPr>
        <w:t>article 13 de la Convention.</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59</w:t>
      </w:r>
      <w:r w:rsidRPr="00A92B5D">
        <w:rPr>
          <w:lang w:val="fr-FR"/>
        </w:rPr>
        <w:fldChar w:fldCharType="end"/>
      </w:r>
      <w:r w:rsidRPr="00A92B5D">
        <w:rPr>
          <w:lang w:val="fr-FR"/>
        </w:rPr>
        <w:t>.  Le requérant alléguait également la violation de l</w:t>
      </w:r>
      <w:r w:rsidR="00A92B5D" w:rsidRPr="00A92B5D">
        <w:rPr>
          <w:lang w:val="fr-FR"/>
        </w:rPr>
        <w:t>’</w:t>
      </w:r>
      <w:r w:rsidRPr="00A92B5D">
        <w:rPr>
          <w:lang w:val="fr-FR"/>
        </w:rPr>
        <w:t>article 3 du Protocole n</w:t>
      </w:r>
      <w:r w:rsidRPr="00A92B5D">
        <w:rPr>
          <w:vertAlign w:val="superscript"/>
          <w:lang w:val="fr-FR"/>
        </w:rPr>
        <w:t>o</w:t>
      </w:r>
      <w:r w:rsidRPr="00A92B5D">
        <w:rPr>
          <w:lang w:val="fr-FR"/>
        </w:rPr>
        <w:t xml:space="preserve"> 1 combiné avec l</w:t>
      </w:r>
      <w:r w:rsidR="00A92B5D" w:rsidRPr="00A92B5D">
        <w:rPr>
          <w:lang w:val="fr-FR"/>
        </w:rPr>
        <w:t>’</w:t>
      </w:r>
      <w:r w:rsidRPr="00A92B5D">
        <w:rPr>
          <w:lang w:val="fr-FR"/>
        </w:rPr>
        <w:t>article 14, sans en expliquer les motifs dans sa requête introductive. Par la suite, dans son mémoire du 31 juillet 2017, le requérant a indiqué qu</w:t>
      </w:r>
      <w:r w:rsidR="00A92B5D" w:rsidRPr="00A92B5D">
        <w:rPr>
          <w:lang w:val="fr-FR"/>
        </w:rPr>
        <w:t>’</w:t>
      </w:r>
      <w:r w:rsidRPr="00A92B5D">
        <w:rPr>
          <w:lang w:val="fr-FR"/>
        </w:rPr>
        <w:t>il lui fallait subir l</w:t>
      </w:r>
      <w:r w:rsidR="00A92B5D" w:rsidRPr="00A92B5D">
        <w:rPr>
          <w:lang w:val="fr-FR"/>
        </w:rPr>
        <w:t>’</w:t>
      </w:r>
      <w:r w:rsidRPr="00A92B5D">
        <w:rPr>
          <w:lang w:val="fr-FR"/>
        </w:rPr>
        <w:t>interdiction de se porter candidat aux élections pendant six ans au même titre qu</w:t>
      </w:r>
      <w:r w:rsidR="00A92B5D" w:rsidRPr="00A92B5D">
        <w:rPr>
          <w:lang w:val="fr-FR"/>
        </w:rPr>
        <w:t>’</w:t>
      </w:r>
      <w:r w:rsidRPr="00A92B5D">
        <w:rPr>
          <w:lang w:val="fr-FR"/>
        </w:rPr>
        <w:t>un individu qui se serait vu infliger une interdiction d</w:t>
      </w:r>
      <w:r w:rsidR="00A92B5D" w:rsidRPr="00A92B5D">
        <w:rPr>
          <w:lang w:val="fr-FR"/>
        </w:rPr>
        <w:t>’</w:t>
      </w:r>
      <w:r w:rsidRPr="00A92B5D">
        <w:rPr>
          <w:lang w:val="fr-FR"/>
        </w:rPr>
        <w:t>exercer des fonctions publiques plus sévère que la sienne, par exemple perpétuelle ou d</w:t>
      </w:r>
      <w:r w:rsidR="00A92B5D" w:rsidRPr="00A92B5D">
        <w:rPr>
          <w:lang w:val="fr-FR"/>
        </w:rPr>
        <w:t>’</w:t>
      </w:r>
      <w:r w:rsidRPr="00A92B5D">
        <w:rPr>
          <w:lang w:val="fr-FR"/>
        </w:rPr>
        <w:t>une durée de trois ans. Il en inférait que le décret l</w:t>
      </w:r>
      <w:r w:rsidRPr="00A92B5D">
        <w:rPr>
          <w:rFonts w:cstheme="minorHAnsi"/>
          <w:lang w:val="fr-FR"/>
        </w:rPr>
        <w:t>é</w:t>
      </w:r>
      <w:r w:rsidRPr="00A92B5D">
        <w:rPr>
          <w:lang w:val="fr-FR"/>
        </w:rPr>
        <w:t>gislatif en question portait atteinte à l</w:t>
      </w:r>
      <w:r w:rsidR="00A92B5D" w:rsidRPr="00A92B5D">
        <w:rPr>
          <w:lang w:val="fr-FR"/>
        </w:rPr>
        <w:t>’</w:t>
      </w:r>
      <w:r w:rsidRPr="00A92B5D">
        <w:rPr>
          <w:lang w:val="fr-FR"/>
        </w:rPr>
        <w:t>article 3 du Protocole n</w:t>
      </w:r>
      <w:r w:rsidRPr="00A92B5D">
        <w:rPr>
          <w:vertAlign w:val="superscript"/>
          <w:lang w:val="fr-FR"/>
        </w:rPr>
        <w:t>o</w:t>
      </w:r>
      <w:r w:rsidRPr="00A92B5D">
        <w:rPr>
          <w:lang w:val="fr-FR"/>
        </w:rPr>
        <w:t> 1 combiné avec l</w:t>
      </w:r>
      <w:r w:rsidR="00A92B5D" w:rsidRPr="00A92B5D">
        <w:rPr>
          <w:lang w:val="fr-FR"/>
        </w:rPr>
        <w:t>’</w:t>
      </w:r>
      <w:r w:rsidRPr="00A92B5D">
        <w:rPr>
          <w:lang w:val="fr-FR"/>
        </w:rPr>
        <w:t>article 14 de la Convention.</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60</w:t>
      </w:r>
      <w:r w:rsidRPr="00A92B5D">
        <w:rPr>
          <w:lang w:val="fr-FR"/>
        </w:rPr>
        <w:fldChar w:fldCharType="end"/>
      </w:r>
      <w:r w:rsidRPr="00A92B5D">
        <w:rPr>
          <w:lang w:val="fr-FR"/>
        </w:rPr>
        <w:t>.  </w:t>
      </w:r>
      <w:r w:rsidRPr="00A92B5D">
        <w:rPr>
          <w:rStyle w:val="ECHRParaChar"/>
          <w:lang w:val="fr-FR"/>
        </w:rPr>
        <w:t>Dans une lettre du 7 mai 2014, à la suite du dépôt, le 18 mars 2014, de l</w:t>
      </w:r>
      <w:r w:rsidR="00A92B5D" w:rsidRPr="00A92B5D">
        <w:rPr>
          <w:rStyle w:val="ECHRParaChar"/>
          <w:lang w:val="fr-FR"/>
        </w:rPr>
        <w:t>’</w:t>
      </w:r>
      <w:r w:rsidRPr="00A92B5D">
        <w:rPr>
          <w:rStyle w:val="ECHRParaChar"/>
          <w:lang w:val="fr-FR"/>
        </w:rPr>
        <w:t>arrêt par lequel la Cour de cassation avait confirmé la peine accessoire de l</w:t>
      </w:r>
      <w:r w:rsidR="00A92B5D" w:rsidRPr="00A92B5D">
        <w:rPr>
          <w:rStyle w:val="ECHRParaChar"/>
          <w:lang w:val="fr-FR"/>
        </w:rPr>
        <w:t>’</w:t>
      </w:r>
      <w:r w:rsidRPr="00A92B5D">
        <w:rPr>
          <w:rStyle w:val="ECHRParaChar"/>
          <w:lang w:val="fr-FR"/>
        </w:rPr>
        <w:t>interdiction temporaire d</w:t>
      </w:r>
      <w:r w:rsidR="00A92B5D" w:rsidRPr="00A92B5D">
        <w:rPr>
          <w:rStyle w:val="ECHRParaChar"/>
          <w:lang w:val="fr-FR"/>
        </w:rPr>
        <w:t>’</w:t>
      </w:r>
      <w:r w:rsidRPr="00A92B5D">
        <w:rPr>
          <w:rStyle w:val="ECHRParaChar"/>
          <w:lang w:val="fr-FR"/>
        </w:rPr>
        <w:t>exercer des fonctions publiques, le requérant a soulevé deux nouveaux griefs sur le terrain de l</w:t>
      </w:r>
      <w:r w:rsidR="00A92B5D" w:rsidRPr="00A92B5D">
        <w:rPr>
          <w:rStyle w:val="ECHRParaChar"/>
          <w:lang w:val="fr-FR"/>
        </w:rPr>
        <w:t>’</w:t>
      </w:r>
      <w:r w:rsidRPr="00A92B5D">
        <w:rPr>
          <w:rStyle w:val="ECHRParaChar"/>
          <w:lang w:val="fr-FR"/>
        </w:rPr>
        <w:t>article 4 du Protocole n</w:t>
      </w:r>
      <w:r w:rsidRPr="00A92B5D">
        <w:rPr>
          <w:rStyle w:val="ECHRParaChar"/>
          <w:vertAlign w:val="superscript"/>
          <w:lang w:val="fr-FR"/>
        </w:rPr>
        <w:t>o</w:t>
      </w:r>
      <w:r w:rsidRPr="00A92B5D">
        <w:rPr>
          <w:rStyle w:val="ECHRParaChar"/>
          <w:lang w:val="fr-FR"/>
        </w:rPr>
        <w:t> 7 et de l</w:t>
      </w:r>
      <w:r w:rsidR="00A92B5D" w:rsidRPr="00A92B5D">
        <w:rPr>
          <w:rStyle w:val="ECHRParaChar"/>
          <w:lang w:val="fr-FR"/>
        </w:rPr>
        <w:t>’</w:t>
      </w:r>
      <w:r w:rsidRPr="00A92B5D">
        <w:rPr>
          <w:rStyle w:val="ECHRParaChar"/>
          <w:lang w:val="fr-FR"/>
        </w:rPr>
        <w:t>article 6 § 1 de la Convention.</w:t>
      </w:r>
    </w:p>
    <w:p w:rsidR="00106980" w:rsidRPr="00A92B5D" w:rsidRDefault="00106980" w:rsidP="00A92B5D">
      <w:pPr>
        <w:pStyle w:val="ECHRTitle1"/>
        <w:rPr>
          <w:lang w:val="fr-FR"/>
        </w:rPr>
      </w:pPr>
      <w:r w:rsidRPr="00A92B5D">
        <w:rPr>
          <w:lang w:val="fr-FR"/>
        </w:rPr>
        <w:lastRenderedPageBreak/>
        <w:t>EN DROIT</w:t>
      </w:r>
    </w:p>
    <w:p w:rsidR="00106980" w:rsidRPr="00A92B5D" w:rsidRDefault="00106980" w:rsidP="00A92B5D">
      <w:pPr>
        <w:pStyle w:val="ECHRHeading2"/>
        <w:rPr>
          <w:rFonts w:eastAsiaTheme="minorHAnsi"/>
          <w:lang w:val="fr-FR"/>
        </w:rPr>
      </w:pPr>
      <w:r w:rsidRPr="00A92B5D">
        <w:rPr>
          <w:rFonts w:eastAsiaTheme="minorHAnsi"/>
          <w:lang w:val="fr-FR"/>
        </w:rPr>
        <w:t>Sur la demande de radiation du r</w:t>
      </w:r>
      <w:r w:rsidRPr="00A92B5D">
        <w:rPr>
          <w:rFonts w:eastAsiaTheme="minorHAnsi" w:cstheme="majorHAnsi"/>
          <w:lang w:val="fr-FR"/>
        </w:rPr>
        <w:t>ô</w:t>
      </w:r>
      <w:r w:rsidRPr="00A92B5D">
        <w:rPr>
          <w:rFonts w:eastAsiaTheme="minorHAnsi"/>
          <w:lang w:val="fr-FR"/>
        </w:rPr>
        <w:t>le</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61</w:t>
      </w:r>
      <w:r w:rsidRPr="00A92B5D">
        <w:rPr>
          <w:lang w:val="fr-FR"/>
        </w:rPr>
        <w:fldChar w:fldCharType="end"/>
      </w:r>
      <w:r w:rsidRPr="00A92B5D">
        <w:rPr>
          <w:lang w:val="fr-FR"/>
        </w:rPr>
        <w:t>.  </w:t>
      </w:r>
      <w:r w:rsidRPr="00A92B5D">
        <w:rPr>
          <w:rStyle w:val="ECHRParaChar"/>
          <w:lang w:val="fr-FR"/>
        </w:rPr>
        <w:t>Le 27 juillet 2018, le requérant a informé la Cour de son intention de ne plus maintenir sa requête et a demandé que celle-ci fût rayée du rôle. Il soutient notamment qu</w:t>
      </w:r>
      <w:r w:rsidR="00A92B5D" w:rsidRPr="00A92B5D">
        <w:rPr>
          <w:rStyle w:val="ECHRParaChar"/>
          <w:lang w:val="fr-FR"/>
        </w:rPr>
        <w:t>’</w:t>
      </w:r>
      <w:r w:rsidRPr="00A92B5D">
        <w:rPr>
          <w:rStyle w:val="ECHRParaChar"/>
          <w:lang w:val="fr-FR"/>
        </w:rPr>
        <w:t>en raison de sa réhabilitation (paragraphe 40 ci</w:t>
      </w:r>
      <w:r w:rsidRPr="00A92B5D">
        <w:rPr>
          <w:rStyle w:val="ECHRParaChar"/>
          <w:lang w:val="fr-FR"/>
        </w:rPr>
        <w:noBreakHyphen/>
        <w:t>dessus), la décision de la Cour sur sa requête n</w:t>
      </w:r>
      <w:r w:rsidR="00A92B5D" w:rsidRPr="00A92B5D">
        <w:rPr>
          <w:rStyle w:val="ECHRParaChar"/>
          <w:lang w:val="fr-FR"/>
        </w:rPr>
        <w:t>’</w:t>
      </w:r>
      <w:r w:rsidRPr="00A92B5D">
        <w:rPr>
          <w:rStyle w:val="ECHRParaChar"/>
          <w:lang w:val="fr-FR"/>
        </w:rPr>
        <w:t>aurait aucun effet utile compte tenu de la levée de l</w:t>
      </w:r>
      <w:r w:rsidR="00A92B5D" w:rsidRPr="00A92B5D">
        <w:rPr>
          <w:rStyle w:val="ECHRParaChar"/>
          <w:lang w:val="fr-FR"/>
        </w:rPr>
        <w:t>’</w:t>
      </w:r>
      <w:r w:rsidRPr="00A92B5D">
        <w:rPr>
          <w:rStyle w:val="ECHRParaChar"/>
          <w:lang w:val="fr-FR"/>
        </w:rPr>
        <w:t>interdiction de se porter candidat aux élections et de ce qu</w:t>
      </w:r>
      <w:r w:rsidR="00A92B5D" w:rsidRPr="00A92B5D">
        <w:rPr>
          <w:rStyle w:val="ECHRParaChar"/>
          <w:lang w:val="fr-FR"/>
        </w:rPr>
        <w:t>’</w:t>
      </w:r>
      <w:r w:rsidRPr="00A92B5D">
        <w:rPr>
          <w:rStyle w:val="ECHRParaChar"/>
          <w:lang w:val="fr-FR"/>
        </w:rPr>
        <w:t>aucune réparation adéquate ne saurait être obtenue, ni pour</w:t>
      </w:r>
      <w:r w:rsidRPr="00A92B5D">
        <w:rPr>
          <w:lang w:val="fr-FR"/>
        </w:rPr>
        <w:t xml:space="preserve"> </w:t>
      </w:r>
      <w:r w:rsidRPr="00A92B5D">
        <w:rPr>
          <w:rStyle w:val="ECHRParaChar"/>
          <w:lang w:val="fr-FR"/>
        </w:rPr>
        <w:t>l</w:t>
      </w:r>
      <w:r w:rsidR="00A92B5D" w:rsidRPr="00A92B5D">
        <w:rPr>
          <w:rStyle w:val="ECHRParaChar"/>
          <w:lang w:val="fr-FR"/>
        </w:rPr>
        <w:t>’</w:t>
      </w:r>
      <w:proofErr w:type="spellStart"/>
      <w:r w:rsidRPr="00A92B5D">
        <w:rPr>
          <w:rStyle w:val="ECHRParaChar"/>
          <w:i/>
          <w:lang w:val="fr-FR"/>
        </w:rPr>
        <w:t>incandidabilità</w:t>
      </w:r>
      <w:proofErr w:type="spellEnd"/>
      <w:r w:rsidRPr="00A92B5D">
        <w:rPr>
          <w:lang w:val="fr-FR"/>
        </w:rPr>
        <w:t xml:space="preserve"> </w:t>
      </w:r>
      <w:r w:rsidRPr="00A92B5D">
        <w:rPr>
          <w:rStyle w:val="ECHRParaChar"/>
          <w:lang w:val="fr-FR"/>
        </w:rPr>
        <w:t>ni pour la perte du mandat de sénateur. Il demande à la Cour de rayer l</w:t>
      </w:r>
      <w:r w:rsidR="00A92B5D" w:rsidRPr="00A92B5D">
        <w:rPr>
          <w:rStyle w:val="ECHRParaChar"/>
          <w:lang w:val="fr-FR"/>
        </w:rPr>
        <w:t>’</w:t>
      </w:r>
      <w:r w:rsidRPr="00A92B5D">
        <w:rPr>
          <w:rStyle w:val="ECHRParaChar"/>
          <w:lang w:val="fr-FR"/>
        </w:rPr>
        <w:t>affaire du rôle en application de l</w:t>
      </w:r>
      <w:r w:rsidR="00A92B5D" w:rsidRPr="00A92B5D">
        <w:rPr>
          <w:rStyle w:val="ECHRParaChar"/>
          <w:lang w:val="fr-FR"/>
        </w:rPr>
        <w:t>’</w:t>
      </w:r>
      <w:r w:rsidRPr="00A92B5D">
        <w:rPr>
          <w:rStyle w:val="ECHRParaChar"/>
          <w:lang w:val="fr-FR"/>
        </w:rPr>
        <w:t>article 37 § 1 a) et b) de la Convention.</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62</w:t>
      </w:r>
      <w:r w:rsidRPr="00A92B5D">
        <w:rPr>
          <w:lang w:val="fr-FR"/>
        </w:rPr>
        <w:fldChar w:fldCharType="end"/>
      </w:r>
      <w:r w:rsidRPr="00A92B5D">
        <w:rPr>
          <w:lang w:val="fr-FR"/>
        </w:rPr>
        <w:t>.  </w:t>
      </w:r>
      <w:r w:rsidRPr="00A92B5D">
        <w:rPr>
          <w:rStyle w:val="ECHRParaChar"/>
          <w:lang w:val="fr-FR"/>
        </w:rPr>
        <w:t>Le 10 août 2018, le Gouvernement a indiqué qu</w:t>
      </w:r>
      <w:r w:rsidR="00A92B5D" w:rsidRPr="00A92B5D">
        <w:rPr>
          <w:rStyle w:val="ECHRParaChar"/>
          <w:lang w:val="fr-FR"/>
        </w:rPr>
        <w:t>’</w:t>
      </w:r>
      <w:r w:rsidRPr="00A92B5D">
        <w:rPr>
          <w:rStyle w:val="ECHRParaChar"/>
          <w:lang w:val="fr-FR"/>
        </w:rPr>
        <w:t>il s</w:t>
      </w:r>
      <w:r w:rsidR="00A92B5D" w:rsidRPr="00A92B5D">
        <w:rPr>
          <w:rStyle w:val="ECHRParaChar"/>
          <w:lang w:val="fr-FR"/>
        </w:rPr>
        <w:t>’</w:t>
      </w:r>
      <w:r w:rsidRPr="00A92B5D">
        <w:rPr>
          <w:rStyle w:val="ECHRParaChar"/>
          <w:lang w:val="fr-FR"/>
        </w:rPr>
        <w:t>en remettait à la décision de la Cour.</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63</w:t>
      </w:r>
      <w:r w:rsidRPr="00A92B5D">
        <w:rPr>
          <w:lang w:val="fr-FR"/>
        </w:rPr>
        <w:fldChar w:fldCharType="end"/>
      </w:r>
      <w:r w:rsidRPr="00A92B5D">
        <w:rPr>
          <w:lang w:val="fr-FR"/>
        </w:rPr>
        <w:t>.  </w:t>
      </w:r>
      <w:r w:rsidRPr="00A92B5D">
        <w:rPr>
          <w:rStyle w:val="ECHRParaChar"/>
          <w:lang w:val="fr-FR"/>
        </w:rPr>
        <w:t>L</w:t>
      </w:r>
      <w:r w:rsidR="00A92B5D" w:rsidRPr="00A92B5D">
        <w:rPr>
          <w:rStyle w:val="ECHRParaChar"/>
          <w:lang w:val="fr-FR"/>
        </w:rPr>
        <w:t>’</w:t>
      </w:r>
      <w:r w:rsidRPr="00A92B5D">
        <w:rPr>
          <w:rStyle w:val="ECHRParaChar"/>
          <w:lang w:val="fr-FR"/>
        </w:rPr>
        <w:t>article 37 § 1 de la Convention se lit comme suit :</w:t>
      </w:r>
    </w:p>
    <w:p w:rsidR="00106980" w:rsidRPr="00A92B5D" w:rsidRDefault="00106980" w:rsidP="00A92B5D">
      <w:pPr>
        <w:pStyle w:val="ECHRParaQuote"/>
        <w:rPr>
          <w:lang w:val="fr-FR"/>
        </w:rPr>
      </w:pPr>
      <w:r w:rsidRPr="00A92B5D">
        <w:rPr>
          <w:lang w:val="fr-FR"/>
        </w:rPr>
        <w:t>« À tout moment de la procédure, la Cour peut décider de rayer une requête du rôle lorsque les circonstances permettent de conclure</w:t>
      </w:r>
    </w:p>
    <w:p w:rsidR="00106980" w:rsidRPr="00A92B5D" w:rsidRDefault="00106980" w:rsidP="00A92B5D">
      <w:pPr>
        <w:pStyle w:val="ECHRParaQuote"/>
        <w:rPr>
          <w:lang w:val="fr-FR"/>
        </w:rPr>
      </w:pPr>
      <w:r w:rsidRPr="00A92B5D">
        <w:rPr>
          <w:lang w:val="fr-FR"/>
        </w:rPr>
        <w:t>a) que le requérant n</w:t>
      </w:r>
      <w:r w:rsidR="00A92B5D" w:rsidRPr="00A92B5D">
        <w:rPr>
          <w:lang w:val="fr-FR"/>
        </w:rPr>
        <w:t>’</w:t>
      </w:r>
      <w:r w:rsidRPr="00A92B5D">
        <w:rPr>
          <w:lang w:val="fr-FR"/>
        </w:rPr>
        <w:t>entend plus la maintenir ; ou</w:t>
      </w:r>
    </w:p>
    <w:p w:rsidR="00106980" w:rsidRPr="00A92B5D" w:rsidRDefault="00106980" w:rsidP="00A92B5D">
      <w:pPr>
        <w:pStyle w:val="ECHRParaQuote"/>
        <w:rPr>
          <w:lang w:val="fr-FR"/>
        </w:rPr>
      </w:pPr>
      <w:r w:rsidRPr="00A92B5D">
        <w:rPr>
          <w:lang w:val="fr-FR"/>
        </w:rPr>
        <w:t>b) que le litige a été résolu ; ou</w:t>
      </w:r>
    </w:p>
    <w:p w:rsidR="00106980" w:rsidRPr="00A92B5D" w:rsidRDefault="00106980" w:rsidP="00A92B5D">
      <w:pPr>
        <w:pStyle w:val="ECHRParaQuote"/>
        <w:rPr>
          <w:lang w:val="fr-FR"/>
        </w:rPr>
      </w:pPr>
      <w:r w:rsidRPr="00A92B5D">
        <w:rPr>
          <w:lang w:val="fr-FR"/>
        </w:rPr>
        <w:t>c) que, pour tout autre motif dont la Cour constate l</w:t>
      </w:r>
      <w:r w:rsidR="00A92B5D" w:rsidRPr="00A92B5D">
        <w:rPr>
          <w:lang w:val="fr-FR"/>
        </w:rPr>
        <w:t>’</w:t>
      </w:r>
      <w:r w:rsidRPr="00A92B5D">
        <w:rPr>
          <w:lang w:val="fr-FR"/>
        </w:rPr>
        <w:t>existence, il ne se justifie plus de poursuivre l</w:t>
      </w:r>
      <w:r w:rsidR="00A92B5D" w:rsidRPr="00A92B5D">
        <w:rPr>
          <w:lang w:val="fr-FR"/>
        </w:rPr>
        <w:t>’</w:t>
      </w:r>
      <w:r w:rsidRPr="00A92B5D">
        <w:rPr>
          <w:lang w:val="fr-FR"/>
        </w:rPr>
        <w:t>examen de la requête.</w:t>
      </w:r>
    </w:p>
    <w:p w:rsidR="00106980" w:rsidRPr="00A92B5D" w:rsidRDefault="00106980" w:rsidP="00A92B5D">
      <w:pPr>
        <w:pStyle w:val="ECHRParaQuote"/>
        <w:rPr>
          <w:lang w:val="fr-FR"/>
        </w:rPr>
      </w:pPr>
      <w:r w:rsidRPr="00A92B5D">
        <w:rPr>
          <w:lang w:val="fr-FR"/>
        </w:rPr>
        <w:t>Toutefois, la Cour poursuit l</w:t>
      </w:r>
      <w:r w:rsidR="00A92B5D" w:rsidRPr="00A92B5D">
        <w:rPr>
          <w:lang w:val="fr-FR"/>
        </w:rPr>
        <w:t>’</w:t>
      </w:r>
      <w:r w:rsidRPr="00A92B5D">
        <w:rPr>
          <w:lang w:val="fr-FR"/>
        </w:rPr>
        <w:t>examen de la requête si le respect des droits de l</w:t>
      </w:r>
      <w:r w:rsidR="00A92B5D" w:rsidRPr="00A92B5D">
        <w:rPr>
          <w:lang w:val="fr-FR"/>
        </w:rPr>
        <w:t>’</w:t>
      </w:r>
      <w:r w:rsidRPr="00A92B5D">
        <w:rPr>
          <w:lang w:val="fr-FR"/>
        </w:rPr>
        <w:t>homme garantis par la Convention et ses Protocoles l</w:t>
      </w:r>
      <w:r w:rsidR="00A92B5D" w:rsidRPr="00A92B5D">
        <w:rPr>
          <w:lang w:val="fr-FR"/>
        </w:rPr>
        <w:t>’</w:t>
      </w:r>
      <w:r w:rsidRPr="00A92B5D">
        <w:rPr>
          <w:lang w:val="fr-FR"/>
        </w:rPr>
        <w:t>exige. »</w:t>
      </w:r>
    </w:p>
    <w:p w:rsidR="00106980" w:rsidRPr="00A92B5D" w:rsidRDefault="00106980" w:rsidP="00A92B5D">
      <w:pPr>
        <w:ind w:firstLine="284"/>
        <w:rPr>
          <w:rStyle w:val="ECHRParaCha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64</w:t>
      </w:r>
      <w:r w:rsidRPr="00A92B5D">
        <w:rPr>
          <w:lang w:val="fr-FR"/>
        </w:rPr>
        <w:fldChar w:fldCharType="end"/>
      </w:r>
      <w:r w:rsidRPr="00A92B5D">
        <w:rPr>
          <w:lang w:val="fr-FR"/>
        </w:rPr>
        <w:t>.  </w:t>
      </w:r>
      <w:r w:rsidRPr="00A92B5D">
        <w:rPr>
          <w:rStyle w:val="ECHRParaChar"/>
          <w:lang w:val="fr-FR"/>
        </w:rPr>
        <w:t>La Cour note que le requérant a explicitement déclaré ne pas vouloir maintenir sa requête, au sens de l</w:t>
      </w:r>
      <w:r w:rsidR="00A92B5D" w:rsidRPr="00A92B5D">
        <w:rPr>
          <w:rStyle w:val="ECHRParaChar"/>
          <w:lang w:val="fr-FR"/>
        </w:rPr>
        <w:t>’</w:t>
      </w:r>
      <w:r w:rsidRPr="00A92B5D">
        <w:rPr>
          <w:rStyle w:val="ECHRParaChar"/>
          <w:lang w:val="fr-FR"/>
        </w:rPr>
        <w:t>article 37 § 1 a) de la Convention.</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65</w:t>
      </w:r>
      <w:r w:rsidRPr="00A92B5D">
        <w:rPr>
          <w:lang w:val="fr-FR"/>
        </w:rPr>
        <w:fldChar w:fldCharType="end"/>
      </w:r>
      <w:r w:rsidRPr="00A92B5D">
        <w:rPr>
          <w:lang w:val="fr-FR"/>
        </w:rPr>
        <w:t>.  </w:t>
      </w:r>
      <w:r w:rsidRPr="00A92B5D">
        <w:rPr>
          <w:rStyle w:val="ECHRParaChar"/>
          <w:lang w:val="fr-FR"/>
        </w:rPr>
        <w:t>Elle estime que le souhait du requérant de renoncer à la procédure engagée devant la Cour est établi de manière non équivoque</w:t>
      </w:r>
      <w:r w:rsidRPr="00A92B5D">
        <w:rPr>
          <w:lang w:val="fr-FR"/>
        </w:rPr>
        <w:t xml:space="preserve"> (</w:t>
      </w:r>
      <w:r w:rsidRPr="00A92B5D">
        <w:rPr>
          <w:rStyle w:val="ECHRParaChar"/>
          <w:i/>
          <w:lang w:val="fr-FR"/>
        </w:rPr>
        <w:t xml:space="preserve">Association SOS Attentats et de </w:t>
      </w:r>
      <w:proofErr w:type="spellStart"/>
      <w:r w:rsidRPr="00A92B5D">
        <w:rPr>
          <w:rStyle w:val="ECHRParaChar"/>
          <w:i/>
          <w:lang w:val="fr-FR"/>
        </w:rPr>
        <w:t>Boëry</w:t>
      </w:r>
      <w:proofErr w:type="spellEnd"/>
      <w:r w:rsidRPr="00A92B5D">
        <w:rPr>
          <w:rStyle w:val="ECHRParaChar"/>
          <w:i/>
          <w:lang w:val="fr-FR"/>
        </w:rPr>
        <w:t xml:space="preserve"> c. France </w:t>
      </w:r>
      <w:r w:rsidRPr="00A92B5D">
        <w:rPr>
          <w:rStyle w:val="ECHRParaChar"/>
          <w:lang w:val="fr-FR"/>
        </w:rPr>
        <w:t>[GC], (déc.), n</w:t>
      </w:r>
      <w:r w:rsidRPr="00A92B5D">
        <w:rPr>
          <w:rStyle w:val="ECHRParaChar"/>
          <w:vertAlign w:val="superscript"/>
          <w:lang w:val="fr-FR"/>
        </w:rPr>
        <w:t>o</w:t>
      </w:r>
      <w:r w:rsidRPr="00A92B5D">
        <w:rPr>
          <w:rStyle w:val="ECHRParaChar"/>
          <w:lang w:val="fr-FR"/>
        </w:rPr>
        <w:t xml:space="preserve"> 76642/01, § 30, CEDH 2006</w:t>
      </w:r>
      <w:r w:rsidRPr="00A92B5D">
        <w:rPr>
          <w:rStyle w:val="ECHRParaChar"/>
          <w:lang w:val="fr-FR"/>
        </w:rPr>
        <w:noBreakHyphen/>
        <w:t>XIV). Conformément à l</w:t>
      </w:r>
      <w:r w:rsidR="00A92B5D" w:rsidRPr="00A92B5D">
        <w:rPr>
          <w:rStyle w:val="ECHRParaChar"/>
          <w:lang w:val="fr-FR"/>
        </w:rPr>
        <w:t>’</w:t>
      </w:r>
      <w:r w:rsidRPr="00A92B5D">
        <w:rPr>
          <w:rStyle w:val="ECHRParaChar"/>
          <w:lang w:val="fr-FR"/>
        </w:rPr>
        <w:t>article 37 § 1 a) de la Convention, la Cour conclut que le requérant n</w:t>
      </w:r>
      <w:r w:rsidR="00A92B5D" w:rsidRPr="00A92B5D">
        <w:rPr>
          <w:rStyle w:val="ECHRParaChar"/>
          <w:lang w:val="fr-FR"/>
        </w:rPr>
        <w:t>’</w:t>
      </w:r>
      <w:r w:rsidRPr="00A92B5D">
        <w:rPr>
          <w:rStyle w:val="ECHRParaChar"/>
          <w:lang w:val="fr-FR"/>
        </w:rPr>
        <w:t>entend plus maintenir sa requête.</w:t>
      </w:r>
    </w:p>
    <w:p w:rsidR="00106980" w:rsidRPr="00A92B5D" w:rsidRDefault="00106980" w:rsidP="00A92B5D">
      <w:pPr>
        <w:pStyle w:val="ECHRPara"/>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66</w:t>
      </w:r>
      <w:r w:rsidRPr="00A92B5D">
        <w:rPr>
          <w:lang w:val="fr-FR"/>
        </w:rPr>
        <w:fldChar w:fldCharType="end"/>
      </w:r>
      <w:r w:rsidRPr="00A92B5D">
        <w:rPr>
          <w:lang w:val="fr-FR"/>
        </w:rPr>
        <w:t>.  Par conséquent, il n</w:t>
      </w:r>
      <w:r w:rsidR="00A92B5D" w:rsidRPr="00A92B5D">
        <w:rPr>
          <w:lang w:val="fr-FR"/>
        </w:rPr>
        <w:t>’</w:t>
      </w:r>
      <w:r w:rsidRPr="00A92B5D">
        <w:rPr>
          <w:lang w:val="fr-FR"/>
        </w:rPr>
        <w:t>y a pas lieu de rechercher si le litige a été résolu au sens de l</w:t>
      </w:r>
      <w:r w:rsidR="00A92B5D" w:rsidRPr="00A92B5D">
        <w:rPr>
          <w:lang w:val="fr-FR"/>
        </w:rPr>
        <w:t>’</w:t>
      </w:r>
      <w:r w:rsidRPr="00A92B5D">
        <w:rPr>
          <w:lang w:val="fr-FR"/>
        </w:rPr>
        <w:t>article 37 § 1 b) de la Convention.</w:t>
      </w:r>
    </w:p>
    <w:p w:rsidR="00106980" w:rsidRPr="00A92B5D" w:rsidRDefault="00106980" w:rsidP="00A92B5D">
      <w:pPr>
        <w:pStyle w:val="ECHRPara"/>
        <w:rPr>
          <w:rFonts w:cstheme="minorHAnsi"/>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67</w:t>
      </w:r>
      <w:r w:rsidRPr="00A92B5D">
        <w:rPr>
          <w:lang w:val="fr-FR"/>
        </w:rPr>
        <w:fldChar w:fldCharType="end"/>
      </w:r>
      <w:r w:rsidRPr="00A92B5D">
        <w:rPr>
          <w:lang w:val="fr-FR"/>
        </w:rPr>
        <w:t xml:space="preserve">.  Il reste </w:t>
      </w:r>
      <w:r w:rsidRPr="00A92B5D">
        <w:rPr>
          <w:rFonts w:cstheme="minorHAnsi"/>
          <w:lang w:val="fr-FR"/>
        </w:rPr>
        <w:t>à</w:t>
      </w:r>
      <w:r w:rsidRPr="00A92B5D">
        <w:rPr>
          <w:lang w:val="fr-FR"/>
        </w:rPr>
        <w:t xml:space="preserve"> déterminer s</w:t>
      </w:r>
      <w:r w:rsidR="00A92B5D" w:rsidRPr="00A92B5D">
        <w:rPr>
          <w:lang w:val="fr-FR"/>
        </w:rPr>
        <w:t>’</w:t>
      </w:r>
      <w:r w:rsidRPr="00A92B5D">
        <w:rPr>
          <w:lang w:val="fr-FR"/>
        </w:rPr>
        <w:t>il existe des circonstances sp</w:t>
      </w:r>
      <w:r w:rsidRPr="00A92B5D">
        <w:rPr>
          <w:rFonts w:cstheme="minorHAnsi"/>
          <w:lang w:val="fr-FR"/>
        </w:rPr>
        <w:t>é</w:t>
      </w:r>
      <w:r w:rsidRPr="00A92B5D">
        <w:rPr>
          <w:lang w:val="fr-FR"/>
        </w:rPr>
        <w:t>ciales touchant au respect des droits de l</w:t>
      </w:r>
      <w:r w:rsidR="00A92B5D" w:rsidRPr="00A92B5D">
        <w:rPr>
          <w:lang w:val="fr-FR"/>
        </w:rPr>
        <w:t>’</w:t>
      </w:r>
      <w:r w:rsidRPr="00A92B5D">
        <w:rPr>
          <w:lang w:val="fr-FR"/>
        </w:rPr>
        <w:t>homme garantis par la Convention et ses Protocoles qui exigent la poursuite de l</w:t>
      </w:r>
      <w:r w:rsidR="00A92B5D" w:rsidRPr="00A92B5D">
        <w:rPr>
          <w:lang w:val="fr-FR"/>
        </w:rPr>
        <w:t>’</w:t>
      </w:r>
      <w:r w:rsidRPr="00A92B5D">
        <w:rPr>
          <w:lang w:val="fr-FR"/>
        </w:rPr>
        <w:t>examen de la requ</w:t>
      </w:r>
      <w:r w:rsidRPr="00A92B5D">
        <w:rPr>
          <w:rFonts w:cstheme="minorHAnsi"/>
          <w:lang w:val="fr-FR"/>
        </w:rPr>
        <w:t>ê</w:t>
      </w:r>
      <w:r w:rsidRPr="00A92B5D">
        <w:rPr>
          <w:lang w:val="fr-FR"/>
        </w:rPr>
        <w:t>te (article 37</w:t>
      </w:r>
      <w:r w:rsidRPr="00A92B5D">
        <w:rPr>
          <w:rFonts w:cstheme="minorHAnsi"/>
          <w:lang w:val="fr-FR"/>
        </w:rPr>
        <w:t xml:space="preserve"> § 1 </w:t>
      </w:r>
      <w:r w:rsidRPr="00A92B5D">
        <w:rPr>
          <w:i/>
          <w:lang w:val="fr-FR"/>
        </w:rPr>
        <w:t>in fine</w:t>
      </w:r>
      <w:r w:rsidRPr="00A92B5D">
        <w:rPr>
          <w:lang w:val="fr-FR"/>
        </w:rPr>
        <w:t>)</w:t>
      </w:r>
      <w:r w:rsidRPr="00A92B5D">
        <w:rPr>
          <w:rFonts w:cstheme="minorHAnsi"/>
          <w:lang w:val="fr-FR"/>
        </w:rPr>
        <w:t>.</w:t>
      </w:r>
    </w:p>
    <w:p w:rsidR="00106980" w:rsidRPr="00A92B5D" w:rsidRDefault="00106980" w:rsidP="00A92B5D">
      <w:pPr>
        <w:ind w:firstLine="284"/>
        <w:rPr>
          <w:i/>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68</w:t>
      </w:r>
      <w:r w:rsidRPr="00A92B5D">
        <w:rPr>
          <w:lang w:val="fr-FR"/>
        </w:rPr>
        <w:fldChar w:fldCharType="end"/>
      </w:r>
      <w:r w:rsidRPr="00A92B5D">
        <w:rPr>
          <w:lang w:val="fr-FR"/>
        </w:rPr>
        <w:t>.  </w:t>
      </w:r>
      <w:r w:rsidRPr="00A92B5D">
        <w:rPr>
          <w:rStyle w:val="ECHRParaChar"/>
          <w:lang w:val="fr-FR"/>
        </w:rPr>
        <w:t>Pour déterminer s</w:t>
      </w:r>
      <w:r w:rsidR="00A92B5D" w:rsidRPr="00A92B5D">
        <w:rPr>
          <w:rStyle w:val="ECHRParaChar"/>
          <w:lang w:val="fr-FR"/>
        </w:rPr>
        <w:t>’</w:t>
      </w:r>
      <w:r w:rsidRPr="00A92B5D">
        <w:rPr>
          <w:rStyle w:val="ECHRParaChar"/>
          <w:lang w:val="fr-FR"/>
        </w:rPr>
        <w:t>il y a lieu de poursuivre l</w:t>
      </w:r>
      <w:r w:rsidR="00A92B5D" w:rsidRPr="00A92B5D">
        <w:rPr>
          <w:rStyle w:val="ECHRParaChar"/>
          <w:lang w:val="fr-FR"/>
        </w:rPr>
        <w:t>’</w:t>
      </w:r>
      <w:r w:rsidRPr="00A92B5D">
        <w:rPr>
          <w:rStyle w:val="ECHRParaChar"/>
          <w:lang w:val="fr-FR"/>
        </w:rPr>
        <w:t>examen d</w:t>
      </w:r>
      <w:r w:rsidR="00A92B5D" w:rsidRPr="00A92B5D">
        <w:rPr>
          <w:rStyle w:val="ECHRParaChar"/>
          <w:lang w:val="fr-FR"/>
        </w:rPr>
        <w:t>’</w:t>
      </w:r>
      <w:r w:rsidRPr="00A92B5D">
        <w:rPr>
          <w:rStyle w:val="ECHRParaChar"/>
          <w:lang w:val="fr-FR"/>
        </w:rPr>
        <w:t>une requête conformément à l</w:t>
      </w:r>
      <w:r w:rsidR="00A92B5D" w:rsidRPr="00A92B5D">
        <w:rPr>
          <w:rStyle w:val="ECHRParaChar"/>
          <w:lang w:val="fr-FR"/>
        </w:rPr>
        <w:t>’</w:t>
      </w:r>
      <w:r w:rsidRPr="00A92B5D">
        <w:rPr>
          <w:rStyle w:val="ECHRParaChar"/>
          <w:lang w:val="fr-FR"/>
        </w:rPr>
        <w:t>article 37 § 1</w:t>
      </w:r>
      <w:r w:rsidRPr="00A92B5D">
        <w:rPr>
          <w:lang w:val="fr-FR"/>
        </w:rPr>
        <w:t xml:space="preserve"> </w:t>
      </w:r>
      <w:r w:rsidRPr="00A92B5D">
        <w:rPr>
          <w:rStyle w:val="ECHRParaChar"/>
          <w:i/>
          <w:lang w:val="fr-FR"/>
        </w:rPr>
        <w:t>in fine</w:t>
      </w:r>
      <w:r w:rsidRPr="00A92B5D">
        <w:rPr>
          <w:lang w:val="fr-FR"/>
        </w:rPr>
        <w:t xml:space="preserve">, </w:t>
      </w:r>
      <w:r w:rsidRPr="00A92B5D">
        <w:rPr>
          <w:rStyle w:val="ECHRParaChar"/>
          <w:lang w:val="fr-FR"/>
        </w:rPr>
        <w:t>la Cour prend en compte, entre autres, la question de savoir si l</w:t>
      </w:r>
      <w:r w:rsidR="00A92B5D" w:rsidRPr="00A92B5D">
        <w:rPr>
          <w:rStyle w:val="ECHRParaChar"/>
          <w:lang w:val="fr-FR"/>
        </w:rPr>
        <w:t>’</w:t>
      </w:r>
      <w:r w:rsidRPr="00A92B5D">
        <w:rPr>
          <w:rStyle w:val="ECHRParaChar"/>
          <w:lang w:val="fr-FR"/>
        </w:rPr>
        <w:t>affaire soulève d</w:t>
      </w:r>
      <w:r w:rsidR="00A92B5D" w:rsidRPr="00A92B5D">
        <w:rPr>
          <w:rStyle w:val="ECHRParaChar"/>
          <w:lang w:val="fr-FR"/>
        </w:rPr>
        <w:t>’</w:t>
      </w:r>
      <w:r w:rsidRPr="00A92B5D">
        <w:rPr>
          <w:rStyle w:val="ECHRParaChar"/>
          <w:lang w:val="fr-FR"/>
        </w:rPr>
        <w:t xml:space="preserve">importantes questions qui permettraient de clarifier, sauvegarder et développer les normes de protection prévues par la Convention </w:t>
      </w:r>
      <w:r w:rsidRPr="00A92B5D">
        <w:rPr>
          <w:lang w:val="fr-FR"/>
        </w:rPr>
        <w:t>(</w:t>
      </w:r>
      <w:r w:rsidRPr="00A92B5D">
        <w:rPr>
          <w:rStyle w:val="ECHRParaChar"/>
          <w:i/>
          <w:lang w:val="fr-FR"/>
        </w:rPr>
        <w:t xml:space="preserve">Konstantin </w:t>
      </w:r>
      <w:proofErr w:type="spellStart"/>
      <w:r w:rsidRPr="00A92B5D">
        <w:rPr>
          <w:rStyle w:val="ECHRParaChar"/>
          <w:i/>
          <w:lang w:val="fr-FR"/>
        </w:rPr>
        <w:t>Markin</w:t>
      </w:r>
      <w:proofErr w:type="spellEnd"/>
      <w:r w:rsidRPr="00A92B5D">
        <w:rPr>
          <w:rStyle w:val="ECHRParaChar"/>
          <w:i/>
          <w:lang w:val="fr-FR"/>
        </w:rPr>
        <w:t xml:space="preserve"> c. Russie</w:t>
      </w:r>
      <w:r w:rsidRPr="00A92B5D">
        <w:rPr>
          <w:i/>
          <w:lang w:val="fr-FR"/>
        </w:rPr>
        <w:t xml:space="preserve"> </w:t>
      </w:r>
      <w:r w:rsidRPr="00A92B5D">
        <w:rPr>
          <w:rStyle w:val="ECHRParaChar"/>
          <w:lang w:val="fr-FR"/>
        </w:rPr>
        <w:t>[GC</w:t>
      </w:r>
      <w:r w:rsidRPr="00A92B5D">
        <w:rPr>
          <w:lang w:val="fr-FR"/>
        </w:rPr>
        <w:t xml:space="preserve">], </w:t>
      </w:r>
      <w:r w:rsidRPr="00A92B5D">
        <w:rPr>
          <w:rStyle w:val="ECHRParaChar"/>
          <w:lang w:val="fr-FR"/>
        </w:rPr>
        <w:lastRenderedPageBreak/>
        <w:t>n</w:t>
      </w:r>
      <w:r w:rsidRPr="00A92B5D">
        <w:rPr>
          <w:rStyle w:val="ECHRParaChar"/>
          <w:vertAlign w:val="superscript"/>
          <w:lang w:val="fr-FR"/>
        </w:rPr>
        <w:t>o</w:t>
      </w:r>
      <w:r w:rsidRPr="00A92B5D">
        <w:rPr>
          <w:rStyle w:val="ECHRParaChar"/>
          <w:lang w:val="fr-FR"/>
        </w:rPr>
        <w:t> 30078/06, §§ 89-90, CEDH 2012 (extraits)) ou si l</w:t>
      </w:r>
      <w:r w:rsidR="00A92B5D" w:rsidRPr="00A92B5D">
        <w:rPr>
          <w:rStyle w:val="ECHRParaChar"/>
          <w:lang w:val="fr-FR"/>
        </w:rPr>
        <w:t>’</w:t>
      </w:r>
      <w:r w:rsidRPr="00A92B5D">
        <w:rPr>
          <w:rStyle w:val="ECHRParaChar"/>
          <w:lang w:val="fr-FR"/>
        </w:rPr>
        <w:t>affaire, par son impact, dépasse la situation particulière du requérant</w:t>
      </w:r>
      <w:r w:rsidRPr="00A92B5D">
        <w:rPr>
          <w:lang w:val="fr-FR"/>
        </w:rPr>
        <w:t xml:space="preserve"> (</w:t>
      </w:r>
      <w:r w:rsidRPr="00A92B5D">
        <w:rPr>
          <w:rStyle w:val="ECHRParaChar"/>
          <w:i/>
          <w:lang w:val="fr-FR"/>
        </w:rPr>
        <w:t>F.G. c. Suède</w:t>
      </w:r>
      <w:r w:rsidRPr="00A92B5D">
        <w:rPr>
          <w:lang w:val="fr-FR"/>
        </w:rPr>
        <w:t xml:space="preserve"> [GC], </w:t>
      </w:r>
      <w:r w:rsidRPr="00A92B5D">
        <w:rPr>
          <w:rStyle w:val="ECHRParaChar"/>
          <w:lang w:val="fr-FR"/>
        </w:rPr>
        <w:t>n</w:t>
      </w:r>
      <w:r w:rsidRPr="00A92B5D">
        <w:rPr>
          <w:rStyle w:val="ECHRParaChar"/>
          <w:vertAlign w:val="superscript"/>
          <w:lang w:val="fr-FR"/>
        </w:rPr>
        <w:t>o</w:t>
      </w:r>
      <w:r w:rsidRPr="00A92B5D">
        <w:rPr>
          <w:rStyle w:val="ECHRParaChar"/>
          <w:lang w:val="fr-FR"/>
        </w:rPr>
        <w:t xml:space="preserve"> 43611/11, §§ 81-82, 23 mars 2016, et,</w:t>
      </w:r>
      <w:r w:rsidRPr="00A92B5D">
        <w:rPr>
          <w:lang w:val="fr-FR"/>
        </w:rPr>
        <w:t xml:space="preserve"> </w:t>
      </w:r>
      <w:r w:rsidRPr="00A92B5D">
        <w:rPr>
          <w:rStyle w:val="ECHRParaChar"/>
          <w:i/>
          <w:lang w:val="fr-FR"/>
        </w:rPr>
        <w:t>a contrario, Khan c. Allemagne</w:t>
      </w:r>
      <w:r w:rsidRPr="00A92B5D">
        <w:rPr>
          <w:lang w:val="fr-FR"/>
        </w:rPr>
        <w:t xml:space="preserve"> </w:t>
      </w:r>
      <w:r w:rsidRPr="00A92B5D">
        <w:rPr>
          <w:rStyle w:val="ECHRParaChar"/>
          <w:lang w:val="fr-FR"/>
        </w:rPr>
        <w:t>[GC] (radiation), n</w:t>
      </w:r>
      <w:r w:rsidRPr="00A92B5D">
        <w:rPr>
          <w:rStyle w:val="ECHRParaChar"/>
          <w:vertAlign w:val="superscript"/>
          <w:lang w:val="fr-FR"/>
        </w:rPr>
        <w:t>o</w:t>
      </w:r>
      <w:r w:rsidRPr="00A92B5D">
        <w:rPr>
          <w:rStyle w:val="ECHRParaChar"/>
          <w:lang w:val="fr-FR"/>
        </w:rPr>
        <w:t> 38030/12, § 40, 21 septembre 2016).</w:t>
      </w:r>
    </w:p>
    <w:p w:rsidR="00106980" w:rsidRPr="00A92B5D" w:rsidRDefault="00106980" w:rsidP="00A92B5D">
      <w:pPr>
        <w:ind w:firstLine="284"/>
        <w:rPr>
          <w:i/>
          <w:lang w:val="fr-FR"/>
        </w:rPr>
      </w:pPr>
      <w:r w:rsidRPr="00A92B5D">
        <w:rPr>
          <w:rFonts w:cstheme="minorHAnsi"/>
          <w:lang w:val="fr-FR"/>
        </w:rPr>
        <w:fldChar w:fldCharType="begin"/>
      </w:r>
      <w:r w:rsidRPr="00A92B5D">
        <w:rPr>
          <w:rFonts w:cstheme="minorHAnsi"/>
          <w:lang w:val="fr-FR"/>
        </w:rPr>
        <w:instrText xml:space="preserve"> SEQ level0 \*arabic </w:instrText>
      </w:r>
      <w:r w:rsidRPr="00A92B5D">
        <w:rPr>
          <w:rFonts w:cstheme="minorHAnsi"/>
          <w:lang w:val="fr-FR"/>
        </w:rPr>
        <w:fldChar w:fldCharType="separate"/>
      </w:r>
      <w:r w:rsidR="00A92B5D">
        <w:rPr>
          <w:rFonts w:cstheme="minorHAnsi"/>
          <w:noProof/>
          <w:lang w:val="fr-FR"/>
        </w:rPr>
        <w:t>69</w:t>
      </w:r>
      <w:r w:rsidRPr="00A92B5D">
        <w:rPr>
          <w:rFonts w:cstheme="minorHAnsi"/>
          <w:lang w:val="fr-FR"/>
        </w:rPr>
        <w:fldChar w:fldCharType="end"/>
      </w:r>
      <w:r w:rsidRPr="00A92B5D">
        <w:rPr>
          <w:rFonts w:cstheme="minorHAnsi"/>
          <w:lang w:val="fr-FR"/>
        </w:rPr>
        <w:t>.  </w:t>
      </w:r>
      <w:r w:rsidRPr="00A92B5D">
        <w:rPr>
          <w:rStyle w:val="ECHRParaChar"/>
          <w:lang w:val="fr-FR"/>
        </w:rPr>
        <w:t>Compte tenu de l</w:t>
      </w:r>
      <w:r w:rsidR="00A92B5D" w:rsidRPr="00A92B5D">
        <w:rPr>
          <w:rStyle w:val="ECHRParaChar"/>
          <w:lang w:val="fr-FR"/>
        </w:rPr>
        <w:t>’</w:t>
      </w:r>
      <w:r w:rsidRPr="00A92B5D">
        <w:rPr>
          <w:rStyle w:val="ECHRParaChar"/>
          <w:lang w:val="fr-FR"/>
        </w:rPr>
        <w:t>ensemble des faits de la cause, et en particulier de la réhabilitation du requérant intervenue le 11 mai 2018 (paragraphe 39 ci</w:t>
      </w:r>
      <w:r w:rsidRPr="00A92B5D">
        <w:rPr>
          <w:rStyle w:val="ECHRParaChar"/>
          <w:lang w:val="fr-FR"/>
        </w:rPr>
        <w:noBreakHyphen/>
        <w:t>dessus) et du souhait clair de celui-ci de retirer sa requête, la Cour conclut qu</w:t>
      </w:r>
      <w:r w:rsidR="00A92B5D" w:rsidRPr="00A92B5D">
        <w:rPr>
          <w:rStyle w:val="ECHRParaChar"/>
          <w:lang w:val="fr-FR"/>
        </w:rPr>
        <w:t>’</w:t>
      </w:r>
      <w:r w:rsidRPr="00A92B5D">
        <w:rPr>
          <w:rStyle w:val="ECHRParaChar"/>
          <w:lang w:val="fr-FR"/>
        </w:rPr>
        <w:t>aucune circonstance spéciale touchant au respect des droits de l</w:t>
      </w:r>
      <w:r w:rsidR="00A92B5D" w:rsidRPr="00A92B5D">
        <w:rPr>
          <w:rStyle w:val="ECHRParaChar"/>
          <w:lang w:val="fr-FR"/>
        </w:rPr>
        <w:t>’</w:t>
      </w:r>
      <w:r w:rsidRPr="00A92B5D">
        <w:rPr>
          <w:rStyle w:val="ECHRParaChar"/>
          <w:lang w:val="fr-FR"/>
        </w:rPr>
        <w:t>homme n</w:t>
      </w:r>
      <w:r w:rsidR="00A92B5D" w:rsidRPr="00A92B5D">
        <w:rPr>
          <w:rStyle w:val="ECHRParaChar"/>
          <w:lang w:val="fr-FR"/>
        </w:rPr>
        <w:t>’</w:t>
      </w:r>
      <w:r w:rsidRPr="00A92B5D">
        <w:rPr>
          <w:rStyle w:val="ECHRParaChar"/>
          <w:lang w:val="fr-FR"/>
        </w:rPr>
        <w:t>exige la poursuite de l</w:t>
      </w:r>
      <w:r w:rsidR="00A92B5D" w:rsidRPr="00A92B5D">
        <w:rPr>
          <w:rStyle w:val="ECHRParaChar"/>
          <w:lang w:val="fr-FR"/>
        </w:rPr>
        <w:t>’</w:t>
      </w:r>
      <w:r w:rsidRPr="00A92B5D">
        <w:rPr>
          <w:rStyle w:val="ECHRParaChar"/>
          <w:lang w:val="fr-FR"/>
        </w:rPr>
        <w:t>examen de la présente affaire en vertu de l</w:t>
      </w:r>
      <w:r w:rsidR="00A92B5D" w:rsidRPr="00A92B5D">
        <w:rPr>
          <w:rStyle w:val="ECHRParaChar"/>
          <w:lang w:val="fr-FR"/>
        </w:rPr>
        <w:t>’</w:t>
      </w:r>
      <w:r w:rsidRPr="00A92B5D">
        <w:rPr>
          <w:rStyle w:val="ECHRParaChar"/>
          <w:lang w:val="fr-FR"/>
        </w:rPr>
        <w:t>article</w:t>
      </w:r>
      <w:r w:rsidR="0082288C" w:rsidRPr="00A92B5D">
        <w:rPr>
          <w:rFonts w:cstheme="minorHAnsi"/>
          <w:lang w:val="fr-FR"/>
        </w:rPr>
        <w:t> </w:t>
      </w:r>
      <w:r w:rsidRPr="00A92B5D">
        <w:rPr>
          <w:rStyle w:val="ECHRParaChar"/>
          <w:lang w:val="fr-FR"/>
        </w:rPr>
        <w:t>37 § 1</w:t>
      </w:r>
      <w:r w:rsidRPr="00A92B5D">
        <w:rPr>
          <w:rFonts w:cstheme="minorHAnsi"/>
          <w:lang w:val="fr-FR"/>
        </w:rPr>
        <w:t xml:space="preserve"> </w:t>
      </w:r>
      <w:r w:rsidRPr="00A92B5D">
        <w:rPr>
          <w:rStyle w:val="ECHRParaChar"/>
          <w:i/>
          <w:lang w:val="fr-FR"/>
        </w:rPr>
        <w:t>in fine</w:t>
      </w:r>
      <w:r w:rsidRPr="00A92B5D">
        <w:rPr>
          <w:rFonts w:cstheme="minorHAnsi"/>
          <w:lang w:val="fr-FR"/>
        </w:rPr>
        <w:t>.</w:t>
      </w:r>
    </w:p>
    <w:p w:rsidR="00106980" w:rsidRPr="00A92B5D" w:rsidRDefault="00106980" w:rsidP="00A92B5D">
      <w:pPr>
        <w:ind w:firstLine="284"/>
        <w:rPr>
          <w:lang w:val="fr-FR"/>
        </w:rPr>
      </w:pPr>
      <w:r w:rsidRPr="00A92B5D">
        <w:rPr>
          <w:lang w:val="fr-FR"/>
        </w:rPr>
        <w:fldChar w:fldCharType="begin"/>
      </w:r>
      <w:r w:rsidRPr="00A92B5D">
        <w:rPr>
          <w:lang w:val="fr-FR"/>
        </w:rPr>
        <w:instrText xml:space="preserve"> SEQ level0 \*arabic </w:instrText>
      </w:r>
      <w:r w:rsidRPr="00A92B5D">
        <w:rPr>
          <w:lang w:val="fr-FR"/>
        </w:rPr>
        <w:fldChar w:fldCharType="separate"/>
      </w:r>
      <w:r w:rsidR="00A92B5D">
        <w:rPr>
          <w:noProof/>
          <w:lang w:val="fr-FR"/>
        </w:rPr>
        <w:t>70</w:t>
      </w:r>
      <w:r w:rsidRPr="00A92B5D">
        <w:rPr>
          <w:lang w:val="fr-FR"/>
        </w:rPr>
        <w:fldChar w:fldCharType="end"/>
      </w:r>
      <w:r w:rsidRPr="00A92B5D">
        <w:rPr>
          <w:lang w:val="fr-FR"/>
        </w:rPr>
        <w:t>.  </w:t>
      </w:r>
      <w:r w:rsidRPr="00A92B5D">
        <w:rPr>
          <w:rStyle w:val="ECHRParaChar"/>
          <w:lang w:val="fr-FR"/>
        </w:rPr>
        <w:t>Il y a donc lieu de rayer l</w:t>
      </w:r>
      <w:r w:rsidR="00A92B5D" w:rsidRPr="00A92B5D">
        <w:rPr>
          <w:rStyle w:val="ECHRParaChar"/>
          <w:lang w:val="fr-FR"/>
        </w:rPr>
        <w:t>’</w:t>
      </w:r>
      <w:r w:rsidRPr="00A92B5D">
        <w:rPr>
          <w:rStyle w:val="ECHRParaChar"/>
          <w:lang w:val="fr-FR"/>
        </w:rPr>
        <w:t>affaire du rôle</w:t>
      </w:r>
      <w:r w:rsidRPr="00A92B5D">
        <w:rPr>
          <w:lang w:val="fr-FR"/>
        </w:rPr>
        <w:t>.</w:t>
      </w:r>
    </w:p>
    <w:p w:rsidR="00106980" w:rsidRPr="00A92B5D" w:rsidRDefault="00106980" w:rsidP="00A92B5D">
      <w:pPr>
        <w:pStyle w:val="JuParaLast"/>
        <w:rPr>
          <w:lang w:val="fr-FR"/>
        </w:rPr>
      </w:pPr>
      <w:r w:rsidRPr="00A92B5D">
        <w:rPr>
          <w:lang w:val="fr-FR"/>
        </w:rPr>
        <w:t>Par ces motifs, la Cour, à la majorité,</w:t>
      </w:r>
    </w:p>
    <w:p w:rsidR="00106980" w:rsidRPr="00A92B5D" w:rsidRDefault="00106980" w:rsidP="00A92B5D">
      <w:pPr>
        <w:pStyle w:val="DecList"/>
        <w:rPr>
          <w:lang w:val="fr-FR"/>
        </w:rPr>
      </w:pPr>
      <w:r w:rsidRPr="00A92B5D">
        <w:rPr>
          <w:i/>
          <w:lang w:val="fr-FR"/>
        </w:rPr>
        <w:t>Décide</w:t>
      </w:r>
      <w:r w:rsidRPr="00A92B5D">
        <w:rPr>
          <w:lang w:val="fr-FR"/>
        </w:rPr>
        <w:t xml:space="preserve"> de rayer la requête du rôle.</w:t>
      </w:r>
    </w:p>
    <w:p w:rsidR="00106980" w:rsidRPr="00A92B5D" w:rsidRDefault="00106980" w:rsidP="00A92B5D">
      <w:pPr>
        <w:pStyle w:val="JuParaLast"/>
        <w:rPr>
          <w:lang w:val="fr-FR"/>
        </w:rPr>
      </w:pPr>
      <w:r w:rsidRPr="00A92B5D">
        <w:rPr>
          <w:lang w:val="fr-FR"/>
        </w:rPr>
        <w:t>Fait en français et en anglai</w:t>
      </w:r>
      <w:r w:rsidR="0064368F" w:rsidRPr="00A92B5D">
        <w:rPr>
          <w:lang w:val="fr-FR"/>
        </w:rPr>
        <w:t>s, puis comm</w:t>
      </w:r>
      <w:r w:rsidR="00FC5FDE" w:rsidRPr="00A92B5D">
        <w:rPr>
          <w:lang w:val="fr-FR"/>
        </w:rPr>
        <w:t>uniqué par écrit le 27 novembre </w:t>
      </w:r>
      <w:r w:rsidR="0064368F" w:rsidRPr="00A92B5D">
        <w:rPr>
          <w:lang w:val="fr-FR"/>
        </w:rPr>
        <w:t>2018</w:t>
      </w:r>
      <w:r w:rsidR="00BE5EA5" w:rsidRPr="00A92B5D">
        <w:rPr>
          <w:lang w:val="fr-FR"/>
        </w:rPr>
        <w:t>.</w:t>
      </w:r>
    </w:p>
    <w:p w:rsidR="00106980" w:rsidRPr="00A92B5D" w:rsidRDefault="00106980" w:rsidP="00A92B5D">
      <w:pPr>
        <w:pStyle w:val="JuSigned"/>
        <w:rPr>
          <w:szCs w:val="24"/>
          <w:lang w:val="fr-FR"/>
        </w:rPr>
      </w:pPr>
      <w:r w:rsidRPr="00A92B5D">
        <w:rPr>
          <w:lang w:val="fr-FR"/>
        </w:rPr>
        <w:tab/>
        <w:t xml:space="preserve">Françoise </w:t>
      </w:r>
      <w:proofErr w:type="spellStart"/>
      <w:r w:rsidRPr="00A92B5D">
        <w:rPr>
          <w:lang w:val="fr-FR"/>
        </w:rPr>
        <w:t>Elens-Passos</w:t>
      </w:r>
      <w:proofErr w:type="spellEnd"/>
      <w:r w:rsidRPr="00A92B5D">
        <w:rPr>
          <w:lang w:val="fr-FR"/>
        </w:rPr>
        <w:tab/>
      </w:r>
      <w:proofErr w:type="spellStart"/>
      <w:r w:rsidRPr="00A92B5D">
        <w:rPr>
          <w:szCs w:val="24"/>
          <w:lang w:val="fr-FR"/>
        </w:rPr>
        <w:t>Angelika</w:t>
      </w:r>
      <w:proofErr w:type="spellEnd"/>
      <w:r w:rsidRPr="00A92B5D">
        <w:rPr>
          <w:szCs w:val="24"/>
          <w:lang w:val="fr-FR"/>
        </w:rPr>
        <w:t xml:space="preserve"> </w:t>
      </w:r>
      <w:proofErr w:type="spellStart"/>
      <w:r w:rsidRPr="00A92B5D">
        <w:rPr>
          <w:szCs w:val="24"/>
          <w:lang w:val="fr-FR"/>
        </w:rPr>
        <w:t>Nußberger</w:t>
      </w:r>
      <w:proofErr w:type="spellEnd"/>
      <w:r w:rsidRPr="00A92B5D">
        <w:rPr>
          <w:lang w:val="fr-FR"/>
        </w:rPr>
        <w:br/>
      </w:r>
      <w:r w:rsidRPr="00A92B5D">
        <w:rPr>
          <w:lang w:val="fr-FR"/>
        </w:rPr>
        <w:tab/>
      </w:r>
      <w:r w:rsidR="00A92B5D" w:rsidRPr="00A92B5D">
        <w:rPr>
          <w:lang w:val="fr-FR"/>
        </w:rPr>
        <w:t xml:space="preserve"> </w:t>
      </w:r>
      <w:r w:rsidRPr="00A92B5D">
        <w:rPr>
          <w:szCs w:val="24"/>
          <w:lang w:val="fr-FR"/>
        </w:rPr>
        <w:t>Greffière adjointe</w:t>
      </w:r>
      <w:r w:rsidRPr="00A92B5D">
        <w:rPr>
          <w:lang w:val="fr-FR"/>
        </w:rPr>
        <w:tab/>
        <w:t>Présidente</w:t>
      </w:r>
    </w:p>
    <w:sectPr w:rsidR="00106980" w:rsidRPr="00A92B5D" w:rsidSect="00A4477A">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60" w:rsidRPr="00413286" w:rsidRDefault="00AF1760" w:rsidP="00DF4559">
      <w:pPr>
        <w:rPr>
          <w:lang w:val="fr-FR"/>
        </w:rPr>
      </w:pPr>
      <w:r w:rsidRPr="00413286">
        <w:rPr>
          <w:lang w:val="fr-FR"/>
        </w:rPr>
        <w:separator/>
      </w:r>
    </w:p>
  </w:endnote>
  <w:endnote w:type="continuationSeparator" w:id="0">
    <w:p w:rsidR="00AF1760" w:rsidRPr="00413286" w:rsidRDefault="00AF1760" w:rsidP="00DF4559">
      <w:pPr>
        <w:rPr>
          <w:lang w:val="fr-FR"/>
        </w:rPr>
      </w:pPr>
      <w:r w:rsidRPr="00413286">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6" w:rsidRPr="00106980" w:rsidRDefault="008C0906" w:rsidP="00106980">
    <w:pPr>
      <w:jc w:val="center"/>
      <w:rPr>
        <w:lang w:val="fr-FR"/>
      </w:rPr>
    </w:pPr>
    <w:r>
      <w:rPr>
        <w:noProof/>
        <w:lang w:val="it-IT" w:eastAsia="it-IT"/>
      </w:rPr>
      <w:drawing>
        <wp:inline distT="0" distB="0" distL="0" distR="0" wp14:anchorId="12A7A306" wp14:editId="4425E9D5">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C0906" w:rsidRPr="00413286" w:rsidRDefault="008C0906" w:rsidP="00023AD3">
    <w:pPr>
      <w:rPr>
        <w:sz w:val="4"/>
        <w:szCs w:val="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60" w:rsidRPr="00413286" w:rsidRDefault="00AF1760" w:rsidP="00DF4559">
      <w:pPr>
        <w:rPr>
          <w:lang w:val="fr-FR"/>
        </w:rPr>
      </w:pPr>
      <w:r w:rsidRPr="00413286">
        <w:rPr>
          <w:lang w:val="fr-FR"/>
        </w:rPr>
        <w:separator/>
      </w:r>
    </w:p>
  </w:footnote>
  <w:footnote w:type="continuationSeparator" w:id="0">
    <w:p w:rsidR="00AF1760" w:rsidRPr="00413286" w:rsidRDefault="00AF1760" w:rsidP="00DF4559">
      <w:pPr>
        <w:rPr>
          <w:lang w:val="fr-FR"/>
        </w:rPr>
      </w:pPr>
      <w:r w:rsidRPr="00413286">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6" w:rsidRPr="00413286" w:rsidRDefault="008C0906" w:rsidP="00A4477A">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753F5">
      <w:rPr>
        <w:rStyle w:val="Numeropagina"/>
        <w:noProof/>
        <w:lang w:val="fr-FR"/>
      </w:rPr>
      <w:t>14</w:t>
    </w:r>
    <w:r>
      <w:rPr>
        <w:rStyle w:val="Numeropagina"/>
        <w:lang w:val="fr-FR"/>
      </w:rPr>
      <w:fldChar w:fldCharType="end"/>
    </w:r>
    <w:r w:rsidRPr="00413286">
      <w:rPr>
        <w:lang w:val="fr-FR"/>
      </w:rPr>
      <w:tab/>
      <w:t xml:space="preserve">DÉCISION </w:t>
    </w:r>
    <w:r>
      <w:rPr>
        <w:lang w:val="fr-FR"/>
      </w:rPr>
      <w:t>BERLUSCONI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6" w:rsidRPr="00413286" w:rsidRDefault="008C0906" w:rsidP="00404F6E">
    <w:pPr>
      <w:pStyle w:val="ECHRHeader"/>
      <w:rPr>
        <w:lang w:val="fr-FR"/>
      </w:rPr>
    </w:pPr>
    <w:r w:rsidRPr="00413286">
      <w:rPr>
        <w:lang w:val="fr-FR"/>
      </w:rPr>
      <w:tab/>
      <w:t xml:space="preserve">DÉCISION </w:t>
    </w:r>
    <w:r>
      <w:rPr>
        <w:lang w:val="fr-FR"/>
      </w:rPr>
      <w:t>BERLUSCONI c. ITALIE</w:t>
    </w:r>
    <w:r w:rsidRPr="00413286">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753F5">
      <w:rPr>
        <w:rStyle w:val="Numeropagina"/>
        <w:noProof/>
        <w:lang w:val="fr-FR"/>
      </w:rPr>
      <w:t>15</w:t>
    </w:r>
    <w:r>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6" w:rsidRPr="00A45145" w:rsidRDefault="008C0906" w:rsidP="00106980">
    <w:pPr>
      <w:jc w:val="center"/>
    </w:pPr>
    <w:r>
      <w:rPr>
        <w:noProof/>
        <w:lang w:val="it-IT" w:eastAsia="it-IT"/>
      </w:rPr>
      <w:drawing>
        <wp:inline distT="0" distB="0" distL="0" distR="0" wp14:anchorId="21E1E543" wp14:editId="72250E6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C0906" w:rsidRPr="00413286" w:rsidRDefault="008C0906" w:rsidP="00023AD3">
    <w:pPr>
      <w:rPr>
        <w:sz w:val="4"/>
        <w:szCs w:val="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48C29C"/>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0D98CA0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F8B259D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25129F2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0C18678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8E7EEBE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AC4496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34EDD7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6DAD01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2CAB6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9011F0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5D462E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5075A6B"/>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6EB327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2D5B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25E404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6"/>
  </w:num>
  <w:num w:numId="3">
    <w:abstractNumId w:val="15"/>
  </w:num>
  <w:num w:numId="4">
    <w:abstractNumId w:val="14"/>
  </w:num>
  <w:num w:numId="5">
    <w:abstractNumId w:val="10"/>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6"/>
  </w:num>
  <w:num w:numId="16">
    <w:abstractNumId w:val="16"/>
  </w:num>
  <w:num w:numId="17">
    <w:abstractNumId w:val="13"/>
  </w:num>
  <w:num w:numId="18">
    <w:abstractNumId w:val="11"/>
  </w:num>
  <w:num w:numId="19">
    <w:abstractNumId w:val="12"/>
  </w:num>
  <w:num w:numId="20">
    <w:abstractNumId w:val="16"/>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106980"/>
    <w:rsid w:val="000041F8"/>
    <w:rsid w:val="000042A8"/>
    <w:rsid w:val="00004308"/>
    <w:rsid w:val="00005BF0"/>
    <w:rsid w:val="00007154"/>
    <w:rsid w:val="000103AE"/>
    <w:rsid w:val="00011D69"/>
    <w:rsid w:val="00012AD3"/>
    <w:rsid w:val="00015C2D"/>
    <w:rsid w:val="00015F00"/>
    <w:rsid w:val="00022C1D"/>
    <w:rsid w:val="00023AD3"/>
    <w:rsid w:val="00034987"/>
    <w:rsid w:val="000602DF"/>
    <w:rsid w:val="00061B05"/>
    <w:rsid w:val="000632D5"/>
    <w:rsid w:val="000644EE"/>
    <w:rsid w:val="000925AD"/>
    <w:rsid w:val="000A24EB"/>
    <w:rsid w:val="000B52D9"/>
    <w:rsid w:val="000B6923"/>
    <w:rsid w:val="000C5F3C"/>
    <w:rsid w:val="000C6DCC"/>
    <w:rsid w:val="000D2151"/>
    <w:rsid w:val="000D47AA"/>
    <w:rsid w:val="000D4E59"/>
    <w:rsid w:val="000D721F"/>
    <w:rsid w:val="000E069B"/>
    <w:rsid w:val="000E0E82"/>
    <w:rsid w:val="000E1DC5"/>
    <w:rsid w:val="000E223F"/>
    <w:rsid w:val="000E6D3A"/>
    <w:rsid w:val="000E7D45"/>
    <w:rsid w:val="000F7851"/>
    <w:rsid w:val="00104E23"/>
    <w:rsid w:val="00106980"/>
    <w:rsid w:val="00111B0C"/>
    <w:rsid w:val="00120D6C"/>
    <w:rsid w:val="001257EC"/>
    <w:rsid w:val="0013299E"/>
    <w:rsid w:val="00133D33"/>
    <w:rsid w:val="00134D64"/>
    <w:rsid w:val="00135A30"/>
    <w:rsid w:val="0013612C"/>
    <w:rsid w:val="00137FF6"/>
    <w:rsid w:val="00141650"/>
    <w:rsid w:val="00162A12"/>
    <w:rsid w:val="00166530"/>
    <w:rsid w:val="001832A0"/>
    <w:rsid w:val="001832BD"/>
    <w:rsid w:val="001943B5"/>
    <w:rsid w:val="00195134"/>
    <w:rsid w:val="001A145B"/>
    <w:rsid w:val="001A300A"/>
    <w:rsid w:val="001A674C"/>
    <w:rsid w:val="001B3B24"/>
    <w:rsid w:val="001C0F98"/>
    <w:rsid w:val="001C2A42"/>
    <w:rsid w:val="001D20D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9630B"/>
    <w:rsid w:val="002A01CC"/>
    <w:rsid w:val="002A61B1"/>
    <w:rsid w:val="002A663C"/>
    <w:rsid w:val="002B444B"/>
    <w:rsid w:val="002B5887"/>
    <w:rsid w:val="002C0E27"/>
    <w:rsid w:val="002C3040"/>
    <w:rsid w:val="002D022D"/>
    <w:rsid w:val="002D24BB"/>
    <w:rsid w:val="002D7600"/>
    <w:rsid w:val="002D7D57"/>
    <w:rsid w:val="002F2AF7"/>
    <w:rsid w:val="002F7E1C"/>
    <w:rsid w:val="00301A75"/>
    <w:rsid w:val="00302F70"/>
    <w:rsid w:val="0030336F"/>
    <w:rsid w:val="0030375E"/>
    <w:rsid w:val="00312A30"/>
    <w:rsid w:val="00320F72"/>
    <w:rsid w:val="0032463E"/>
    <w:rsid w:val="00326224"/>
    <w:rsid w:val="00337EE4"/>
    <w:rsid w:val="00340FFD"/>
    <w:rsid w:val="003506B1"/>
    <w:rsid w:val="00350DBC"/>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04F6E"/>
    <w:rsid w:val="00413286"/>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A7676"/>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26CB4"/>
    <w:rsid w:val="00531DF2"/>
    <w:rsid w:val="005442EE"/>
    <w:rsid w:val="00547353"/>
    <w:rsid w:val="005474E7"/>
    <w:rsid w:val="005512A3"/>
    <w:rsid w:val="00555C3E"/>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4368F"/>
    <w:rsid w:val="006545C4"/>
    <w:rsid w:val="00661971"/>
    <w:rsid w:val="00661CE8"/>
    <w:rsid w:val="006623D9"/>
    <w:rsid w:val="0066550C"/>
    <w:rsid w:val="006716F2"/>
    <w:rsid w:val="00682BF2"/>
    <w:rsid w:val="006859CE"/>
    <w:rsid w:val="00691270"/>
    <w:rsid w:val="00694BA8"/>
    <w:rsid w:val="006975CC"/>
    <w:rsid w:val="006A037C"/>
    <w:rsid w:val="006A36F4"/>
    <w:rsid w:val="006A406F"/>
    <w:rsid w:val="006A5D3A"/>
    <w:rsid w:val="006C23D4"/>
    <w:rsid w:val="006C7BB0"/>
    <w:rsid w:val="006D211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3F5"/>
    <w:rsid w:val="00775B6D"/>
    <w:rsid w:val="00776D68"/>
    <w:rsid w:val="007850EE"/>
    <w:rsid w:val="00785B95"/>
    <w:rsid w:val="00790E96"/>
    <w:rsid w:val="00793366"/>
    <w:rsid w:val="007A3EE1"/>
    <w:rsid w:val="007A716F"/>
    <w:rsid w:val="007B1CF9"/>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1349B"/>
    <w:rsid w:val="008204C7"/>
    <w:rsid w:val="00820992"/>
    <w:rsid w:val="0082288C"/>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0906"/>
    <w:rsid w:val="008C26DE"/>
    <w:rsid w:val="008D2225"/>
    <w:rsid w:val="008D4752"/>
    <w:rsid w:val="008E271C"/>
    <w:rsid w:val="008E418E"/>
    <w:rsid w:val="008E4482"/>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3979"/>
    <w:rsid w:val="00947AFB"/>
    <w:rsid w:val="00951D7D"/>
    <w:rsid w:val="009630C7"/>
    <w:rsid w:val="00972B55"/>
    <w:rsid w:val="009743B7"/>
    <w:rsid w:val="0098228B"/>
    <w:rsid w:val="009828DA"/>
    <w:rsid w:val="00985BAB"/>
    <w:rsid w:val="009B1B5F"/>
    <w:rsid w:val="009B6673"/>
    <w:rsid w:val="009C191B"/>
    <w:rsid w:val="009C2BD6"/>
    <w:rsid w:val="009E039B"/>
    <w:rsid w:val="009E1F32"/>
    <w:rsid w:val="009E776C"/>
    <w:rsid w:val="00A1726E"/>
    <w:rsid w:val="00A204CF"/>
    <w:rsid w:val="00A23D49"/>
    <w:rsid w:val="00A27004"/>
    <w:rsid w:val="00A30C29"/>
    <w:rsid w:val="00A34DD6"/>
    <w:rsid w:val="00A36819"/>
    <w:rsid w:val="00A36989"/>
    <w:rsid w:val="00A42F06"/>
    <w:rsid w:val="00A43628"/>
    <w:rsid w:val="00A4477A"/>
    <w:rsid w:val="00A54192"/>
    <w:rsid w:val="00A6035E"/>
    <w:rsid w:val="00A6144C"/>
    <w:rsid w:val="00A66617"/>
    <w:rsid w:val="00A671F8"/>
    <w:rsid w:val="00A673A4"/>
    <w:rsid w:val="00A71632"/>
    <w:rsid w:val="00A724AE"/>
    <w:rsid w:val="00A73329"/>
    <w:rsid w:val="00A7338E"/>
    <w:rsid w:val="00A7676D"/>
    <w:rsid w:val="00A82359"/>
    <w:rsid w:val="00A865D2"/>
    <w:rsid w:val="00A92B5D"/>
    <w:rsid w:val="00A94C20"/>
    <w:rsid w:val="00AA227F"/>
    <w:rsid w:val="00AA3BC7"/>
    <w:rsid w:val="00AA754A"/>
    <w:rsid w:val="00AB099E"/>
    <w:rsid w:val="00AB4328"/>
    <w:rsid w:val="00AB62D9"/>
    <w:rsid w:val="00AE0A2E"/>
    <w:rsid w:val="00AE354C"/>
    <w:rsid w:val="00AF1760"/>
    <w:rsid w:val="00AF4B07"/>
    <w:rsid w:val="00AF6186"/>
    <w:rsid w:val="00AF7A3A"/>
    <w:rsid w:val="00B13E2F"/>
    <w:rsid w:val="00B160DB"/>
    <w:rsid w:val="00B20836"/>
    <w:rsid w:val="00B235BB"/>
    <w:rsid w:val="00B27A44"/>
    <w:rsid w:val="00B30BBF"/>
    <w:rsid w:val="00B33C03"/>
    <w:rsid w:val="00B4074E"/>
    <w:rsid w:val="00B44E56"/>
    <w:rsid w:val="00B46543"/>
    <w:rsid w:val="00B46EC1"/>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1021"/>
    <w:rsid w:val="00BB345F"/>
    <w:rsid w:val="00BB68EA"/>
    <w:rsid w:val="00BC1C27"/>
    <w:rsid w:val="00BC6BBF"/>
    <w:rsid w:val="00BD1572"/>
    <w:rsid w:val="00BE14E3"/>
    <w:rsid w:val="00BE3774"/>
    <w:rsid w:val="00BE41E5"/>
    <w:rsid w:val="00BE5EA5"/>
    <w:rsid w:val="00BF1B6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4C66"/>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45675"/>
    <w:rsid w:val="00D566BD"/>
    <w:rsid w:val="00D57A4D"/>
    <w:rsid w:val="00D60AA7"/>
    <w:rsid w:val="00D6435F"/>
    <w:rsid w:val="00D75E28"/>
    <w:rsid w:val="00D772C2"/>
    <w:rsid w:val="00D8008E"/>
    <w:rsid w:val="00D82C45"/>
    <w:rsid w:val="00D908A8"/>
    <w:rsid w:val="00D977B6"/>
    <w:rsid w:val="00D97B07"/>
    <w:rsid w:val="00DA4A31"/>
    <w:rsid w:val="00DA7B04"/>
    <w:rsid w:val="00DB36C2"/>
    <w:rsid w:val="00DC169B"/>
    <w:rsid w:val="00DC2AB9"/>
    <w:rsid w:val="00DC63F0"/>
    <w:rsid w:val="00DD6EE5"/>
    <w:rsid w:val="00DE386C"/>
    <w:rsid w:val="00DE4D35"/>
    <w:rsid w:val="00DF098B"/>
    <w:rsid w:val="00DF11C4"/>
    <w:rsid w:val="00DF210C"/>
    <w:rsid w:val="00DF4559"/>
    <w:rsid w:val="00DF4B6A"/>
    <w:rsid w:val="00E02C09"/>
    <w:rsid w:val="00E04D59"/>
    <w:rsid w:val="00E07DA1"/>
    <w:rsid w:val="00E123CB"/>
    <w:rsid w:val="00E20E13"/>
    <w:rsid w:val="00E21DBC"/>
    <w:rsid w:val="00E2709B"/>
    <w:rsid w:val="00E275D7"/>
    <w:rsid w:val="00E27DBE"/>
    <w:rsid w:val="00E32AB1"/>
    <w:rsid w:val="00E36C71"/>
    <w:rsid w:val="00E40404"/>
    <w:rsid w:val="00E459C6"/>
    <w:rsid w:val="00E47589"/>
    <w:rsid w:val="00E64285"/>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018"/>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C5FDE"/>
    <w:rsid w:val="00FD1005"/>
    <w:rsid w:val="00FD6C75"/>
    <w:rsid w:val="00FE71B3"/>
    <w:rsid w:val="00FF42C5"/>
    <w:rsid w:val="00FF4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106980"/>
    <w:pPr>
      <w:jc w:val="both"/>
    </w:pPr>
    <w:rPr>
      <w:rFonts w:eastAsiaTheme="minorEastAsia"/>
      <w:sz w:val="24"/>
      <w:lang w:val="en-GB"/>
    </w:rPr>
  </w:style>
  <w:style w:type="paragraph" w:styleId="Titolo1">
    <w:name w:val="heading 1"/>
    <w:basedOn w:val="Normale"/>
    <w:next w:val="Normale"/>
    <w:link w:val="Titolo1Carattere"/>
    <w:uiPriority w:val="99"/>
    <w:semiHidden/>
    <w:rsid w:val="0010698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0698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0698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0698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06980"/>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10698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06980"/>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106980"/>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106980"/>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069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980"/>
    <w:rPr>
      <w:rFonts w:ascii="Tahoma" w:eastAsiaTheme="minorEastAsia" w:hAnsi="Tahoma" w:cs="Tahoma"/>
      <w:sz w:val="16"/>
      <w:szCs w:val="16"/>
      <w:lang w:val="en-GB"/>
    </w:rPr>
  </w:style>
  <w:style w:type="character" w:styleId="Titolodellibro">
    <w:name w:val="Book Title"/>
    <w:uiPriority w:val="99"/>
    <w:semiHidden/>
    <w:qFormat/>
    <w:rsid w:val="00106980"/>
    <w:rPr>
      <w:i/>
      <w:iCs/>
      <w:smallCaps/>
      <w:spacing w:val="5"/>
    </w:rPr>
  </w:style>
  <w:style w:type="paragraph" w:customStyle="1" w:styleId="ECHRHeader">
    <w:name w:val="ECHR_Header"/>
    <w:aliases w:val="Ju_Header"/>
    <w:basedOn w:val="Intestazione"/>
    <w:uiPriority w:val="4"/>
    <w:qFormat/>
    <w:rsid w:val="00106980"/>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106980"/>
    <w:pPr>
      <w:jc w:val="left"/>
    </w:pPr>
    <w:rPr>
      <w:sz w:val="8"/>
    </w:rPr>
  </w:style>
  <w:style w:type="character" w:styleId="Enfasigrassetto">
    <w:name w:val="Strong"/>
    <w:uiPriority w:val="99"/>
    <w:semiHidden/>
    <w:qFormat/>
    <w:rsid w:val="00106980"/>
    <w:rPr>
      <w:b/>
      <w:bCs/>
    </w:rPr>
  </w:style>
  <w:style w:type="paragraph" w:styleId="Nessunaspaziatura">
    <w:name w:val="No Spacing"/>
    <w:basedOn w:val="Normale"/>
    <w:link w:val="NessunaspaziaturaCarattere"/>
    <w:semiHidden/>
    <w:qFormat/>
    <w:rsid w:val="00106980"/>
    <w:rPr>
      <w:sz w:val="22"/>
      <w:lang w:val="en-US"/>
    </w:rPr>
  </w:style>
  <w:style w:type="character" w:customStyle="1" w:styleId="NessunaspaziaturaCarattere">
    <w:name w:val="Nessuna spaziatura Carattere"/>
    <w:basedOn w:val="Carpredefinitoparagrafo"/>
    <w:link w:val="Nessunaspaziatura"/>
    <w:rsid w:val="00106980"/>
    <w:rPr>
      <w:rFonts w:eastAsiaTheme="minorEastAsia"/>
    </w:rPr>
  </w:style>
  <w:style w:type="paragraph" w:customStyle="1" w:styleId="ECHRFooterLine">
    <w:name w:val="ECHR_Footer_Line"/>
    <w:aliases w:val="Footer_Line"/>
    <w:basedOn w:val="Normale"/>
    <w:next w:val="ECHRFooter"/>
    <w:uiPriority w:val="57"/>
    <w:semiHidden/>
    <w:rsid w:val="00106980"/>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106980"/>
    <w:pPr>
      <w:spacing w:before="120" w:after="120"/>
      <w:ind w:left="425" w:firstLine="142"/>
    </w:pPr>
    <w:rPr>
      <w:sz w:val="20"/>
    </w:rPr>
  </w:style>
  <w:style w:type="paragraph" w:customStyle="1" w:styleId="DecList">
    <w:name w:val="Dec_List"/>
    <w:basedOn w:val="Normale"/>
    <w:uiPriority w:val="9"/>
    <w:qFormat/>
    <w:rsid w:val="00106980"/>
    <w:pPr>
      <w:spacing w:before="240"/>
      <w:ind w:left="284"/>
    </w:pPr>
  </w:style>
  <w:style w:type="paragraph" w:customStyle="1" w:styleId="DummyStyle">
    <w:name w:val="Dummy_Style"/>
    <w:basedOn w:val="Normale"/>
    <w:semiHidden/>
    <w:qFormat/>
    <w:rsid w:val="00106980"/>
    <w:rPr>
      <w:color w:val="00B050"/>
    </w:rPr>
  </w:style>
  <w:style w:type="paragraph" w:customStyle="1" w:styleId="JuAppQuestion">
    <w:name w:val="Ju_App_Question"/>
    <w:basedOn w:val="Normale"/>
    <w:uiPriority w:val="5"/>
    <w:qFormat/>
    <w:rsid w:val="00106980"/>
    <w:pPr>
      <w:numPr>
        <w:numId w:val="21"/>
      </w:numPr>
      <w:jc w:val="left"/>
    </w:pPr>
    <w:rPr>
      <w:b/>
    </w:rPr>
  </w:style>
  <w:style w:type="paragraph" w:customStyle="1" w:styleId="JuCase">
    <w:name w:val="Ju_Case"/>
    <w:basedOn w:val="Normale"/>
    <w:next w:val="ECHRPara"/>
    <w:uiPriority w:val="10"/>
    <w:semiHidden/>
    <w:rsid w:val="00106980"/>
    <w:pPr>
      <w:ind w:firstLine="284"/>
    </w:pPr>
    <w:rPr>
      <w:b/>
    </w:rPr>
  </w:style>
  <w:style w:type="paragraph" w:customStyle="1" w:styleId="ECHRTitleCentre3">
    <w:name w:val="ECHR_Title_Centre_3"/>
    <w:aliases w:val="Ju_H_Article"/>
    <w:basedOn w:val="Normale"/>
    <w:next w:val="ECHRParaQuote"/>
    <w:uiPriority w:val="27"/>
    <w:qFormat/>
    <w:rsid w:val="00106980"/>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10698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106980"/>
    <w:pPr>
      <w:keepNext/>
      <w:keepLines/>
      <w:spacing w:after="240"/>
      <w:jc w:val="center"/>
      <w:outlineLvl w:val="0"/>
    </w:pPr>
    <w:rPr>
      <w:rFonts w:asciiTheme="majorHAnsi" w:hAnsiTheme="majorHAnsi"/>
      <w:sz w:val="28"/>
    </w:rPr>
  </w:style>
  <w:style w:type="paragraph" w:customStyle="1" w:styleId="JuCourt">
    <w:name w:val="Ju_Court"/>
    <w:basedOn w:val="Normale"/>
    <w:next w:val="Normale"/>
    <w:uiPriority w:val="16"/>
    <w:qFormat/>
    <w:rsid w:val="00106980"/>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106980"/>
    <w:pPr>
      <w:tabs>
        <w:tab w:val="center" w:pos="6407"/>
      </w:tabs>
      <w:spacing w:before="720"/>
      <w:jc w:val="right"/>
    </w:pPr>
  </w:style>
  <w:style w:type="paragraph" w:styleId="Titolo">
    <w:name w:val="Title"/>
    <w:basedOn w:val="Normale"/>
    <w:next w:val="Normale"/>
    <w:link w:val="TitoloCarattere"/>
    <w:uiPriority w:val="99"/>
    <w:semiHidden/>
    <w:qFormat/>
    <w:rsid w:val="0010698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rsid w:val="00106980"/>
    <w:rPr>
      <w:rFonts w:asciiTheme="majorHAnsi" w:eastAsiaTheme="majorEastAsia" w:hAnsiTheme="majorHAnsi" w:cstheme="majorBidi"/>
      <w:spacing w:val="5"/>
      <w:sz w:val="52"/>
      <w:szCs w:val="52"/>
      <w:lang w:bidi="en-US"/>
    </w:rPr>
  </w:style>
  <w:style w:type="paragraph" w:customStyle="1" w:styleId="JuSigned">
    <w:name w:val="Ju_Signed"/>
    <w:basedOn w:val="Normale"/>
    <w:next w:val="JuParaLast"/>
    <w:uiPriority w:val="32"/>
    <w:qFormat/>
    <w:rsid w:val="00106980"/>
    <w:pPr>
      <w:tabs>
        <w:tab w:val="center" w:pos="851"/>
        <w:tab w:val="center" w:pos="6407"/>
      </w:tabs>
      <w:spacing w:before="720"/>
      <w:jc w:val="left"/>
    </w:pPr>
  </w:style>
  <w:style w:type="paragraph" w:customStyle="1" w:styleId="JuList">
    <w:name w:val="Ju_List"/>
    <w:basedOn w:val="Normale"/>
    <w:uiPriority w:val="28"/>
    <w:qFormat/>
    <w:rsid w:val="00106980"/>
    <w:pPr>
      <w:ind w:left="340" w:hanging="340"/>
    </w:pPr>
  </w:style>
  <w:style w:type="paragraph" w:customStyle="1" w:styleId="JuLista">
    <w:name w:val="Ju_List_a"/>
    <w:basedOn w:val="JuList"/>
    <w:uiPriority w:val="28"/>
    <w:qFormat/>
    <w:rsid w:val="00106980"/>
    <w:pPr>
      <w:ind w:left="346" w:firstLine="0"/>
    </w:pPr>
  </w:style>
  <w:style w:type="paragraph" w:customStyle="1" w:styleId="JuListi">
    <w:name w:val="Ju_List_i"/>
    <w:basedOn w:val="Normale"/>
    <w:next w:val="JuLista"/>
    <w:uiPriority w:val="28"/>
    <w:qFormat/>
    <w:rsid w:val="00106980"/>
    <w:pPr>
      <w:ind w:left="794"/>
    </w:pPr>
  </w:style>
  <w:style w:type="character" w:customStyle="1" w:styleId="JUNAMES">
    <w:name w:val="JU_NAMES"/>
    <w:uiPriority w:val="17"/>
    <w:qFormat/>
    <w:rsid w:val="00106980"/>
    <w:rPr>
      <w:caps w:val="0"/>
      <w:smallCaps/>
    </w:rPr>
  </w:style>
  <w:style w:type="paragraph" w:customStyle="1" w:styleId="JuParaSub">
    <w:name w:val="Ju_Para_Sub"/>
    <w:basedOn w:val="ECHRPara"/>
    <w:uiPriority w:val="13"/>
    <w:qFormat/>
    <w:rsid w:val="00106980"/>
    <w:pPr>
      <w:ind w:left="284"/>
    </w:pPr>
  </w:style>
  <w:style w:type="paragraph" w:customStyle="1" w:styleId="ECHRHeading1">
    <w:name w:val="ECHR_Heading_1"/>
    <w:aliases w:val="Ju_H_I_Roman"/>
    <w:basedOn w:val="Titolo1"/>
    <w:next w:val="ECHRPara"/>
    <w:uiPriority w:val="19"/>
    <w:qFormat/>
    <w:rsid w:val="0010698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106980"/>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10698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06980"/>
    <w:rPr>
      <w:sz w:val="24"/>
      <w:lang w:val="en-GB"/>
    </w:rPr>
  </w:style>
  <w:style w:type="character" w:customStyle="1" w:styleId="Titolo1Carattere">
    <w:name w:val="Titolo 1 Carattere"/>
    <w:basedOn w:val="Carpredefinitoparagrafo"/>
    <w:link w:val="Titolo1"/>
    <w:uiPriority w:val="99"/>
    <w:rsid w:val="00106980"/>
    <w:rPr>
      <w:rFonts w:asciiTheme="majorHAnsi" w:eastAsiaTheme="majorEastAsia" w:hAnsiTheme="majorHAnsi" w:cstheme="majorBidi"/>
      <w:b/>
      <w:bCs/>
      <w:color w:val="333333"/>
      <w:sz w:val="28"/>
      <w:szCs w:val="28"/>
      <w:lang w:val="en-GB"/>
    </w:rPr>
  </w:style>
  <w:style w:type="paragraph" w:customStyle="1" w:styleId="ECHRHeading3">
    <w:name w:val="ECHR_Heading_3"/>
    <w:aliases w:val="Ju_H_1."/>
    <w:basedOn w:val="Titolo3"/>
    <w:next w:val="ECHRPara"/>
    <w:uiPriority w:val="21"/>
    <w:qFormat/>
    <w:rsid w:val="0010698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106980"/>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106980"/>
    <w:rPr>
      <w:rFonts w:asciiTheme="majorHAnsi" w:eastAsiaTheme="majorEastAsia" w:hAnsiTheme="majorHAnsi" w:cstheme="majorBidi"/>
      <w:b/>
      <w:bCs/>
      <w:color w:val="4D4D4D"/>
      <w:sz w:val="26"/>
      <w:szCs w:val="26"/>
      <w:lang w:val="en-GB"/>
    </w:rPr>
  </w:style>
  <w:style w:type="paragraph" w:customStyle="1" w:styleId="ECHRHeading5">
    <w:name w:val="ECHR_Heading_5"/>
    <w:aliases w:val="Ju_H_i"/>
    <w:basedOn w:val="Titolo5"/>
    <w:next w:val="ECHRPara"/>
    <w:uiPriority w:val="23"/>
    <w:qFormat/>
    <w:rsid w:val="0010698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106980"/>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106980"/>
    <w:rPr>
      <w:rFonts w:asciiTheme="majorHAnsi" w:eastAsiaTheme="majorEastAsia" w:hAnsiTheme="majorHAnsi" w:cstheme="majorBidi"/>
      <w:b/>
      <w:bCs/>
      <w:color w:val="5F5F5F"/>
      <w:sz w:val="24"/>
      <w:lang w:val="en-GB"/>
    </w:rPr>
  </w:style>
  <w:style w:type="paragraph" w:customStyle="1" w:styleId="ECHRHeading7">
    <w:name w:val="ECHR_Heading_7"/>
    <w:aliases w:val="Ju_H_–"/>
    <w:basedOn w:val="Titolo7"/>
    <w:next w:val="ECHRPara"/>
    <w:uiPriority w:val="25"/>
    <w:qFormat/>
    <w:rsid w:val="00106980"/>
    <w:pPr>
      <w:keepNext/>
      <w:keepLines/>
      <w:spacing w:before="240" w:after="120"/>
      <w:ind w:left="1236"/>
    </w:pPr>
    <w:rPr>
      <w:sz w:val="20"/>
      <w:lang w:val="en-GB"/>
    </w:rPr>
  </w:style>
  <w:style w:type="paragraph" w:customStyle="1" w:styleId="JuParaLast">
    <w:name w:val="Ju_Para_Last"/>
    <w:basedOn w:val="Normale"/>
    <w:next w:val="ECHRPara"/>
    <w:uiPriority w:val="30"/>
    <w:qFormat/>
    <w:rsid w:val="00106980"/>
    <w:pPr>
      <w:keepNext/>
      <w:keepLines/>
      <w:spacing w:before="240"/>
      <w:ind w:firstLine="284"/>
    </w:pPr>
  </w:style>
  <w:style w:type="character" w:customStyle="1" w:styleId="Titolo4Carattere">
    <w:name w:val="Titolo 4 Carattere"/>
    <w:basedOn w:val="Carpredefinitoparagrafo"/>
    <w:link w:val="Titolo4"/>
    <w:uiPriority w:val="99"/>
    <w:semiHidden/>
    <w:rsid w:val="00106980"/>
    <w:rPr>
      <w:rFonts w:asciiTheme="majorHAnsi" w:eastAsiaTheme="majorEastAsia" w:hAnsiTheme="majorHAnsi" w:cstheme="majorBidi"/>
      <w:b/>
      <w:bCs/>
      <w:i/>
      <w:iCs/>
      <w:color w:val="777777"/>
      <w:sz w:val="24"/>
      <w:lang w:val="en-GB"/>
    </w:rPr>
  </w:style>
  <w:style w:type="character" w:customStyle="1" w:styleId="JuITMark">
    <w:name w:val="Ju_ITMark"/>
    <w:basedOn w:val="Carpredefinitoparagrafo"/>
    <w:uiPriority w:val="38"/>
    <w:qFormat/>
    <w:rsid w:val="00106980"/>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9"/>
    <w:semiHidden/>
    <w:rsid w:val="00106980"/>
    <w:rPr>
      <w:rFonts w:asciiTheme="majorHAnsi" w:eastAsiaTheme="majorEastAsia" w:hAnsiTheme="majorHAnsi" w:cstheme="majorBidi"/>
      <w:b/>
      <w:bCs/>
      <w:color w:val="808080"/>
    </w:rPr>
  </w:style>
  <w:style w:type="paragraph" w:customStyle="1" w:styleId="JuQuotSub">
    <w:name w:val="Ju_Quot_Sub"/>
    <w:basedOn w:val="ECHRParaQuote"/>
    <w:uiPriority w:val="15"/>
    <w:qFormat/>
    <w:rsid w:val="00106980"/>
    <w:pPr>
      <w:ind w:left="567"/>
    </w:pPr>
  </w:style>
  <w:style w:type="paragraph" w:customStyle="1" w:styleId="OpiH1">
    <w:name w:val="Opi_H_1"/>
    <w:basedOn w:val="ECHRHeading2"/>
    <w:uiPriority w:val="42"/>
    <w:semiHidden/>
    <w:qFormat/>
    <w:rsid w:val="00106980"/>
    <w:pPr>
      <w:ind w:left="635" w:hanging="357"/>
      <w:outlineLvl w:val="2"/>
    </w:pPr>
  </w:style>
  <w:style w:type="character" w:styleId="Enfasidelicata">
    <w:name w:val="Subtle Emphasis"/>
    <w:uiPriority w:val="99"/>
    <w:semiHidden/>
    <w:qFormat/>
    <w:rsid w:val="00106980"/>
    <w:rPr>
      <w:i/>
      <w:iCs/>
    </w:rPr>
  </w:style>
  <w:style w:type="paragraph" w:customStyle="1" w:styleId="OpiHa">
    <w:name w:val="Opi_H_a"/>
    <w:basedOn w:val="ECHRHeading3"/>
    <w:uiPriority w:val="43"/>
    <w:semiHidden/>
    <w:qFormat/>
    <w:rsid w:val="00106980"/>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106980"/>
    <w:pPr>
      <w:keepNext/>
      <w:keepLines/>
      <w:spacing w:before="720" w:after="240"/>
      <w:outlineLvl w:val="0"/>
    </w:pPr>
    <w:rPr>
      <w:rFonts w:asciiTheme="majorHAnsi" w:hAnsiTheme="majorHAnsi"/>
      <w:sz w:val="28"/>
    </w:rPr>
  </w:style>
  <w:style w:type="paragraph" w:customStyle="1" w:styleId="OpiHA0">
    <w:name w:val="Opi_H_A"/>
    <w:basedOn w:val="ECHRHeading1"/>
    <w:next w:val="OpiPara"/>
    <w:uiPriority w:val="41"/>
    <w:semiHidden/>
    <w:qFormat/>
    <w:rsid w:val="00106980"/>
    <w:pPr>
      <w:tabs>
        <w:tab w:val="clear" w:pos="357"/>
      </w:tabs>
      <w:outlineLvl w:val="1"/>
    </w:pPr>
    <w:rPr>
      <w:b/>
    </w:rPr>
  </w:style>
  <w:style w:type="paragraph" w:customStyle="1" w:styleId="ECHRTitleCentre2">
    <w:name w:val="ECHR_Title_Centre_2"/>
    <w:aliases w:val="Dec_H_Case"/>
    <w:basedOn w:val="Normale"/>
    <w:next w:val="ECHRPara"/>
    <w:uiPriority w:val="8"/>
    <w:qFormat/>
    <w:rsid w:val="00106980"/>
    <w:pPr>
      <w:spacing w:after="240"/>
      <w:jc w:val="center"/>
      <w:outlineLvl w:val="0"/>
    </w:pPr>
    <w:rPr>
      <w:rFonts w:asciiTheme="majorHAnsi" w:hAnsiTheme="majorHAnsi"/>
    </w:rPr>
  </w:style>
  <w:style w:type="character" w:styleId="Enfasicorsivo">
    <w:name w:val="Emphasis"/>
    <w:uiPriority w:val="99"/>
    <w:semiHidden/>
    <w:qFormat/>
    <w:rsid w:val="00106980"/>
    <w:rPr>
      <w:b/>
      <w:bCs/>
      <w:i/>
      <w:iCs/>
      <w:spacing w:val="10"/>
      <w:bdr w:val="none" w:sz="0" w:space="0" w:color="auto"/>
      <w:shd w:val="clear" w:color="auto" w:fill="auto"/>
    </w:rPr>
  </w:style>
  <w:style w:type="paragraph" w:styleId="Pidipagina">
    <w:name w:val="footer"/>
    <w:basedOn w:val="Normale"/>
    <w:link w:val="PidipaginaCarattere"/>
    <w:uiPriority w:val="57"/>
    <w:semiHidden/>
    <w:rsid w:val="0010698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06980"/>
    <w:rPr>
      <w:sz w:val="24"/>
      <w:lang w:val="en-GB"/>
    </w:rPr>
  </w:style>
  <w:style w:type="character" w:styleId="Rimandonotaapidipagina">
    <w:name w:val="footnote reference"/>
    <w:basedOn w:val="Carpredefinitoparagrafo"/>
    <w:uiPriority w:val="99"/>
    <w:semiHidden/>
    <w:rsid w:val="00106980"/>
    <w:rPr>
      <w:vertAlign w:val="superscript"/>
    </w:rPr>
  </w:style>
  <w:style w:type="paragraph" w:styleId="Testonotaapidipagina">
    <w:name w:val="footnote text"/>
    <w:basedOn w:val="Normale"/>
    <w:link w:val="TestonotaapidipaginaCarattere"/>
    <w:uiPriority w:val="99"/>
    <w:semiHidden/>
    <w:rsid w:val="00106980"/>
    <w:rPr>
      <w:sz w:val="20"/>
      <w:szCs w:val="20"/>
    </w:rPr>
  </w:style>
  <w:style w:type="character" w:customStyle="1" w:styleId="TestonotaapidipaginaCarattere">
    <w:name w:val="Testo nota a piè di pagina Carattere"/>
    <w:basedOn w:val="Carpredefinitoparagrafo"/>
    <w:link w:val="Testonotaapidipagina"/>
    <w:uiPriority w:val="99"/>
    <w:semiHidden/>
    <w:rsid w:val="00106980"/>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106980"/>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10698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0698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0698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06980"/>
    <w:rPr>
      <w:color w:val="0072BC" w:themeColor="hyperlink"/>
      <w:u w:val="single"/>
    </w:rPr>
  </w:style>
  <w:style w:type="character" w:styleId="Enfasiintensa">
    <w:name w:val="Intense Emphasis"/>
    <w:uiPriority w:val="99"/>
    <w:semiHidden/>
    <w:qFormat/>
    <w:rsid w:val="00106980"/>
    <w:rPr>
      <w:b/>
      <w:bCs/>
    </w:rPr>
  </w:style>
  <w:style w:type="paragraph" w:styleId="Citazioneintensa">
    <w:name w:val="Intense Quote"/>
    <w:basedOn w:val="Normale"/>
    <w:next w:val="Normale"/>
    <w:link w:val="CitazioneintensaCarattere"/>
    <w:uiPriority w:val="99"/>
    <w:semiHidden/>
    <w:qFormat/>
    <w:rsid w:val="00106980"/>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rsid w:val="00106980"/>
    <w:rPr>
      <w:rFonts w:eastAsiaTheme="minorEastAsia"/>
      <w:b/>
      <w:bCs/>
      <w:i/>
      <w:iCs/>
      <w:lang w:bidi="en-US"/>
    </w:rPr>
  </w:style>
  <w:style w:type="character" w:styleId="Riferimentointenso">
    <w:name w:val="Intense Reference"/>
    <w:uiPriority w:val="99"/>
    <w:semiHidden/>
    <w:qFormat/>
    <w:rsid w:val="00106980"/>
    <w:rPr>
      <w:smallCaps/>
      <w:spacing w:val="5"/>
      <w:u w:val="single"/>
    </w:rPr>
  </w:style>
  <w:style w:type="paragraph" w:styleId="Paragrafoelenco">
    <w:name w:val="List Paragraph"/>
    <w:basedOn w:val="Normale"/>
    <w:uiPriority w:val="99"/>
    <w:semiHidden/>
    <w:qFormat/>
    <w:rsid w:val="0010698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106980"/>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rsid w:val="00106980"/>
    <w:rPr>
      <w:rFonts w:eastAsiaTheme="minorEastAsia"/>
      <w:i/>
      <w:iCs/>
      <w:lang w:bidi="en-US"/>
    </w:rPr>
  </w:style>
  <w:style w:type="character" w:styleId="Riferimentodelicato">
    <w:name w:val="Subtle Reference"/>
    <w:uiPriority w:val="99"/>
    <w:semiHidden/>
    <w:qFormat/>
    <w:rsid w:val="00106980"/>
    <w:rPr>
      <w:smallCaps/>
    </w:rPr>
  </w:style>
  <w:style w:type="table" w:styleId="Grigliatabella">
    <w:name w:val="Table Grid"/>
    <w:basedOn w:val="Tabellanormale"/>
    <w:uiPriority w:val="59"/>
    <w:semiHidden/>
    <w:rsid w:val="0010698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10698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0698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0698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0698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0698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0698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0698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semiHidden/>
    <w:qFormat/>
    <w:rsid w:val="00106980"/>
    <w:pPr>
      <w:ind w:left="1037" w:hanging="357"/>
      <w:outlineLvl w:val="4"/>
    </w:pPr>
    <w:rPr>
      <w:b w:val="0"/>
      <w:i/>
    </w:rPr>
  </w:style>
  <w:style w:type="paragraph" w:customStyle="1" w:styleId="OpiPara">
    <w:name w:val="Opi_Para"/>
    <w:basedOn w:val="ECHRPara"/>
    <w:uiPriority w:val="46"/>
    <w:semiHidden/>
    <w:qFormat/>
    <w:rsid w:val="00106980"/>
  </w:style>
  <w:style w:type="paragraph" w:customStyle="1" w:styleId="OpiParaSub">
    <w:name w:val="Opi_Para_Sub"/>
    <w:basedOn w:val="JuParaSub"/>
    <w:uiPriority w:val="47"/>
    <w:semiHidden/>
    <w:qFormat/>
    <w:rsid w:val="00106980"/>
  </w:style>
  <w:style w:type="paragraph" w:customStyle="1" w:styleId="ECHRPara">
    <w:name w:val="ECHR_Para"/>
    <w:aliases w:val="Ju_Para"/>
    <w:basedOn w:val="Normale"/>
    <w:link w:val="ECHRParaChar"/>
    <w:uiPriority w:val="12"/>
    <w:qFormat/>
    <w:rsid w:val="00106980"/>
    <w:pPr>
      <w:ind w:firstLine="284"/>
    </w:pPr>
  </w:style>
  <w:style w:type="paragraph" w:styleId="Sottotitolo">
    <w:name w:val="Subtitle"/>
    <w:basedOn w:val="Normale"/>
    <w:next w:val="Normale"/>
    <w:link w:val="SottotitoloCarattere"/>
    <w:uiPriority w:val="99"/>
    <w:semiHidden/>
    <w:qFormat/>
    <w:rsid w:val="00106980"/>
    <w:pPr>
      <w:spacing w:after="600"/>
    </w:pPr>
    <w:rPr>
      <w:rFonts w:asciiTheme="majorHAnsi" w:eastAsiaTheme="majorEastAsia" w:hAnsiTheme="majorHAnsi" w:cstheme="majorBidi"/>
      <w:i/>
      <w:iCs/>
      <w:spacing w:val="13"/>
      <w:szCs w:val="24"/>
      <w:lang w:val="en-US"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rsid w:val="00106980"/>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0698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A71632"/>
    <w:pPr>
      <w:numPr>
        <w:numId w:val="3"/>
      </w:numPr>
    </w:pPr>
  </w:style>
  <w:style w:type="numbering" w:styleId="1ai">
    <w:name w:val="Outline List 1"/>
    <w:basedOn w:val="Nessunelenco"/>
    <w:uiPriority w:val="99"/>
    <w:semiHidden/>
    <w:unhideWhenUsed/>
    <w:rsid w:val="00A71632"/>
    <w:pPr>
      <w:numPr>
        <w:numId w:val="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A71632"/>
    <w:pPr>
      <w:numPr>
        <w:numId w:val="5"/>
      </w:numPr>
    </w:pPr>
  </w:style>
  <w:style w:type="paragraph" w:styleId="Bibliografia">
    <w:name w:val="Bibliography"/>
    <w:basedOn w:val="Normale"/>
    <w:next w:val="Normale"/>
    <w:uiPriority w:val="99"/>
    <w:semiHidden/>
    <w:rsid w:val="00A71632"/>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106980"/>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A71632"/>
    <w:rPr>
      <w:rFonts w:ascii="Times New Roman" w:hAnsi="Times New Roman" w:cs="Times New Roman"/>
      <w:sz w:val="18"/>
    </w:rPr>
  </w:style>
  <w:style w:type="character" w:styleId="Rimandocommento">
    <w:name w:val="annotation reference"/>
    <w:uiPriority w:val="99"/>
    <w:semiHidden/>
    <w:rsid w:val="00A71632"/>
    <w:rPr>
      <w:sz w:val="16"/>
    </w:rPr>
  </w:style>
  <w:style w:type="paragraph" w:styleId="Testocommento">
    <w:name w:val="annotation text"/>
    <w:basedOn w:val="Normale"/>
    <w:link w:val="TestocommentoCarattere"/>
    <w:semiHidden/>
    <w:rsid w:val="00A71632"/>
    <w:rPr>
      <w:sz w:val="20"/>
    </w:rPr>
  </w:style>
  <w:style w:type="character" w:customStyle="1" w:styleId="TestocommentoCarattere">
    <w:name w:val="Testo commento Carattere"/>
    <w:basedOn w:val="Carpredefinitoparagrafo"/>
    <w:link w:val="Testocommento"/>
    <w:semiHidden/>
    <w:rsid w:val="00A71632"/>
    <w:rPr>
      <w:rFonts w:eastAsiaTheme="minorEastAsia"/>
      <w:sz w:val="20"/>
    </w:rPr>
  </w:style>
  <w:style w:type="paragraph" w:customStyle="1" w:styleId="DecHTitle">
    <w:name w:val="Dec_H_Title"/>
    <w:basedOn w:val="ECHRTitleCentre1"/>
    <w:uiPriority w:val="7"/>
    <w:qFormat/>
    <w:rsid w:val="00106980"/>
  </w:style>
  <w:style w:type="paragraph" w:styleId="Testodelblocco">
    <w:name w:val="Block Text"/>
    <w:basedOn w:val="Normale"/>
    <w:uiPriority w:val="99"/>
    <w:semiHidden/>
    <w:rsid w:val="00A7163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Puntoelenco2">
    <w:name w:val="List Bullet 2"/>
    <w:basedOn w:val="Normale"/>
    <w:uiPriority w:val="99"/>
    <w:semiHidden/>
    <w:rsid w:val="00A71632"/>
    <w:pPr>
      <w:numPr>
        <w:numId w:val="1"/>
      </w:numPr>
      <w:tabs>
        <w:tab w:val="clear" w:pos="643"/>
        <w:tab w:val="num" w:pos="360"/>
      </w:tabs>
      <w:ind w:left="0" w:firstLine="0"/>
      <w:contextualSpacing/>
    </w:pPr>
  </w:style>
  <w:style w:type="paragraph" w:styleId="Puntoelenco3">
    <w:name w:val="List Bullet 3"/>
    <w:basedOn w:val="Normale"/>
    <w:uiPriority w:val="99"/>
    <w:semiHidden/>
    <w:rsid w:val="00A71632"/>
    <w:pPr>
      <w:numPr>
        <w:numId w:val="2"/>
      </w:numPr>
      <w:contextualSpacing/>
    </w:pPr>
  </w:style>
  <w:style w:type="paragraph" w:styleId="Corpotesto">
    <w:name w:val="Body Text"/>
    <w:basedOn w:val="Normale"/>
    <w:link w:val="CorpotestoCarattere"/>
    <w:uiPriority w:val="99"/>
    <w:semiHidden/>
    <w:rsid w:val="00A71632"/>
    <w:pPr>
      <w:spacing w:after="120"/>
    </w:pPr>
  </w:style>
  <w:style w:type="character" w:customStyle="1" w:styleId="CorpotestoCarattere">
    <w:name w:val="Corpo testo Carattere"/>
    <w:basedOn w:val="Carpredefinitoparagrafo"/>
    <w:link w:val="Corpotesto"/>
    <w:uiPriority w:val="99"/>
    <w:semiHidden/>
    <w:rsid w:val="00A71632"/>
    <w:rPr>
      <w:rFonts w:eastAsiaTheme="minorEastAsia"/>
      <w:sz w:val="24"/>
    </w:rPr>
  </w:style>
  <w:style w:type="paragraph" w:styleId="Corpodeltesto2">
    <w:name w:val="Body Text 2"/>
    <w:basedOn w:val="Normale"/>
    <w:link w:val="Corpodeltesto2Carattere"/>
    <w:uiPriority w:val="99"/>
    <w:semiHidden/>
    <w:rsid w:val="00A71632"/>
    <w:pPr>
      <w:spacing w:after="120" w:line="480" w:lineRule="auto"/>
    </w:pPr>
  </w:style>
  <w:style w:type="character" w:customStyle="1" w:styleId="Corpodeltesto2Carattere">
    <w:name w:val="Corpo del testo 2 Carattere"/>
    <w:basedOn w:val="Carpredefinitoparagrafo"/>
    <w:link w:val="Corpodeltesto2"/>
    <w:uiPriority w:val="99"/>
    <w:semiHidden/>
    <w:rsid w:val="00A71632"/>
    <w:rPr>
      <w:rFonts w:eastAsiaTheme="minorEastAsia"/>
      <w:sz w:val="24"/>
    </w:rPr>
  </w:style>
  <w:style w:type="paragraph" w:styleId="Corpodeltesto3">
    <w:name w:val="Body Text 3"/>
    <w:basedOn w:val="Normale"/>
    <w:link w:val="Corpodeltesto3Carattere"/>
    <w:uiPriority w:val="99"/>
    <w:semiHidden/>
    <w:rsid w:val="00A716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7163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A7163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A71632"/>
    <w:rPr>
      <w:rFonts w:eastAsiaTheme="minorEastAsia"/>
      <w:sz w:val="24"/>
    </w:rPr>
  </w:style>
  <w:style w:type="paragraph" w:styleId="Rientrocorpodeltesto">
    <w:name w:val="Body Text Indent"/>
    <w:basedOn w:val="Normale"/>
    <w:link w:val="RientrocorpodeltestoCarattere"/>
    <w:uiPriority w:val="99"/>
    <w:semiHidden/>
    <w:rsid w:val="00A7163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71632"/>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A7163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A71632"/>
    <w:rPr>
      <w:rFonts w:eastAsiaTheme="minorEastAsia"/>
      <w:sz w:val="24"/>
    </w:rPr>
  </w:style>
  <w:style w:type="paragraph" w:styleId="Rientrocorpodeltesto2">
    <w:name w:val="Body Text Indent 2"/>
    <w:basedOn w:val="Normale"/>
    <w:link w:val="Rientrocorpodeltesto2Carattere"/>
    <w:uiPriority w:val="99"/>
    <w:semiHidden/>
    <w:rsid w:val="00A716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71632"/>
    <w:rPr>
      <w:rFonts w:eastAsiaTheme="minorEastAsia"/>
      <w:sz w:val="24"/>
    </w:rPr>
  </w:style>
  <w:style w:type="paragraph" w:styleId="Rientrocorpodeltesto3">
    <w:name w:val="Body Text Indent 3"/>
    <w:basedOn w:val="Normale"/>
    <w:link w:val="Rientrocorpodeltesto3Carattere"/>
    <w:uiPriority w:val="99"/>
    <w:semiHidden/>
    <w:rsid w:val="00A7163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71632"/>
    <w:rPr>
      <w:rFonts w:eastAsiaTheme="minorEastAsia"/>
      <w:sz w:val="16"/>
      <w:szCs w:val="16"/>
    </w:rPr>
  </w:style>
  <w:style w:type="paragraph" w:styleId="Didascalia">
    <w:name w:val="caption"/>
    <w:basedOn w:val="Normale"/>
    <w:next w:val="Normale"/>
    <w:uiPriority w:val="99"/>
    <w:semiHidden/>
    <w:qFormat/>
    <w:rsid w:val="00A7163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A71632"/>
    <w:pPr>
      <w:ind w:left="4252"/>
    </w:pPr>
  </w:style>
  <w:style w:type="character" w:customStyle="1" w:styleId="FormuladichiusuraCarattere">
    <w:name w:val="Formula di chiusura Carattere"/>
    <w:basedOn w:val="Carpredefinitoparagrafo"/>
    <w:link w:val="Formuladichiusura"/>
    <w:uiPriority w:val="99"/>
    <w:semiHidden/>
    <w:rsid w:val="00A71632"/>
    <w:rPr>
      <w:rFonts w:eastAsiaTheme="minorEastAsia"/>
      <w:sz w:val="24"/>
    </w:rPr>
  </w:style>
  <w:style w:type="table" w:styleId="Grigliaacolori">
    <w:name w:val="Colorful Grid"/>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A7163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A7163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A7163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A7163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A7163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A7163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A7163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A7163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A7163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A7163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A7163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A71632"/>
    <w:rPr>
      <w:b/>
      <w:bCs/>
      <w:szCs w:val="20"/>
    </w:rPr>
  </w:style>
  <w:style w:type="character" w:customStyle="1" w:styleId="SoggettocommentoCarattere">
    <w:name w:val="Soggetto commento Carattere"/>
    <w:basedOn w:val="TestocommentoCarattere"/>
    <w:link w:val="Soggettocommento"/>
    <w:uiPriority w:val="99"/>
    <w:semiHidden/>
    <w:rsid w:val="00A71632"/>
    <w:rPr>
      <w:rFonts w:eastAsiaTheme="minorEastAsia"/>
      <w:b/>
      <w:bCs/>
      <w:sz w:val="20"/>
      <w:szCs w:val="20"/>
    </w:rPr>
  </w:style>
  <w:style w:type="table" w:styleId="Elencoscuro">
    <w:name w:val="Dark List"/>
    <w:basedOn w:val="Tabellanormale"/>
    <w:uiPriority w:val="99"/>
    <w:semiHidden/>
    <w:rsid w:val="00A7163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A7163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A7163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A7163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A7163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A7163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A7163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A71632"/>
  </w:style>
  <w:style w:type="character" w:customStyle="1" w:styleId="DataCarattere">
    <w:name w:val="Data Carattere"/>
    <w:basedOn w:val="Carpredefinitoparagrafo"/>
    <w:link w:val="Data"/>
    <w:uiPriority w:val="99"/>
    <w:semiHidden/>
    <w:rsid w:val="00A71632"/>
    <w:rPr>
      <w:rFonts w:eastAsiaTheme="minorEastAsia"/>
      <w:sz w:val="24"/>
    </w:rPr>
  </w:style>
  <w:style w:type="paragraph" w:styleId="Mappadocumento">
    <w:name w:val="Document Map"/>
    <w:basedOn w:val="Normale"/>
    <w:link w:val="MappadocumentoCarattere"/>
    <w:uiPriority w:val="99"/>
    <w:semiHidden/>
    <w:rsid w:val="00A7163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A71632"/>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A71632"/>
  </w:style>
  <w:style w:type="character" w:customStyle="1" w:styleId="FirmadipostaelettronicaCarattere">
    <w:name w:val="Firma di posta elettronica Carattere"/>
    <w:basedOn w:val="Carpredefinitoparagrafo"/>
    <w:link w:val="Firmadipostaelettronica"/>
    <w:uiPriority w:val="99"/>
    <w:semiHidden/>
    <w:rsid w:val="00A71632"/>
    <w:rPr>
      <w:rFonts w:eastAsiaTheme="minorEastAsia"/>
      <w:sz w:val="24"/>
    </w:rPr>
  </w:style>
  <w:style w:type="character" w:styleId="Rimandonotadichiusura">
    <w:name w:val="endnote reference"/>
    <w:basedOn w:val="Carpredefinitoparagrafo"/>
    <w:uiPriority w:val="99"/>
    <w:semiHidden/>
    <w:rsid w:val="00A71632"/>
    <w:rPr>
      <w:vertAlign w:val="superscript"/>
    </w:rPr>
  </w:style>
  <w:style w:type="paragraph" w:styleId="Testonotadichiusura">
    <w:name w:val="endnote text"/>
    <w:basedOn w:val="Normale"/>
    <w:link w:val="TestonotadichiusuraCarattere"/>
    <w:uiPriority w:val="99"/>
    <w:semiHidden/>
    <w:rsid w:val="00A71632"/>
    <w:rPr>
      <w:sz w:val="20"/>
      <w:szCs w:val="20"/>
    </w:rPr>
  </w:style>
  <w:style w:type="character" w:customStyle="1" w:styleId="TestonotadichiusuraCarattere">
    <w:name w:val="Testo nota di chiusura Carattere"/>
    <w:basedOn w:val="Carpredefinitoparagrafo"/>
    <w:link w:val="Testonotadichiusura"/>
    <w:uiPriority w:val="99"/>
    <w:semiHidden/>
    <w:rsid w:val="00A71632"/>
    <w:rPr>
      <w:rFonts w:eastAsiaTheme="minorEastAsia"/>
      <w:sz w:val="20"/>
      <w:szCs w:val="20"/>
    </w:rPr>
  </w:style>
  <w:style w:type="paragraph" w:styleId="Indirizzodestinatario">
    <w:name w:val="envelope address"/>
    <w:basedOn w:val="Normale"/>
    <w:uiPriority w:val="99"/>
    <w:semiHidden/>
    <w:rsid w:val="00A7163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A71632"/>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A71632"/>
    <w:rPr>
      <w:color w:val="7030A0" w:themeColor="followedHyperlink"/>
      <w:u w:val="single"/>
    </w:rPr>
  </w:style>
  <w:style w:type="character" w:styleId="AcronimoHTML">
    <w:name w:val="HTML Acronym"/>
    <w:basedOn w:val="Carpredefinitoparagrafo"/>
    <w:uiPriority w:val="99"/>
    <w:semiHidden/>
    <w:rsid w:val="00A71632"/>
  </w:style>
  <w:style w:type="paragraph" w:styleId="IndirizzoHTML">
    <w:name w:val="HTML Address"/>
    <w:basedOn w:val="Normale"/>
    <w:link w:val="IndirizzoHTMLCarattere"/>
    <w:uiPriority w:val="99"/>
    <w:semiHidden/>
    <w:rsid w:val="00A71632"/>
    <w:rPr>
      <w:i/>
      <w:iCs/>
    </w:rPr>
  </w:style>
  <w:style w:type="character" w:customStyle="1" w:styleId="IndirizzoHTMLCarattere">
    <w:name w:val="Indirizzo HTML Carattere"/>
    <w:basedOn w:val="Carpredefinitoparagrafo"/>
    <w:link w:val="IndirizzoHTML"/>
    <w:uiPriority w:val="99"/>
    <w:semiHidden/>
    <w:rsid w:val="00A71632"/>
    <w:rPr>
      <w:rFonts w:eastAsiaTheme="minorEastAsia"/>
      <w:i/>
      <w:iCs/>
      <w:sz w:val="24"/>
    </w:rPr>
  </w:style>
  <w:style w:type="character" w:styleId="CitazioneHTML">
    <w:name w:val="HTML Cite"/>
    <w:basedOn w:val="Carpredefinitoparagrafo"/>
    <w:uiPriority w:val="99"/>
    <w:semiHidden/>
    <w:rsid w:val="00A71632"/>
    <w:rPr>
      <w:i/>
      <w:iCs/>
    </w:rPr>
  </w:style>
  <w:style w:type="character" w:styleId="CodiceHTML">
    <w:name w:val="HTML Code"/>
    <w:basedOn w:val="Carpredefinitoparagrafo"/>
    <w:uiPriority w:val="99"/>
    <w:semiHidden/>
    <w:rsid w:val="00A71632"/>
    <w:rPr>
      <w:rFonts w:ascii="Consolas" w:hAnsi="Consolas" w:cs="Consolas"/>
      <w:sz w:val="20"/>
      <w:szCs w:val="20"/>
    </w:rPr>
  </w:style>
  <w:style w:type="character" w:styleId="DefinizioneHTML">
    <w:name w:val="HTML Definition"/>
    <w:basedOn w:val="Carpredefinitoparagrafo"/>
    <w:uiPriority w:val="99"/>
    <w:semiHidden/>
    <w:rsid w:val="00A71632"/>
    <w:rPr>
      <w:i/>
      <w:iCs/>
    </w:rPr>
  </w:style>
  <w:style w:type="character" w:styleId="TastieraHTML">
    <w:name w:val="HTML Keyboard"/>
    <w:basedOn w:val="Carpredefinitoparagrafo"/>
    <w:uiPriority w:val="99"/>
    <w:semiHidden/>
    <w:rsid w:val="00A71632"/>
    <w:rPr>
      <w:rFonts w:ascii="Consolas" w:hAnsi="Consolas" w:cs="Consolas"/>
      <w:sz w:val="20"/>
      <w:szCs w:val="20"/>
    </w:rPr>
  </w:style>
  <w:style w:type="paragraph" w:styleId="PreformattatoHTML">
    <w:name w:val="HTML Preformatted"/>
    <w:basedOn w:val="Normale"/>
    <w:link w:val="PreformattatoHTMLCarattere"/>
    <w:uiPriority w:val="99"/>
    <w:semiHidden/>
    <w:rsid w:val="00A7163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A71632"/>
    <w:rPr>
      <w:rFonts w:ascii="Consolas" w:eastAsiaTheme="minorEastAsia" w:hAnsi="Consolas" w:cs="Consolas"/>
      <w:sz w:val="20"/>
      <w:szCs w:val="20"/>
    </w:rPr>
  </w:style>
  <w:style w:type="character" w:styleId="EsempioHTML">
    <w:name w:val="HTML Sample"/>
    <w:basedOn w:val="Carpredefinitoparagrafo"/>
    <w:uiPriority w:val="99"/>
    <w:semiHidden/>
    <w:rsid w:val="00A71632"/>
    <w:rPr>
      <w:rFonts w:ascii="Consolas" w:hAnsi="Consolas" w:cs="Consolas"/>
      <w:sz w:val="24"/>
      <w:szCs w:val="24"/>
    </w:rPr>
  </w:style>
  <w:style w:type="character" w:styleId="MacchinadascrivereHTML">
    <w:name w:val="HTML Typewriter"/>
    <w:basedOn w:val="Carpredefinitoparagrafo"/>
    <w:uiPriority w:val="99"/>
    <w:semiHidden/>
    <w:rsid w:val="00A71632"/>
    <w:rPr>
      <w:rFonts w:ascii="Consolas" w:hAnsi="Consolas" w:cs="Consolas"/>
      <w:sz w:val="20"/>
      <w:szCs w:val="20"/>
    </w:rPr>
  </w:style>
  <w:style w:type="character" w:styleId="VariabileHTML">
    <w:name w:val="HTML Variable"/>
    <w:basedOn w:val="Carpredefinitoparagrafo"/>
    <w:uiPriority w:val="99"/>
    <w:semiHidden/>
    <w:rsid w:val="00A71632"/>
    <w:rPr>
      <w:i/>
      <w:iCs/>
    </w:rPr>
  </w:style>
  <w:style w:type="paragraph" w:styleId="Indice1">
    <w:name w:val="index 1"/>
    <w:basedOn w:val="Normale"/>
    <w:next w:val="Normale"/>
    <w:autoRedefine/>
    <w:uiPriority w:val="99"/>
    <w:semiHidden/>
    <w:rsid w:val="00A71632"/>
    <w:pPr>
      <w:ind w:left="240" w:hanging="240"/>
    </w:pPr>
  </w:style>
  <w:style w:type="paragraph" w:styleId="Indice2">
    <w:name w:val="index 2"/>
    <w:basedOn w:val="Normale"/>
    <w:next w:val="Normale"/>
    <w:autoRedefine/>
    <w:uiPriority w:val="99"/>
    <w:semiHidden/>
    <w:rsid w:val="00A71632"/>
    <w:pPr>
      <w:ind w:left="480" w:hanging="240"/>
    </w:pPr>
  </w:style>
  <w:style w:type="paragraph" w:styleId="Indice3">
    <w:name w:val="index 3"/>
    <w:basedOn w:val="Normale"/>
    <w:next w:val="Normale"/>
    <w:autoRedefine/>
    <w:uiPriority w:val="99"/>
    <w:semiHidden/>
    <w:rsid w:val="00A71632"/>
    <w:pPr>
      <w:ind w:left="720" w:hanging="240"/>
    </w:pPr>
  </w:style>
  <w:style w:type="paragraph" w:styleId="Indice4">
    <w:name w:val="index 4"/>
    <w:basedOn w:val="Normale"/>
    <w:next w:val="Normale"/>
    <w:autoRedefine/>
    <w:uiPriority w:val="99"/>
    <w:semiHidden/>
    <w:rsid w:val="00A71632"/>
    <w:pPr>
      <w:ind w:left="960" w:hanging="240"/>
    </w:pPr>
  </w:style>
  <w:style w:type="paragraph" w:styleId="Indice5">
    <w:name w:val="index 5"/>
    <w:basedOn w:val="Normale"/>
    <w:next w:val="Normale"/>
    <w:autoRedefine/>
    <w:uiPriority w:val="99"/>
    <w:semiHidden/>
    <w:rsid w:val="00A71632"/>
    <w:pPr>
      <w:ind w:left="1200" w:hanging="240"/>
    </w:pPr>
  </w:style>
  <w:style w:type="paragraph" w:styleId="Indice6">
    <w:name w:val="index 6"/>
    <w:basedOn w:val="Normale"/>
    <w:next w:val="Normale"/>
    <w:autoRedefine/>
    <w:uiPriority w:val="99"/>
    <w:semiHidden/>
    <w:rsid w:val="00A71632"/>
    <w:pPr>
      <w:ind w:left="1440" w:hanging="240"/>
    </w:pPr>
  </w:style>
  <w:style w:type="paragraph" w:styleId="Indice7">
    <w:name w:val="index 7"/>
    <w:basedOn w:val="Normale"/>
    <w:next w:val="Normale"/>
    <w:autoRedefine/>
    <w:uiPriority w:val="99"/>
    <w:semiHidden/>
    <w:rsid w:val="00A71632"/>
    <w:pPr>
      <w:ind w:left="1680" w:hanging="240"/>
    </w:pPr>
  </w:style>
  <w:style w:type="paragraph" w:styleId="Indice8">
    <w:name w:val="index 8"/>
    <w:basedOn w:val="Normale"/>
    <w:next w:val="Normale"/>
    <w:autoRedefine/>
    <w:uiPriority w:val="99"/>
    <w:semiHidden/>
    <w:rsid w:val="00A71632"/>
    <w:pPr>
      <w:ind w:left="1920" w:hanging="240"/>
    </w:pPr>
  </w:style>
  <w:style w:type="paragraph" w:styleId="Indice9">
    <w:name w:val="index 9"/>
    <w:basedOn w:val="Normale"/>
    <w:next w:val="Normale"/>
    <w:autoRedefine/>
    <w:uiPriority w:val="99"/>
    <w:semiHidden/>
    <w:rsid w:val="00A71632"/>
    <w:pPr>
      <w:ind w:left="2160" w:hanging="240"/>
    </w:pPr>
  </w:style>
  <w:style w:type="paragraph" w:styleId="Titoloindice">
    <w:name w:val="index heading"/>
    <w:basedOn w:val="Normale"/>
    <w:next w:val="Indice1"/>
    <w:uiPriority w:val="99"/>
    <w:semiHidden/>
    <w:rsid w:val="00A71632"/>
    <w:rPr>
      <w:rFonts w:asciiTheme="majorHAnsi" w:eastAsiaTheme="majorEastAsia" w:hAnsiTheme="majorHAnsi" w:cstheme="majorBidi"/>
      <w:b/>
      <w:bCs/>
    </w:rPr>
  </w:style>
  <w:style w:type="table" w:styleId="Grigliachiara">
    <w:name w:val="Light Grid"/>
    <w:basedOn w:val="Tabellanormale"/>
    <w:uiPriority w:val="99"/>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A71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A7163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A7163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A7163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A7163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A7163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A7163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A71632"/>
  </w:style>
  <w:style w:type="paragraph" w:styleId="Elenco">
    <w:name w:val="List"/>
    <w:basedOn w:val="Normale"/>
    <w:uiPriority w:val="99"/>
    <w:semiHidden/>
    <w:rsid w:val="00A71632"/>
    <w:pPr>
      <w:ind w:left="283" w:hanging="283"/>
      <w:contextualSpacing/>
    </w:pPr>
  </w:style>
  <w:style w:type="paragraph" w:styleId="Elenco2">
    <w:name w:val="List 2"/>
    <w:basedOn w:val="Normale"/>
    <w:uiPriority w:val="99"/>
    <w:semiHidden/>
    <w:rsid w:val="00A71632"/>
    <w:pPr>
      <w:ind w:left="566" w:hanging="283"/>
      <w:contextualSpacing/>
    </w:pPr>
  </w:style>
  <w:style w:type="paragraph" w:styleId="Elenco3">
    <w:name w:val="List 3"/>
    <w:basedOn w:val="Normale"/>
    <w:uiPriority w:val="99"/>
    <w:semiHidden/>
    <w:rsid w:val="00A71632"/>
    <w:pPr>
      <w:ind w:left="849" w:hanging="283"/>
      <w:contextualSpacing/>
    </w:pPr>
  </w:style>
  <w:style w:type="paragraph" w:styleId="Elenco4">
    <w:name w:val="List 4"/>
    <w:basedOn w:val="Normale"/>
    <w:uiPriority w:val="99"/>
    <w:semiHidden/>
    <w:rsid w:val="00A71632"/>
    <w:pPr>
      <w:ind w:left="1132" w:hanging="283"/>
      <w:contextualSpacing/>
    </w:pPr>
  </w:style>
  <w:style w:type="paragraph" w:styleId="Elenco5">
    <w:name w:val="List 5"/>
    <w:basedOn w:val="Normale"/>
    <w:uiPriority w:val="99"/>
    <w:semiHidden/>
    <w:rsid w:val="00A71632"/>
    <w:pPr>
      <w:ind w:left="1415" w:hanging="283"/>
      <w:contextualSpacing/>
    </w:pPr>
  </w:style>
  <w:style w:type="paragraph" w:styleId="Puntoelenco">
    <w:name w:val="List Bullet"/>
    <w:basedOn w:val="Normale"/>
    <w:uiPriority w:val="99"/>
    <w:semiHidden/>
    <w:rsid w:val="00A71632"/>
    <w:pPr>
      <w:numPr>
        <w:numId w:val="6"/>
      </w:numPr>
      <w:contextualSpacing/>
    </w:pPr>
  </w:style>
  <w:style w:type="paragraph" w:styleId="Puntoelenco4">
    <w:name w:val="List Bullet 4"/>
    <w:basedOn w:val="Normale"/>
    <w:uiPriority w:val="99"/>
    <w:semiHidden/>
    <w:rsid w:val="00A71632"/>
    <w:pPr>
      <w:numPr>
        <w:numId w:val="7"/>
      </w:numPr>
      <w:contextualSpacing/>
    </w:pPr>
  </w:style>
  <w:style w:type="paragraph" w:styleId="Puntoelenco5">
    <w:name w:val="List Bullet 5"/>
    <w:basedOn w:val="Normale"/>
    <w:uiPriority w:val="99"/>
    <w:semiHidden/>
    <w:rsid w:val="00A71632"/>
    <w:pPr>
      <w:numPr>
        <w:numId w:val="8"/>
      </w:numPr>
      <w:contextualSpacing/>
    </w:pPr>
  </w:style>
  <w:style w:type="paragraph" w:styleId="Elencocontinua">
    <w:name w:val="List Continue"/>
    <w:basedOn w:val="Normale"/>
    <w:uiPriority w:val="99"/>
    <w:semiHidden/>
    <w:rsid w:val="00A71632"/>
    <w:pPr>
      <w:spacing w:after="120"/>
      <w:ind w:left="283"/>
      <w:contextualSpacing/>
    </w:pPr>
  </w:style>
  <w:style w:type="paragraph" w:styleId="Elencocontinua2">
    <w:name w:val="List Continue 2"/>
    <w:basedOn w:val="Normale"/>
    <w:uiPriority w:val="99"/>
    <w:semiHidden/>
    <w:rsid w:val="00A71632"/>
    <w:pPr>
      <w:spacing w:after="120"/>
      <w:ind w:left="566"/>
      <w:contextualSpacing/>
    </w:pPr>
  </w:style>
  <w:style w:type="paragraph" w:styleId="Elencocontinua3">
    <w:name w:val="List Continue 3"/>
    <w:basedOn w:val="Normale"/>
    <w:uiPriority w:val="99"/>
    <w:semiHidden/>
    <w:rsid w:val="00A71632"/>
    <w:pPr>
      <w:spacing w:after="120"/>
      <w:ind w:left="849"/>
      <w:contextualSpacing/>
    </w:pPr>
  </w:style>
  <w:style w:type="paragraph" w:styleId="Elencocontinua4">
    <w:name w:val="List Continue 4"/>
    <w:basedOn w:val="Normale"/>
    <w:uiPriority w:val="99"/>
    <w:semiHidden/>
    <w:rsid w:val="00A71632"/>
    <w:pPr>
      <w:spacing w:after="120"/>
      <w:ind w:left="1132"/>
      <w:contextualSpacing/>
    </w:pPr>
  </w:style>
  <w:style w:type="paragraph" w:styleId="Elencocontinua5">
    <w:name w:val="List Continue 5"/>
    <w:basedOn w:val="Normale"/>
    <w:uiPriority w:val="99"/>
    <w:semiHidden/>
    <w:rsid w:val="00A71632"/>
    <w:pPr>
      <w:spacing w:after="120"/>
      <w:ind w:left="1415"/>
      <w:contextualSpacing/>
    </w:pPr>
  </w:style>
  <w:style w:type="paragraph" w:styleId="Numeroelenco">
    <w:name w:val="List Number"/>
    <w:basedOn w:val="Normale"/>
    <w:uiPriority w:val="99"/>
    <w:semiHidden/>
    <w:rsid w:val="00A71632"/>
    <w:pPr>
      <w:numPr>
        <w:numId w:val="9"/>
      </w:numPr>
      <w:contextualSpacing/>
    </w:pPr>
  </w:style>
  <w:style w:type="paragraph" w:styleId="Numeroelenco2">
    <w:name w:val="List Number 2"/>
    <w:basedOn w:val="Normale"/>
    <w:uiPriority w:val="99"/>
    <w:semiHidden/>
    <w:rsid w:val="00A71632"/>
    <w:pPr>
      <w:numPr>
        <w:numId w:val="10"/>
      </w:numPr>
      <w:contextualSpacing/>
    </w:pPr>
  </w:style>
  <w:style w:type="paragraph" w:styleId="Numeroelenco3">
    <w:name w:val="List Number 3"/>
    <w:basedOn w:val="Normale"/>
    <w:uiPriority w:val="99"/>
    <w:semiHidden/>
    <w:rsid w:val="00A71632"/>
    <w:pPr>
      <w:numPr>
        <w:numId w:val="11"/>
      </w:numPr>
      <w:contextualSpacing/>
    </w:pPr>
  </w:style>
  <w:style w:type="paragraph" w:styleId="Numeroelenco4">
    <w:name w:val="List Number 4"/>
    <w:basedOn w:val="Normale"/>
    <w:uiPriority w:val="99"/>
    <w:semiHidden/>
    <w:rsid w:val="00A71632"/>
    <w:pPr>
      <w:numPr>
        <w:numId w:val="12"/>
      </w:numPr>
      <w:contextualSpacing/>
    </w:pPr>
  </w:style>
  <w:style w:type="paragraph" w:styleId="Numeroelenco5">
    <w:name w:val="List Number 5"/>
    <w:basedOn w:val="Normale"/>
    <w:uiPriority w:val="99"/>
    <w:semiHidden/>
    <w:rsid w:val="00A71632"/>
    <w:pPr>
      <w:numPr>
        <w:numId w:val="13"/>
      </w:numPr>
      <w:contextualSpacing/>
    </w:pPr>
  </w:style>
  <w:style w:type="paragraph" w:styleId="Testomacro">
    <w:name w:val="macro"/>
    <w:link w:val="TestomacroCarattere"/>
    <w:uiPriority w:val="99"/>
    <w:semiHidden/>
    <w:rsid w:val="00A716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A71632"/>
    <w:rPr>
      <w:rFonts w:ascii="Consolas" w:eastAsiaTheme="minorEastAsia" w:hAnsi="Consolas" w:cs="Consolas"/>
      <w:sz w:val="20"/>
      <w:szCs w:val="20"/>
    </w:rPr>
  </w:style>
  <w:style w:type="table" w:styleId="Grigliamedia1">
    <w:name w:val="Medium Grid 1"/>
    <w:basedOn w:val="Tabellanormale"/>
    <w:uiPriority w:val="99"/>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A7163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A7163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A7163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A7163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A7163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A7163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A7163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A716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A7163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A71632"/>
    <w:rPr>
      <w:rFonts w:ascii="Times New Roman" w:hAnsi="Times New Roman" w:cs="Times New Roman"/>
      <w:szCs w:val="24"/>
    </w:rPr>
  </w:style>
  <w:style w:type="paragraph" w:styleId="Rientronormale">
    <w:name w:val="Normal Indent"/>
    <w:basedOn w:val="Normale"/>
    <w:uiPriority w:val="99"/>
    <w:semiHidden/>
    <w:rsid w:val="00A71632"/>
    <w:pPr>
      <w:ind w:left="720"/>
    </w:pPr>
  </w:style>
  <w:style w:type="paragraph" w:styleId="Intestazionenota">
    <w:name w:val="Note Heading"/>
    <w:basedOn w:val="Normale"/>
    <w:next w:val="Normale"/>
    <w:link w:val="IntestazionenotaCarattere"/>
    <w:uiPriority w:val="99"/>
    <w:semiHidden/>
    <w:rsid w:val="00A71632"/>
  </w:style>
  <w:style w:type="character" w:customStyle="1" w:styleId="IntestazionenotaCarattere">
    <w:name w:val="Intestazione nota Carattere"/>
    <w:basedOn w:val="Carpredefinitoparagrafo"/>
    <w:link w:val="Intestazionenota"/>
    <w:uiPriority w:val="99"/>
    <w:semiHidden/>
    <w:rsid w:val="00A71632"/>
    <w:rPr>
      <w:rFonts w:eastAsiaTheme="minorEastAsia"/>
      <w:sz w:val="24"/>
    </w:rPr>
  </w:style>
  <w:style w:type="character" w:styleId="Testosegnaposto">
    <w:name w:val="Placeholder Text"/>
    <w:basedOn w:val="Carpredefinitoparagrafo"/>
    <w:uiPriority w:val="99"/>
    <w:semiHidden/>
    <w:rsid w:val="0010698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A7163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A7163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A71632"/>
  </w:style>
  <w:style w:type="character" w:customStyle="1" w:styleId="FormuladiaperturaCarattere">
    <w:name w:val="Formula di apertura Carattere"/>
    <w:basedOn w:val="Carpredefinitoparagrafo"/>
    <w:link w:val="Formuladiapertura"/>
    <w:uiPriority w:val="99"/>
    <w:semiHidden/>
    <w:rsid w:val="00A71632"/>
    <w:rPr>
      <w:rFonts w:eastAsiaTheme="minorEastAsia"/>
      <w:sz w:val="24"/>
    </w:rPr>
  </w:style>
  <w:style w:type="paragraph" w:styleId="Firma">
    <w:name w:val="Signature"/>
    <w:basedOn w:val="Normale"/>
    <w:link w:val="FirmaCarattere"/>
    <w:uiPriority w:val="99"/>
    <w:semiHidden/>
    <w:rsid w:val="00A71632"/>
    <w:pPr>
      <w:ind w:left="4252"/>
    </w:pPr>
  </w:style>
  <w:style w:type="character" w:customStyle="1" w:styleId="FirmaCarattere">
    <w:name w:val="Firma Carattere"/>
    <w:basedOn w:val="Carpredefinitoparagrafo"/>
    <w:link w:val="Firma"/>
    <w:uiPriority w:val="99"/>
    <w:semiHidden/>
    <w:rsid w:val="00A71632"/>
    <w:rPr>
      <w:rFonts w:eastAsiaTheme="minorEastAsia"/>
      <w:sz w:val="24"/>
    </w:rPr>
  </w:style>
  <w:style w:type="table" w:styleId="Tabellaeffetti3D1">
    <w:name w:val="Table 3D effects 1"/>
    <w:basedOn w:val="Tabellanormale"/>
    <w:uiPriority w:val="99"/>
    <w:semiHidden/>
    <w:unhideWhenUsed/>
    <w:rsid w:val="00A7163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7163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7163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7163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7163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7163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7163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7163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7163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7163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7163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7163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7163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7163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7163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A7163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A7163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A7163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A7163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A7163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A7163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A7163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A7163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A7163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A71632"/>
    <w:pPr>
      <w:ind w:left="240" w:hanging="240"/>
    </w:pPr>
  </w:style>
  <w:style w:type="paragraph" w:styleId="Indicedellefigure">
    <w:name w:val="table of figures"/>
    <w:basedOn w:val="Normale"/>
    <w:next w:val="Normale"/>
    <w:uiPriority w:val="99"/>
    <w:semiHidden/>
    <w:rsid w:val="00A71632"/>
  </w:style>
  <w:style w:type="table" w:styleId="Tabellaprofessionale">
    <w:name w:val="Table Professional"/>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7163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7163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7163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7163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716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7163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7163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7163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0698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0698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A71632"/>
    <w:pPr>
      <w:spacing w:after="100"/>
      <w:ind w:left="1680"/>
    </w:pPr>
  </w:style>
  <w:style w:type="paragraph" w:styleId="Sommario9">
    <w:name w:val="toc 9"/>
    <w:basedOn w:val="Normale"/>
    <w:next w:val="Normale"/>
    <w:autoRedefine/>
    <w:uiPriority w:val="99"/>
    <w:semiHidden/>
    <w:rsid w:val="00A71632"/>
    <w:pPr>
      <w:spacing w:after="100"/>
      <w:ind w:left="1920"/>
    </w:pPr>
  </w:style>
  <w:style w:type="paragraph" w:customStyle="1" w:styleId="OpiQuot">
    <w:name w:val="Opi_Quot"/>
    <w:basedOn w:val="ECHRParaQuote"/>
    <w:uiPriority w:val="48"/>
    <w:semiHidden/>
    <w:qFormat/>
    <w:rsid w:val="00106980"/>
  </w:style>
  <w:style w:type="paragraph" w:customStyle="1" w:styleId="OpiQuotSub">
    <w:name w:val="Opi_Quot_Sub"/>
    <w:basedOn w:val="JuQuotSub"/>
    <w:uiPriority w:val="49"/>
    <w:semiHidden/>
    <w:qFormat/>
    <w:rsid w:val="00106980"/>
  </w:style>
  <w:style w:type="paragraph" w:customStyle="1" w:styleId="OpiTranslation">
    <w:name w:val="Opi_Translation"/>
    <w:basedOn w:val="Normale"/>
    <w:next w:val="OpiPara"/>
    <w:uiPriority w:val="40"/>
    <w:semiHidden/>
    <w:qFormat/>
    <w:rsid w:val="00106980"/>
    <w:pPr>
      <w:jc w:val="center"/>
      <w:outlineLvl w:val="0"/>
    </w:pPr>
    <w:rPr>
      <w:i/>
    </w:rPr>
  </w:style>
  <w:style w:type="paragraph" w:customStyle="1" w:styleId="JuHeaderLandscape">
    <w:name w:val="Ju_Header_Landscape"/>
    <w:basedOn w:val="ECHRHeader"/>
    <w:uiPriority w:val="4"/>
    <w:qFormat/>
    <w:rsid w:val="0010698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106980"/>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106980"/>
    <w:pPr>
      <w:jc w:val="both"/>
    </w:pPr>
    <w:rPr>
      <w:rFonts w:eastAsiaTheme="minorEastAsia"/>
      <w:sz w:val="24"/>
      <w:lang w:val="en-GB"/>
    </w:rPr>
  </w:style>
  <w:style w:type="paragraph" w:styleId="Titolo1">
    <w:name w:val="heading 1"/>
    <w:basedOn w:val="Normale"/>
    <w:next w:val="Normale"/>
    <w:link w:val="Titolo1Carattere"/>
    <w:uiPriority w:val="99"/>
    <w:semiHidden/>
    <w:rsid w:val="0010698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0698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0698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0698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06980"/>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10698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06980"/>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106980"/>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106980"/>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069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980"/>
    <w:rPr>
      <w:rFonts w:ascii="Tahoma" w:eastAsiaTheme="minorEastAsia" w:hAnsi="Tahoma" w:cs="Tahoma"/>
      <w:sz w:val="16"/>
      <w:szCs w:val="16"/>
      <w:lang w:val="en-GB"/>
    </w:rPr>
  </w:style>
  <w:style w:type="character" w:styleId="Titolodellibro">
    <w:name w:val="Book Title"/>
    <w:uiPriority w:val="99"/>
    <w:semiHidden/>
    <w:qFormat/>
    <w:rsid w:val="00106980"/>
    <w:rPr>
      <w:i/>
      <w:iCs/>
      <w:smallCaps/>
      <w:spacing w:val="5"/>
    </w:rPr>
  </w:style>
  <w:style w:type="paragraph" w:customStyle="1" w:styleId="ECHRHeader">
    <w:name w:val="ECHR_Header"/>
    <w:aliases w:val="Ju_Header"/>
    <w:basedOn w:val="Intestazione"/>
    <w:uiPriority w:val="4"/>
    <w:qFormat/>
    <w:rsid w:val="00106980"/>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106980"/>
    <w:pPr>
      <w:jc w:val="left"/>
    </w:pPr>
    <w:rPr>
      <w:sz w:val="8"/>
    </w:rPr>
  </w:style>
  <w:style w:type="character" w:styleId="Enfasigrassetto">
    <w:name w:val="Strong"/>
    <w:uiPriority w:val="99"/>
    <w:semiHidden/>
    <w:qFormat/>
    <w:rsid w:val="00106980"/>
    <w:rPr>
      <w:b/>
      <w:bCs/>
    </w:rPr>
  </w:style>
  <w:style w:type="paragraph" w:styleId="Nessunaspaziatura">
    <w:name w:val="No Spacing"/>
    <w:basedOn w:val="Normale"/>
    <w:link w:val="NessunaspaziaturaCarattere"/>
    <w:semiHidden/>
    <w:qFormat/>
    <w:rsid w:val="00106980"/>
    <w:rPr>
      <w:sz w:val="22"/>
      <w:lang w:val="en-US"/>
    </w:rPr>
  </w:style>
  <w:style w:type="character" w:customStyle="1" w:styleId="NessunaspaziaturaCarattere">
    <w:name w:val="Nessuna spaziatura Carattere"/>
    <w:basedOn w:val="Carpredefinitoparagrafo"/>
    <w:link w:val="Nessunaspaziatura"/>
    <w:rsid w:val="00106980"/>
    <w:rPr>
      <w:rFonts w:eastAsiaTheme="minorEastAsia"/>
    </w:rPr>
  </w:style>
  <w:style w:type="paragraph" w:customStyle="1" w:styleId="ECHRFooterLine">
    <w:name w:val="ECHR_Footer_Line"/>
    <w:aliases w:val="Footer_Line"/>
    <w:basedOn w:val="Normale"/>
    <w:next w:val="ECHRFooter"/>
    <w:uiPriority w:val="57"/>
    <w:semiHidden/>
    <w:rsid w:val="00106980"/>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106980"/>
    <w:pPr>
      <w:spacing w:before="120" w:after="120"/>
      <w:ind w:left="425" w:firstLine="142"/>
    </w:pPr>
    <w:rPr>
      <w:sz w:val="20"/>
    </w:rPr>
  </w:style>
  <w:style w:type="paragraph" w:customStyle="1" w:styleId="DecList">
    <w:name w:val="Dec_List"/>
    <w:basedOn w:val="Normale"/>
    <w:uiPriority w:val="9"/>
    <w:qFormat/>
    <w:rsid w:val="00106980"/>
    <w:pPr>
      <w:spacing w:before="240"/>
      <w:ind w:left="284"/>
    </w:pPr>
  </w:style>
  <w:style w:type="paragraph" w:customStyle="1" w:styleId="DummyStyle">
    <w:name w:val="Dummy_Style"/>
    <w:basedOn w:val="Normale"/>
    <w:semiHidden/>
    <w:qFormat/>
    <w:rsid w:val="00106980"/>
    <w:rPr>
      <w:color w:val="00B050"/>
    </w:rPr>
  </w:style>
  <w:style w:type="paragraph" w:customStyle="1" w:styleId="JuAppQuestion">
    <w:name w:val="Ju_App_Question"/>
    <w:basedOn w:val="Normale"/>
    <w:uiPriority w:val="5"/>
    <w:qFormat/>
    <w:rsid w:val="00106980"/>
    <w:pPr>
      <w:numPr>
        <w:numId w:val="21"/>
      </w:numPr>
      <w:jc w:val="left"/>
    </w:pPr>
    <w:rPr>
      <w:b/>
    </w:rPr>
  </w:style>
  <w:style w:type="paragraph" w:customStyle="1" w:styleId="JuCase">
    <w:name w:val="Ju_Case"/>
    <w:basedOn w:val="Normale"/>
    <w:next w:val="ECHRPara"/>
    <w:uiPriority w:val="10"/>
    <w:semiHidden/>
    <w:rsid w:val="00106980"/>
    <w:pPr>
      <w:ind w:firstLine="284"/>
    </w:pPr>
    <w:rPr>
      <w:b/>
    </w:rPr>
  </w:style>
  <w:style w:type="paragraph" w:customStyle="1" w:styleId="ECHRTitleCentre3">
    <w:name w:val="ECHR_Title_Centre_3"/>
    <w:aliases w:val="Ju_H_Article"/>
    <w:basedOn w:val="Normale"/>
    <w:next w:val="ECHRParaQuote"/>
    <w:uiPriority w:val="27"/>
    <w:qFormat/>
    <w:rsid w:val="00106980"/>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10698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106980"/>
    <w:pPr>
      <w:keepNext/>
      <w:keepLines/>
      <w:spacing w:after="240"/>
      <w:jc w:val="center"/>
      <w:outlineLvl w:val="0"/>
    </w:pPr>
    <w:rPr>
      <w:rFonts w:asciiTheme="majorHAnsi" w:hAnsiTheme="majorHAnsi"/>
      <w:sz w:val="28"/>
    </w:rPr>
  </w:style>
  <w:style w:type="paragraph" w:customStyle="1" w:styleId="JuCourt">
    <w:name w:val="Ju_Court"/>
    <w:basedOn w:val="Normale"/>
    <w:next w:val="Normale"/>
    <w:uiPriority w:val="16"/>
    <w:qFormat/>
    <w:rsid w:val="00106980"/>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106980"/>
    <w:pPr>
      <w:tabs>
        <w:tab w:val="center" w:pos="6407"/>
      </w:tabs>
      <w:spacing w:before="720"/>
      <w:jc w:val="right"/>
    </w:pPr>
  </w:style>
  <w:style w:type="paragraph" w:styleId="Titolo">
    <w:name w:val="Title"/>
    <w:basedOn w:val="Normale"/>
    <w:next w:val="Normale"/>
    <w:link w:val="TitoloCarattere"/>
    <w:uiPriority w:val="99"/>
    <w:semiHidden/>
    <w:qFormat/>
    <w:rsid w:val="0010698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rsid w:val="00106980"/>
    <w:rPr>
      <w:rFonts w:asciiTheme="majorHAnsi" w:eastAsiaTheme="majorEastAsia" w:hAnsiTheme="majorHAnsi" w:cstheme="majorBidi"/>
      <w:spacing w:val="5"/>
      <w:sz w:val="52"/>
      <w:szCs w:val="52"/>
      <w:lang w:bidi="en-US"/>
    </w:rPr>
  </w:style>
  <w:style w:type="paragraph" w:customStyle="1" w:styleId="JuSigned">
    <w:name w:val="Ju_Signed"/>
    <w:basedOn w:val="Normale"/>
    <w:next w:val="JuParaLast"/>
    <w:uiPriority w:val="32"/>
    <w:qFormat/>
    <w:rsid w:val="00106980"/>
    <w:pPr>
      <w:tabs>
        <w:tab w:val="center" w:pos="851"/>
        <w:tab w:val="center" w:pos="6407"/>
      </w:tabs>
      <w:spacing w:before="720"/>
      <w:jc w:val="left"/>
    </w:pPr>
  </w:style>
  <w:style w:type="paragraph" w:customStyle="1" w:styleId="JuList">
    <w:name w:val="Ju_List"/>
    <w:basedOn w:val="Normale"/>
    <w:uiPriority w:val="28"/>
    <w:qFormat/>
    <w:rsid w:val="00106980"/>
    <w:pPr>
      <w:ind w:left="340" w:hanging="340"/>
    </w:pPr>
  </w:style>
  <w:style w:type="paragraph" w:customStyle="1" w:styleId="JuLista">
    <w:name w:val="Ju_List_a"/>
    <w:basedOn w:val="JuList"/>
    <w:uiPriority w:val="28"/>
    <w:qFormat/>
    <w:rsid w:val="00106980"/>
    <w:pPr>
      <w:ind w:left="346" w:firstLine="0"/>
    </w:pPr>
  </w:style>
  <w:style w:type="paragraph" w:customStyle="1" w:styleId="JuListi">
    <w:name w:val="Ju_List_i"/>
    <w:basedOn w:val="Normale"/>
    <w:next w:val="JuLista"/>
    <w:uiPriority w:val="28"/>
    <w:qFormat/>
    <w:rsid w:val="00106980"/>
    <w:pPr>
      <w:ind w:left="794"/>
    </w:pPr>
  </w:style>
  <w:style w:type="character" w:customStyle="1" w:styleId="JUNAMES">
    <w:name w:val="JU_NAMES"/>
    <w:uiPriority w:val="17"/>
    <w:qFormat/>
    <w:rsid w:val="00106980"/>
    <w:rPr>
      <w:caps w:val="0"/>
      <w:smallCaps/>
    </w:rPr>
  </w:style>
  <w:style w:type="paragraph" w:customStyle="1" w:styleId="JuParaSub">
    <w:name w:val="Ju_Para_Sub"/>
    <w:basedOn w:val="ECHRPara"/>
    <w:uiPriority w:val="13"/>
    <w:qFormat/>
    <w:rsid w:val="00106980"/>
    <w:pPr>
      <w:ind w:left="284"/>
    </w:pPr>
  </w:style>
  <w:style w:type="paragraph" w:customStyle="1" w:styleId="ECHRHeading1">
    <w:name w:val="ECHR_Heading_1"/>
    <w:aliases w:val="Ju_H_I_Roman"/>
    <w:basedOn w:val="Titolo1"/>
    <w:next w:val="ECHRPara"/>
    <w:uiPriority w:val="19"/>
    <w:qFormat/>
    <w:rsid w:val="0010698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106980"/>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10698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06980"/>
    <w:rPr>
      <w:sz w:val="24"/>
      <w:lang w:val="en-GB"/>
    </w:rPr>
  </w:style>
  <w:style w:type="character" w:customStyle="1" w:styleId="Titolo1Carattere">
    <w:name w:val="Titolo 1 Carattere"/>
    <w:basedOn w:val="Carpredefinitoparagrafo"/>
    <w:link w:val="Titolo1"/>
    <w:uiPriority w:val="99"/>
    <w:rsid w:val="00106980"/>
    <w:rPr>
      <w:rFonts w:asciiTheme="majorHAnsi" w:eastAsiaTheme="majorEastAsia" w:hAnsiTheme="majorHAnsi" w:cstheme="majorBidi"/>
      <w:b/>
      <w:bCs/>
      <w:color w:val="333333"/>
      <w:sz w:val="28"/>
      <w:szCs w:val="28"/>
      <w:lang w:val="en-GB"/>
    </w:rPr>
  </w:style>
  <w:style w:type="paragraph" w:customStyle="1" w:styleId="ECHRHeading3">
    <w:name w:val="ECHR_Heading_3"/>
    <w:aliases w:val="Ju_H_1."/>
    <w:basedOn w:val="Titolo3"/>
    <w:next w:val="ECHRPara"/>
    <w:uiPriority w:val="21"/>
    <w:qFormat/>
    <w:rsid w:val="0010698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106980"/>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106980"/>
    <w:rPr>
      <w:rFonts w:asciiTheme="majorHAnsi" w:eastAsiaTheme="majorEastAsia" w:hAnsiTheme="majorHAnsi" w:cstheme="majorBidi"/>
      <w:b/>
      <w:bCs/>
      <w:color w:val="4D4D4D"/>
      <w:sz w:val="26"/>
      <w:szCs w:val="26"/>
      <w:lang w:val="en-GB"/>
    </w:rPr>
  </w:style>
  <w:style w:type="paragraph" w:customStyle="1" w:styleId="ECHRHeading5">
    <w:name w:val="ECHR_Heading_5"/>
    <w:aliases w:val="Ju_H_i"/>
    <w:basedOn w:val="Titolo5"/>
    <w:next w:val="ECHRPara"/>
    <w:uiPriority w:val="23"/>
    <w:qFormat/>
    <w:rsid w:val="0010698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106980"/>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106980"/>
    <w:rPr>
      <w:rFonts w:asciiTheme="majorHAnsi" w:eastAsiaTheme="majorEastAsia" w:hAnsiTheme="majorHAnsi" w:cstheme="majorBidi"/>
      <w:b/>
      <w:bCs/>
      <w:color w:val="5F5F5F"/>
      <w:sz w:val="24"/>
      <w:lang w:val="en-GB"/>
    </w:rPr>
  </w:style>
  <w:style w:type="paragraph" w:customStyle="1" w:styleId="ECHRHeading7">
    <w:name w:val="ECHR_Heading_7"/>
    <w:aliases w:val="Ju_H_–"/>
    <w:basedOn w:val="Titolo7"/>
    <w:next w:val="ECHRPara"/>
    <w:uiPriority w:val="25"/>
    <w:qFormat/>
    <w:rsid w:val="00106980"/>
    <w:pPr>
      <w:keepNext/>
      <w:keepLines/>
      <w:spacing w:before="240" w:after="120"/>
      <w:ind w:left="1236"/>
    </w:pPr>
    <w:rPr>
      <w:sz w:val="20"/>
      <w:lang w:val="en-GB"/>
    </w:rPr>
  </w:style>
  <w:style w:type="paragraph" w:customStyle="1" w:styleId="JuParaLast">
    <w:name w:val="Ju_Para_Last"/>
    <w:basedOn w:val="Normale"/>
    <w:next w:val="ECHRPara"/>
    <w:uiPriority w:val="30"/>
    <w:qFormat/>
    <w:rsid w:val="00106980"/>
    <w:pPr>
      <w:keepNext/>
      <w:keepLines/>
      <w:spacing w:before="240"/>
      <w:ind w:firstLine="284"/>
    </w:pPr>
  </w:style>
  <w:style w:type="character" w:customStyle="1" w:styleId="Titolo4Carattere">
    <w:name w:val="Titolo 4 Carattere"/>
    <w:basedOn w:val="Carpredefinitoparagrafo"/>
    <w:link w:val="Titolo4"/>
    <w:uiPriority w:val="99"/>
    <w:semiHidden/>
    <w:rsid w:val="00106980"/>
    <w:rPr>
      <w:rFonts w:asciiTheme="majorHAnsi" w:eastAsiaTheme="majorEastAsia" w:hAnsiTheme="majorHAnsi" w:cstheme="majorBidi"/>
      <w:b/>
      <w:bCs/>
      <w:i/>
      <w:iCs/>
      <w:color w:val="777777"/>
      <w:sz w:val="24"/>
      <w:lang w:val="en-GB"/>
    </w:rPr>
  </w:style>
  <w:style w:type="character" w:customStyle="1" w:styleId="JuITMark">
    <w:name w:val="Ju_ITMark"/>
    <w:basedOn w:val="Carpredefinitoparagrafo"/>
    <w:uiPriority w:val="38"/>
    <w:qFormat/>
    <w:rsid w:val="00106980"/>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9"/>
    <w:semiHidden/>
    <w:rsid w:val="00106980"/>
    <w:rPr>
      <w:rFonts w:asciiTheme="majorHAnsi" w:eastAsiaTheme="majorEastAsia" w:hAnsiTheme="majorHAnsi" w:cstheme="majorBidi"/>
      <w:b/>
      <w:bCs/>
      <w:color w:val="808080"/>
    </w:rPr>
  </w:style>
  <w:style w:type="paragraph" w:customStyle="1" w:styleId="JuQuotSub">
    <w:name w:val="Ju_Quot_Sub"/>
    <w:basedOn w:val="ECHRParaQuote"/>
    <w:uiPriority w:val="15"/>
    <w:qFormat/>
    <w:rsid w:val="00106980"/>
    <w:pPr>
      <w:ind w:left="567"/>
    </w:pPr>
  </w:style>
  <w:style w:type="paragraph" w:customStyle="1" w:styleId="OpiH1">
    <w:name w:val="Opi_H_1"/>
    <w:basedOn w:val="ECHRHeading2"/>
    <w:uiPriority w:val="42"/>
    <w:semiHidden/>
    <w:qFormat/>
    <w:rsid w:val="00106980"/>
    <w:pPr>
      <w:ind w:left="635" w:hanging="357"/>
      <w:outlineLvl w:val="2"/>
    </w:pPr>
  </w:style>
  <w:style w:type="character" w:styleId="Enfasidelicata">
    <w:name w:val="Subtle Emphasis"/>
    <w:uiPriority w:val="99"/>
    <w:semiHidden/>
    <w:qFormat/>
    <w:rsid w:val="00106980"/>
    <w:rPr>
      <w:i/>
      <w:iCs/>
    </w:rPr>
  </w:style>
  <w:style w:type="paragraph" w:customStyle="1" w:styleId="OpiHa">
    <w:name w:val="Opi_H_a"/>
    <w:basedOn w:val="ECHRHeading3"/>
    <w:uiPriority w:val="43"/>
    <w:semiHidden/>
    <w:qFormat/>
    <w:rsid w:val="00106980"/>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106980"/>
    <w:pPr>
      <w:keepNext/>
      <w:keepLines/>
      <w:spacing w:before="720" w:after="240"/>
      <w:outlineLvl w:val="0"/>
    </w:pPr>
    <w:rPr>
      <w:rFonts w:asciiTheme="majorHAnsi" w:hAnsiTheme="majorHAnsi"/>
      <w:sz w:val="28"/>
    </w:rPr>
  </w:style>
  <w:style w:type="paragraph" w:customStyle="1" w:styleId="OpiHA0">
    <w:name w:val="Opi_H_A"/>
    <w:basedOn w:val="ECHRHeading1"/>
    <w:next w:val="OpiPara"/>
    <w:uiPriority w:val="41"/>
    <w:semiHidden/>
    <w:qFormat/>
    <w:rsid w:val="00106980"/>
    <w:pPr>
      <w:tabs>
        <w:tab w:val="clear" w:pos="357"/>
      </w:tabs>
      <w:outlineLvl w:val="1"/>
    </w:pPr>
    <w:rPr>
      <w:b/>
    </w:rPr>
  </w:style>
  <w:style w:type="paragraph" w:customStyle="1" w:styleId="ECHRTitleCentre2">
    <w:name w:val="ECHR_Title_Centre_2"/>
    <w:aliases w:val="Dec_H_Case"/>
    <w:basedOn w:val="Normale"/>
    <w:next w:val="ECHRPara"/>
    <w:uiPriority w:val="8"/>
    <w:qFormat/>
    <w:rsid w:val="00106980"/>
    <w:pPr>
      <w:spacing w:after="240"/>
      <w:jc w:val="center"/>
      <w:outlineLvl w:val="0"/>
    </w:pPr>
    <w:rPr>
      <w:rFonts w:asciiTheme="majorHAnsi" w:hAnsiTheme="majorHAnsi"/>
    </w:rPr>
  </w:style>
  <w:style w:type="character" w:styleId="Enfasicorsivo">
    <w:name w:val="Emphasis"/>
    <w:uiPriority w:val="99"/>
    <w:semiHidden/>
    <w:qFormat/>
    <w:rsid w:val="00106980"/>
    <w:rPr>
      <w:b/>
      <w:bCs/>
      <w:i/>
      <w:iCs/>
      <w:spacing w:val="10"/>
      <w:bdr w:val="none" w:sz="0" w:space="0" w:color="auto"/>
      <w:shd w:val="clear" w:color="auto" w:fill="auto"/>
    </w:rPr>
  </w:style>
  <w:style w:type="paragraph" w:styleId="Pidipagina">
    <w:name w:val="footer"/>
    <w:basedOn w:val="Normale"/>
    <w:link w:val="PidipaginaCarattere"/>
    <w:uiPriority w:val="57"/>
    <w:semiHidden/>
    <w:rsid w:val="0010698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06980"/>
    <w:rPr>
      <w:sz w:val="24"/>
      <w:lang w:val="en-GB"/>
    </w:rPr>
  </w:style>
  <w:style w:type="character" w:styleId="Rimandonotaapidipagina">
    <w:name w:val="footnote reference"/>
    <w:basedOn w:val="Carpredefinitoparagrafo"/>
    <w:uiPriority w:val="99"/>
    <w:semiHidden/>
    <w:rsid w:val="00106980"/>
    <w:rPr>
      <w:vertAlign w:val="superscript"/>
    </w:rPr>
  </w:style>
  <w:style w:type="paragraph" w:styleId="Testonotaapidipagina">
    <w:name w:val="footnote text"/>
    <w:basedOn w:val="Normale"/>
    <w:link w:val="TestonotaapidipaginaCarattere"/>
    <w:uiPriority w:val="99"/>
    <w:semiHidden/>
    <w:rsid w:val="00106980"/>
    <w:rPr>
      <w:sz w:val="20"/>
      <w:szCs w:val="20"/>
    </w:rPr>
  </w:style>
  <w:style w:type="character" w:customStyle="1" w:styleId="TestonotaapidipaginaCarattere">
    <w:name w:val="Testo nota a piè di pagina Carattere"/>
    <w:basedOn w:val="Carpredefinitoparagrafo"/>
    <w:link w:val="Testonotaapidipagina"/>
    <w:uiPriority w:val="99"/>
    <w:semiHidden/>
    <w:rsid w:val="00106980"/>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106980"/>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10698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0698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0698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06980"/>
    <w:rPr>
      <w:color w:val="0072BC" w:themeColor="hyperlink"/>
      <w:u w:val="single"/>
    </w:rPr>
  </w:style>
  <w:style w:type="character" w:styleId="Enfasiintensa">
    <w:name w:val="Intense Emphasis"/>
    <w:uiPriority w:val="99"/>
    <w:semiHidden/>
    <w:qFormat/>
    <w:rsid w:val="00106980"/>
    <w:rPr>
      <w:b/>
      <w:bCs/>
    </w:rPr>
  </w:style>
  <w:style w:type="paragraph" w:styleId="Citazioneintensa">
    <w:name w:val="Intense Quote"/>
    <w:basedOn w:val="Normale"/>
    <w:next w:val="Normale"/>
    <w:link w:val="CitazioneintensaCarattere"/>
    <w:uiPriority w:val="99"/>
    <w:semiHidden/>
    <w:qFormat/>
    <w:rsid w:val="00106980"/>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rsid w:val="00106980"/>
    <w:rPr>
      <w:rFonts w:eastAsiaTheme="minorEastAsia"/>
      <w:b/>
      <w:bCs/>
      <w:i/>
      <w:iCs/>
      <w:lang w:bidi="en-US"/>
    </w:rPr>
  </w:style>
  <w:style w:type="character" w:styleId="Riferimentointenso">
    <w:name w:val="Intense Reference"/>
    <w:uiPriority w:val="99"/>
    <w:semiHidden/>
    <w:qFormat/>
    <w:rsid w:val="00106980"/>
    <w:rPr>
      <w:smallCaps/>
      <w:spacing w:val="5"/>
      <w:u w:val="single"/>
    </w:rPr>
  </w:style>
  <w:style w:type="paragraph" w:styleId="Paragrafoelenco">
    <w:name w:val="List Paragraph"/>
    <w:basedOn w:val="Normale"/>
    <w:uiPriority w:val="99"/>
    <w:semiHidden/>
    <w:qFormat/>
    <w:rsid w:val="0010698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106980"/>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rsid w:val="00106980"/>
    <w:rPr>
      <w:rFonts w:eastAsiaTheme="minorEastAsia"/>
      <w:i/>
      <w:iCs/>
      <w:lang w:bidi="en-US"/>
    </w:rPr>
  </w:style>
  <w:style w:type="character" w:styleId="Riferimentodelicato">
    <w:name w:val="Subtle Reference"/>
    <w:uiPriority w:val="99"/>
    <w:semiHidden/>
    <w:qFormat/>
    <w:rsid w:val="00106980"/>
    <w:rPr>
      <w:smallCaps/>
    </w:rPr>
  </w:style>
  <w:style w:type="table" w:styleId="Grigliatabella">
    <w:name w:val="Table Grid"/>
    <w:basedOn w:val="Tabellanormale"/>
    <w:uiPriority w:val="59"/>
    <w:semiHidden/>
    <w:rsid w:val="0010698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10698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0698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0698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0698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0698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0698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0698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semiHidden/>
    <w:qFormat/>
    <w:rsid w:val="00106980"/>
    <w:pPr>
      <w:ind w:left="1037" w:hanging="357"/>
      <w:outlineLvl w:val="4"/>
    </w:pPr>
    <w:rPr>
      <w:b w:val="0"/>
      <w:i/>
    </w:rPr>
  </w:style>
  <w:style w:type="paragraph" w:customStyle="1" w:styleId="OpiPara">
    <w:name w:val="Opi_Para"/>
    <w:basedOn w:val="ECHRPara"/>
    <w:uiPriority w:val="46"/>
    <w:semiHidden/>
    <w:qFormat/>
    <w:rsid w:val="00106980"/>
  </w:style>
  <w:style w:type="paragraph" w:customStyle="1" w:styleId="OpiParaSub">
    <w:name w:val="Opi_Para_Sub"/>
    <w:basedOn w:val="JuParaSub"/>
    <w:uiPriority w:val="47"/>
    <w:semiHidden/>
    <w:qFormat/>
    <w:rsid w:val="00106980"/>
  </w:style>
  <w:style w:type="paragraph" w:customStyle="1" w:styleId="ECHRPara">
    <w:name w:val="ECHR_Para"/>
    <w:aliases w:val="Ju_Para"/>
    <w:basedOn w:val="Normale"/>
    <w:link w:val="ECHRParaChar"/>
    <w:uiPriority w:val="12"/>
    <w:qFormat/>
    <w:rsid w:val="00106980"/>
    <w:pPr>
      <w:ind w:firstLine="284"/>
    </w:pPr>
  </w:style>
  <w:style w:type="paragraph" w:styleId="Sottotitolo">
    <w:name w:val="Subtitle"/>
    <w:basedOn w:val="Normale"/>
    <w:next w:val="Normale"/>
    <w:link w:val="SottotitoloCarattere"/>
    <w:uiPriority w:val="99"/>
    <w:semiHidden/>
    <w:qFormat/>
    <w:rsid w:val="00106980"/>
    <w:pPr>
      <w:spacing w:after="600"/>
    </w:pPr>
    <w:rPr>
      <w:rFonts w:asciiTheme="majorHAnsi" w:eastAsiaTheme="majorEastAsia" w:hAnsiTheme="majorHAnsi" w:cstheme="majorBidi"/>
      <w:i/>
      <w:iCs/>
      <w:spacing w:val="13"/>
      <w:szCs w:val="24"/>
      <w:lang w:val="en-US"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rsid w:val="00106980"/>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0698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A71632"/>
    <w:pPr>
      <w:numPr>
        <w:numId w:val="3"/>
      </w:numPr>
    </w:pPr>
  </w:style>
  <w:style w:type="numbering" w:styleId="1ai">
    <w:name w:val="Outline List 1"/>
    <w:basedOn w:val="Nessunelenco"/>
    <w:uiPriority w:val="99"/>
    <w:semiHidden/>
    <w:unhideWhenUsed/>
    <w:rsid w:val="00A71632"/>
    <w:pPr>
      <w:numPr>
        <w:numId w:val="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A71632"/>
    <w:pPr>
      <w:numPr>
        <w:numId w:val="5"/>
      </w:numPr>
    </w:pPr>
  </w:style>
  <w:style w:type="paragraph" w:styleId="Bibliografia">
    <w:name w:val="Bibliography"/>
    <w:basedOn w:val="Normale"/>
    <w:next w:val="Normale"/>
    <w:uiPriority w:val="99"/>
    <w:semiHidden/>
    <w:rsid w:val="00A71632"/>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106980"/>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A71632"/>
    <w:rPr>
      <w:rFonts w:ascii="Times New Roman" w:hAnsi="Times New Roman" w:cs="Times New Roman"/>
      <w:sz w:val="18"/>
    </w:rPr>
  </w:style>
  <w:style w:type="character" w:styleId="Rimandocommento">
    <w:name w:val="annotation reference"/>
    <w:uiPriority w:val="99"/>
    <w:semiHidden/>
    <w:rsid w:val="00A71632"/>
    <w:rPr>
      <w:sz w:val="16"/>
    </w:rPr>
  </w:style>
  <w:style w:type="paragraph" w:styleId="Testocommento">
    <w:name w:val="annotation text"/>
    <w:basedOn w:val="Normale"/>
    <w:link w:val="TestocommentoCarattere"/>
    <w:semiHidden/>
    <w:rsid w:val="00A71632"/>
    <w:rPr>
      <w:sz w:val="20"/>
    </w:rPr>
  </w:style>
  <w:style w:type="character" w:customStyle="1" w:styleId="TestocommentoCarattere">
    <w:name w:val="Testo commento Carattere"/>
    <w:basedOn w:val="Carpredefinitoparagrafo"/>
    <w:link w:val="Testocommento"/>
    <w:semiHidden/>
    <w:rsid w:val="00A71632"/>
    <w:rPr>
      <w:rFonts w:eastAsiaTheme="minorEastAsia"/>
      <w:sz w:val="20"/>
    </w:rPr>
  </w:style>
  <w:style w:type="paragraph" w:customStyle="1" w:styleId="DecHTitle">
    <w:name w:val="Dec_H_Title"/>
    <w:basedOn w:val="ECHRTitleCentre1"/>
    <w:uiPriority w:val="7"/>
    <w:qFormat/>
    <w:rsid w:val="00106980"/>
  </w:style>
  <w:style w:type="paragraph" w:styleId="Testodelblocco">
    <w:name w:val="Block Text"/>
    <w:basedOn w:val="Normale"/>
    <w:uiPriority w:val="99"/>
    <w:semiHidden/>
    <w:rsid w:val="00A7163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Puntoelenco2">
    <w:name w:val="List Bullet 2"/>
    <w:basedOn w:val="Normale"/>
    <w:uiPriority w:val="99"/>
    <w:semiHidden/>
    <w:rsid w:val="00A71632"/>
    <w:pPr>
      <w:numPr>
        <w:numId w:val="1"/>
      </w:numPr>
      <w:tabs>
        <w:tab w:val="clear" w:pos="643"/>
        <w:tab w:val="num" w:pos="360"/>
      </w:tabs>
      <w:ind w:left="0" w:firstLine="0"/>
      <w:contextualSpacing/>
    </w:pPr>
  </w:style>
  <w:style w:type="paragraph" w:styleId="Puntoelenco3">
    <w:name w:val="List Bullet 3"/>
    <w:basedOn w:val="Normale"/>
    <w:uiPriority w:val="99"/>
    <w:semiHidden/>
    <w:rsid w:val="00A71632"/>
    <w:pPr>
      <w:numPr>
        <w:numId w:val="2"/>
      </w:numPr>
      <w:contextualSpacing/>
    </w:pPr>
  </w:style>
  <w:style w:type="paragraph" w:styleId="Corpotesto">
    <w:name w:val="Body Text"/>
    <w:basedOn w:val="Normale"/>
    <w:link w:val="CorpotestoCarattere"/>
    <w:uiPriority w:val="99"/>
    <w:semiHidden/>
    <w:rsid w:val="00A71632"/>
    <w:pPr>
      <w:spacing w:after="120"/>
    </w:pPr>
  </w:style>
  <w:style w:type="character" w:customStyle="1" w:styleId="CorpotestoCarattere">
    <w:name w:val="Corpo testo Carattere"/>
    <w:basedOn w:val="Carpredefinitoparagrafo"/>
    <w:link w:val="Corpotesto"/>
    <w:uiPriority w:val="99"/>
    <w:semiHidden/>
    <w:rsid w:val="00A71632"/>
    <w:rPr>
      <w:rFonts w:eastAsiaTheme="minorEastAsia"/>
      <w:sz w:val="24"/>
    </w:rPr>
  </w:style>
  <w:style w:type="paragraph" w:styleId="Corpodeltesto2">
    <w:name w:val="Body Text 2"/>
    <w:basedOn w:val="Normale"/>
    <w:link w:val="Corpodeltesto2Carattere"/>
    <w:uiPriority w:val="99"/>
    <w:semiHidden/>
    <w:rsid w:val="00A71632"/>
    <w:pPr>
      <w:spacing w:after="120" w:line="480" w:lineRule="auto"/>
    </w:pPr>
  </w:style>
  <w:style w:type="character" w:customStyle="1" w:styleId="Corpodeltesto2Carattere">
    <w:name w:val="Corpo del testo 2 Carattere"/>
    <w:basedOn w:val="Carpredefinitoparagrafo"/>
    <w:link w:val="Corpodeltesto2"/>
    <w:uiPriority w:val="99"/>
    <w:semiHidden/>
    <w:rsid w:val="00A71632"/>
    <w:rPr>
      <w:rFonts w:eastAsiaTheme="minorEastAsia"/>
      <w:sz w:val="24"/>
    </w:rPr>
  </w:style>
  <w:style w:type="paragraph" w:styleId="Corpodeltesto3">
    <w:name w:val="Body Text 3"/>
    <w:basedOn w:val="Normale"/>
    <w:link w:val="Corpodeltesto3Carattere"/>
    <w:uiPriority w:val="99"/>
    <w:semiHidden/>
    <w:rsid w:val="00A716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7163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A7163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A71632"/>
    <w:rPr>
      <w:rFonts w:eastAsiaTheme="minorEastAsia"/>
      <w:sz w:val="24"/>
    </w:rPr>
  </w:style>
  <w:style w:type="paragraph" w:styleId="Rientrocorpodeltesto">
    <w:name w:val="Body Text Indent"/>
    <w:basedOn w:val="Normale"/>
    <w:link w:val="RientrocorpodeltestoCarattere"/>
    <w:uiPriority w:val="99"/>
    <w:semiHidden/>
    <w:rsid w:val="00A7163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71632"/>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A7163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A71632"/>
    <w:rPr>
      <w:rFonts w:eastAsiaTheme="minorEastAsia"/>
      <w:sz w:val="24"/>
    </w:rPr>
  </w:style>
  <w:style w:type="paragraph" w:styleId="Rientrocorpodeltesto2">
    <w:name w:val="Body Text Indent 2"/>
    <w:basedOn w:val="Normale"/>
    <w:link w:val="Rientrocorpodeltesto2Carattere"/>
    <w:uiPriority w:val="99"/>
    <w:semiHidden/>
    <w:rsid w:val="00A716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71632"/>
    <w:rPr>
      <w:rFonts w:eastAsiaTheme="minorEastAsia"/>
      <w:sz w:val="24"/>
    </w:rPr>
  </w:style>
  <w:style w:type="paragraph" w:styleId="Rientrocorpodeltesto3">
    <w:name w:val="Body Text Indent 3"/>
    <w:basedOn w:val="Normale"/>
    <w:link w:val="Rientrocorpodeltesto3Carattere"/>
    <w:uiPriority w:val="99"/>
    <w:semiHidden/>
    <w:rsid w:val="00A7163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71632"/>
    <w:rPr>
      <w:rFonts w:eastAsiaTheme="minorEastAsia"/>
      <w:sz w:val="16"/>
      <w:szCs w:val="16"/>
    </w:rPr>
  </w:style>
  <w:style w:type="paragraph" w:styleId="Didascalia">
    <w:name w:val="caption"/>
    <w:basedOn w:val="Normale"/>
    <w:next w:val="Normale"/>
    <w:uiPriority w:val="99"/>
    <w:semiHidden/>
    <w:qFormat/>
    <w:rsid w:val="00A7163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A71632"/>
    <w:pPr>
      <w:ind w:left="4252"/>
    </w:pPr>
  </w:style>
  <w:style w:type="character" w:customStyle="1" w:styleId="FormuladichiusuraCarattere">
    <w:name w:val="Formula di chiusura Carattere"/>
    <w:basedOn w:val="Carpredefinitoparagrafo"/>
    <w:link w:val="Formuladichiusura"/>
    <w:uiPriority w:val="99"/>
    <w:semiHidden/>
    <w:rsid w:val="00A71632"/>
    <w:rPr>
      <w:rFonts w:eastAsiaTheme="minorEastAsia"/>
      <w:sz w:val="24"/>
    </w:rPr>
  </w:style>
  <w:style w:type="table" w:styleId="Grigliaacolori">
    <w:name w:val="Colorful Grid"/>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A7163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A7163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A7163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A7163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A7163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A7163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A7163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A7163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A7163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A7163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A7163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A71632"/>
    <w:rPr>
      <w:b/>
      <w:bCs/>
      <w:szCs w:val="20"/>
    </w:rPr>
  </w:style>
  <w:style w:type="character" w:customStyle="1" w:styleId="SoggettocommentoCarattere">
    <w:name w:val="Soggetto commento Carattere"/>
    <w:basedOn w:val="TestocommentoCarattere"/>
    <w:link w:val="Soggettocommento"/>
    <w:uiPriority w:val="99"/>
    <w:semiHidden/>
    <w:rsid w:val="00A71632"/>
    <w:rPr>
      <w:rFonts w:eastAsiaTheme="minorEastAsia"/>
      <w:b/>
      <w:bCs/>
      <w:sz w:val="20"/>
      <w:szCs w:val="20"/>
    </w:rPr>
  </w:style>
  <w:style w:type="table" w:styleId="Elencoscuro">
    <w:name w:val="Dark List"/>
    <w:basedOn w:val="Tabellanormale"/>
    <w:uiPriority w:val="99"/>
    <w:semiHidden/>
    <w:rsid w:val="00A7163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A7163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A7163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A7163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A7163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A7163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A7163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A71632"/>
  </w:style>
  <w:style w:type="character" w:customStyle="1" w:styleId="DataCarattere">
    <w:name w:val="Data Carattere"/>
    <w:basedOn w:val="Carpredefinitoparagrafo"/>
    <w:link w:val="Data"/>
    <w:uiPriority w:val="99"/>
    <w:semiHidden/>
    <w:rsid w:val="00A71632"/>
    <w:rPr>
      <w:rFonts w:eastAsiaTheme="minorEastAsia"/>
      <w:sz w:val="24"/>
    </w:rPr>
  </w:style>
  <w:style w:type="paragraph" w:styleId="Mappadocumento">
    <w:name w:val="Document Map"/>
    <w:basedOn w:val="Normale"/>
    <w:link w:val="MappadocumentoCarattere"/>
    <w:uiPriority w:val="99"/>
    <w:semiHidden/>
    <w:rsid w:val="00A7163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A71632"/>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A71632"/>
  </w:style>
  <w:style w:type="character" w:customStyle="1" w:styleId="FirmadipostaelettronicaCarattere">
    <w:name w:val="Firma di posta elettronica Carattere"/>
    <w:basedOn w:val="Carpredefinitoparagrafo"/>
    <w:link w:val="Firmadipostaelettronica"/>
    <w:uiPriority w:val="99"/>
    <w:semiHidden/>
    <w:rsid w:val="00A71632"/>
    <w:rPr>
      <w:rFonts w:eastAsiaTheme="minorEastAsia"/>
      <w:sz w:val="24"/>
    </w:rPr>
  </w:style>
  <w:style w:type="character" w:styleId="Rimandonotadichiusura">
    <w:name w:val="endnote reference"/>
    <w:basedOn w:val="Carpredefinitoparagrafo"/>
    <w:uiPriority w:val="99"/>
    <w:semiHidden/>
    <w:rsid w:val="00A71632"/>
    <w:rPr>
      <w:vertAlign w:val="superscript"/>
    </w:rPr>
  </w:style>
  <w:style w:type="paragraph" w:styleId="Testonotadichiusura">
    <w:name w:val="endnote text"/>
    <w:basedOn w:val="Normale"/>
    <w:link w:val="TestonotadichiusuraCarattere"/>
    <w:uiPriority w:val="99"/>
    <w:semiHidden/>
    <w:rsid w:val="00A71632"/>
    <w:rPr>
      <w:sz w:val="20"/>
      <w:szCs w:val="20"/>
    </w:rPr>
  </w:style>
  <w:style w:type="character" w:customStyle="1" w:styleId="TestonotadichiusuraCarattere">
    <w:name w:val="Testo nota di chiusura Carattere"/>
    <w:basedOn w:val="Carpredefinitoparagrafo"/>
    <w:link w:val="Testonotadichiusura"/>
    <w:uiPriority w:val="99"/>
    <w:semiHidden/>
    <w:rsid w:val="00A71632"/>
    <w:rPr>
      <w:rFonts w:eastAsiaTheme="minorEastAsia"/>
      <w:sz w:val="20"/>
      <w:szCs w:val="20"/>
    </w:rPr>
  </w:style>
  <w:style w:type="paragraph" w:styleId="Indirizzodestinatario">
    <w:name w:val="envelope address"/>
    <w:basedOn w:val="Normale"/>
    <w:uiPriority w:val="99"/>
    <w:semiHidden/>
    <w:rsid w:val="00A7163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A71632"/>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A71632"/>
    <w:rPr>
      <w:color w:val="7030A0" w:themeColor="followedHyperlink"/>
      <w:u w:val="single"/>
    </w:rPr>
  </w:style>
  <w:style w:type="character" w:styleId="AcronimoHTML">
    <w:name w:val="HTML Acronym"/>
    <w:basedOn w:val="Carpredefinitoparagrafo"/>
    <w:uiPriority w:val="99"/>
    <w:semiHidden/>
    <w:rsid w:val="00A71632"/>
  </w:style>
  <w:style w:type="paragraph" w:styleId="IndirizzoHTML">
    <w:name w:val="HTML Address"/>
    <w:basedOn w:val="Normale"/>
    <w:link w:val="IndirizzoHTMLCarattere"/>
    <w:uiPriority w:val="99"/>
    <w:semiHidden/>
    <w:rsid w:val="00A71632"/>
    <w:rPr>
      <w:i/>
      <w:iCs/>
    </w:rPr>
  </w:style>
  <w:style w:type="character" w:customStyle="1" w:styleId="IndirizzoHTMLCarattere">
    <w:name w:val="Indirizzo HTML Carattere"/>
    <w:basedOn w:val="Carpredefinitoparagrafo"/>
    <w:link w:val="IndirizzoHTML"/>
    <w:uiPriority w:val="99"/>
    <w:semiHidden/>
    <w:rsid w:val="00A71632"/>
    <w:rPr>
      <w:rFonts w:eastAsiaTheme="minorEastAsia"/>
      <w:i/>
      <w:iCs/>
      <w:sz w:val="24"/>
    </w:rPr>
  </w:style>
  <w:style w:type="character" w:styleId="CitazioneHTML">
    <w:name w:val="HTML Cite"/>
    <w:basedOn w:val="Carpredefinitoparagrafo"/>
    <w:uiPriority w:val="99"/>
    <w:semiHidden/>
    <w:rsid w:val="00A71632"/>
    <w:rPr>
      <w:i/>
      <w:iCs/>
    </w:rPr>
  </w:style>
  <w:style w:type="character" w:styleId="CodiceHTML">
    <w:name w:val="HTML Code"/>
    <w:basedOn w:val="Carpredefinitoparagrafo"/>
    <w:uiPriority w:val="99"/>
    <w:semiHidden/>
    <w:rsid w:val="00A71632"/>
    <w:rPr>
      <w:rFonts w:ascii="Consolas" w:hAnsi="Consolas" w:cs="Consolas"/>
      <w:sz w:val="20"/>
      <w:szCs w:val="20"/>
    </w:rPr>
  </w:style>
  <w:style w:type="character" w:styleId="DefinizioneHTML">
    <w:name w:val="HTML Definition"/>
    <w:basedOn w:val="Carpredefinitoparagrafo"/>
    <w:uiPriority w:val="99"/>
    <w:semiHidden/>
    <w:rsid w:val="00A71632"/>
    <w:rPr>
      <w:i/>
      <w:iCs/>
    </w:rPr>
  </w:style>
  <w:style w:type="character" w:styleId="TastieraHTML">
    <w:name w:val="HTML Keyboard"/>
    <w:basedOn w:val="Carpredefinitoparagrafo"/>
    <w:uiPriority w:val="99"/>
    <w:semiHidden/>
    <w:rsid w:val="00A71632"/>
    <w:rPr>
      <w:rFonts w:ascii="Consolas" w:hAnsi="Consolas" w:cs="Consolas"/>
      <w:sz w:val="20"/>
      <w:szCs w:val="20"/>
    </w:rPr>
  </w:style>
  <w:style w:type="paragraph" w:styleId="PreformattatoHTML">
    <w:name w:val="HTML Preformatted"/>
    <w:basedOn w:val="Normale"/>
    <w:link w:val="PreformattatoHTMLCarattere"/>
    <w:uiPriority w:val="99"/>
    <w:semiHidden/>
    <w:rsid w:val="00A7163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A71632"/>
    <w:rPr>
      <w:rFonts w:ascii="Consolas" w:eastAsiaTheme="minorEastAsia" w:hAnsi="Consolas" w:cs="Consolas"/>
      <w:sz w:val="20"/>
      <w:szCs w:val="20"/>
    </w:rPr>
  </w:style>
  <w:style w:type="character" w:styleId="EsempioHTML">
    <w:name w:val="HTML Sample"/>
    <w:basedOn w:val="Carpredefinitoparagrafo"/>
    <w:uiPriority w:val="99"/>
    <w:semiHidden/>
    <w:rsid w:val="00A71632"/>
    <w:rPr>
      <w:rFonts w:ascii="Consolas" w:hAnsi="Consolas" w:cs="Consolas"/>
      <w:sz w:val="24"/>
      <w:szCs w:val="24"/>
    </w:rPr>
  </w:style>
  <w:style w:type="character" w:styleId="MacchinadascrivereHTML">
    <w:name w:val="HTML Typewriter"/>
    <w:basedOn w:val="Carpredefinitoparagrafo"/>
    <w:uiPriority w:val="99"/>
    <w:semiHidden/>
    <w:rsid w:val="00A71632"/>
    <w:rPr>
      <w:rFonts w:ascii="Consolas" w:hAnsi="Consolas" w:cs="Consolas"/>
      <w:sz w:val="20"/>
      <w:szCs w:val="20"/>
    </w:rPr>
  </w:style>
  <w:style w:type="character" w:styleId="VariabileHTML">
    <w:name w:val="HTML Variable"/>
    <w:basedOn w:val="Carpredefinitoparagrafo"/>
    <w:uiPriority w:val="99"/>
    <w:semiHidden/>
    <w:rsid w:val="00A71632"/>
    <w:rPr>
      <w:i/>
      <w:iCs/>
    </w:rPr>
  </w:style>
  <w:style w:type="paragraph" w:styleId="Indice1">
    <w:name w:val="index 1"/>
    <w:basedOn w:val="Normale"/>
    <w:next w:val="Normale"/>
    <w:autoRedefine/>
    <w:uiPriority w:val="99"/>
    <w:semiHidden/>
    <w:rsid w:val="00A71632"/>
    <w:pPr>
      <w:ind w:left="240" w:hanging="240"/>
    </w:pPr>
  </w:style>
  <w:style w:type="paragraph" w:styleId="Indice2">
    <w:name w:val="index 2"/>
    <w:basedOn w:val="Normale"/>
    <w:next w:val="Normale"/>
    <w:autoRedefine/>
    <w:uiPriority w:val="99"/>
    <w:semiHidden/>
    <w:rsid w:val="00A71632"/>
    <w:pPr>
      <w:ind w:left="480" w:hanging="240"/>
    </w:pPr>
  </w:style>
  <w:style w:type="paragraph" w:styleId="Indice3">
    <w:name w:val="index 3"/>
    <w:basedOn w:val="Normale"/>
    <w:next w:val="Normale"/>
    <w:autoRedefine/>
    <w:uiPriority w:val="99"/>
    <w:semiHidden/>
    <w:rsid w:val="00A71632"/>
    <w:pPr>
      <w:ind w:left="720" w:hanging="240"/>
    </w:pPr>
  </w:style>
  <w:style w:type="paragraph" w:styleId="Indice4">
    <w:name w:val="index 4"/>
    <w:basedOn w:val="Normale"/>
    <w:next w:val="Normale"/>
    <w:autoRedefine/>
    <w:uiPriority w:val="99"/>
    <w:semiHidden/>
    <w:rsid w:val="00A71632"/>
    <w:pPr>
      <w:ind w:left="960" w:hanging="240"/>
    </w:pPr>
  </w:style>
  <w:style w:type="paragraph" w:styleId="Indice5">
    <w:name w:val="index 5"/>
    <w:basedOn w:val="Normale"/>
    <w:next w:val="Normale"/>
    <w:autoRedefine/>
    <w:uiPriority w:val="99"/>
    <w:semiHidden/>
    <w:rsid w:val="00A71632"/>
    <w:pPr>
      <w:ind w:left="1200" w:hanging="240"/>
    </w:pPr>
  </w:style>
  <w:style w:type="paragraph" w:styleId="Indice6">
    <w:name w:val="index 6"/>
    <w:basedOn w:val="Normale"/>
    <w:next w:val="Normale"/>
    <w:autoRedefine/>
    <w:uiPriority w:val="99"/>
    <w:semiHidden/>
    <w:rsid w:val="00A71632"/>
    <w:pPr>
      <w:ind w:left="1440" w:hanging="240"/>
    </w:pPr>
  </w:style>
  <w:style w:type="paragraph" w:styleId="Indice7">
    <w:name w:val="index 7"/>
    <w:basedOn w:val="Normale"/>
    <w:next w:val="Normale"/>
    <w:autoRedefine/>
    <w:uiPriority w:val="99"/>
    <w:semiHidden/>
    <w:rsid w:val="00A71632"/>
    <w:pPr>
      <w:ind w:left="1680" w:hanging="240"/>
    </w:pPr>
  </w:style>
  <w:style w:type="paragraph" w:styleId="Indice8">
    <w:name w:val="index 8"/>
    <w:basedOn w:val="Normale"/>
    <w:next w:val="Normale"/>
    <w:autoRedefine/>
    <w:uiPriority w:val="99"/>
    <w:semiHidden/>
    <w:rsid w:val="00A71632"/>
    <w:pPr>
      <w:ind w:left="1920" w:hanging="240"/>
    </w:pPr>
  </w:style>
  <w:style w:type="paragraph" w:styleId="Indice9">
    <w:name w:val="index 9"/>
    <w:basedOn w:val="Normale"/>
    <w:next w:val="Normale"/>
    <w:autoRedefine/>
    <w:uiPriority w:val="99"/>
    <w:semiHidden/>
    <w:rsid w:val="00A71632"/>
    <w:pPr>
      <w:ind w:left="2160" w:hanging="240"/>
    </w:pPr>
  </w:style>
  <w:style w:type="paragraph" w:styleId="Titoloindice">
    <w:name w:val="index heading"/>
    <w:basedOn w:val="Normale"/>
    <w:next w:val="Indice1"/>
    <w:uiPriority w:val="99"/>
    <w:semiHidden/>
    <w:rsid w:val="00A71632"/>
    <w:rPr>
      <w:rFonts w:asciiTheme="majorHAnsi" w:eastAsiaTheme="majorEastAsia" w:hAnsiTheme="majorHAnsi" w:cstheme="majorBidi"/>
      <w:b/>
      <w:bCs/>
    </w:rPr>
  </w:style>
  <w:style w:type="table" w:styleId="Grigliachiara">
    <w:name w:val="Light Grid"/>
    <w:basedOn w:val="Tabellanormale"/>
    <w:uiPriority w:val="99"/>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A71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A7163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A7163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A7163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A7163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A7163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A7163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A71632"/>
  </w:style>
  <w:style w:type="paragraph" w:styleId="Elenco">
    <w:name w:val="List"/>
    <w:basedOn w:val="Normale"/>
    <w:uiPriority w:val="99"/>
    <w:semiHidden/>
    <w:rsid w:val="00A71632"/>
    <w:pPr>
      <w:ind w:left="283" w:hanging="283"/>
      <w:contextualSpacing/>
    </w:pPr>
  </w:style>
  <w:style w:type="paragraph" w:styleId="Elenco2">
    <w:name w:val="List 2"/>
    <w:basedOn w:val="Normale"/>
    <w:uiPriority w:val="99"/>
    <w:semiHidden/>
    <w:rsid w:val="00A71632"/>
    <w:pPr>
      <w:ind w:left="566" w:hanging="283"/>
      <w:contextualSpacing/>
    </w:pPr>
  </w:style>
  <w:style w:type="paragraph" w:styleId="Elenco3">
    <w:name w:val="List 3"/>
    <w:basedOn w:val="Normale"/>
    <w:uiPriority w:val="99"/>
    <w:semiHidden/>
    <w:rsid w:val="00A71632"/>
    <w:pPr>
      <w:ind w:left="849" w:hanging="283"/>
      <w:contextualSpacing/>
    </w:pPr>
  </w:style>
  <w:style w:type="paragraph" w:styleId="Elenco4">
    <w:name w:val="List 4"/>
    <w:basedOn w:val="Normale"/>
    <w:uiPriority w:val="99"/>
    <w:semiHidden/>
    <w:rsid w:val="00A71632"/>
    <w:pPr>
      <w:ind w:left="1132" w:hanging="283"/>
      <w:contextualSpacing/>
    </w:pPr>
  </w:style>
  <w:style w:type="paragraph" w:styleId="Elenco5">
    <w:name w:val="List 5"/>
    <w:basedOn w:val="Normale"/>
    <w:uiPriority w:val="99"/>
    <w:semiHidden/>
    <w:rsid w:val="00A71632"/>
    <w:pPr>
      <w:ind w:left="1415" w:hanging="283"/>
      <w:contextualSpacing/>
    </w:pPr>
  </w:style>
  <w:style w:type="paragraph" w:styleId="Puntoelenco">
    <w:name w:val="List Bullet"/>
    <w:basedOn w:val="Normale"/>
    <w:uiPriority w:val="99"/>
    <w:semiHidden/>
    <w:rsid w:val="00A71632"/>
    <w:pPr>
      <w:numPr>
        <w:numId w:val="6"/>
      </w:numPr>
      <w:contextualSpacing/>
    </w:pPr>
  </w:style>
  <w:style w:type="paragraph" w:styleId="Puntoelenco4">
    <w:name w:val="List Bullet 4"/>
    <w:basedOn w:val="Normale"/>
    <w:uiPriority w:val="99"/>
    <w:semiHidden/>
    <w:rsid w:val="00A71632"/>
    <w:pPr>
      <w:numPr>
        <w:numId w:val="7"/>
      </w:numPr>
      <w:contextualSpacing/>
    </w:pPr>
  </w:style>
  <w:style w:type="paragraph" w:styleId="Puntoelenco5">
    <w:name w:val="List Bullet 5"/>
    <w:basedOn w:val="Normale"/>
    <w:uiPriority w:val="99"/>
    <w:semiHidden/>
    <w:rsid w:val="00A71632"/>
    <w:pPr>
      <w:numPr>
        <w:numId w:val="8"/>
      </w:numPr>
      <w:contextualSpacing/>
    </w:pPr>
  </w:style>
  <w:style w:type="paragraph" w:styleId="Elencocontinua">
    <w:name w:val="List Continue"/>
    <w:basedOn w:val="Normale"/>
    <w:uiPriority w:val="99"/>
    <w:semiHidden/>
    <w:rsid w:val="00A71632"/>
    <w:pPr>
      <w:spacing w:after="120"/>
      <w:ind w:left="283"/>
      <w:contextualSpacing/>
    </w:pPr>
  </w:style>
  <w:style w:type="paragraph" w:styleId="Elencocontinua2">
    <w:name w:val="List Continue 2"/>
    <w:basedOn w:val="Normale"/>
    <w:uiPriority w:val="99"/>
    <w:semiHidden/>
    <w:rsid w:val="00A71632"/>
    <w:pPr>
      <w:spacing w:after="120"/>
      <w:ind w:left="566"/>
      <w:contextualSpacing/>
    </w:pPr>
  </w:style>
  <w:style w:type="paragraph" w:styleId="Elencocontinua3">
    <w:name w:val="List Continue 3"/>
    <w:basedOn w:val="Normale"/>
    <w:uiPriority w:val="99"/>
    <w:semiHidden/>
    <w:rsid w:val="00A71632"/>
    <w:pPr>
      <w:spacing w:after="120"/>
      <w:ind w:left="849"/>
      <w:contextualSpacing/>
    </w:pPr>
  </w:style>
  <w:style w:type="paragraph" w:styleId="Elencocontinua4">
    <w:name w:val="List Continue 4"/>
    <w:basedOn w:val="Normale"/>
    <w:uiPriority w:val="99"/>
    <w:semiHidden/>
    <w:rsid w:val="00A71632"/>
    <w:pPr>
      <w:spacing w:after="120"/>
      <w:ind w:left="1132"/>
      <w:contextualSpacing/>
    </w:pPr>
  </w:style>
  <w:style w:type="paragraph" w:styleId="Elencocontinua5">
    <w:name w:val="List Continue 5"/>
    <w:basedOn w:val="Normale"/>
    <w:uiPriority w:val="99"/>
    <w:semiHidden/>
    <w:rsid w:val="00A71632"/>
    <w:pPr>
      <w:spacing w:after="120"/>
      <w:ind w:left="1415"/>
      <w:contextualSpacing/>
    </w:pPr>
  </w:style>
  <w:style w:type="paragraph" w:styleId="Numeroelenco">
    <w:name w:val="List Number"/>
    <w:basedOn w:val="Normale"/>
    <w:uiPriority w:val="99"/>
    <w:semiHidden/>
    <w:rsid w:val="00A71632"/>
    <w:pPr>
      <w:numPr>
        <w:numId w:val="9"/>
      </w:numPr>
      <w:contextualSpacing/>
    </w:pPr>
  </w:style>
  <w:style w:type="paragraph" w:styleId="Numeroelenco2">
    <w:name w:val="List Number 2"/>
    <w:basedOn w:val="Normale"/>
    <w:uiPriority w:val="99"/>
    <w:semiHidden/>
    <w:rsid w:val="00A71632"/>
    <w:pPr>
      <w:numPr>
        <w:numId w:val="10"/>
      </w:numPr>
      <w:contextualSpacing/>
    </w:pPr>
  </w:style>
  <w:style w:type="paragraph" w:styleId="Numeroelenco3">
    <w:name w:val="List Number 3"/>
    <w:basedOn w:val="Normale"/>
    <w:uiPriority w:val="99"/>
    <w:semiHidden/>
    <w:rsid w:val="00A71632"/>
    <w:pPr>
      <w:numPr>
        <w:numId w:val="11"/>
      </w:numPr>
      <w:contextualSpacing/>
    </w:pPr>
  </w:style>
  <w:style w:type="paragraph" w:styleId="Numeroelenco4">
    <w:name w:val="List Number 4"/>
    <w:basedOn w:val="Normale"/>
    <w:uiPriority w:val="99"/>
    <w:semiHidden/>
    <w:rsid w:val="00A71632"/>
    <w:pPr>
      <w:numPr>
        <w:numId w:val="12"/>
      </w:numPr>
      <w:contextualSpacing/>
    </w:pPr>
  </w:style>
  <w:style w:type="paragraph" w:styleId="Numeroelenco5">
    <w:name w:val="List Number 5"/>
    <w:basedOn w:val="Normale"/>
    <w:uiPriority w:val="99"/>
    <w:semiHidden/>
    <w:rsid w:val="00A71632"/>
    <w:pPr>
      <w:numPr>
        <w:numId w:val="13"/>
      </w:numPr>
      <w:contextualSpacing/>
    </w:pPr>
  </w:style>
  <w:style w:type="paragraph" w:styleId="Testomacro">
    <w:name w:val="macro"/>
    <w:link w:val="TestomacroCarattere"/>
    <w:uiPriority w:val="99"/>
    <w:semiHidden/>
    <w:rsid w:val="00A716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A71632"/>
    <w:rPr>
      <w:rFonts w:ascii="Consolas" w:eastAsiaTheme="minorEastAsia" w:hAnsi="Consolas" w:cs="Consolas"/>
      <w:sz w:val="20"/>
      <w:szCs w:val="20"/>
    </w:rPr>
  </w:style>
  <w:style w:type="table" w:styleId="Grigliamedia1">
    <w:name w:val="Medium Grid 1"/>
    <w:basedOn w:val="Tabellanormale"/>
    <w:uiPriority w:val="99"/>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A7163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A7163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A7163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A7163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A7163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A7163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A7163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A716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A7163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A71632"/>
    <w:rPr>
      <w:rFonts w:ascii="Times New Roman" w:hAnsi="Times New Roman" w:cs="Times New Roman"/>
      <w:szCs w:val="24"/>
    </w:rPr>
  </w:style>
  <w:style w:type="paragraph" w:styleId="Rientronormale">
    <w:name w:val="Normal Indent"/>
    <w:basedOn w:val="Normale"/>
    <w:uiPriority w:val="99"/>
    <w:semiHidden/>
    <w:rsid w:val="00A71632"/>
    <w:pPr>
      <w:ind w:left="720"/>
    </w:pPr>
  </w:style>
  <w:style w:type="paragraph" w:styleId="Intestazionenota">
    <w:name w:val="Note Heading"/>
    <w:basedOn w:val="Normale"/>
    <w:next w:val="Normale"/>
    <w:link w:val="IntestazionenotaCarattere"/>
    <w:uiPriority w:val="99"/>
    <w:semiHidden/>
    <w:rsid w:val="00A71632"/>
  </w:style>
  <w:style w:type="character" w:customStyle="1" w:styleId="IntestazionenotaCarattere">
    <w:name w:val="Intestazione nota Carattere"/>
    <w:basedOn w:val="Carpredefinitoparagrafo"/>
    <w:link w:val="Intestazionenota"/>
    <w:uiPriority w:val="99"/>
    <w:semiHidden/>
    <w:rsid w:val="00A71632"/>
    <w:rPr>
      <w:rFonts w:eastAsiaTheme="minorEastAsia"/>
      <w:sz w:val="24"/>
    </w:rPr>
  </w:style>
  <w:style w:type="character" w:styleId="Testosegnaposto">
    <w:name w:val="Placeholder Text"/>
    <w:basedOn w:val="Carpredefinitoparagrafo"/>
    <w:uiPriority w:val="99"/>
    <w:semiHidden/>
    <w:rsid w:val="0010698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A7163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A7163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A71632"/>
  </w:style>
  <w:style w:type="character" w:customStyle="1" w:styleId="FormuladiaperturaCarattere">
    <w:name w:val="Formula di apertura Carattere"/>
    <w:basedOn w:val="Carpredefinitoparagrafo"/>
    <w:link w:val="Formuladiapertura"/>
    <w:uiPriority w:val="99"/>
    <w:semiHidden/>
    <w:rsid w:val="00A71632"/>
    <w:rPr>
      <w:rFonts w:eastAsiaTheme="minorEastAsia"/>
      <w:sz w:val="24"/>
    </w:rPr>
  </w:style>
  <w:style w:type="paragraph" w:styleId="Firma">
    <w:name w:val="Signature"/>
    <w:basedOn w:val="Normale"/>
    <w:link w:val="FirmaCarattere"/>
    <w:uiPriority w:val="99"/>
    <w:semiHidden/>
    <w:rsid w:val="00A71632"/>
    <w:pPr>
      <w:ind w:left="4252"/>
    </w:pPr>
  </w:style>
  <w:style w:type="character" w:customStyle="1" w:styleId="FirmaCarattere">
    <w:name w:val="Firma Carattere"/>
    <w:basedOn w:val="Carpredefinitoparagrafo"/>
    <w:link w:val="Firma"/>
    <w:uiPriority w:val="99"/>
    <w:semiHidden/>
    <w:rsid w:val="00A71632"/>
    <w:rPr>
      <w:rFonts w:eastAsiaTheme="minorEastAsia"/>
      <w:sz w:val="24"/>
    </w:rPr>
  </w:style>
  <w:style w:type="table" w:styleId="Tabellaeffetti3D1">
    <w:name w:val="Table 3D effects 1"/>
    <w:basedOn w:val="Tabellanormale"/>
    <w:uiPriority w:val="99"/>
    <w:semiHidden/>
    <w:unhideWhenUsed/>
    <w:rsid w:val="00A7163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7163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7163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7163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7163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7163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7163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7163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7163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7163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7163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7163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7163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7163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7163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A7163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A7163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A7163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A7163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A7163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A7163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A7163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A7163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A7163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A71632"/>
    <w:pPr>
      <w:ind w:left="240" w:hanging="240"/>
    </w:pPr>
  </w:style>
  <w:style w:type="paragraph" w:styleId="Indicedellefigure">
    <w:name w:val="table of figures"/>
    <w:basedOn w:val="Normale"/>
    <w:next w:val="Normale"/>
    <w:uiPriority w:val="99"/>
    <w:semiHidden/>
    <w:rsid w:val="00A71632"/>
  </w:style>
  <w:style w:type="table" w:styleId="Tabellaprofessionale">
    <w:name w:val="Table Professional"/>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7163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7163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7163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7163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716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7163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7163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7163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0698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0698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A71632"/>
    <w:pPr>
      <w:spacing w:after="100"/>
      <w:ind w:left="1680"/>
    </w:pPr>
  </w:style>
  <w:style w:type="paragraph" w:styleId="Sommario9">
    <w:name w:val="toc 9"/>
    <w:basedOn w:val="Normale"/>
    <w:next w:val="Normale"/>
    <w:autoRedefine/>
    <w:uiPriority w:val="99"/>
    <w:semiHidden/>
    <w:rsid w:val="00A71632"/>
    <w:pPr>
      <w:spacing w:after="100"/>
      <w:ind w:left="1920"/>
    </w:pPr>
  </w:style>
  <w:style w:type="paragraph" w:customStyle="1" w:styleId="OpiQuot">
    <w:name w:val="Opi_Quot"/>
    <w:basedOn w:val="ECHRParaQuote"/>
    <w:uiPriority w:val="48"/>
    <w:semiHidden/>
    <w:qFormat/>
    <w:rsid w:val="00106980"/>
  </w:style>
  <w:style w:type="paragraph" w:customStyle="1" w:styleId="OpiQuotSub">
    <w:name w:val="Opi_Quot_Sub"/>
    <w:basedOn w:val="JuQuotSub"/>
    <w:uiPriority w:val="49"/>
    <w:semiHidden/>
    <w:qFormat/>
    <w:rsid w:val="00106980"/>
  </w:style>
  <w:style w:type="paragraph" w:customStyle="1" w:styleId="OpiTranslation">
    <w:name w:val="Opi_Translation"/>
    <w:basedOn w:val="Normale"/>
    <w:next w:val="OpiPara"/>
    <w:uiPriority w:val="40"/>
    <w:semiHidden/>
    <w:qFormat/>
    <w:rsid w:val="00106980"/>
    <w:pPr>
      <w:jc w:val="center"/>
      <w:outlineLvl w:val="0"/>
    </w:pPr>
    <w:rPr>
      <w:i/>
    </w:rPr>
  </w:style>
  <w:style w:type="paragraph" w:customStyle="1" w:styleId="JuHeaderLandscape">
    <w:name w:val="Ju_Header_Landscape"/>
    <w:basedOn w:val="ECHRHeader"/>
    <w:uiPriority w:val="4"/>
    <w:qFormat/>
    <w:rsid w:val="0010698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10698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6ED5-DFEF-4A84-8C0F-3A15F1137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3A788-7DD5-4341-B759-E2C2FC63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99DC4D-6147-4466-A540-0C2AB8BC4BF7}">
  <ds:schemaRefs>
    <ds:schemaRef ds:uri="http://schemas.microsoft.com/sharepoint/v3/contenttype/forms"/>
  </ds:schemaRefs>
</ds:datastoreItem>
</file>

<file path=customXml/itemProps4.xml><?xml version="1.0" encoding="utf-8"?>
<ds:datastoreItem xmlns:ds="http://schemas.openxmlformats.org/officeDocument/2006/customXml" ds:itemID="{5F83662D-A707-467C-A76C-D1C4E8A4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5802</Words>
  <Characters>33075</Characters>
  <Application>Microsoft Office Word</Application>
  <DocSecurity>0</DocSecurity>
  <Lines>275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2019-06-12T11:18:00Z</dcterms:created>
  <dcterms:modified xsi:type="dcterms:W3CDTF">2019-06-12T11:18:00Z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58428/13</vt:lpwstr>
  </property>
  <property fmtid="{D5CDD505-2E9C-101B-9397-08002B2CF9AE}" pid="4" name="CASEID">
    <vt:lpwstr>909160</vt:lpwstr>
  </property>
  <property fmtid="{D5CDD505-2E9C-101B-9397-08002B2CF9AE}" pid="5" name="ContentTypeId">
    <vt:lpwstr>0x010100558EB02BDB9E204AB350EDD385B68E10</vt:lpwstr>
  </property>
</Properties>
</file>