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A305" w14:textId="27094F55" w:rsidR="00115035" w:rsidRPr="00AA5FA3" w:rsidRDefault="00DF5919" w:rsidP="00AA5FA3">
      <w:pPr>
        <w:jc w:val="center"/>
      </w:pPr>
      <w:bookmarkStart w:id="0" w:name="_GoBack"/>
      <w:bookmarkEnd w:id="0"/>
    </w:p>
    <w:p w14:paraId="34EEB29C" w14:textId="40626C51" w:rsidR="00E93FC7" w:rsidRPr="00AA5FA3" w:rsidRDefault="00DF5919" w:rsidP="00AA5FA3">
      <w:pPr>
        <w:jc w:val="center"/>
        <w:rPr>
          <w:sz w:val="4"/>
          <w:szCs w:val="4"/>
        </w:rPr>
      </w:pPr>
    </w:p>
    <w:p w14:paraId="4446E290" w14:textId="75C6DFD6" w:rsidR="00E93FC7" w:rsidRPr="00AA5FA3" w:rsidRDefault="006E353F" w:rsidP="00AA5FA3">
      <w:pPr>
        <w:pStyle w:val="DecHTitle"/>
      </w:pPr>
      <w:r w:rsidRPr="00AA5FA3">
        <w:t>FIRST SECTION</w:t>
      </w:r>
    </w:p>
    <w:p w14:paraId="6E6E8A9F" w14:textId="77777777" w:rsidR="00E93FC7" w:rsidRPr="00AA5FA3" w:rsidRDefault="006267D3" w:rsidP="00AA5FA3">
      <w:pPr>
        <w:pStyle w:val="DecHTitle"/>
      </w:pPr>
      <w:r w:rsidRPr="00AA5FA3">
        <w:t>DECISION</w:t>
      </w:r>
    </w:p>
    <w:p w14:paraId="21C8ED93" w14:textId="2C933C2D" w:rsidR="00EE3667" w:rsidRPr="00AA5FA3" w:rsidRDefault="006E353F" w:rsidP="00AA5FA3">
      <w:pPr>
        <w:pStyle w:val="DecHCase"/>
        <w:rPr>
          <w:i/>
        </w:rPr>
      </w:pPr>
      <w:r w:rsidRPr="00AA5FA3">
        <w:t>Application no.</w:t>
      </w:r>
      <w:r w:rsidR="006267D3" w:rsidRPr="00AA5FA3">
        <w:t xml:space="preserve"> </w:t>
      </w:r>
      <w:r w:rsidR="00926527" w:rsidRPr="00AA5FA3">
        <w:rPr>
          <w:iCs/>
        </w:rPr>
        <w:t>10212/05</w:t>
      </w:r>
      <w:r w:rsidR="006267D3" w:rsidRPr="00AA5FA3">
        <w:br/>
      </w:r>
      <w:r w:rsidR="00926527" w:rsidRPr="00AA5FA3">
        <w:t>Michela</w:t>
      </w:r>
      <w:r w:rsidRPr="00AA5FA3">
        <w:t xml:space="preserve"> GUISO</w:t>
      </w:r>
      <w:r w:rsidR="003B525B" w:rsidRPr="00AA5FA3">
        <w:t xml:space="preserve"> </w:t>
      </w:r>
      <w:r w:rsidRPr="00AA5FA3">
        <w:t>GALLISA</w:t>
      </w:r>
      <w:r w:rsidR="004821DE" w:rsidRPr="00AA5FA3">
        <w:t>I</w:t>
      </w:r>
      <w:r w:rsidRPr="00AA5FA3">
        <w:t xml:space="preserve"> </w:t>
      </w:r>
      <w:r w:rsidR="006267D3" w:rsidRPr="00AA5FA3">
        <w:t xml:space="preserve">against </w:t>
      </w:r>
      <w:r w:rsidRPr="00AA5FA3">
        <w:t>Italy</w:t>
      </w:r>
      <w:r w:rsidRPr="00AA5FA3">
        <w:rPr>
          <w:sz w:val="20"/>
          <w:lang w:eastAsia="en-GB"/>
        </w:rPr>
        <w:br/>
      </w:r>
      <w:r w:rsidRPr="00AA5FA3">
        <w:t xml:space="preserve">and </w:t>
      </w:r>
      <w:r w:rsidR="0012659A" w:rsidRPr="00AA5FA3">
        <w:t>2</w:t>
      </w:r>
      <w:r w:rsidRPr="00AA5FA3">
        <w:t xml:space="preserve"> other applications</w:t>
      </w:r>
      <w:r w:rsidRPr="00AA5FA3">
        <w:br/>
        <w:t>(see list appended)</w:t>
      </w:r>
    </w:p>
    <w:p w14:paraId="344EE4F6" w14:textId="64E9B08D" w:rsidR="00E93FC7" w:rsidRPr="00AA5FA3" w:rsidRDefault="00DF5919" w:rsidP="00AA5FA3">
      <w:pPr>
        <w:rPr>
          <w:sz w:val="2"/>
          <w:szCs w:val="2"/>
        </w:rPr>
      </w:pPr>
    </w:p>
    <w:p w14:paraId="51B292EC" w14:textId="13E78781" w:rsidR="006E353F" w:rsidRPr="00AA5FA3" w:rsidRDefault="006E353F" w:rsidP="00AA5FA3">
      <w:pPr>
        <w:pStyle w:val="JuPara"/>
      </w:pPr>
      <w:r w:rsidRPr="00AA5FA3">
        <w:t xml:space="preserve">The European Court of Human Rights (First Section), sitting on </w:t>
      </w:r>
      <w:r w:rsidR="0012659A" w:rsidRPr="00AA5FA3">
        <w:t>23 November 2021</w:t>
      </w:r>
      <w:r w:rsidRPr="00AA5FA3">
        <w:t xml:space="preserve"> as a Committee composed of:</w:t>
      </w:r>
    </w:p>
    <w:p w14:paraId="4ABB549B" w14:textId="77622742" w:rsidR="006E353F" w:rsidRPr="00AA5FA3" w:rsidRDefault="0012659A" w:rsidP="00AA5FA3">
      <w:pPr>
        <w:pStyle w:val="JuPara"/>
        <w:jc w:val="left"/>
      </w:pPr>
      <w:r w:rsidRPr="00AA5FA3">
        <w:tab/>
      </w:r>
      <w:proofErr w:type="spellStart"/>
      <w:r w:rsidRPr="00AA5FA3">
        <w:t>Péter</w:t>
      </w:r>
      <w:proofErr w:type="spellEnd"/>
      <w:r w:rsidRPr="00AA5FA3">
        <w:t xml:space="preserve"> </w:t>
      </w:r>
      <w:proofErr w:type="spellStart"/>
      <w:r w:rsidRPr="00AA5FA3">
        <w:t>Paczolay</w:t>
      </w:r>
      <w:proofErr w:type="spellEnd"/>
      <w:r w:rsidRPr="00AA5FA3">
        <w:t>,</w:t>
      </w:r>
      <w:r w:rsidRPr="00AA5FA3">
        <w:rPr>
          <w:i/>
        </w:rPr>
        <w:t xml:space="preserve"> President,</w:t>
      </w:r>
      <w:r w:rsidRPr="00AA5FA3">
        <w:rPr>
          <w:i/>
        </w:rPr>
        <w:br/>
      </w:r>
      <w:r w:rsidRPr="00AA5FA3">
        <w:tab/>
        <w:t xml:space="preserve">Alena </w:t>
      </w:r>
      <w:proofErr w:type="spellStart"/>
      <w:r w:rsidRPr="00AA5FA3">
        <w:t>Poláčková</w:t>
      </w:r>
      <w:proofErr w:type="spellEnd"/>
      <w:r w:rsidRPr="00AA5FA3">
        <w:t>,</w:t>
      </w:r>
      <w:r w:rsidRPr="00AA5FA3">
        <w:rPr>
          <w:i/>
        </w:rPr>
        <w:br/>
      </w:r>
      <w:r w:rsidRPr="00AA5FA3">
        <w:tab/>
        <w:t xml:space="preserve">Raffaele Sabato </w:t>
      </w:r>
      <w:r w:rsidRPr="00AA5FA3">
        <w:rPr>
          <w:i/>
        </w:rPr>
        <w:t>judges,</w:t>
      </w:r>
      <w:r w:rsidR="006E353F" w:rsidRPr="00AA5FA3">
        <w:br/>
        <w:t xml:space="preserve">and Liv </w:t>
      </w:r>
      <w:proofErr w:type="spellStart"/>
      <w:r w:rsidR="006E353F" w:rsidRPr="00AA5FA3">
        <w:t>Tigerstedt</w:t>
      </w:r>
      <w:proofErr w:type="spellEnd"/>
      <w:r w:rsidR="006E353F" w:rsidRPr="00AA5FA3">
        <w:t xml:space="preserve">, </w:t>
      </w:r>
      <w:r w:rsidR="006E353F" w:rsidRPr="00AA5FA3">
        <w:rPr>
          <w:i/>
        </w:rPr>
        <w:t xml:space="preserve">Deputy </w:t>
      </w:r>
      <w:r w:rsidR="006E353F" w:rsidRPr="00AA5FA3">
        <w:rPr>
          <w:i/>
          <w:iCs/>
        </w:rPr>
        <w:t>Section Registrar</w:t>
      </w:r>
      <w:r w:rsidR="006E353F" w:rsidRPr="00AA5FA3">
        <w:rPr>
          <w:i/>
        </w:rPr>
        <w:t>,</w:t>
      </w:r>
    </w:p>
    <w:p w14:paraId="0FA9953B" w14:textId="77777777" w:rsidR="006E353F" w:rsidRPr="00AA5FA3" w:rsidRDefault="006E353F" w:rsidP="00AA5FA3">
      <w:pPr>
        <w:pStyle w:val="JuPara"/>
      </w:pPr>
      <w:r w:rsidRPr="00AA5FA3">
        <w:t xml:space="preserve">Having regard to the above applications lodged on </w:t>
      </w:r>
      <w:r w:rsidRPr="00AA5FA3">
        <w:rPr>
          <w:rFonts w:eastAsia="PMingLiU"/>
        </w:rPr>
        <w:t>the various dates indicated in the appended table</w:t>
      </w:r>
      <w:r w:rsidRPr="00AA5FA3">
        <w:t>,</w:t>
      </w:r>
    </w:p>
    <w:p w14:paraId="622916FE" w14:textId="394A3B91" w:rsidR="006E353F" w:rsidRPr="00AA5FA3" w:rsidRDefault="006E353F" w:rsidP="00AA5FA3">
      <w:pPr>
        <w:pStyle w:val="JuPara"/>
      </w:pPr>
      <w:r w:rsidRPr="00AA5FA3">
        <w:t>Having regard to the Court</w:t>
      </w:r>
      <w:r w:rsidR="00AA5FA3" w:rsidRPr="00AA5FA3">
        <w:t>’</w:t>
      </w:r>
      <w:r w:rsidRPr="00AA5FA3">
        <w:t>s decisions of 16 March 2006 and 6 April 2006 respectively to communicate the complaints under Article 1 of Protocol No. 1 and Article 6 § 1 in applications nos. 10212/05 and 11071/05 and to declare the remainder of those applications inadmissible,</w:t>
      </w:r>
    </w:p>
    <w:p w14:paraId="4CF0EEF9" w14:textId="4A3B5B44" w:rsidR="006E353F" w:rsidRPr="00AA5FA3" w:rsidRDefault="006E353F" w:rsidP="00AA5FA3">
      <w:pPr>
        <w:pStyle w:val="JuPara"/>
      </w:pPr>
      <w:r w:rsidRPr="00AA5FA3">
        <w:t>Having deliberated, decides as follows:</w:t>
      </w:r>
    </w:p>
    <w:p w14:paraId="520CAC95" w14:textId="0F7E657C" w:rsidR="006E353F" w:rsidRPr="00AA5FA3" w:rsidRDefault="006E353F" w:rsidP="00AA5FA3">
      <w:pPr>
        <w:pStyle w:val="JuHHead"/>
      </w:pPr>
      <w:r w:rsidRPr="00AA5FA3">
        <w:t>THE FACTS</w:t>
      </w:r>
    </w:p>
    <w:p w14:paraId="4B45C012" w14:textId="5712E6EA"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w:t>
      </w:r>
      <w:r>
        <w:rPr>
          <w:noProof/>
        </w:rPr>
        <w:fldChar w:fldCharType="end"/>
      </w:r>
      <w:r w:rsidR="006E353F" w:rsidRPr="00AA5FA3">
        <w:t>.  A list of the applicants is set out in the appendix.</w:t>
      </w:r>
    </w:p>
    <w:p w14:paraId="4DE65A9D" w14:textId="0759F0D7" w:rsidR="006E353F" w:rsidRPr="00AA5FA3" w:rsidRDefault="00DF5919" w:rsidP="00AA5FA3">
      <w:pPr>
        <w:pStyle w:val="JuPara"/>
      </w:pPr>
      <w:r>
        <w:fldChar w:fldCharType="begin"/>
      </w:r>
      <w:r>
        <w:instrText xml:space="preserve"> SEQ level0 \*ar</w:instrText>
      </w:r>
      <w:r>
        <w:instrText xml:space="preserve">abic \* MERGEFORMAT </w:instrText>
      </w:r>
      <w:r>
        <w:fldChar w:fldCharType="separate"/>
      </w:r>
      <w:r w:rsidR="00AA5FA3" w:rsidRPr="00AA5FA3">
        <w:rPr>
          <w:noProof/>
        </w:rPr>
        <w:t>2</w:t>
      </w:r>
      <w:r>
        <w:rPr>
          <w:noProof/>
        </w:rPr>
        <w:fldChar w:fldCharType="end"/>
      </w:r>
      <w:r w:rsidR="006E353F" w:rsidRPr="00AA5FA3">
        <w:t xml:space="preserve">.  The Italian Government (“the Government”) were represented by their former Agent, Ms E. </w:t>
      </w:r>
      <w:proofErr w:type="spellStart"/>
      <w:r w:rsidR="006E353F" w:rsidRPr="00AA5FA3">
        <w:t>Spatafora</w:t>
      </w:r>
      <w:proofErr w:type="spellEnd"/>
      <w:r w:rsidR="006E353F" w:rsidRPr="00AA5FA3">
        <w:t>, and their former co‑Agents, Ms</w:t>
      </w:r>
      <w:r w:rsidR="00926527" w:rsidRPr="00AA5FA3">
        <w:t> </w:t>
      </w:r>
      <w:r w:rsidR="006E353F" w:rsidRPr="00AA5FA3">
        <w:t>P. </w:t>
      </w:r>
      <w:proofErr w:type="spellStart"/>
      <w:r w:rsidR="006E353F" w:rsidRPr="00AA5FA3">
        <w:t>Accardo</w:t>
      </w:r>
      <w:proofErr w:type="spellEnd"/>
      <w:r w:rsidR="006E353F" w:rsidRPr="00AA5FA3">
        <w:t xml:space="preserve"> and Mr F. </w:t>
      </w:r>
      <w:proofErr w:type="spellStart"/>
      <w:r w:rsidR="006E353F" w:rsidRPr="00AA5FA3">
        <w:t>Crisafulli</w:t>
      </w:r>
      <w:proofErr w:type="spellEnd"/>
      <w:r w:rsidR="006E353F" w:rsidRPr="00AA5FA3">
        <w:t>.</w:t>
      </w:r>
    </w:p>
    <w:p w14:paraId="3FABB943" w14:textId="5D63FF90" w:rsidR="006E353F" w:rsidRPr="00AA5FA3" w:rsidRDefault="006E353F" w:rsidP="00AA5FA3">
      <w:pPr>
        <w:pStyle w:val="JuHA"/>
      </w:pPr>
      <w:r w:rsidRPr="00AA5FA3">
        <w:t>The circumstances of the case</w:t>
      </w:r>
    </w:p>
    <w:p w14:paraId="39EF0805" w14:textId="78C64025"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3</w:t>
      </w:r>
      <w:r>
        <w:rPr>
          <w:noProof/>
        </w:rPr>
        <w:fldChar w:fldCharType="end"/>
      </w:r>
      <w:r w:rsidR="006E353F" w:rsidRPr="00AA5FA3">
        <w:t>.  The facts of the case, as submitted by the parties, may be summarised as follows.</w:t>
      </w:r>
    </w:p>
    <w:p w14:paraId="6AAC7BA1" w14:textId="5AAE33A1"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4</w:t>
      </w:r>
      <w:r>
        <w:rPr>
          <w:noProof/>
        </w:rPr>
        <w:fldChar w:fldCharType="end"/>
      </w:r>
      <w:r w:rsidR="006E353F" w:rsidRPr="00AA5FA3">
        <w:t xml:space="preserve">.  The applicants were the joint owners of a plot of land in </w:t>
      </w:r>
      <w:proofErr w:type="spellStart"/>
      <w:r w:rsidR="006E353F" w:rsidRPr="00AA5FA3">
        <w:t>Nuoro</w:t>
      </w:r>
      <w:proofErr w:type="spellEnd"/>
      <w:r w:rsidR="006E353F" w:rsidRPr="00AA5FA3">
        <w:t>.</w:t>
      </w:r>
    </w:p>
    <w:p w14:paraId="570FD170" w14:textId="05E33D25"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5</w:t>
      </w:r>
      <w:r w:rsidRPr="00AA5FA3">
        <w:fldChar w:fldCharType="end"/>
      </w:r>
      <w:r w:rsidRPr="00AA5FA3">
        <w:t>.  By an order issued on 17 July 1980, the President of the Sardinia Regional Council approved a project to build a road through the applicants</w:t>
      </w:r>
      <w:r w:rsidR="00AA5FA3" w:rsidRPr="00AA5FA3">
        <w:t>’</w:t>
      </w:r>
      <w:r w:rsidRPr="00AA5FA3">
        <w:t xml:space="preserve"> </w:t>
      </w:r>
      <w:r w:rsidRPr="00AA5FA3">
        <w:lastRenderedPageBreak/>
        <w:t xml:space="preserve">land. By the same order, using an expedited procedure and on the basis of a public interest declaration, the </w:t>
      </w:r>
      <w:proofErr w:type="spellStart"/>
      <w:r w:rsidRPr="00AA5FA3">
        <w:t>Nuoro</w:t>
      </w:r>
      <w:proofErr w:type="spellEnd"/>
      <w:r w:rsidRPr="00AA5FA3">
        <w:t xml:space="preserve"> Municipality was authorised to take possession of 8,621 sq. m of the applicants</w:t>
      </w:r>
      <w:r w:rsidR="00AA5FA3" w:rsidRPr="00AA5FA3">
        <w:t>’</w:t>
      </w:r>
      <w:r w:rsidRPr="00AA5FA3">
        <w:t xml:space="preserve"> plot of land, with a view to subsequently expropriating it.</w:t>
      </w:r>
    </w:p>
    <w:p w14:paraId="392AEB11" w14:textId="1F224725"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6</w:t>
      </w:r>
      <w:r>
        <w:rPr>
          <w:noProof/>
        </w:rPr>
        <w:fldChar w:fldCharType="end"/>
      </w:r>
      <w:r w:rsidR="006E353F" w:rsidRPr="00AA5FA3">
        <w:t xml:space="preserve">.  By a claim filed on 23 January 1987 the applicants brought an action for damages against the </w:t>
      </w:r>
      <w:proofErr w:type="spellStart"/>
      <w:r w:rsidR="006E353F" w:rsidRPr="00AA5FA3">
        <w:t>Nuoro</w:t>
      </w:r>
      <w:proofErr w:type="spellEnd"/>
      <w:r w:rsidR="006E353F" w:rsidRPr="00AA5FA3">
        <w:t xml:space="preserve"> Municipality. They alleged that the occupation of the land was unlawful in that the period of lawful occupation had expired and that the building work had been completed without there having been a formal expropriation of the land with payment of compensation. They claimed a sum corresponding to the market value of the land.</w:t>
      </w:r>
    </w:p>
    <w:p w14:paraId="3E88B7C1" w14:textId="6CCF4D77"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7</w:t>
      </w:r>
      <w:r>
        <w:rPr>
          <w:noProof/>
        </w:rPr>
        <w:fldChar w:fldCharType="end"/>
      </w:r>
      <w:r w:rsidR="006E353F" w:rsidRPr="00AA5FA3">
        <w:t xml:space="preserve">.  On unspecified dates the </w:t>
      </w:r>
      <w:proofErr w:type="spellStart"/>
      <w:r w:rsidR="006E353F" w:rsidRPr="00AA5FA3">
        <w:t>Nuoro</w:t>
      </w:r>
      <w:proofErr w:type="spellEnd"/>
      <w:r w:rsidR="006E353F" w:rsidRPr="00AA5FA3">
        <w:t xml:space="preserve"> District Court ordered two expert valuations of the land. In the two reports, submitted on 19 March 1992 and 15 September 1998, the expert indicated that the market value of the land, on the date when the occupation of the land had become unlawful (22</w:t>
      </w:r>
      <w:r w:rsidR="0012659A" w:rsidRPr="00AA5FA3">
        <w:t> </w:t>
      </w:r>
      <w:r w:rsidR="006E353F" w:rsidRPr="00AA5FA3">
        <w:t>September 1986), had corresponded to 775,890,000 Italian lire (ITL) (approximately 400,700 euros (EUR)). The expert further indicated that compensation for the period of lawful occupation in respect of the land (</w:t>
      </w:r>
      <w:proofErr w:type="spellStart"/>
      <w:r w:rsidR="006E353F" w:rsidRPr="00AA5FA3">
        <w:rPr>
          <w:i/>
          <w:iCs/>
        </w:rPr>
        <w:t>indennità</w:t>
      </w:r>
      <w:proofErr w:type="spellEnd"/>
      <w:r w:rsidR="006E353F" w:rsidRPr="00AA5FA3">
        <w:rPr>
          <w:i/>
          <w:iCs/>
        </w:rPr>
        <w:t xml:space="preserve"> di </w:t>
      </w:r>
      <w:proofErr w:type="spellStart"/>
      <w:r w:rsidR="006E353F" w:rsidRPr="00AA5FA3">
        <w:rPr>
          <w:i/>
          <w:iCs/>
        </w:rPr>
        <w:t>occupazione</w:t>
      </w:r>
      <w:proofErr w:type="spellEnd"/>
      <w:r w:rsidR="006E353F" w:rsidRPr="00AA5FA3">
        <w:t>) amounted in total to ITL 232,767,000 (approximately EUR</w:t>
      </w:r>
      <w:r w:rsidR="00305A58" w:rsidRPr="00AA5FA3">
        <w:t> </w:t>
      </w:r>
      <w:r w:rsidR="006E353F" w:rsidRPr="00AA5FA3">
        <w:t>120,200).</w:t>
      </w:r>
    </w:p>
    <w:p w14:paraId="54B9E7EB" w14:textId="2CBFEC0A"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8</w:t>
      </w:r>
      <w:r>
        <w:rPr>
          <w:noProof/>
        </w:rPr>
        <w:fldChar w:fldCharType="end"/>
      </w:r>
      <w:r w:rsidR="006E353F" w:rsidRPr="00AA5FA3">
        <w:t xml:space="preserve">.  By a judgment of </w:t>
      </w:r>
      <w:proofErr w:type="gramStart"/>
      <w:r w:rsidR="006E353F" w:rsidRPr="00AA5FA3">
        <w:t>29 September 2004</w:t>
      </w:r>
      <w:proofErr w:type="gramEnd"/>
      <w:r w:rsidR="006E353F" w:rsidRPr="00AA5FA3">
        <w:t xml:space="preserve"> the </w:t>
      </w:r>
      <w:proofErr w:type="spellStart"/>
      <w:r w:rsidR="006E353F" w:rsidRPr="00AA5FA3">
        <w:t>Nuoro</w:t>
      </w:r>
      <w:proofErr w:type="spellEnd"/>
      <w:r w:rsidR="006E353F" w:rsidRPr="00AA5FA3">
        <w:t xml:space="preserve"> District Court found that, pursuant to the rule on indirect or “constructive” expropriation (</w:t>
      </w:r>
      <w:proofErr w:type="spellStart"/>
      <w:r w:rsidR="006E353F" w:rsidRPr="00AA5FA3">
        <w:rPr>
          <w:i/>
        </w:rPr>
        <w:t>occupazione</w:t>
      </w:r>
      <w:proofErr w:type="spellEnd"/>
      <w:r w:rsidR="006E353F" w:rsidRPr="00AA5FA3">
        <w:rPr>
          <w:i/>
        </w:rPr>
        <w:t xml:space="preserve"> </w:t>
      </w:r>
      <w:proofErr w:type="spellStart"/>
      <w:r w:rsidR="006E353F" w:rsidRPr="00AA5FA3">
        <w:rPr>
          <w:i/>
        </w:rPr>
        <w:t>acquisitiva</w:t>
      </w:r>
      <w:proofErr w:type="spellEnd"/>
      <w:r w:rsidR="006E353F" w:rsidRPr="00AA5FA3">
        <w:t xml:space="preserve">), the applicants were no longer the owners of the land, which had become the property of the </w:t>
      </w:r>
      <w:proofErr w:type="spellStart"/>
      <w:r w:rsidR="006E353F" w:rsidRPr="00AA5FA3">
        <w:t>Nuoro</w:t>
      </w:r>
      <w:proofErr w:type="spellEnd"/>
      <w:r w:rsidR="006E353F" w:rsidRPr="00AA5FA3">
        <w:t xml:space="preserve"> Municipality following completion of the building work on 22 September 1986. The court found that, as the transfer of property had been unlawful, the applicants were entitled to an award of damages. However, the court did not award compensation reflecting the market value, but instead proceeded to make an award based on the criteria contained in Article 5 </w:t>
      </w:r>
      <w:r w:rsidR="006E353F" w:rsidRPr="00AA5FA3">
        <w:rPr>
          <w:i/>
          <w:iCs/>
        </w:rPr>
        <w:t>bis</w:t>
      </w:r>
      <w:r w:rsidR="006E353F" w:rsidRPr="00AA5FA3">
        <w:t xml:space="preserve"> of Legislative Decree no. 333 of 11</w:t>
      </w:r>
      <w:r w:rsidR="00305A58" w:rsidRPr="00AA5FA3">
        <w:t xml:space="preserve"> </w:t>
      </w:r>
      <w:r w:rsidR="006E353F" w:rsidRPr="00AA5FA3">
        <w:t>July 1992, as amended by Law no. 662 of 1996. It ordered the municipality to pay each applicant EUR 17,748 as compensation for the loss of their property and EUR 9,686 as compensation for the period of lawful occupation. The court further stated that the applicants were entitled to a sum reflecting an adjustment for inflation, as well as statutory interest running from the date of the loss of their property.</w:t>
      </w:r>
    </w:p>
    <w:p w14:paraId="3DDA268C" w14:textId="57C4C2E5"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9</w:t>
      </w:r>
      <w:r w:rsidRPr="00AA5FA3">
        <w:fldChar w:fldCharType="end"/>
      </w:r>
      <w:r w:rsidRPr="00AA5FA3">
        <w:t xml:space="preserve">.  On an unspecified date, the </w:t>
      </w:r>
      <w:proofErr w:type="spellStart"/>
      <w:r w:rsidRPr="00AA5FA3">
        <w:t>Nuoro</w:t>
      </w:r>
      <w:proofErr w:type="spellEnd"/>
      <w:r w:rsidRPr="00AA5FA3">
        <w:t xml:space="preserve"> Municipality appealed to the Cagliari Court of Appeal, Sassari Subdistrict Section (</w:t>
      </w:r>
      <w:proofErr w:type="spellStart"/>
      <w:r w:rsidRPr="00AA5FA3">
        <w:rPr>
          <w:i/>
          <w:iCs/>
        </w:rPr>
        <w:t>sezione</w:t>
      </w:r>
      <w:proofErr w:type="spellEnd"/>
      <w:r w:rsidRPr="00AA5FA3">
        <w:rPr>
          <w:i/>
          <w:iCs/>
        </w:rPr>
        <w:t xml:space="preserve"> </w:t>
      </w:r>
      <w:proofErr w:type="spellStart"/>
      <w:r w:rsidRPr="00AA5FA3">
        <w:rPr>
          <w:i/>
          <w:iCs/>
        </w:rPr>
        <w:t>distaccata</w:t>
      </w:r>
      <w:proofErr w:type="spellEnd"/>
      <w:r w:rsidRPr="00AA5FA3">
        <w:rPr>
          <w:i/>
          <w:iCs/>
        </w:rPr>
        <w:t xml:space="preserve"> di Sassari</w:t>
      </w:r>
      <w:r w:rsidRPr="00AA5FA3">
        <w:t>) against the district court</w:t>
      </w:r>
      <w:r w:rsidR="00AA5FA3" w:rsidRPr="00AA5FA3">
        <w:t>’</w:t>
      </w:r>
      <w:r w:rsidRPr="00AA5FA3">
        <w:t xml:space="preserve">s judgment. The applicants lodged a cross-appeal requesting, </w:t>
      </w:r>
      <w:r w:rsidRPr="00AA5FA3">
        <w:rPr>
          <w:i/>
          <w:iCs/>
        </w:rPr>
        <w:t>inter alia</w:t>
      </w:r>
      <w:r w:rsidRPr="00AA5FA3">
        <w:t>, an award of compensation equal to the property</w:t>
      </w:r>
      <w:r w:rsidR="00AA5FA3" w:rsidRPr="00AA5FA3">
        <w:t>’</w:t>
      </w:r>
      <w:r w:rsidRPr="00AA5FA3">
        <w:t>s market value.</w:t>
      </w:r>
    </w:p>
    <w:bookmarkStart w:id="1" w:name="Lecce_CA"/>
    <w:p w14:paraId="334CC0CA" w14:textId="7B2FED75" w:rsidR="006E353F" w:rsidRPr="00AA5FA3" w:rsidRDefault="006E353F" w:rsidP="00AA5FA3">
      <w:pPr>
        <w:pStyle w:val="JuPara"/>
      </w:pPr>
      <w:r w:rsidRPr="00AA5FA3">
        <w:fldChar w:fldCharType="begin"/>
      </w:r>
      <w:r w:rsidRPr="00AA5FA3">
        <w:instrText xml:space="preserve"> SEQ level0 \*arabic \* MERGEFORMAT </w:instrText>
      </w:r>
      <w:r w:rsidRPr="00AA5FA3">
        <w:fldChar w:fldCharType="separate"/>
      </w:r>
      <w:r w:rsidR="00AA5FA3" w:rsidRPr="00AA5FA3">
        <w:rPr>
          <w:noProof/>
        </w:rPr>
        <w:t>10</w:t>
      </w:r>
      <w:r w:rsidRPr="00AA5FA3">
        <w:fldChar w:fldCharType="end"/>
      </w:r>
      <w:r w:rsidRPr="00AA5FA3">
        <w:t>.  On 4 July 2011, the Court of Appeal ordered an expert valuation of the land.</w:t>
      </w:r>
    </w:p>
    <w:p w14:paraId="228CDAA7" w14:textId="7B8AC9B1"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11</w:t>
      </w:r>
      <w:r>
        <w:rPr>
          <w:noProof/>
        </w:rPr>
        <w:fldChar w:fldCharType="end"/>
      </w:r>
      <w:r w:rsidR="006E353F" w:rsidRPr="00AA5FA3">
        <w:t xml:space="preserve">.  In the report submitted on 6 March 2013, the expert indicated that the market value of the land, on the date when the occupation of the land </w:t>
      </w:r>
      <w:r w:rsidR="006E353F" w:rsidRPr="00AA5FA3">
        <w:lastRenderedPageBreak/>
        <w:t>had become unlawful (22 September 1986), had corresponded to EUR</w:t>
      </w:r>
      <w:r w:rsidR="0012659A" w:rsidRPr="00AA5FA3">
        <w:t> </w:t>
      </w:r>
      <w:r w:rsidR="006E353F" w:rsidRPr="00AA5FA3">
        <w:t>47.62 per sq. m., in total EUR</w:t>
      </w:r>
      <w:r w:rsidR="00305A58" w:rsidRPr="00AA5FA3">
        <w:t> </w:t>
      </w:r>
      <w:r w:rsidR="006E353F" w:rsidRPr="00AA5FA3">
        <w:t>398,999.04.</w:t>
      </w:r>
    </w:p>
    <w:bookmarkStart w:id="2" w:name="Cagliari_CA"/>
    <w:p w14:paraId="10AD0745" w14:textId="150EE3C4"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12</w:t>
      </w:r>
      <w:r w:rsidRPr="00AA5FA3">
        <w:fldChar w:fldCharType="end"/>
      </w:r>
      <w:bookmarkEnd w:id="1"/>
      <w:bookmarkEnd w:id="2"/>
      <w:r w:rsidRPr="00AA5FA3">
        <w:t>.  By a judgment delivered on 5 August 2014, and filed with the court registry on 28 August 2014, the Cagliari Court of Appeal found that the occupation of the applicants</w:t>
      </w:r>
      <w:r w:rsidR="00AA5FA3" w:rsidRPr="00AA5FA3">
        <w:t>’</w:t>
      </w:r>
      <w:r w:rsidRPr="00AA5FA3">
        <w:t xml:space="preserve"> land by the administration, which had been initially authorised, had subsequently become unlawful, as it had continued beyond the authorised period without an expropriation order being issued. It further drew on the Constitutional Court</w:t>
      </w:r>
      <w:r w:rsidR="00AA5FA3" w:rsidRPr="00AA5FA3">
        <w:t>’</w:t>
      </w:r>
      <w:r w:rsidRPr="00AA5FA3">
        <w:t xml:space="preserve">s judgment no. 349 of 24 October 2007, whereby Article 5 </w:t>
      </w:r>
      <w:r w:rsidRPr="00AA5FA3">
        <w:rPr>
          <w:i/>
          <w:iCs/>
        </w:rPr>
        <w:t>bis</w:t>
      </w:r>
      <w:r w:rsidRPr="00AA5FA3">
        <w:t xml:space="preserve"> of Legislative Decree no. 333 of 11 July 1992, as amended by Law no. 662 of 1996, had been declared unconstitutional, and held that the applicants were entitled to compensation corresponding to the full market value of the property. The court assessed the expert valuation and concluded that the calculation method used by the expert, namely the estimation method (</w:t>
      </w:r>
      <w:proofErr w:type="spellStart"/>
      <w:r w:rsidRPr="00AA5FA3">
        <w:rPr>
          <w:i/>
          <w:iCs/>
        </w:rPr>
        <w:t>metodo</w:t>
      </w:r>
      <w:proofErr w:type="spellEnd"/>
      <w:r w:rsidRPr="00AA5FA3">
        <w:rPr>
          <w:i/>
          <w:iCs/>
        </w:rPr>
        <w:t xml:space="preserve"> </w:t>
      </w:r>
      <w:proofErr w:type="spellStart"/>
      <w:r w:rsidRPr="00AA5FA3">
        <w:rPr>
          <w:i/>
          <w:iCs/>
        </w:rPr>
        <w:t>estimativo</w:t>
      </w:r>
      <w:proofErr w:type="spellEnd"/>
      <w:r w:rsidRPr="00AA5FA3">
        <w:t>), did not accurately reflect the commercial value of the property. Instead, the court considered that the method to be preferred was the comparative method of property valuation (</w:t>
      </w:r>
      <w:proofErr w:type="spellStart"/>
      <w:r w:rsidRPr="00AA5FA3">
        <w:rPr>
          <w:i/>
          <w:iCs/>
        </w:rPr>
        <w:t>metodo</w:t>
      </w:r>
      <w:proofErr w:type="spellEnd"/>
      <w:r w:rsidRPr="00AA5FA3">
        <w:rPr>
          <w:i/>
          <w:iCs/>
        </w:rPr>
        <w:t xml:space="preserve"> </w:t>
      </w:r>
      <w:proofErr w:type="spellStart"/>
      <w:r w:rsidRPr="00AA5FA3">
        <w:rPr>
          <w:i/>
          <w:iCs/>
        </w:rPr>
        <w:t>comparativo</w:t>
      </w:r>
      <w:proofErr w:type="spellEnd"/>
      <w:r w:rsidRPr="00AA5FA3">
        <w:t>). It recalled that the comparative method, an approach which uses the value of comparable assets sold at the relevant time, allowed for a “more precise and less arbitrary” means to determine the value of the property. Having established the methodology to be employed, the court proceeded to calculate the value of the property by examining deeds of sale of property comparable to the one under scrutiny during the relevant time period. On this basis, it considered that the market value of the property had corresponded to EUR</w:t>
      </w:r>
      <w:r w:rsidR="00305A58" w:rsidRPr="00AA5FA3">
        <w:t> </w:t>
      </w:r>
      <w:r w:rsidRPr="00AA5FA3">
        <w:t>31,35 per sq. m. and awarded a total sum of EUR 181,422.45, to be divided among the applicants in accordance with their respective shares in the property. The court further stated that the applicants were entitled to a sum reflecting an adjustment for inflation, as well as statutory interest running from the date of the loss of property (22</w:t>
      </w:r>
      <w:r w:rsidR="00305A58" w:rsidRPr="00AA5FA3">
        <w:t> </w:t>
      </w:r>
      <w:r w:rsidRPr="00AA5FA3">
        <w:t>September 1986).</w:t>
      </w:r>
    </w:p>
    <w:p w14:paraId="7FDD935D" w14:textId="5A532765"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13</w:t>
      </w:r>
      <w:r>
        <w:rPr>
          <w:noProof/>
        </w:rPr>
        <w:fldChar w:fldCharType="end"/>
      </w:r>
      <w:r w:rsidR="006E353F" w:rsidRPr="00AA5FA3">
        <w:t>.  The applicants did not challenge the calculation method used by the Cagliari Court of Appeal before the Court of Cassation.</w:t>
      </w:r>
    </w:p>
    <w:p w14:paraId="1873F66D" w14:textId="45BE7043"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14</w:t>
      </w:r>
      <w:r>
        <w:rPr>
          <w:noProof/>
        </w:rPr>
        <w:fldChar w:fldCharType="end"/>
      </w:r>
      <w:r w:rsidR="006E353F" w:rsidRPr="00AA5FA3">
        <w:t>.  On 29 September 2015 (application no. 11071/05), 7 October 2015 (application no. 10511/05), and 16 October 2015 (application no.</w:t>
      </w:r>
      <w:r w:rsidR="00467623" w:rsidRPr="00AA5FA3">
        <w:t> </w:t>
      </w:r>
      <w:r w:rsidR="006E353F" w:rsidRPr="00AA5FA3">
        <w:t xml:space="preserve">10212/05), the </w:t>
      </w:r>
      <w:proofErr w:type="spellStart"/>
      <w:r w:rsidR="006E353F" w:rsidRPr="00AA5FA3">
        <w:t>Nuoro</w:t>
      </w:r>
      <w:proofErr w:type="spellEnd"/>
      <w:r w:rsidR="006E353F" w:rsidRPr="00AA5FA3">
        <w:t xml:space="preserve"> Municipality paid the applicants the amounts due to them under the judgment of the Cagliari Court of Appeal.</w:t>
      </w:r>
    </w:p>
    <w:p w14:paraId="4A7329B9" w14:textId="7AE55FDE"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15</w:t>
      </w:r>
      <w:r>
        <w:rPr>
          <w:noProof/>
        </w:rPr>
        <w:fldChar w:fldCharType="end"/>
      </w:r>
      <w:r w:rsidR="006E353F" w:rsidRPr="00AA5FA3">
        <w:t>.  Tax at a rate of 20% was deducted at source from these sums.</w:t>
      </w:r>
    </w:p>
    <w:p w14:paraId="3F1487A2" w14:textId="77777777" w:rsidR="006E353F" w:rsidRPr="00AA5FA3" w:rsidRDefault="006E353F" w:rsidP="00AA5FA3">
      <w:pPr>
        <w:pStyle w:val="JuHA"/>
      </w:pPr>
      <w:r w:rsidRPr="00AA5FA3">
        <w:t>Relevant domestic law and practice</w:t>
      </w:r>
    </w:p>
    <w:p w14:paraId="11A41B22" w14:textId="76C08D5F"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16</w:t>
      </w:r>
      <w:r>
        <w:rPr>
          <w:noProof/>
        </w:rPr>
        <w:fldChar w:fldCharType="end"/>
      </w:r>
      <w:r w:rsidR="006E353F" w:rsidRPr="00AA5FA3">
        <w:t xml:space="preserve">.  The relevant domestic law and practice applicable in this case was summarised in </w:t>
      </w:r>
      <w:proofErr w:type="spellStart"/>
      <w:r w:rsidR="006E353F" w:rsidRPr="00AA5FA3">
        <w:rPr>
          <w:i/>
        </w:rPr>
        <w:t>Guiso</w:t>
      </w:r>
      <w:proofErr w:type="spellEnd"/>
      <w:r w:rsidR="006E353F" w:rsidRPr="00AA5FA3">
        <w:rPr>
          <w:i/>
        </w:rPr>
        <w:t xml:space="preserve"> and </w:t>
      </w:r>
      <w:proofErr w:type="spellStart"/>
      <w:r w:rsidR="006E353F" w:rsidRPr="00AA5FA3">
        <w:rPr>
          <w:i/>
        </w:rPr>
        <w:t>Consiglio</w:t>
      </w:r>
      <w:proofErr w:type="spellEnd"/>
      <w:r w:rsidR="006E353F" w:rsidRPr="00AA5FA3">
        <w:rPr>
          <w:i/>
        </w:rPr>
        <w:t xml:space="preserve"> v. Italy</w:t>
      </w:r>
      <w:r w:rsidR="006E353F" w:rsidRPr="00AA5FA3">
        <w:t xml:space="preserve"> (</w:t>
      </w:r>
      <w:proofErr w:type="spellStart"/>
      <w:r w:rsidR="006E353F" w:rsidRPr="00AA5FA3">
        <w:t>dec.</w:t>
      </w:r>
      <w:proofErr w:type="spellEnd"/>
      <w:r w:rsidR="006E353F" w:rsidRPr="00AA5FA3">
        <w:t>), no. 50821/06, §§ 25-31, 16</w:t>
      </w:r>
      <w:r w:rsidR="00305A58" w:rsidRPr="00AA5FA3">
        <w:t> </w:t>
      </w:r>
      <w:r w:rsidR="006E353F" w:rsidRPr="00AA5FA3">
        <w:t>January 2018).</w:t>
      </w:r>
    </w:p>
    <w:p w14:paraId="5FB1B38D" w14:textId="77777777" w:rsidR="006E353F" w:rsidRPr="00AA5FA3" w:rsidRDefault="006E353F" w:rsidP="00AA5FA3">
      <w:pPr>
        <w:pStyle w:val="JuHHead"/>
      </w:pPr>
      <w:r w:rsidRPr="00AA5FA3">
        <w:lastRenderedPageBreak/>
        <w:t>COMPLAINTS</w:t>
      </w:r>
    </w:p>
    <w:p w14:paraId="1D4B9933" w14:textId="6F0ACFEB" w:rsidR="006E353F" w:rsidRPr="00AA5FA3" w:rsidRDefault="00DF5919" w:rsidP="00AA5FA3">
      <w:pPr>
        <w:pStyle w:val="JuPara"/>
        <w:rPr>
          <w:rStyle w:val="Rimandocommento"/>
        </w:rPr>
      </w:pPr>
      <w:r>
        <w:fldChar w:fldCharType="begin"/>
      </w:r>
      <w:r>
        <w:instrText xml:space="preserve"> SEQ level0 \*arabic \* MERGEFORMAT </w:instrText>
      </w:r>
      <w:r>
        <w:fldChar w:fldCharType="separate"/>
      </w:r>
      <w:r w:rsidR="00AA5FA3" w:rsidRPr="00AA5FA3">
        <w:rPr>
          <w:noProof/>
        </w:rPr>
        <w:t>17</w:t>
      </w:r>
      <w:r>
        <w:rPr>
          <w:noProof/>
        </w:rPr>
        <w:fldChar w:fldCharType="end"/>
      </w:r>
      <w:r w:rsidR="006E353F" w:rsidRPr="00AA5FA3">
        <w:t>.  All the applicants alleged that they had been unlawfully deprived of their land and that the situation had infringed their right to the peaceful enjoyment of their possessions, as guaranteed by Article 1 of Protocol No. 1 to the Convention. Under the same provision, they also complained about the taxation imposed in accordance with Law no. 413 of 1991.</w:t>
      </w:r>
    </w:p>
    <w:p w14:paraId="6686213E" w14:textId="04D26349"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18</w:t>
      </w:r>
      <w:r>
        <w:rPr>
          <w:noProof/>
        </w:rPr>
        <w:fldChar w:fldCharType="end"/>
      </w:r>
      <w:r w:rsidR="006E353F" w:rsidRPr="00AA5FA3">
        <w:t>.  The applicants in application nos. 10212/05 and 11071/05 further complained about the application of Law no. 662 of 1996 to their case and the impact it had on the calculation of the compensation due to them. They relied on Article 1 of Protocol No. 1 and Article 6 § 1 of the Convention.</w:t>
      </w:r>
    </w:p>
    <w:p w14:paraId="42B644A7" w14:textId="5732989C" w:rsidR="006E353F" w:rsidRPr="00AA5FA3" w:rsidRDefault="00DF5919" w:rsidP="00AA5FA3">
      <w:pPr>
        <w:pStyle w:val="JuPara"/>
      </w:pPr>
      <w:r>
        <w:fldChar w:fldCharType="begin"/>
      </w:r>
      <w:r>
        <w:instrText xml:space="preserve"> SEQ level0 \*arabic \* </w:instrText>
      </w:r>
      <w:r>
        <w:instrText xml:space="preserve">MERGEFORMAT </w:instrText>
      </w:r>
      <w:r>
        <w:fldChar w:fldCharType="separate"/>
      </w:r>
      <w:r w:rsidR="00AA5FA3" w:rsidRPr="00AA5FA3">
        <w:rPr>
          <w:noProof/>
        </w:rPr>
        <w:t>19</w:t>
      </w:r>
      <w:r>
        <w:rPr>
          <w:noProof/>
        </w:rPr>
        <w:fldChar w:fldCharType="end"/>
      </w:r>
      <w:r w:rsidR="006E353F" w:rsidRPr="00AA5FA3">
        <w:t xml:space="preserve">.  The applicants in application </w:t>
      </w:r>
      <w:bookmarkStart w:id="3" w:name="_Hlk86827525"/>
      <w:r w:rsidR="006E353F" w:rsidRPr="00AA5FA3">
        <w:t xml:space="preserve">no. 10511/05 </w:t>
      </w:r>
      <w:bookmarkEnd w:id="3"/>
      <w:r w:rsidR="006E353F" w:rsidRPr="00AA5FA3">
        <w:t>argued that the application of Law no. 662 of 1996 had produced discriminatory effects, in breach of Article 14 of the Convention. Relying on Article 18, they also complained that their Convention rights had been restricted for purposes other than those prescribed in the Convention.</w:t>
      </w:r>
    </w:p>
    <w:p w14:paraId="6574A18B" w14:textId="5ECFAC24" w:rsidR="006E353F" w:rsidRPr="00AA5FA3" w:rsidRDefault="006E353F" w:rsidP="00AA5FA3">
      <w:pPr>
        <w:pStyle w:val="JuHHead"/>
      </w:pPr>
      <w:r w:rsidRPr="00AA5FA3">
        <w:t>THE LAW</w:t>
      </w:r>
    </w:p>
    <w:p w14:paraId="46663A65" w14:textId="77777777" w:rsidR="006E353F" w:rsidRPr="00AA5FA3" w:rsidRDefault="006E353F" w:rsidP="00AA5FA3">
      <w:pPr>
        <w:pStyle w:val="JuHA"/>
      </w:pPr>
      <w:r w:rsidRPr="00AA5FA3">
        <w:t>Joinder of the applications</w:t>
      </w:r>
    </w:p>
    <w:p w14:paraId="5ADB19EB" w14:textId="3ABAEADE"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20</w:t>
      </w:r>
      <w:r>
        <w:rPr>
          <w:noProof/>
        </w:rPr>
        <w:fldChar w:fldCharType="end"/>
      </w:r>
      <w:r w:rsidR="006E353F" w:rsidRPr="00AA5FA3">
        <w:t>.  Having regard to the similar subject matter of the applications and the fact that they concern the same set of domestic proceedings, the Court finds it appropriate to examine them jointly in a single decision.</w:t>
      </w:r>
    </w:p>
    <w:p w14:paraId="227E356C" w14:textId="77777777" w:rsidR="006E353F" w:rsidRPr="00AA5FA3" w:rsidRDefault="006E353F" w:rsidP="00AA5FA3">
      <w:pPr>
        <w:pStyle w:val="JuHA"/>
      </w:pPr>
      <w:r w:rsidRPr="00AA5FA3">
        <w:t>Complaint under Article 1 of Protocol No. 1 to the Convention</w:t>
      </w:r>
    </w:p>
    <w:p w14:paraId="5ED43D09" w14:textId="141B123B"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21</w:t>
      </w:r>
      <w:r w:rsidRPr="00AA5FA3">
        <w:fldChar w:fldCharType="end"/>
      </w:r>
      <w:r w:rsidRPr="00AA5FA3">
        <w:t>.  The applicants alleged that they had been unlawfully deprived of their land and that the situation had infringed their right to the peaceful enjoyment of their possessions, as guaranteed by Article 1 of Protocol No. 1 to the Convention, which reads as follows:</w:t>
      </w:r>
    </w:p>
    <w:p w14:paraId="0F366315" w14:textId="77777777" w:rsidR="006E353F" w:rsidRPr="00AA5FA3" w:rsidRDefault="006E353F" w:rsidP="00AA5FA3">
      <w:pPr>
        <w:pStyle w:val="JuQuot"/>
      </w:pPr>
      <w:r w:rsidRPr="00AA5FA3">
        <w:t>“Every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3483C3D1" w14:textId="77777777" w:rsidR="006E353F" w:rsidRPr="00AA5FA3" w:rsidRDefault="006E353F" w:rsidP="00AA5FA3">
      <w:pPr>
        <w:pStyle w:val="JuQuot"/>
      </w:pPr>
      <w:r w:rsidRPr="00AA5FA3">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3DFC02B1" w14:textId="1A7CB43B" w:rsidR="006E353F" w:rsidRPr="00AA5FA3" w:rsidRDefault="006E353F" w:rsidP="00AA5FA3">
      <w:pPr>
        <w:pStyle w:val="JuH1"/>
      </w:pPr>
      <w:r w:rsidRPr="00AA5FA3">
        <w:t>The parties</w:t>
      </w:r>
      <w:r w:rsidR="00AA5FA3" w:rsidRPr="00AA5FA3">
        <w:t>’</w:t>
      </w:r>
      <w:r w:rsidRPr="00AA5FA3">
        <w:t xml:space="preserve"> submissions</w:t>
      </w:r>
    </w:p>
    <w:p w14:paraId="08000B02" w14:textId="77777777" w:rsidR="006E353F" w:rsidRPr="00AA5FA3" w:rsidRDefault="006E353F" w:rsidP="00AA5FA3">
      <w:pPr>
        <w:pStyle w:val="JuHa0"/>
      </w:pPr>
      <w:r w:rsidRPr="00AA5FA3">
        <w:t>The applicants</w:t>
      </w:r>
    </w:p>
    <w:p w14:paraId="04B302E1" w14:textId="54242ED7"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22</w:t>
      </w:r>
      <w:r w:rsidRPr="00AA5FA3">
        <w:fldChar w:fldCharType="end"/>
      </w:r>
      <w:r w:rsidRPr="00AA5FA3">
        <w:t xml:space="preserve">.  The applicants contended that they had been unlawfully deprived of their land and that the situation had infringed their right to the peaceful </w:t>
      </w:r>
      <w:r w:rsidRPr="00AA5FA3">
        <w:lastRenderedPageBreak/>
        <w:t>enjoyment of their possessions, as guaranteed by Article 1 of Protocol No. 1. They highlighted the fact that constructive expropriation had been found to be incompatible with the Convention on many occasions by the Court.</w:t>
      </w:r>
    </w:p>
    <w:p w14:paraId="62821939" w14:textId="45D2EAFB"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23</w:t>
      </w:r>
      <w:r w:rsidRPr="00AA5FA3">
        <w:fldChar w:fldCharType="end"/>
      </w:r>
      <w:r w:rsidRPr="00AA5FA3">
        <w:t>.  They further argued that, even though the domestic courts had acknowledged the unlawful nature of the expropriation and awarded compensation, adjusting the amount for inflation, adding statutory interest, they had not received redress that could be considered “appropriate and sufficient” owing to the taxation imposed in accordance with Law no.</w:t>
      </w:r>
      <w:r w:rsidR="00305A58" w:rsidRPr="00AA5FA3">
        <w:t> </w:t>
      </w:r>
      <w:r w:rsidRPr="00AA5FA3">
        <w:t>413 of 1991. In their view, the application of the fiscal measure meant that they had ultimately received a sum amounting to only 80% of the property</w:t>
      </w:r>
      <w:r w:rsidR="00AA5FA3" w:rsidRPr="00AA5FA3">
        <w:t>’</w:t>
      </w:r>
      <w:r w:rsidRPr="00AA5FA3">
        <w:t>s market value. The fiscal imposition therefore reflected a legislative expedient to reduce the costs of acquiring land for public purposes by 20%, though formally disguised as a tax. Moreover, in the applicants</w:t>
      </w:r>
      <w:r w:rsidR="00AA5FA3" w:rsidRPr="00AA5FA3">
        <w:t>’</w:t>
      </w:r>
      <w:r w:rsidRPr="00AA5FA3">
        <w:t xml:space="preserve"> view, the adequacy of the compensation was further reduced by the fact that no award had been made in respect of non</w:t>
      </w:r>
      <w:r w:rsidRPr="00AA5FA3">
        <w:noBreakHyphen/>
        <w:t>pecuniary damage they had suffered as a consequence of being unlawfully deprived of their property. In the light of these developments, which had occurred subsequent to notification of the case, the applicants contended that they were still to be considered victims of the violation complained of.</w:t>
      </w:r>
    </w:p>
    <w:p w14:paraId="6DCB514B" w14:textId="7971E4C4"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24</w:t>
      </w:r>
      <w:r w:rsidRPr="00AA5FA3">
        <w:fldChar w:fldCharType="end"/>
      </w:r>
      <w:r w:rsidRPr="00AA5FA3">
        <w:t xml:space="preserve">.  The applicants in application nos. 10212/05 and 11071/05 argued, in addition, that the adequacy of the compensation had been affected by the failure by the domestic courts to award a sum reflecting “loss of opportunities”, as required by the Court in </w:t>
      </w:r>
      <w:proofErr w:type="spellStart"/>
      <w:r w:rsidRPr="00AA5FA3">
        <w:rPr>
          <w:i/>
          <w:iCs/>
        </w:rPr>
        <w:t>Guiso-Gallisay</w:t>
      </w:r>
      <w:proofErr w:type="spellEnd"/>
      <w:r w:rsidRPr="00AA5FA3">
        <w:rPr>
          <w:i/>
          <w:iCs/>
        </w:rPr>
        <w:t xml:space="preserve"> v. Italy </w:t>
      </w:r>
      <w:r w:rsidRPr="00AA5FA3">
        <w:rPr>
          <w:iCs/>
        </w:rPr>
        <w:t>((</w:t>
      </w:r>
      <w:r w:rsidRPr="00AA5FA3">
        <w:t>just satisfaction) [GC], no. 58858/00, 22</w:t>
      </w:r>
      <w:r w:rsidR="00305A58" w:rsidRPr="00AA5FA3">
        <w:t xml:space="preserve"> </w:t>
      </w:r>
      <w:r w:rsidRPr="00AA5FA3">
        <w:t>December 2009, § 107). They further challenged the calculation method employed by the Sassari Court of Appeal to obtain the sum awarded as compensation for the loss of property, pointing out that the sum was inferior to the one calculated by the court-appointed expert.</w:t>
      </w:r>
    </w:p>
    <w:p w14:paraId="2E84318D" w14:textId="7840ECDA" w:rsidR="006E353F" w:rsidRPr="00AA5FA3" w:rsidRDefault="006E353F" w:rsidP="00AA5FA3">
      <w:pPr>
        <w:pStyle w:val="JuHa0"/>
      </w:pPr>
      <w:r w:rsidRPr="00AA5FA3">
        <w:t>The Government</w:t>
      </w:r>
    </w:p>
    <w:p w14:paraId="45D5044A" w14:textId="68BE5273"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25</w:t>
      </w:r>
      <w:r w:rsidRPr="00AA5FA3">
        <w:fldChar w:fldCharType="end"/>
      </w:r>
      <w:r w:rsidRPr="00AA5FA3">
        <w:t>.  The Government disagreed with the applicants</w:t>
      </w:r>
      <w:r w:rsidR="00AA5FA3" w:rsidRPr="00AA5FA3">
        <w:t>’</w:t>
      </w:r>
      <w:r w:rsidRPr="00AA5FA3">
        <w:t xml:space="preserve"> argument that they retained their victim status and highlighted that the </w:t>
      </w:r>
      <w:r w:rsidRPr="00AA5FA3">
        <w:rPr>
          <w:iCs/>
        </w:rPr>
        <w:t>Cagliari Court of Appeal</w:t>
      </w:r>
      <w:r w:rsidRPr="00AA5FA3">
        <w:rPr>
          <w:i/>
        </w:rPr>
        <w:t xml:space="preserve"> </w:t>
      </w:r>
      <w:r w:rsidRPr="00AA5FA3">
        <w:t>had delivered a judgment in which it had acknowledged that the applicants had been unlawfully deprived of their property and, drawing on the Constitutional Court</w:t>
      </w:r>
      <w:r w:rsidR="00AA5FA3" w:rsidRPr="00AA5FA3">
        <w:t>’</w:t>
      </w:r>
      <w:r w:rsidRPr="00AA5FA3">
        <w:t>s judgment no. 349 of 24</w:t>
      </w:r>
      <w:r w:rsidR="00305A58" w:rsidRPr="00AA5FA3">
        <w:t xml:space="preserve"> </w:t>
      </w:r>
      <w:r w:rsidRPr="00AA5FA3">
        <w:t xml:space="preserve">October 2007, had held that the applicants had been entitled to compensation reflecting the criteria established by the Court in </w:t>
      </w:r>
      <w:proofErr w:type="spellStart"/>
      <w:r w:rsidRPr="00AA5FA3">
        <w:rPr>
          <w:i/>
          <w:iCs/>
        </w:rPr>
        <w:t>Guiso-Gallisay</w:t>
      </w:r>
      <w:proofErr w:type="spellEnd"/>
      <w:r w:rsidRPr="00AA5FA3">
        <w:rPr>
          <w:i/>
          <w:iCs/>
        </w:rPr>
        <w:t xml:space="preserve"> v. Italy </w:t>
      </w:r>
      <w:r w:rsidRPr="00AA5FA3">
        <w:rPr>
          <w:iCs/>
        </w:rPr>
        <w:t>(</w:t>
      </w:r>
      <w:r w:rsidRPr="00AA5FA3">
        <w:t>just satisfaction) [GC].</w:t>
      </w:r>
    </w:p>
    <w:p w14:paraId="2F673690" w14:textId="5B75F311" w:rsidR="006E353F" w:rsidRPr="00AA5FA3" w:rsidRDefault="006E353F" w:rsidP="00AA5FA3">
      <w:pPr>
        <w:pStyle w:val="JuH1"/>
      </w:pPr>
      <w:r w:rsidRPr="00AA5FA3">
        <w:t>The Court</w:t>
      </w:r>
      <w:r w:rsidR="00AA5FA3" w:rsidRPr="00AA5FA3">
        <w:t>’</w:t>
      </w:r>
      <w:r w:rsidRPr="00AA5FA3">
        <w:t>s assessment</w:t>
      </w:r>
    </w:p>
    <w:p w14:paraId="25A4FBE5" w14:textId="2853CC53"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26</w:t>
      </w:r>
      <w:r>
        <w:rPr>
          <w:noProof/>
        </w:rPr>
        <w:fldChar w:fldCharType="end"/>
      </w:r>
      <w:r w:rsidR="006E353F" w:rsidRPr="00AA5FA3">
        <w:t xml:space="preserve">.  The Court notes at the outset that the applicants were deprived of their property by means of indirect or “constructive” expropriation, an interference with the right to the peaceful enjoyment of possessions which </w:t>
      </w:r>
      <w:r w:rsidR="006E353F" w:rsidRPr="00AA5FA3">
        <w:lastRenderedPageBreak/>
        <w:t xml:space="preserve">the Court has previously considered, in a large number of cases, to be incompatible with the principle of lawfulness, leading to findings of a violation of Article 1 of Protocol No. 1 (see, among many other authorities, </w:t>
      </w:r>
      <w:r w:rsidR="006E353F" w:rsidRPr="00AA5FA3">
        <w:rPr>
          <w:i/>
        </w:rPr>
        <w:t>Carbonara and Ventura v. Italy</w:t>
      </w:r>
      <w:r w:rsidR="006E353F" w:rsidRPr="00AA5FA3">
        <w:t>, no. 24638/94, §§ 63-73, ECHR 2000</w:t>
      </w:r>
      <w:r w:rsidR="006E353F" w:rsidRPr="00AA5FA3">
        <w:noBreakHyphen/>
        <w:t xml:space="preserve">VI; </w:t>
      </w:r>
      <w:proofErr w:type="spellStart"/>
      <w:r w:rsidR="006E353F" w:rsidRPr="00AA5FA3">
        <w:rPr>
          <w:i/>
        </w:rPr>
        <w:t>Guiso</w:t>
      </w:r>
      <w:r w:rsidR="006E353F" w:rsidRPr="00AA5FA3">
        <w:rPr>
          <w:i/>
        </w:rPr>
        <w:noBreakHyphen/>
        <w:t>Gallisay</w:t>
      </w:r>
      <w:proofErr w:type="spellEnd"/>
      <w:r w:rsidR="006E353F" w:rsidRPr="00AA5FA3">
        <w:rPr>
          <w:i/>
        </w:rPr>
        <w:t xml:space="preserve"> v. Italy</w:t>
      </w:r>
      <w:r w:rsidR="006E353F" w:rsidRPr="00AA5FA3">
        <w:t xml:space="preserve">, no. 58858/00, §§ 93-97, 8 December 2005; </w:t>
      </w:r>
      <w:r w:rsidR="006E353F" w:rsidRPr="00AA5FA3">
        <w:rPr>
          <w:i/>
        </w:rPr>
        <w:t>De Caterina and Others v. Italy</w:t>
      </w:r>
      <w:r w:rsidR="006E353F" w:rsidRPr="00AA5FA3">
        <w:t xml:space="preserve">, no. 65278/01, §§ 30-34, 28 June 2011; and, as a more recent authority, </w:t>
      </w:r>
      <w:proofErr w:type="spellStart"/>
      <w:r w:rsidR="006E353F" w:rsidRPr="00AA5FA3">
        <w:rPr>
          <w:i/>
        </w:rPr>
        <w:t>Messana</w:t>
      </w:r>
      <w:proofErr w:type="spellEnd"/>
      <w:r w:rsidR="006E353F" w:rsidRPr="00AA5FA3">
        <w:rPr>
          <w:i/>
        </w:rPr>
        <w:t xml:space="preserve"> v. Italy</w:t>
      </w:r>
      <w:r w:rsidR="006E353F" w:rsidRPr="00AA5FA3">
        <w:t>, no. 26128/04, §§ 38-43, 9</w:t>
      </w:r>
      <w:r w:rsidR="00305A58" w:rsidRPr="00AA5FA3">
        <w:t> </w:t>
      </w:r>
      <w:r w:rsidR="006E353F" w:rsidRPr="00AA5FA3">
        <w:t>February 2017). Having examined all the material submitted to it, the Court has not found any fact or argument capable of persuading it to reach a different conclusion in the present case.</w:t>
      </w:r>
    </w:p>
    <w:p w14:paraId="14ABFF03" w14:textId="25065381"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27</w:t>
      </w:r>
      <w:r w:rsidRPr="00AA5FA3">
        <w:fldChar w:fldCharType="end"/>
      </w:r>
      <w:r w:rsidRPr="00AA5FA3">
        <w:t xml:space="preserve">.  That said, the Court notes that the </w:t>
      </w:r>
      <w:r w:rsidRPr="00AA5FA3">
        <w:rPr>
          <w:iCs/>
        </w:rPr>
        <w:t xml:space="preserve">Cagliari Court of Appeal </w:t>
      </w:r>
      <w:r w:rsidRPr="00AA5FA3">
        <w:t>acknowledged that the deprivation of property had been unlawful and, by drawing on the Constitutional Court</w:t>
      </w:r>
      <w:r w:rsidR="00AA5FA3" w:rsidRPr="00AA5FA3">
        <w:t>’</w:t>
      </w:r>
      <w:r w:rsidRPr="00AA5FA3">
        <w:t>s judgment no. 349 of 24</w:t>
      </w:r>
      <w:r w:rsidR="00305A58" w:rsidRPr="00AA5FA3">
        <w:t> </w:t>
      </w:r>
      <w:r w:rsidRPr="00AA5FA3">
        <w:t>October 2007, held that the applicants were entitled to redress in conformity with the criteria established in the Court</w:t>
      </w:r>
      <w:r w:rsidR="00AA5FA3" w:rsidRPr="00AA5FA3">
        <w:t>’</w:t>
      </w:r>
      <w:r w:rsidRPr="00AA5FA3">
        <w:t xml:space="preserve">s case-law (see paragraph </w:t>
      </w:r>
      <w:r w:rsidRPr="00AA5FA3">
        <w:fldChar w:fldCharType="begin"/>
      </w:r>
      <w:r w:rsidRPr="00AA5FA3">
        <w:instrText xml:space="preserve"> REF Cagliari_CA \h </w:instrText>
      </w:r>
      <w:r w:rsidRPr="00AA5FA3">
        <w:fldChar w:fldCharType="separate"/>
      </w:r>
      <w:r w:rsidR="00AA5FA3" w:rsidRPr="00AA5FA3">
        <w:rPr>
          <w:noProof/>
        </w:rPr>
        <w:t>12</w:t>
      </w:r>
      <w:r w:rsidRPr="00AA5FA3">
        <w:fldChar w:fldCharType="end"/>
      </w:r>
      <w:r w:rsidRPr="00AA5FA3">
        <w:t xml:space="preserve"> above). The Court is satisfied that that amounts to an acknowledgement by the domestic courts of the infringement complained of.</w:t>
      </w:r>
    </w:p>
    <w:p w14:paraId="5A686B02" w14:textId="29DCE614" w:rsidR="006E353F" w:rsidRPr="00AA5FA3" w:rsidRDefault="00DF5919" w:rsidP="00AA5FA3">
      <w:pPr>
        <w:pStyle w:val="JuPara"/>
      </w:pPr>
      <w:r>
        <w:fldChar w:fldCharType="begin"/>
      </w:r>
      <w:r>
        <w:instrText xml:space="preserve"> SEQ level</w:instrText>
      </w:r>
      <w:r>
        <w:instrText xml:space="preserve">0 \*arabic \* MERGEFORMAT </w:instrText>
      </w:r>
      <w:r>
        <w:fldChar w:fldCharType="separate"/>
      </w:r>
      <w:r w:rsidR="00AA5FA3" w:rsidRPr="00AA5FA3">
        <w:rPr>
          <w:noProof/>
        </w:rPr>
        <w:t>28</w:t>
      </w:r>
      <w:r>
        <w:rPr>
          <w:noProof/>
        </w:rPr>
        <w:fldChar w:fldCharType="end"/>
      </w:r>
      <w:r w:rsidR="006E353F" w:rsidRPr="00AA5FA3">
        <w:t xml:space="preserve">.  Following that determination, the Court of Appeal awarded a total sum of EUR 181,422.45 to compensate the applicants for the loss of their property, to be increased by an amount reflecting an adjustment for inflation as well as statutory interest from the date that they were deprived of their property (see paragraph </w:t>
      </w:r>
      <w:r w:rsidR="006E353F" w:rsidRPr="00AA5FA3">
        <w:fldChar w:fldCharType="begin"/>
      </w:r>
      <w:r w:rsidR="006E353F" w:rsidRPr="00AA5FA3">
        <w:instrText xml:space="preserve"> REF Cagliari_CA \h </w:instrText>
      </w:r>
      <w:r w:rsidR="006E353F" w:rsidRPr="00AA5FA3">
        <w:fldChar w:fldCharType="separate"/>
      </w:r>
      <w:r w:rsidR="00AA5FA3" w:rsidRPr="00AA5FA3">
        <w:rPr>
          <w:noProof/>
        </w:rPr>
        <w:t>12</w:t>
      </w:r>
      <w:r w:rsidR="006E353F" w:rsidRPr="00AA5FA3">
        <w:fldChar w:fldCharType="end"/>
      </w:r>
      <w:r w:rsidR="006E353F" w:rsidRPr="00AA5FA3">
        <w:t xml:space="preserve"> above).</w:t>
      </w:r>
    </w:p>
    <w:bookmarkStart w:id="4" w:name="quantum"/>
    <w:p w14:paraId="4A0ADEBC" w14:textId="639DE858" w:rsidR="006E353F" w:rsidRPr="00AA5FA3" w:rsidRDefault="006E353F" w:rsidP="00AA5FA3">
      <w:pPr>
        <w:pStyle w:val="JuPara"/>
      </w:pPr>
      <w:r w:rsidRPr="00AA5FA3">
        <w:fldChar w:fldCharType="begin"/>
      </w:r>
      <w:r w:rsidRPr="00AA5FA3">
        <w:instrText xml:space="preserve"> SEQ level0 \*arabic \* MERGEFORMAT </w:instrText>
      </w:r>
      <w:r w:rsidRPr="00AA5FA3">
        <w:fldChar w:fldCharType="separate"/>
      </w:r>
      <w:r w:rsidR="00AA5FA3" w:rsidRPr="00AA5FA3">
        <w:rPr>
          <w:noProof/>
        </w:rPr>
        <w:t>29</w:t>
      </w:r>
      <w:r w:rsidRPr="00AA5FA3">
        <w:fldChar w:fldCharType="end"/>
      </w:r>
      <w:bookmarkEnd w:id="4"/>
      <w:r w:rsidRPr="00AA5FA3">
        <w:t>.  Nevertheless, the applicants in applications nos. 11071/05 and 10212/05 complained about the calculation of the property</w:t>
      </w:r>
      <w:r w:rsidR="00AA5FA3" w:rsidRPr="00AA5FA3">
        <w:t>’</w:t>
      </w:r>
      <w:r w:rsidRPr="00AA5FA3">
        <w:t>s value carried out by the Court of Appeal, which led to a reduction with respect to the amount calculated by the court-appointed expert. The Court first of all notes that the applicants opted not to lodge an appeal before the Court of Cassation on the point, thus depriving the domestic courts of the possibility of addressing the issue. That said, even assuming that the applicants exhausted the domestic remedies available to them, the Court considers that the Court of Appeal did not simply reduce the compensation without offering an explanation but, rather, provided reasoning, which does not appear to be manifestly arbitrary, on why it chose not to rely on the expert</w:t>
      </w:r>
      <w:r w:rsidR="00AA5FA3" w:rsidRPr="00AA5FA3">
        <w:t>’</w:t>
      </w:r>
      <w:r w:rsidRPr="00AA5FA3">
        <w:t xml:space="preserve">s valuation (see, in contrast, and </w:t>
      </w:r>
      <w:r w:rsidRPr="00AA5FA3">
        <w:rPr>
          <w:i/>
          <w:iCs/>
        </w:rPr>
        <w:t>mutatis mutandis</w:t>
      </w:r>
      <w:r w:rsidRPr="00AA5FA3">
        <w:t xml:space="preserve">, </w:t>
      </w:r>
      <w:proofErr w:type="spellStart"/>
      <w:r w:rsidRPr="00AA5FA3">
        <w:rPr>
          <w:i/>
        </w:rPr>
        <w:t>Kutlu</w:t>
      </w:r>
      <w:proofErr w:type="spellEnd"/>
      <w:r w:rsidRPr="00AA5FA3">
        <w:rPr>
          <w:i/>
        </w:rPr>
        <w:t xml:space="preserve"> v. Turkey</w:t>
      </w:r>
      <w:r w:rsidRPr="00AA5FA3">
        <w:t>, no.</w:t>
      </w:r>
      <w:r w:rsidR="00467623" w:rsidRPr="00AA5FA3">
        <w:t> </w:t>
      </w:r>
      <w:r w:rsidRPr="00AA5FA3">
        <w:t>65914/01, §§ 72-74, 4</w:t>
      </w:r>
      <w:r w:rsidR="00305A58" w:rsidRPr="00AA5FA3">
        <w:t xml:space="preserve"> </w:t>
      </w:r>
      <w:r w:rsidRPr="00AA5FA3">
        <w:t>July 2006). In these circumstances, and having regard to the margin of appreciation afforded to national authorities in such matters, the Court accepts that the Cagliari Court of Appeal awarded a sum reflecting the property</w:t>
      </w:r>
      <w:r w:rsidR="00AA5FA3" w:rsidRPr="00AA5FA3">
        <w:t>’</w:t>
      </w:r>
      <w:r w:rsidRPr="00AA5FA3">
        <w:t>s market value.</w:t>
      </w:r>
    </w:p>
    <w:p w14:paraId="66005C77" w14:textId="38F74D4C"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30</w:t>
      </w:r>
      <w:r>
        <w:rPr>
          <w:noProof/>
        </w:rPr>
        <w:fldChar w:fldCharType="end"/>
      </w:r>
      <w:r w:rsidR="006E353F" w:rsidRPr="00AA5FA3">
        <w:t>.  Turning to the adequacy of the compensation in terms of the Court</w:t>
      </w:r>
      <w:r w:rsidR="00AA5FA3" w:rsidRPr="00AA5FA3">
        <w:t>’</w:t>
      </w:r>
      <w:r w:rsidR="006E353F" w:rsidRPr="00AA5FA3">
        <w:t xml:space="preserve">s case-law, the Court points out that, in a similar case to the one under scrutiny, it found that an analogous award to the one issued by the Cagliari Court of Appeal had constituted appropriate and sufficient redress for the breach of Article 1 of Protocol No. 1 suffered by the applicant, who – like the present applicants – had been unlawfully dispossessed of his property, </w:t>
      </w:r>
      <w:r w:rsidR="006E353F" w:rsidRPr="00AA5FA3">
        <w:lastRenderedPageBreak/>
        <w:t xml:space="preserve">and concluded that the applicant could no longer be considered a victim of the violation complained of (see </w:t>
      </w:r>
      <w:r w:rsidR="006E353F" w:rsidRPr="00AA5FA3">
        <w:rPr>
          <w:i/>
        </w:rPr>
        <w:t xml:space="preserve">Armando </w:t>
      </w:r>
      <w:proofErr w:type="spellStart"/>
      <w:r w:rsidR="006E353F" w:rsidRPr="00AA5FA3">
        <w:rPr>
          <w:i/>
        </w:rPr>
        <w:t>Iannelli</w:t>
      </w:r>
      <w:proofErr w:type="spellEnd"/>
      <w:r w:rsidR="006E353F" w:rsidRPr="00AA5FA3">
        <w:rPr>
          <w:i/>
        </w:rPr>
        <w:t xml:space="preserve"> v. Italy</w:t>
      </w:r>
      <w:r w:rsidR="006E353F" w:rsidRPr="00AA5FA3">
        <w:t>, no.</w:t>
      </w:r>
      <w:r w:rsidR="00305A58" w:rsidRPr="00AA5FA3">
        <w:t> </w:t>
      </w:r>
      <w:r w:rsidR="006E353F" w:rsidRPr="00AA5FA3">
        <w:t>24818/03, §§</w:t>
      </w:r>
      <w:r w:rsidR="0012659A" w:rsidRPr="00AA5FA3">
        <w:t> </w:t>
      </w:r>
      <w:r w:rsidR="006E353F" w:rsidRPr="00AA5FA3">
        <w:t>35-37, 12 February 2013). The Court sees no reason to depart from the approach it adopted in that case.</w:t>
      </w:r>
    </w:p>
    <w:p w14:paraId="36E8226A" w14:textId="5383EACE"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31</w:t>
      </w:r>
      <w:r w:rsidRPr="00AA5FA3">
        <w:fldChar w:fldCharType="end"/>
      </w:r>
      <w:r w:rsidRPr="00AA5FA3">
        <w:t>.  The Court also notes that the Cagliari Court of Appeal recognised the further sum of EUR 111,495.58 as compensation for the unavailability of the land during the period of lawful occupation (</w:t>
      </w:r>
      <w:proofErr w:type="spellStart"/>
      <w:r w:rsidRPr="00AA5FA3">
        <w:rPr>
          <w:i/>
        </w:rPr>
        <w:t>indennità</w:t>
      </w:r>
      <w:proofErr w:type="spellEnd"/>
      <w:r w:rsidRPr="00AA5FA3">
        <w:rPr>
          <w:i/>
        </w:rPr>
        <w:t xml:space="preserve"> di </w:t>
      </w:r>
      <w:proofErr w:type="spellStart"/>
      <w:r w:rsidRPr="00AA5FA3">
        <w:rPr>
          <w:i/>
        </w:rPr>
        <w:t>occupazione</w:t>
      </w:r>
      <w:proofErr w:type="spellEnd"/>
      <w:r w:rsidRPr="00AA5FA3">
        <w:t xml:space="preserve">), and that the applicants were entitled to a portion of this amount corresponding to their respective shares in the property (see paragraph </w:t>
      </w:r>
      <w:r w:rsidRPr="00AA5FA3">
        <w:fldChar w:fldCharType="begin"/>
      </w:r>
      <w:r w:rsidRPr="00AA5FA3">
        <w:instrText xml:space="preserve"> REF Cagliari_CA \h </w:instrText>
      </w:r>
      <w:r w:rsidRPr="00AA5FA3">
        <w:fldChar w:fldCharType="separate"/>
      </w:r>
      <w:r w:rsidR="00AA5FA3" w:rsidRPr="00AA5FA3">
        <w:rPr>
          <w:noProof/>
        </w:rPr>
        <w:t>12</w:t>
      </w:r>
      <w:r w:rsidRPr="00AA5FA3">
        <w:fldChar w:fldCharType="end"/>
      </w:r>
      <w:r w:rsidRPr="00AA5FA3">
        <w:t xml:space="preserve"> above). The Court finds that the latter compensation exceeded what the Court would have awarded in respect of “loss of opportunities” according to the criteria established by the Court in </w:t>
      </w:r>
      <w:proofErr w:type="spellStart"/>
      <w:r w:rsidRPr="00AA5FA3">
        <w:rPr>
          <w:i/>
        </w:rPr>
        <w:t>Guiso-Gallisay</w:t>
      </w:r>
      <w:proofErr w:type="spellEnd"/>
      <w:r w:rsidRPr="00AA5FA3">
        <w:t xml:space="preserve"> (just satisfaction) [GC] (cited above, § 107).</w:t>
      </w:r>
    </w:p>
    <w:p w14:paraId="027D068B" w14:textId="4B04C236"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32</w:t>
      </w:r>
      <w:r w:rsidRPr="00AA5FA3">
        <w:fldChar w:fldCharType="end"/>
      </w:r>
      <w:r w:rsidRPr="00AA5FA3">
        <w:t>.  While the foregoing considerations would lead the Court to consider that all of the applicants no longer ought to be considered victims of the violation complained of, it notes all applicants</w:t>
      </w:r>
      <w:r w:rsidR="00AA5FA3" w:rsidRPr="00AA5FA3">
        <w:t>’</w:t>
      </w:r>
      <w:r w:rsidRPr="00AA5FA3">
        <w:t xml:space="preserve"> further argument to the effect that the redress afforded to them was made insufficient on account of the tax levied on the amounts received.</w:t>
      </w:r>
    </w:p>
    <w:p w14:paraId="1170A14B" w14:textId="03F960A5"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33</w:t>
      </w:r>
      <w:r>
        <w:rPr>
          <w:noProof/>
        </w:rPr>
        <w:fldChar w:fldCharType="end"/>
      </w:r>
      <w:r w:rsidR="006E353F" w:rsidRPr="00AA5FA3">
        <w:t xml:space="preserve">.  The Court has already found that the most appropriate approach to examine an analogous complaint, concerning the same tax measure as the one in the present case, would be from the standpoint of a control of the use of property “to secure the payment of taxes” (see </w:t>
      </w:r>
      <w:proofErr w:type="spellStart"/>
      <w:r w:rsidR="006E353F" w:rsidRPr="00AA5FA3">
        <w:rPr>
          <w:i/>
        </w:rPr>
        <w:t>Guiso</w:t>
      </w:r>
      <w:proofErr w:type="spellEnd"/>
      <w:r w:rsidR="006E353F" w:rsidRPr="00AA5FA3">
        <w:rPr>
          <w:i/>
        </w:rPr>
        <w:t xml:space="preserve"> and </w:t>
      </w:r>
      <w:proofErr w:type="spellStart"/>
      <w:r w:rsidR="006E353F" w:rsidRPr="00AA5FA3">
        <w:rPr>
          <w:i/>
        </w:rPr>
        <w:t>Consiglio</w:t>
      </w:r>
      <w:proofErr w:type="spellEnd"/>
      <w:r w:rsidR="006E353F" w:rsidRPr="00AA5FA3">
        <w:rPr>
          <w:iCs/>
        </w:rPr>
        <w:t>, cited above,</w:t>
      </w:r>
      <w:r w:rsidR="006E353F" w:rsidRPr="00AA5FA3">
        <w:rPr>
          <w:i/>
        </w:rPr>
        <w:t xml:space="preserve"> </w:t>
      </w:r>
      <w:r w:rsidR="006E353F" w:rsidRPr="00AA5FA3">
        <w:t>§ 41).</w:t>
      </w:r>
    </w:p>
    <w:p w14:paraId="28E886D4" w14:textId="34DB172A" w:rsidR="006E353F" w:rsidRPr="00AA5FA3" w:rsidRDefault="00DF5919" w:rsidP="00AA5FA3">
      <w:pPr>
        <w:pStyle w:val="JuPara"/>
      </w:pPr>
      <w:r>
        <w:fldChar w:fldCharType="begin"/>
      </w:r>
      <w:r>
        <w:instrText xml:space="preserve"> SEQ </w:instrText>
      </w:r>
      <w:r>
        <w:instrText xml:space="preserve">level0 \*arabic \* MERGEFORMAT </w:instrText>
      </w:r>
      <w:r>
        <w:fldChar w:fldCharType="separate"/>
      </w:r>
      <w:r w:rsidR="00AA5FA3" w:rsidRPr="00AA5FA3">
        <w:rPr>
          <w:noProof/>
        </w:rPr>
        <w:t>34</w:t>
      </w:r>
      <w:r>
        <w:rPr>
          <w:noProof/>
        </w:rPr>
        <w:fldChar w:fldCharType="end"/>
      </w:r>
      <w:r w:rsidR="006E353F" w:rsidRPr="00AA5FA3">
        <w:t xml:space="preserve">.  Bearing in mind the relevant case-law on the matter and the conclusions drawn by the Court in similar cases (see </w:t>
      </w:r>
      <w:proofErr w:type="spellStart"/>
      <w:r w:rsidR="006E353F" w:rsidRPr="00AA5FA3">
        <w:rPr>
          <w:i/>
        </w:rPr>
        <w:t>Guiso</w:t>
      </w:r>
      <w:proofErr w:type="spellEnd"/>
      <w:r w:rsidR="006E353F" w:rsidRPr="00AA5FA3">
        <w:rPr>
          <w:i/>
        </w:rPr>
        <w:t xml:space="preserve"> and </w:t>
      </w:r>
      <w:proofErr w:type="spellStart"/>
      <w:r w:rsidR="006E353F" w:rsidRPr="00AA5FA3">
        <w:rPr>
          <w:i/>
        </w:rPr>
        <w:t>Consiglio</w:t>
      </w:r>
      <w:proofErr w:type="spellEnd"/>
      <w:r w:rsidR="006E353F" w:rsidRPr="00AA5FA3">
        <w:t xml:space="preserve">, cited above, §§ 41-49; </w:t>
      </w:r>
      <w:proofErr w:type="spellStart"/>
      <w:r w:rsidR="006E353F" w:rsidRPr="00AA5FA3">
        <w:rPr>
          <w:i/>
        </w:rPr>
        <w:t>Colazzo</w:t>
      </w:r>
      <w:proofErr w:type="spellEnd"/>
      <w:r w:rsidR="006E353F" w:rsidRPr="00AA5FA3">
        <w:rPr>
          <w:i/>
        </w:rPr>
        <w:t xml:space="preserve"> v. Italy</w:t>
      </w:r>
      <w:r w:rsidR="006E353F" w:rsidRPr="00AA5FA3">
        <w:t xml:space="preserve"> (</w:t>
      </w:r>
      <w:proofErr w:type="spellStart"/>
      <w:r w:rsidR="006E353F" w:rsidRPr="00AA5FA3">
        <w:t>dec.</w:t>
      </w:r>
      <w:proofErr w:type="spellEnd"/>
      <w:r w:rsidR="006E353F" w:rsidRPr="00AA5FA3">
        <w:t>) [Committee], no. 36944/06, §§</w:t>
      </w:r>
      <w:r w:rsidR="0012659A" w:rsidRPr="00AA5FA3">
        <w:t> </w:t>
      </w:r>
      <w:r w:rsidR="006E353F" w:rsidRPr="00AA5FA3">
        <w:t xml:space="preserve">30-34, 14 May 2019; </w:t>
      </w:r>
      <w:proofErr w:type="spellStart"/>
      <w:r w:rsidR="006E353F" w:rsidRPr="00AA5FA3">
        <w:rPr>
          <w:i/>
        </w:rPr>
        <w:t>Guiso-Gallisai</w:t>
      </w:r>
      <w:proofErr w:type="spellEnd"/>
      <w:r w:rsidR="006E353F" w:rsidRPr="00AA5FA3">
        <w:rPr>
          <w:i/>
        </w:rPr>
        <w:t xml:space="preserve"> v. Italy</w:t>
      </w:r>
      <w:r w:rsidR="006E353F" w:rsidRPr="00AA5FA3">
        <w:t xml:space="preserve"> (</w:t>
      </w:r>
      <w:proofErr w:type="spellStart"/>
      <w:r w:rsidR="006E353F" w:rsidRPr="00AA5FA3">
        <w:t>dec.</w:t>
      </w:r>
      <w:proofErr w:type="spellEnd"/>
      <w:r w:rsidR="006E353F" w:rsidRPr="00AA5FA3">
        <w:t>) [Committee], no.</w:t>
      </w:r>
      <w:r w:rsidR="00467623" w:rsidRPr="00AA5FA3">
        <w:t> </w:t>
      </w:r>
      <w:r w:rsidR="006E353F" w:rsidRPr="00AA5FA3">
        <w:t xml:space="preserve">95/06, §§ 35-39, 16 June 2020; and, </w:t>
      </w:r>
      <w:r w:rsidR="006E353F" w:rsidRPr="00AA5FA3">
        <w:rPr>
          <w:i/>
          <w:iCs/>
        </w:rPr>
        <w:t>mutatis mutandis</w:t>
      </w:r>
      <w:r w:rsidR="006E353F" w:rsidRPr="00AA5FA3">
        <w:t xml:space="preserve">, </w:t>
      </w:r>
      <w:proofErr w:type="spellStart"/>
      <w:r w:rsidR="006E353F" w:rsidRPr="00AA5FA3">
        <w:rPr>
          <w:i/>
          <w:iCs/>
        </w:rPr>
        <w:t>Ca</w:t>
      </w:r>
      <w:r w:rsidR="006E353F" w:rsidRPr="00AA5FA3">
        <w:rPr>
          <w:i/>
        </w:rPr>
        <w:t>cciato</w:t>
      </w:r>
      <w:proofErr w:type="spellEnd"/>
      <w:r w:rsidR="006E353F" w:rsidRPr="00AA5FA3">
        <w:rPr>
          <w:i/>
        </w:rPr>
        <w:t xml:space="preserve"> v. Italy</w:t>
      </w:r>
      <w:r w:rsidR="006E353F" w:rsidRPr="00AA5FA3">
        <w:t xml:space="preserve"> (</w:t>
      </w:r>
      <w:proofErr w:type="spellStart"/>
      <w:r w:rsidR="006E353F" w:rsidRPr="00AA5FA3">
        <w:t>dec.</w:t>
      </w:r>
      <w:proofErr w:type="spellEnd"/>
      <w:r w:rsidR="006E353F" w:rsidRPr="00AA5FA3">
        <w:t>), no. 60633/16, §§ 22-29, 16 January 2018), and further taking into account the wide margin of appreciation which States have in taxation matters, the Court considers that the tax levied on the compensation awarded to the applicants did not upset the balance which must be struck between the protection of the applicants</w:t>
      </w:r>
      <w:r w:rsidR="00AA5FA3" w:rsidRPr="00AA5FA3">
        <w:t>’</w:t>
      </w:r>
      <w:r w:rsidR="006E353F" w:rsidRPr="00AA5FA3">
        <w:t xml:space="preserve"> rights and the public interest in securing the payment of taxes.</w:t>
      </w:r>
    </w:p>
    <w:p w14:paraId="7B892F8E" w14:textId="201BA56B" w:rsidR="006E353F" w:rsidRPr="00AA5FA3" w:rsidRDefault="00DF5919" w:rsidP="00AA5FA3">
      <w:pPr>
        <w:pStyle w:val="JuPara"/>
      </w:pPr>
      <w:r>
        <w:fldChar w:fldCharType="begin"/>
      </w:r>
      <w:r>
        <w:instrText xml:space="preserve"> SEQ level0 \*arabic \* MERGEFORMAT </w:instrText>
      </w:r>
      <w:r>
        <w:fldChar w:fldCharType="separate"/>
      </w:r>
      <w:r w:rsidR="00AA5FA3" w:rsidRPr="00AA5FA3">
        <w:rPr>
          <w:noProof/>
        </w:rPr>
        <w:t>35</w:t>
      </w:r>
      <w:r>
        <w:rPr>
          <w:noProof/>
        </w:rPr>
        <w:fldChar w:fldCharType="end"/>
      </w:r>
      <w:r w:rsidR="006E353F" w:rsidRPr="00AA5FA3">
        <w:t>.  Accordingly, this complaint is manifestly ill</w:t>
      </w:r>
      <w:r w:rsidR="006E353F" w:rsidRPr="00AA5FA3">
        <w:noBreakHyphen/>
        <w:t>founded and must be rejected in accordance with Article 35 §§ 3 (a) and 4 of the Convention.</w:t>
      </w:r>
    </w:p>
    <w:p w14:paraId="58F251CC" w14:textId="77777777" w:rsidR="006E353F" w:rsidRPr="00AA5FA3" w:rsidRDefault="006E353F" w:rsidP="00AA5FA3">
      <w:pPr>
        <w:pStyle w:val="JuHA"/>
      </w:pPr>
      <w:r w:rsidRPr="00AA5FA3">
        <w:t>Remaining Complaints</w:t>
      </w:r>
    </w:p>
    <w:p w14:paraId="5B7C3EAD" w14:textId="2EF0CE5F"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36</w:t>
      </w:r>
      <w:r w:rsidRPr="00AA5FA3">
        <w:fldChar w:fldCharType="end"/>
      </w:r>
      <w:r w:rsidRPr="00AA5FA3">
        <w:t>.  Insofar as the applicants in application nos. 11071/05 and 10212/05 complained about the application of Law no. 662 of 1996 and the impact on compensation, the Court notes that the impugned legislation was ultimately not applied in the applicants</w:t>
      </w:r>
      <w:r w:rsidR="00AA5FA3" w:rsidRPr="00AA5FA3">
        <w:t>’</w:t>
      </w:r>
      <w:r w:rsidRPr="00AA5FA3">
        <w:t xml:space="preserve"> case (see paragraph </w:t>
      </w:r>
      <w:r w:rsidRPr="00AA5FA3">
        <w:fldChar w:fldCharType="begin"/>
      </w:r>
      <w:r w:rsidRPr="00AA5FA3">
        <w:instrText xml:space="preserve"> REF Cagliari_CA \h </w:instrText>
      </w:r>
      <w:r w:rsidRPr="00AA5FA3">
        <w:fldChar w:fldCharType="separate"/>
      </w:r>
      <w:r w:rsidR="00AA5FA3" w:rsidRPr="00AA5FA3">
        <w:rPr>
          <w:noProof/>
        </w:rPr>
        <w:t>12</w:t>
      </w:r>
      <w:r w:rsidRPr="00AA5FA3">
        <w:fldChar w:fldCharType="end"/>
      </w:r>
      <w:r w:rsidRPr="00AA5FA3">
        <w:t xml:space="preserve"> above).</w:t>
      </w:r>
    </w:p>
    <w:p w14:paraId="16DC3478" w14:textId="4BFE85A8" w:rsidR="006E353F" w:rsidRPr="00AA5FA3" w:rsidRDefault="00DF5919" w:rsidP="00AA5FA3">
      <w:pPr>
        <w:pStyle w:val="JuPara"/>
      </w:pPr>
      <w:r>
        <w:lastRenderedPageBreak/>
        <w:fldChar w:fldCharType="begin"/>
      </w:r>
      <w:r>
        <w:instrText xml:space="preserve"> SEQ level0 \*arabic \* MERGEFORMAT </w:instrText>
      </w:r>
      <w:r>
        <w:fldChar w:fldCharType="separate"/>
      </w:r>
      <w:r w:rsidR="00AA5FA3" w:rsidRPr="00AA5FA3">
        <w:rPr>
          <w:noProof/>
        </w:rPr>
        <w:t>37</w:t>
      </w:r>
      <w:r>
        <w:rPr>
          <w:noProof/>
        </w:rPr>
        <w:fldChar w:fldCharType="end"/>
      </w:r>
      <w:r w:rsidR="006E353F" w:rsidRPr="00AA5FA3">
        <w:t>.  The Court has examined the other complaints submitted by the applicant in application no. 10511/05 (see paragraph 20 above). Having regard to all the material in its possession and in so far as these complaints fall within the Court</w:t>
      </w:r>
      <w:r w:rsidR="00AA5FA3" w:rsidRPr="00AA5FA3">
        <w:t>’</w:t>
      </w:r>
      <w:r w:rsidR="006E353F" w:rsidRPr="00AA5FA3">
        <w:t>s competence, it finds that they do not disclose any appearance of a violation of the rights and freedoms set out in the Convention or its Protocols.</w:t>
      </w:r>
    </w:p>
    <w:p w14:paraId="18D5A31B" w14:textId="2C67DCB6" w:rsidR="006E353F" w:rsidRPr="00AA5FA3" w:rsidRDefault="006E353F" w:rsidP="00AA5FA3">
      <w:pPr>
        <w:pStyle w:val="JuPara"/>
      </w:pPr>
      <w:r w:rsidRPr="00AA5FA3">
        <w:fldChar w:fldCharType="begin"/>
      </w:r>
      <w:r w:rsidRPr="00AA5FA3">
        <w:instrText xml:space="preserve"> SEQ level0 \*arabic </w:instrText>
      </w:r>
      <w:r w:rsidRPr="00AA5FA3">
        <w:fldChar w:fldCharType="separate"/>
      </w:r>
      <w:r w:rsidR="00AA5FA3" w:rsidRPr="00AA5FA3">
        <w:rPr>
          <w:noProof/>
        </w:rPr>
        <w:t>38</w:t>
      </w:r>
      <w:r w:rsidRPr="00AA5FA3">
        <w:fldChar w:fldCharType="end"/>
      </w:r>
      <w:r w:rsidRPr="00AA5FA3">
        <w:t>.  It follows that these complaints are manifestly ill-founded and must be rejected in accordance with Article 35 §§ 3 (a) and 4 of the Convention.</w:t>
      </w:r>
    </w:p>
    <w:p w14:paraId="56DF0F89" w14:textId="77777777" w:rsidR="006E353F" w:rsidRPr="00AA5FA3" w:rsidRDefault="006E353F" w:rsidP="00AA5FA3">
      <w:pPr>
        <w:pStyle w:val="JuParaLast"/>
      </w:pPr>
      <w:r w:rsidRPr="00AA5FA3">
        <w:t>For these reasons, the Court, unanimously,</w:t>
      </w:r>
    </w:p>
    <w:p w14:paraId="4663D49C" w14:textId="77777777" w:rsidR="006E353F" w:rsidRPr="00AA5FA3" w:rsidRDefault="006E353F" w:rsidP="00AA5FA3">
      <w:pPr>
        <w:pStyle w:val="DecList"/>
      </w:pPr>
      <w:r w:rsidRPr="00AA5FA3">
        <w:rPr>
          <w:i/>
        </w:rPr>
        <w:t xml:space="preserve">Decides </w:t>
      </w:r>
      <w:r w:rsidRPr="00AA5FA3">
        <w:t>to join the applications;</w:t>
      </w:r>
    </w:p>
    <w:p w14:paraId="7EE03657" w14:textId="77777777" w:rsidR="006E353F" w:rsidRPr="00AA5FA3" w:rsidRDefault="006E353F" w:rsidP="00AA5FA3">
      <w:pPr>
        <w:pStyle w:val="DecList"/>
      </w:pPr>
      <w:r w:rsidRPr="00AA5FA3">
        <w:rPr>
          <w:i/>
        </w:rPr>
        <w:t>Declares</w:t>
      </w:r>
      <w:r w:rsidRPr="00AA5FA3">
        <w:t xml:space="preserve"> the applications inadmissible.</w:t>
      </w:r>
    </w:p>
    <w:p w14:paraId="40CE42B9" w14:textId="5AFA12B3" w:rsidR="00BD1692" w:rsidRPr="00AA5FA3" w:rsidRDefault="006267D3" w:rsidP="00AA5FA3">
      <w:pPr>
        <w:pStyle w:val="JuParaLast"/>
        <w:rPr>
          <w:sz w:val="14"/>
        </w:rPr>
      </w:pPr>
      <w:r w:rsidRPr="00AA5FA3">
        <w:t xml:space="preserve">Done in English and notified in writing on </w:t>
      </w:r>
      <w:r w:rsidR="006E353F" w:rsidRPr="00AA5FA3">
        <w:t>16 December 2021</w:t>
      </w:r>
      <w:r w:rsidRPr="00AA5FA3">
        <w:t>.</w:t>
      </w:r>
    </w:p>
    <w:p w14:paraId="0D6925C8" w14:textId="477A5B11" w:rsidR="006E353F" w:rsidRPr="00AA5FA3" w:rsidRDefault="00BD1692" w:rsidP="00AA5FA3">
      <w:pPr>
        <w:pStyle w:val="JuSigned"/>
        <w:keepNext/>
        <w:keepLines/>
        <w:rPr>
          <w:color w:val="F8F8F8" w:themeColor="background2"/>
        </w:rPr>
      </w:pPr>
      <w:r w:rsidRPr="00AA5FA3">
        <w:rPr>
          <w:color w:val="F8F8F8" w:themeColor="background2"/>
        </w:rPr>
        <w:tab/>
        <w:t xml:space="preserve"> {signature_p_2}</w:t>
      </w:r>
    </w:p>
    <w:p w14:paraId="643BA330" w14:textId="487D63C4" w:rsidR="002B6368" w:rsidRPr="00AA5FA3" w:rsidRDefault="007907C0" w:rsidP="00AA5FA3">
      <w:pPr>
        <w:pStyle w:val="JuSigned"/>
        <w:tabs>
          <w:tab w:val="clear" w:pos="851"/>
          <w:tab w:val="clear" w:pos="6407"/>
          <w:tab w:val="center" w:pos="1134"/>
          <w:tab w:val="center" w:pos="5812"/>
        </w:tabs>
      </w:pPr>
      <w:r w:rsidRPr="00AA5FA3">
        <w:tab/>
      </w:r>
      <w:r w:rsidR="006E353F" w:rsidRPr="00AA5FA3">
        <w:rPr>
          <w:rFonts w:eastAsia="PMingLiU"/>
        </w:rPr>
        <w:t xml:space="preserve">Liv </w:t>
      </w:r>
      <w:proofErr w:type="spellStart"/>
      <w:r w:rsidR="006E353F" w:rsidRPr="00AA5FA3">
        <w:rPr>
          <w:rFonts w:eastAsia="PMingLiU"/>
        </w:rPr>
        <w:t>Tigerstedt</w:t>
      </w:r>
      <w:proofErr w:type="spellEnd"/>
      <w:r w:rsidR="001D1233" w:rsidRPr="00AA5FA3">
        <w:tab/>
      </w:r>
      <w:proofErr w:type="spellStart"/>
      <w:r w:rsidR="006E353F" w:rsidRPr="00AA5FA3">
        <w:t>Péter</w:t>
      </w:r>
      <w:proofErr w:type="spellEnd"/>
      <w:r w:rsidR="006E353F" w:rsidRPr="00AA5FA3">
        <w:t xml:space="preserve"> </w:t>
      </w:r>
      <w:proofErr w:type="spellStart"/>
      <w:r w:rsidR="006E353F" w:rsidRPr="00AA5FA3">
        <w:t>Paczolay</w:t>
      </w:r>
      <w:proofErr w:type="spellEnd"/>
      <w:r w:rsidR="001D1233" w:rsidRPr="00AA5FA3">
        <w:br/>
      </w:r>
      <w:r w:rsidR="001D1233" w:rsidRPr="00AA5FA3">
        <w:tab/>
      </w:r>
      <w:r w:rsidR="006E353F" w:rsidRPr="00AA5FA3">
        <w:t>Deputy Registrar</w:t>
      </w:r>
      <w:r w:rsidR="006267D3" w:rsidRPr="00AA5FA3">
        <w:tab/>
        <w:t>President</w:t>
      </w:r>
    </w:p>
    <w:p w14:paraId="3E4815A6" w14:textId="3CA2F28C" w:rsidR="006E353F" w:rsidRPr="00AA5FA3" w:rsidRDefault="006E353F" w:rsidP="00AA5FA3">
      <w:pPr>
        <w:pStyle w:val="JuPara"/>
      </w:pPr>
      <w:r w:rsidRPr="00AA5FA3">
        <w:br w:type="page"/>
      </w:r>
    </w:p>
    <w:p w14:paraId="0529FFE7" w14:textId="32538C55" w:rsidR="006E353F" w:rsidRPr="00AA5FA3" w:rsidRDefault="006E353F" w:rsidP="00AA5FA3">
      <w:pPr>
        <w:pStyle w:val="DecHTitle"/>
      </w:pPr>
      <w:r w:rsidRPr="00AA5FA3">
        <w:lastRenderedPageBreak/>
        <w:t xml:space="preserve">APPENDIX </w:t>
      </w:r>
    </w:p>
    <w:tbl>
      <w:tblPr>
        <w:tblStyle w:val="ECHRListTable"/>
        <w:tblW w:w="9498" w:type="dxa"/>
        <w:tblInd w:w="-885" w:type="dxa"/>
        <w:tblLayout w:type="fixed"/>
        <w:tblLook w:val="0420" w:firstRow="1" w:lastRow="0" w:firstColumn="0" w:lastColumn="0" w:noHBand="0" w:noVBand="1"/>
      </w:tblPr>
      <w:tblGrid>
        <w:gridCol w:w="709"/>
        <w:gridCol w:w="1418"/>
        <w:gridCol w:w="1701"/>
        <w:gridCol w:w="1418"/>
        <w:gridCol w:w="2693"/>
        <w:gridCol w:w="1559"/>
      </w:tblGrid>
      <w:tr w:rsidR="006E353F" w:rsidRPr="00AA5FA3" w14:paraId="637E076B" w14:textId="77777777" w:rsidTr="00195857">
        <w:trPr>
          <w:cnfStyle w:val="100000000000" w:firstRow="1" w:lastRow="0" w:firstColumn="0" w:lastColumn="0" w:oddVBand="0" w:evenVBand="0" w:oddHBand="0" w:evenHBand="0" w:firstRowFirstColumn="0" w:firstRowLastColumn="0" w:lastRowFirstColumn="0" w:lastRowLastColumn="0"/>
        </w:trPr>
        <w:tc>
          <w:tcPr>
            <w:tcW w:w="709" w:type="dxa"/>
          </w:tcPr>
          <w:p w14:paraId="374AF49F" w14:textId="77777777" w:rsidR="006E353F" w:rsidRPr="00AA5FA3" w:rsidRDefault="006E353F" w:rsidP="00AA5FA3">
            <w:bookmarkStart w:id="5" w:name="AppTableStart"/>
            <w:bookmarkStart w:id="6" w:name="_Hlk90301531"/>
            <w:bookmarkEnd w:id="5"/>
            <w:r w:rsidRPr="00AA5FA3">
              <w:t>No.</w:t>
            </w:r>
          </w:p>
        </w:tc>
        <w:tc>
          <w:tcPr>
            <w:tcW w:w="1418" w:type="dxa"/>
          </w:tcPr>
          <w:p w14:paraId="519737F9" w14:textId="77777777" w:rsidR="006E353F" w:rsidRPr="00AA5FA3" w:rsidRDefault="006E353F" w:rsidP="00AA5FA3">
            <w:r w:rsidRPr="00AA5FA3">
              <w:t>Application no.</w:t>
            </w:r>
          </w:p>
        </w:tc>
        <w:tc>
          <w:tcPr>
            <w:tcW w:w="1701" w:type="dxa"/>
          </w:tcPr>
          <w:p w14:paraId="314B3ED9" w14:textId="77777777" w:rsidR="006E353F" w:rsidRPr="00AA5FA3" w:rsidRDefault="006E353F" w:rsidP="00AA5FA3">
            <w:r w:rsidRPr="00AA5FA3">
              <w:t>Case name</w:t>
            </w:r>
          </w:p>
        </w:tc>
        <w:tc>
          <w:tcPr>
            <w:tcW w:w="1418" w:type="dxa"/>
          </w:tcPr>
          <w:p w14:paraId="2EB6DA2F" w14:textId="77777777" w:rsidR="006E353F" w:rsidRPr="00AA5FA3" w:rsidRDefault="006E353F" w:rsidP="00AA5FA3">
            <w:r w:rsidRPr="00AA5FA3">
              <w:t>Lodged on</w:t>
            </w:r>
          </w:p>
        </w:tc>
        <w:tc>
          <w:tcPr>
            <w:tcW w:w="2693" w:type="dxa"/>
          </w:tcPr>
          <w:p w14:paraId="37DCFE43" w14:textId="77777777" w:rsidR="006E353F" w:rsidRPr="00AA5FA3" w:rsidRDefault="006E353F" w:rsidP="00AA5FA3">
            <w:r w:rsidRPr="00AA5FA3">
              <w:t>Applicant</w:t>
            </w:r>
          </w:p>
          <w:p w14:paraId="34132B3B" w14:textId="77777777" w:rsidR="006E353F" w:rsidRPr="00AA5FA3" w:rsidRDefault="006E353F" w:rsidP="00AA5FA3">
            <w:r w:rsidRPr="00AA5FA3">
              <w:t>Date of Birth</w:t>
            </w:r>
          </w:p>
          <w:p w14:paraId="5E6E3692" w14:textId="77777777" w:rsidR="006E353F" w:rsidRPr="00AA5FA3" w:rsidRDefault="006E353F" w:rsidP="00AA5FA3">
            <w:r w:rsidRPr="00AA5FA3">
              <w:t>Place of Residence</w:t>
            </w:r>
          </w:p>
          <w:p w14:paraId="45306B76" w14:textId="77777777" w:rsidR="006E353F" w:rsidRPr="00AA5FA3" w:rsidRDefault="006E353F" w:rsidP="00AA5FA3">
            <w:r w:rsidRPr="00AA5FA3">
              <w:t>Nationality</w:t>
            </w:r>
          </w:p>
        </w:tc>
        <w:tc>
          <w:tcPr>
            <w:tcW w:w="1559" w:type="dxa"/>
          </w:tcPr>
          <w:p w14:paraId="6D976156" w14:textId="77777777" w:rsidR="006E353F" w:rsidRPr="00AA5FA3" w:rsidRDefault="006E353F" w:rsidP="00AA5FA3">
            <w:r w:rsidRPr="00AA5FA3">
              <w:t>Represented by</w:t>
            </w:r>
          </w:p>
        </w:tc>
      </w:tr>
      <w:tr w:rsidR="006E353F" w:rsidRPr="00AA5FA3" w14:paraId="2B5C3356" w14:textId="77777777" w:rsidTr="00195857">
        <w:tc>
          <w:tcPr>
            <w:tcW w:w="709" w:type="dxa"/>
          </w:tcPr>
          <w:p w14:paraId="74EF725A" w14:textId="4DD313F9" w:rsidR="006E353F" w:rsidRPr="00AA5FA3" w:rsidRDefault="00AA5FA3" w:rsidP="00AA5FA3">
            <w:r w:rsidRPr="00AA5FA3">
              <w:fldChar w:fldCharType="begin"/>
            </w:r>
            <w:r w:rsidRPr="00AA5FA3">
              <w:instrText xml:space="preserve"> SEQ level0 \*arabic \r1 </w:instrText>
            </w:r>
            <w:r w:rsidRPr="00AA5FA3">
              <w:fldChar w:fldCharType="separate"/>
            </w:r>
            <w:r w:rsidRPr="00AA5FA3">
              <w:rPr>
                <w:noProof/>
              </w:rPr>
              <w:t>1</w:t>
            </w:r>
            <w:r w:rsidRPr="00AA5FA3">
              <w:fldChar w:fldCharType="end"/>
            </w:r>
            <w:r w:rsidRPr="00AA5FA3">
              <w:t>.  </w:t>
            </w:r>
          </w:p>
        </w:tc>
        <w:tc>
          <w:tcPr>
            <w:tcW w:w="1418" w:type="dxa"/>
          </w:tcPr>
          <w:p w14:paraId="2102E8C6" w14:textId="77777777" w:rsidR="006E353F" w:rsidRPr="00AA5FA3" w:rsidRDefault="006E353F" w:rsidP="00AA5FA3">
            <w:r w:rsidRPr="00AA5FA3">
              <w:t>10212/05</w:t>
            </w:r>
          </w:p>
        </w:tc>
        <w:tc>
          <w:tcPr>
            <w:tcW w:w="1701" w:type="dxa"/>
          </w:tcPr>
          <w:p w14:paraId="07A8B3FF" w14:textId="77777777" w:rsidR="006E353F" w:rsidRPr="00AA5FA3" w:rsidRDefault="006E353F" w:rsidP="00AA5FA3">
            <w:proofErr w:type="spellStart"/>
            <w:r w:rsidRPr="00AA5FA3">
              <w:t>Guiso</w:t>
            </w:r>
            <w:proofErr w:type="spellEnd"/>
            <w:r w:rsidRPr="00AA5FA3">
              <w:t xml:space="preserve"> </w:t>
            </w:r>
            <w:proofErr w:type="spellStart"/>
            <w:r w:rsidRPr="00AA5FA3">
              <w:t>Gallisai</w:t>
            </w:r>
            <w:proofErr w:type="spellEnd"/>
            <w:r w:rsidRPr="00AA5FA3">
              <w:t xml:space="preserve"> v. Italy</w:t>
            </w:r>
          </w:p>
        </w:tc>
        <w:tc>
          <w:tcPr>
            <w:tcW w:w="1418" w:type="dxa"/>
          </w:tcPr>
          <w:p w14:paraId="6E0DFCB9" w14:textId="77777777" w:rsidR="006E353F" w:rsidRPr="00AA5FA3" w:rsidRDefault="006E353F" w:rsidP="00AA5FA3">
            <w:r w:rsidRPr="00AA5FA3">
              <w:t>17/03/2005</w:t>
            </w:r>
          </w:p>
        </w:tc>
        <w:tc>
          <w:tcPr>
            <w:tcW w:w="2693" w:type="dxa"/>
          </w:tcPr>
          <w:p w14:paraId="29A5432A" w14:textId="77777777" w:rsidR="006E353F" w:rsidRPr="00AA5FA3" w:rsidRDefault="006E353F" w:rsidP="00AA5FA3">
            <w:pPr>
              <w:rPr>
                <w:lang w:val="it-IT"/>
              </w:rPr>
            </w:pPr>
            <w:r w:rsidRPr="00AA5FA3">
              <w:rPr>
                <w:b/>
                <w:lang w:val="it-IT"/>
              </w:rPr>
              <w:t>Michela GUISO GALLISAI</w:t>
            </w:r>
          </w:p>
          <w:p w14:paraId="440E62C5" w14:textId="77777777" w:rsidR="006E353F" w:rsidRPr="00AA5FA3" w:rsidRDefault="006E353F" w:rsidP="00AA5FA3">
            <w:pPr>
              <w:rPr>
                <w:lang w:val="it-IT"/>
              </w:rPr>
            </w:pPr>
            <w:r w:rsidRPr="00AA5FA3">
              <w:rPr>
                <w:lang w:val="it-IT"/>
              </w:rPr>
              <w:t>23/11/1949</w:t>
            </w:r>
          </w:p>
          <w:p w14:paraId="76F00877" w14:textId="77777777" w:rsidR="006E353F" w:rsidRPr="00AA5FA3" w:rsidRDefault="006E353F" w:rsidP="00AA5FA3">
            <w:pPr>
              <w:rPr>
                <w:lang w:val="it-IT"/>
              </w:rPr>
            </w:pPr>
            <w:r w:rsidRPr="00AA5FA3">
              <w:rPr>
                <w:lang w:val="it-IT"/>
              </w:rPr>
              <w:t>Rome</w:t>
            </w:r>
          </w:p>
          <w:p w14:paraId="7181A275" w14:textId="77777777" w:rsidR="006E353F" w:rsidRPr="00AA5FA3" w:rsidRDefault="006E353F" w:rsidP="00AA5FA3">
            <w:pPr>
              <w:rPr>
                <w:lang w:val="it-IT"/>
              </w:rPr>
            </w:pPr>
            <w:proofErr w:type="spellStart"/>
            <w:r w:rsidRPr="00AA5FA3">
              <w:rPr>
                <w:lang w:val="it-IT"/>
              </w:rPr>
              <w:t>Italian</w:t>
            </w:r>
            <w:proofErr w:type="spellEnd"/>
          </w:p>
        </w:tc>
        <w:tc>
          <w:tcPr>
            <w:tcW w:w="1559" w:type="dxa"/>
          </w:tcPr>
          <w:p w14:paraId="15424BA2" w14:textId="77777777" w:rsidR="006E353F" w:rsidRPr="00AA5FA3" w:rsidRDefault="006E353F" w:rsidP="00AA5FA3">
            <w:r w:rsidRPr="00AA5FA3">
              <w:t>Massimo TIRONE</w:t>
            </w:r>
          </w:p>
        </w:tc>
      </w:tr>
      <w:tr w:rsidR="006E353F" w:rsidRPr="00AA5FA3" w14:paraId="537FD879" w14:textId="77777777" w:rsidTr="00195857">
        <w:tc>
          <w:tcPr>
            <w:tcW w:w="709" w:type="dxa"/>
          </w:tcPr>
          <w:p w14:paraId="0B2A2789" w14:textId="4F97D909" w:rsidR="006E353F" w:rsidRPr="00AA5FA3" w:rsidRDefault="009A0E9C" w:rsidP="00AA5FA3">
            <w:r>
              <w:rPr>
                <w:noProof/>
              </w:rPr>
              <w:fldChar w:fldCharType="begin"/>
            </w:r>
            <w:r>
              <w:rPr>
                <w:noProof/>
              </w:rPr>
              <w:instrText xml:space="preserve"> SEQ level0 \*arabic \* MERGEFORMAT </w:instrText>
            </w:r>
            <w:r>
              <w:rPr>
                <w:noProof/>
              </w:rPr>
              <w:fldChar w:fldCharType="separate"/>
            </w:r>
            <w:r w:rsidR="00AA5FA3" w:rsidRPr="00AA5FA3">
              <w:rPr>
                <w:noProof/>
              </w:rPr>
              <w:t>2</w:t>
            </w:r>
            <w:r>
              <w:rPr>
                <w:noProof/>
              </w:rPr>
              <w:fldChar w:fldCharType="end"/>
            </w:r>
            <w:r w:rsidR="00AA5FA3" w:rsidRPr="00AA5FA3">
              <w:t>.  </w:t>
            </w:r>
          </w:p>
        </w:tc>
        <w:tc>
          <w:tcPr>
            <w:tcW w:w="1418" w:type="dxa"/>
          </w:tcPr>
          <w:p w14:paraId="6B3B7C92" w14:textId="77777777" w:rsidR="006E353F" w:rsidRPr="00AA5FA3" w:rsidRDefault="006E353F" w:rsidP="00AA5FA3">
            <w:r w:rsidRPr="00AA5FA3">
              <w:t>10511/05</w:t>
            </w:r>
          </w:p>
        </w:tc>
        <w:tc>
          <w:tcPr>
            <w:tcW w:w="1701" w:type="dxa"/>
          </w:tcPr>
          <w:p w14:paraId="6426EA04" w14:textId="77777777" w:rsidR="006E353F" w:rsidRPr="00AA5FA3" w:rsidRDefault="006E353F" w:rsidP="00AA5FA3">
            <w:proofErr w:type="spellStart"/>
            <w:r w:rsidRPr="00AA5FA3">
              <w:t>Guiso-Gallisai</w:t>
            </w:r>
            <w:proofErr w:type="spellEnd"/>
            <w:r w:rsidRPr="00AA5FA3">
              <w:t xml:space="preserve"> v. Italy</w:t>
            </w:r>
          </w:p>
        </w:tc>
        <w:tc>
          <w:tcPr>
            <w:tcW w:w="1418" w:type="dxa"/>
          </w:tcPr>
          <w:p w14:paraId="43EC9AC2" w14:textId="77777777" w:rsidR="006E353F" w:rsidRPr="00AA5FA3" w:rsidRDefault="006E353F" w:rsidP="00AA5FA3">
            <w:r w:rsidRPr="00AA5FA3">
              <w:t>14/03/2005</w:t>
            </w:r>
          </w:p>
        </w:tc>
        <w:tc>
          <w:tcPr>
            <w:tcW w:w="2693" w:type="dxa"/>
          </w:tcPr>
          <w:p w14:paraId="66F9CF41" w14:textId="77777777" w:rsidR="006E353F" w:rsidRPr="00AA5FA3" w:rsidRDefault="006E353F" w:rsidP="00AA5FA3">
            <w:pPr>
              <w:rPr>
                <w:lang w:val="it-IT"/>
              </w:rPr>
            </w:pPr>
            <w:r w:rsidRPr="00AA5FA3">
              <w:rPr>
                <w:b/>
                <w:lang w:val="it-IT"/>
              </w:rPr>
              <w:t>Stefano GUISO-GALLISAI</w:t>
            </w:r>
          </w:p>
          <w:p w14:paraId="1890D518" w14:textId="77777777" w:rsidR="006E353F" w:rsidRPr="00AA5FA3" w:rsidRDefault="006E353F" w:rsidP="00AA5FA3">
            <w:pPr>
              <w:rPr>
                <w:lang w:val="it-IT"/>
              </w:rPr>
            </w:pPr>
            <w:r w:rsidRPr="00AA5FA3">
              <w:rPr>
                <w:lang w:val="it-IT"/>
              </w:rPr>
              <w:t>15/07/1959</w:t>
            </w:r>
          </w:p>
          <w:p w14:paraId="074BC374" w14:textId="77777777" w:rsidR="006E353F" w:rsidRPr="00AA5FA3" w:rsidRDefault="006E353F" w:rsidP="00AA5FA3">
            <w:pPr>
              <w:rPr>
                <w:lang w:val="it-IT"/>
              </w:rPr>
            </w:pPr>
            <w:r w:rsidRPr="00AA5FA3">
              <w:rPr>
                <w:lang w:val="it-IT"/>
              </w:rPr>
              <w:t>Milan</w:t>
            </w:r>
          </w:p>
          <w:p w14:paraId="0095E26E" w14:textId="77777777" w:rsidR="006E353F" w:rsidRPr="00AA5FA3" w:rsidRDefault="006E353F" w:rsidP="00AA5FA3">
            <w:pPr>
              <w:rPr>
                <w:lang w:val="it-IT"/>
              </w:rPr>
            </w:pPr>
            <w:proofErr w:type="spellStart"/>
            <w:r w:rsidRPr="00AA5FA3">
              <w:rPr>
                <w:lang w:val="it-IT"/>
              </w:rPr>
              <w:t>Italian</w:t>
            </w:r>
            <w:proofErr w:type="spellEnd"/>
          </w:p>
          <w:p w14:paraId="111C4CA9" w14:textId="77777777" w:rsidR="006E353F" w:rsidRPr="00AA5FA3" w:rsidRDefault="006E353F" w:rsidP="00AA5FA3">
            <w:pPr>
              <w:rPr>
                <w:lang w:val="it-IT"/>
              </w:rPr>
            </w:pPr>
          </w:p>
          <w:p w14:paraId="05B5B9CE" w14:textId="77777777" w:rsidR="006E353F" w:rsidRPr="00AA5FA3" w:rsidRDefault="006E353F" w:rsidP="00AA5FA3">
            <w:pPr>
              <w:rPr>
                <w:lang w:val="it-IT"/>
              </w:rPr>
            </w:pPr>
            <w:proofErr w:type="spellStart"/>
            <w:r w:rsidRPr="00AA5FA3">
              <w:rPr>
                <w:b/>
                <w:lang w:val="it-IT"/>
              </w:rPr>
              <w:t>Gianfrancesco</w:t>
            </w:r>
            <w:proofErr w:type="spellEnd"/>
            <w:r w:rsidRPr="00AA5FA3">
              <w:rPr>
                <w:b/>
                <w:lang w:val="it-IT"/>
              </w:rPr>
              <w:t xml:space="preserve"> GUISO-GALLISAI</w:t>
            </w:r>
          </w:p>
          <w:p w14:paraId="27A5BA9D" w14:textId="77777777" w:rsidR="006E353F" w:rsidRPr="00AA5FA3" w:rsidRDefault="006E353F" w:rsidP="00AA5FA3">
            <w:pPr>
              <w:rPr>
                <w:lang w:val="it-IT"/>
              </w:rPr>
            </w:pPr>
            <w:r w:rsidRPr="00AA5FA3">
              <w:rPr>
                <w:lang w:val="it-IT"/>
              </w:rPr>
              <w:t>08/07/1948</w:t>
            </w:r>
          </w:p>
          <w:p w14:paraId="1BF4DFA8" w14:textId="77777777" w:rsidR="006E353F" w:rsidRPr="00AA5FA3" w:rsidRDefault="006E353F" w:rsidP="00AA5FA3">
            <w:pPr>
              <w:rPr>
                <w:lang w:val="it-IT"/>
              </w:rPr>
            </w:pPr>
            <w:r w:rsidRPr="00AA5FA3">
              <w:rPr>
                <w:lang w:val="it-IT"/>
              </w:rPr>
              <w:t>Rome</w:t>
            </w:r>
          </w:p>
          <w:p w14:paraId="1C34FE39" w14:textId="77777777" w:rsidR="006E353F" w:rsidRPr="00AA5FA3" w:rsidRDefault="006E353F" w:rsidP="00AA5FA3">
            <w:pPr>
              <w:rPr>
                <w:lang w:val="it-IT"/>
              </w:rPr>
            </w:pPr>
            <w:proofErr w:type="spellStart"/>
            <w:r w:rsidRPr="00AA5FA3">
              <w:rPr>
                <w:lang w:val="it-IT"/>
              </w:rPr>
              <w:t>Italian</w:t>
            </w:r>
            <w:proofErr w:type="spellEnd"/>
          </w:p>
          <w:p w14:paraId="380985CB" w14:textId="77777777" w:rsidR="006E353F" w:rsidRPr="00AA5FA3" w:rsidRDefault="006E353F" w:rsidP="00AA5FA3">
            <w:pPr>
              <w:rPr>
                <w:lang w:val="it-IT"/>
              </w:rPr>
            </w:pPr>
          </w:p>
          <w:p w14:paraId="605E9DF7" w14:textId="77777777" w:rsidR="006E353F" w:rsidRPr="00AA5FA3" w:rsidRDefault="006E353F" w:rsidP="00AA5FA3">
            <w:pPr>
              <w:rPr>
                <w:lang w:val="it-IT"/>
              </w:rPr>
            </w:pPr>
            <w:r w:rsidRPr="00AA5FA3">
              <w:rPr>
                <w:b/>
                <w:lang w:val="it-IT"/>
              </w:rPr>
              <w:t>Antonia GUISO-GALLISAI</w:t>
            </w:r>
          </w:p>
          <w:p w14:paraId="28DEED64" w14:textId="77777777" w:rsidR="006E353F" w:rsidRPr="00AA5FA3" w:rsidRDefault="006E353F" w:rsidP="00AA5FA3">
            <w:pPr>
              <w:rPr>
                <w:lang w:val="it-IT"/>
              </w:rPr>
            </w:pPr>
            <w:r w:rsidRPr="00AA5FA3">
              <w:rPr>
                <w:lang w:val="it-IT"/>
              </w:rPr>
              <w:t>25/11/1952</w:t>
            </w:r>
          </w:p>
          <w:p w14:paraId="0B45D4F2" w14:textId="77777777" w:rsidR="006E353F" w:rsidRPr="00AA5FA3" w:rsidRDefault="006E353F" w:rsidP="00AA5FA3">
            <w:r w:rsidRPr="00AA5FA3">
              <w:t>Rome</w:t>
            </w:r>
          </w:p>
          <w:p w14:paraId="1107038F" w14:textId="77777777" w:rsidR="006E353F" w:rsidRPr="00AA5FA3" w:rsidRDefault="006E353F" w:rsidP="00AA5FA3">
            <w:r w:rsidRPr="00AA5FA3">
              <w:t>Italian</w:t>
            </w:r>
          </w:p>
        </w:tc>
        <w:tc>
          <w:tcPr>
            <w:tcW w:w="1559" w:type="dxa"/>
          </w:tcPr>
          <w:p w14:paraId="55204EE7" w14:textId="77777777" w:rsidR="006E353F" w:rsidRPr="00AA5FA3" w:rsidRDefault="006E353F" w:rsidP="00AA5FA3">
            <w:r w:rsidRPr="00AA5FA3">
              <w:t>Stefano GUISO-GALLISAI</w:t>
            </w:r>
          </w:p>
        </w:tc>
      </w:tr>
      <w:tr w:rsidR="006E353F" w:rsidRPr="00AA5FA3" w14:paraId="251C52E7" w14:textId="77777777" w:rsidTr="00195857">
        <w:tc>
          <w:tcPr>
            <w:tcW w:w="709" w:type="dxa"/>
          </w:tcPr>
          <w:p w14:paraId="6AA06AA7" w14:textId="7C7A1ACC" w:rsidR="006E353F" w:rsidRPr="00AA5FA3" w:rsidRDefault="009A0E9C" w:rsidP="00AA5FA3">
            <w:r>
              <w:rPr>
                <w:noProof/>
              </w:rPr>
              <w:fldChar w:fldCharType="begin"/>
            </w:r>
            <w:r>
              <w:rPr>
                <w:noProof/>
              </w:rPr>
              <w:instrText xml:space="preserve"> SEQ level0 \*arabic \* MERGEFORMAT </w:instrText>
            </w:r>
            <w:r>
              <w:rPr>
                <w:noProof/>
              </w:rPr>
              <w:fldChar w:fldCharType="separate"/>
            </w:r>
            <w:r w:rsidR="00AA5FA3" w:rsidRPr="00AA5FA3">
              <w:rPr>
                <w:noProof/>
              </w:rPr>
              <w:t>3</w:t>
            </w:r>
            <w:r>
              <w:rPr>
                <w:noProof/>
              </w:rPr>
              <w:fldChar w:fldCharType="end"/>
            </w:r>
            <w:r w:rsidR="00AA5FA3" w:rsidRPr="00AA5FA3">
              <w:t>.  </w:t>
            </w:r>
          </w:p>
        </w:tc>
        <w:tc>
          <w:tcPr>
            <w:tcW w:w="1418" w:type="dxa"/>
          </w:tcPr>
          <w:p w14:paraId="27287A90" w14:textId="77777777" w:rsidR="006E353F" w:rsidRPr="00AA5FA3" w:rsidRDefault="006E353F" w:rsidP="00AA5FA3">
            <w:r w:rsidRPr="00AA5FA3">
              <w:t>11071/05</w:t>
            </w:r>
          </w:p>
        </w:tc>
        <w:tc>
          <w:tcPr>
            <w:tcW w:w="1701" w:type="dxa"/>
          </w:tcPr>
          <w:p w14:paraId="56F29D62" w14:textId="77777777" w:rsidR="006E353F" w:rsidRPr="00AA5FA3" w:rsidRDefault="006E353F" w:rsidP="00AA5FA3">
            <w:proofErr w:type="spellStart"/>
            <w:r w:rsidRPr="00AA5FA3">
              <w:t>Guiso</w:t>
            </w:r>
            <w:proofErr w:type="spellEnd"/>
            <w:r w:rsidRPr="00AA5FA3">
              <w:t xml:space="preserve"> and Others v. Italy</w:t>
            </w:r>
          </w:p>
        </w:tc>
        <w:tc>
          <w:tcPr>
            <w:tcW w:w="1418" w:type="dxa"/>
          </w:tcPr>
          <w:p w14:paraId="348CA5D9" w14:textId="77777777" w:rsidR="006E353F" w:rsidRPr="00AA5FA3" w:rsidRDefault="006E353F" w:rsidP="00AA5FA3">
            <w:r w:rsidRPr="00AA5FA3">
              <w:t>10/03/2005</w:t>
            </w:r>
          </w:p>
        </w:tc>
        <w:tc>
          <w:tcPr>
            <w:tcW w:w="2693" w:type="dxa"/>
          </w:tcPr>
          <w:p w14:paraId="12C3493B" w14:textId="77777777" w:rsidR="006E353F" w:rsidRPr="00AA5FA3" w:rsidRDefault="006E353F" w:rsidP="00AA5FA3">
            <w:pPr>
              <w:rPr>
                <w:lang w:val="it-IT"/>
              </w:rPr>
            </w:pPr>
            <w:r w:rsidRPr="00AA5FA3">
              <w:rPr>
                <w:b/>
                <w:lang w:val="it-IT"/>
              </w:rPr>
              <w:t>Paolo GUISO</w:t>
            </w:r>
          </w:p>
          <w:p w14:paraId="68DD1647" w14:textId="77777777" w:rsidR="006E353F" w:rsidRPr="00AA5FA3" w:rsidRDefault="006E353F" w:rsidP="00AA5FA3">
            <w:pPr>
              <w:rPr>
                <w:lang w:val="it-IT"/>
              </w:rPr>
            </w:pPr>
            <w:r w:rsidRPr="00AA5FA3">
              <w:rPr>
                <w:lang w:val="it-IT"/>
              </w:rPr>
              <w:t>22/03/1962</w:t>
            </w:r>
          </w:p>
          <w:p w14:paraId="04AC8454" w14:textId="77777777" w:rsidR="006E353F" w:rsidRPr="00AA5FA3" w:rsidRDefault="006E353F" w:rsidP="00AA5FA3">
            <w:pPr>
              <w:rPr>
                <w:lang w:val="it-IT"/>
              </w:rPr>
            </w:pPr>
            <w:r w:rsidRPr="00AA5FA3">
              <w:rPr>
                <w:lang w:val="it-IT"/>
              </w:rPr>
              <w:t>Nuoro</w:t>
            </w:r>
          </w:p>
          <w:p w14:paraId="695D3885" w14:textId="77777777" w:rsidR="006E353F" w:rsidRPr="00AA5FA3" w:rsidRDefault="006E353F" w:rsidP="00AA5FA3">
            <w:pPr>
              <w:rPr>
                <w:lang w:val="it-IT"/>
              </w:rPr>
            </w:pPr>
            <w:proofErr w:type="spellStart"/>
            <w:r w:rsidRPr="00AA5FA3">
              <w:rPr>
                <w:lang w:val="it-IT"/>
              </w:rPr>
              <w:t>Italian</w:t>
            </w:r>
            <w:proofErr w:type="spellEnd"/>
          </w:p>
          <w:p w14:paraId="384E3463" w14:textId="77777777" w:rsidR="006E353F" w:rsidRPr="00AA5FA3" w:rsidRDefault="006E353F" w:rsidP="00AA5FA3">
            <w:pPr>
              <w:rPr>
                <w:lang w:val="it-IT"/>
              </w:rPr>
            </w:pPr>
          </w:p>
          <w:p w14:paraId="2B3C8D49" w14:textId="77777777" w:rsidR="006E353F" w:rsidRPr="00AA5FA3" w:rsidRDefault="006E353F" w:rsidP="00AA5FA3">
            <w:pPr>
              <w:rPr>
                <w:rFonts w:cstheme="minorHAnsi"/>
                <w:lang w:val="it-IT"/>
              </w:rPr>
            </w:pPr>
            <w:r w:rsidRPr="00AA5FA3">
              <w:rPr>
                <w:rFonts w:cstheme="minorHAnsi"/>
                <w:b/>
                <w:lang w:val="it-IT"/>
              </w:rPr>
              <w:t>Vincenza CONSIGLIO</w:t>
            </w:r>
          </w:p>
          <w:p w14:paraId="4D0502C2" w14:textId="77777777" w:rsidR="006E353F" w:rsidRPr="00AA5FA3" w:rsidRDefault="006E353F" w:rsidP="00AA5FA3">
            <w:pPr>
              <w:rPr>
                <w:rFonts w:cstheme="minorHAnsi"/>
              </w:rPr>
            </w:pPr>
            <w:r w:rsidRPr="00AA5FA3">
              <w:rPr>
                <w:rFonts w:cstheme="minorHAnsi"/>
              </w:rPr>
              <w:t>28/08/1929</w:t>
            </w:r>
          </w:p>
          <w:p w14:paraId="5447B321" w14:textId="77777777" w:rsidR="006E353F" w:rsidRPr="00AA5FA3" w:rsidRDefault="006E353F" w:rsidP="00AA5FA3">
            <w:pPr>
              <w:rPr>
                <w:rFonts w:cstheme="minorHAnsi"/>
              </w:rPr>
            </w:pPr>
            <w:r w:rsidRPr="00AA5FA3">
              <w:rPr>
                <w:rFonts w:cstheme="minorHAnsi"/>
                <w:sz w:val="20"/>
                <w:szCs w:val="18"/>
              </w:rPr>
              <w:t>died on 2 February 2008</w:t>
            </w:r>
          </w:p>
          <w:p w14:paraId="5DAFCCFB" w14:textId="77777777" w:rsidR="006E353F" w:rsidRPr="00AA5FA3" w:rsidRDefault="006E353F" w:rsidP="00AA5FA3"/>
          <w:p w14:paraId="3C57AAC7" w14:textId="77777777" w:rsidR="006E353F" w:rsidRPr="00AA5FA3" w:rsidRDefault="006E353F" w:rsidP="00AA5FA3">
            <w:r w:rsidRPr="00AA5FA3">
              <w:rPr>
                <w:b/>
              </w:rPr>
              <w:t>Alessandro GUISO</w:t>
            </w:r>
          </w:p>
          <w:p w14:paraId="0A3F55DC" w14:textId="77777777" w:rsidR="006E353F" w:rsidRPr="00AA5FA3" w:rsidRDefault="006E353F" w:rsidP="00AA5FA3">
            <w:r w:rsidRPr="00AA5FA3">
              <w:t>01/01/1960</w:t>
            </w:r>
          </w:p>
          <w:p w14:paraId="3ACD89ED" w14:textId="77777777" w:rsidR="006E353F" w:rsidRPr="00AA5FA3" w:rsidRDefault="006E353F" w:rsidP="00AA5FA3">
            <w:proofErr w:type="spellStart"/>
            <w:r w:rsidRPr="00AA5FA3">
              <w:t>Nuoro</w:t>
            </w:r>
            <w:proofErr w:type="spellEnd"/>
          </w:p>
          <w:p w14:paraId="7A311AFE" w14:textId="77777777" w:rsidR="006E353F" w:rsidRPr="00AA5FA3" w:rsidRDefault="006E353F" w:rsidP="00AA5FA3">
            <w:r w:rsidRPr="00AA5FA3">
              <w:t>Italian</w:t>
            </w:r>
          </w:p>
        </w:tc>
        <w:tc>
          <w:tcPr>
            <w:tcW w:w="1559" w:type="dxa"/>
          </w:tcPr>
          <w:p w14:paraId="48E57091" w14:textId="77777777" w:rsidR="006E353F" w:rsidRPr="00AA5FA3" w:rsidRDefault="006E353F" w:rsidP="00AA5FA3">
            <w:r w:rsidRPr="00AA5FA3">
              <w:t>Paolo GUISO</w:t>
            </w:r>
            <w:bookmarkStart w:id="7" w:name="TableEnd"/>
            <w:bookmarkEnd w:id="7"/>
          </w:p>
        </w:tc>
      </w:tr>
      <w:bookmarkEnd w:id="6"/>
    </w:tbl>
    <w:p w14:paraId="4AA534CB" w14:textId="77777777" w:rsidR="006E353F" w:rsidRPr="00AA5FA3" w:rsidRDefault="006E353F" w:rsidP="00AA5FA3"/>
    <w:p w14:paraId="3EE73786" w14:textId="77777777" w:rsidR="00206A52" w:rsidRPr="00AA5FA3" w:rsidRDefault="00DF5919" w:rsidP="00AA5FA3"/>
    <w:sectPr w:rsidR="00206A52" w:rsidRPr="00AA5FA3"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329B" w14:textId="77777777" w:rsidR="00DF5919" w:rsidRPr="006E353F" w:rsidRDefault="00DF5919">
      <w:r w:rsidRPr="006E353F">
        <w:separator/>
      </w:r>
    </w:p>
  </w:endnote>
  <w:endnote w:type="continuationSeparator" w:id="0">
    <w:p w14:paraId="64AF9AB7" w14:textId="77777777" w:rsidR="00DF5919" w:rsidRPr="006E353F" w:rsidRDefault="00DF5919">
      <w:r w:rsidRPr="006E35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8405" w14:textId="59A92EA7" w:rsidR="001818B5" w:rsidRPr="006E353F" w:rsidRDefault="006E353F"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652B" w14:textId="3B3229BF" w:rsidR="001818B5" w:rsidRPr="006E353F" w:rsidRDefault="006E353F"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F8AA" w14:textId="4E63E5F8" w:rsidR="006E353F" w:rsidRPr="00150BFA" w:rsidRDefault="006E353F" w:rsidP="0020718E">
    <w:pPr>
      <w:jc w:val="center"/>
    </w:pPr>
    <w:r w:rsidRPr="006E353F">
      <w:rPr>
        <w:noProof/>
        <w:lang w:val="en-US" w:eastAsia="ja-JP"/>
      </w:rPr>
      <w:drawing>
        <wp:inline distT="0" distB="0" distL="0" distR="0" wp14:anchorId="61CE6B72" wp14:editId="46FCCC2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C97073F" w14:textId="6B30E8E7" w:rsidR="00F05C7B" w:rsidRPr="006E353F" w:rsidRDefault="00DF5919"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0B6E" w14:textId="77777777" w:rsidR="00DF5919" w:rsidRPr="006E353F" w:rsidRDefault="00DF5919">
      <w:r w:rsidRPr="006E353F">
        <w:separator/>
      </w:r>
    </w:p>
  </w:footnote>
  <w:footnote w:type="continuationSeparator" w:id="0">
    <w:p w14:paraId="7C59F550" w14:textId="77777777" w:rsidR="00DF5919" w:rsidRPr="006E353F" w:rsidRDefault="00DF5919">
      <w:r w:rsidRPr="006E353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F453" w14:textId="4CF0E1EA" w:rsidR="00F05C7B" w:rsidRPr="006E353F" w:rsidRDefault="006E353F" w:rsidP="0076040F">
    <w:pPr>
      <w:pStyle w:val="JuHeader"/>
    </w:pPr>
    <w:r>
      <w:t>GUISO</w:t>
    </w:r>
    <w:r w:rsidR="003B525B">
      <w:t xml:space="preserve"> </w:t>
    </w:r>
    <w:r>
      <w:t>GALLISA</w:t>
    </w:r>
    <w:r w:rsidR="00926527">
      <w:t>I</w:t>
    </w:r>
    <w:r>
      <w:t xml:space="preserve"> v. ITALY</w:t>
    </w:r>
    <w:r w:rsidRPr="006E353F">
      <w:rPr>
        <w:noProof/>
      </w:rPr>
      <w:t xml:space="preserve"> AND OTHER APPLICATIONS</w:t>
    </w:r>
    <w:r w:rsidR="006267D3" w:rsidRPr="006E353F">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AA05" w14:textId="39B0FD6C" w:rsidR="00F05C7B" w:rsidRPr="006E353F" w:rsidRDefault="006E353F" w:rsidP="000D61E7">
    <w:pPr>
      <w:pStyle w:val="JuHeader"/>
    </w:pPr>
    <w:r>
      <w:t>GUISO</w:t>
    </w:r>
    <w:r w:rsidR="003B525B">
      <w:t xml:space="preserve"> </w:t>
    </w:r>
    <w:r>
      <w:t>GALLISA</w:t>
    </w:r>
    <w:r w:rsidR="00926527">
      <w:t>I</w:t>
    </w:r>
    <w:r>
      <w:t xml:space="preserve"> v. ITALY</w:t>
    </w:r>
    <w:r w:rsidRPr="006E353F">
      <w:rPr>
        <w:noProof/>
      </w:rPr>
      <w:t xml:space="preserve"> AND OTHER APPLICATIONS</w:t>
    </w:r>
    <w:r w:rsidR="006267D3" w:rsidRPr="006E353F">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F9CC" w14:textId="5B7EE2BA" w:rsidR="006E353F" w:rsidRPr="00A45145" w:rsidRDefault="006E353F" w:rsidP="00A45145">
    <w:pPr>
      <w:jc w:val="center"/>
    </w:pPr>
    <w:r>
      <w:rPr>
        <w:noProof/>
        <w:lang w:val="en-US" w:eastAsia="ja-JP"/>
      </w:rPr>
      <w:drawing>
        <wp:inline distT="0" distB="0" distL="0" distR="0" wp14:anchorId="6D443A78" wp14:editId="6D83F49E">
          <wp:extent cx="2962275" cy="1219200"/>
          <wp:effectExtent l="0" t="0" r="9525" b="0"/>
          <wp:docPr id="22" name="Picture 2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9589ED4" w14:textId="7A4C484E" w:rsidR="00F05C7B" w:rsidRPr="006E353F" w:rsidRDefault="00DF5919"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NBEMMDOC" w:val="0"/>
    <w:docVar w:name="Plural" w:val="4"/>
  </w:docVars>
  <w:rsids>
    <w:rsidRoot w:val="006E353F"/>
    <w:rsid w:val="00095FD8"/>
    <w:rsid w:val="000B1FA9"/>
    <w:rsid w:val="000D61E7"/>
    <w:rsid w:val="000E3A89"/>
    <w:rsid w:val="0012659A"/>
    <w:rsid w:val="00132029"/>
    <w:rsid w:val="001D1233"/>
    <w:rsid w:val="00223591"/>
    <w:rsid w:val="002A7443"/>
    <w:rsid w:val="00305A58"/>
    <w:rsid w:val="003B50D7"/>
    <w:rsid w:val="003B525B"/>
    <w:rsid w:val="003E3C60"/>
    <w:rsid w:val="00452087"/>
    <w:rsid w:val="00464268"/>
    <w:rsid w:val="00467623"/>
    <w:rsid w:val="004821DE"/>
    <w:rsid w:val="004A4C71"/>
    <w:rsid w:val="004B4E73"/>
    <w:rsid w:val="005E56C2"/>
    <w:rsid w:val="005F11CB"/>
    <w:rsid w:val="006262FA"/>
    <w:rsid w:val="006267D3"/>
    <w:rsid w:val="006300E9"/>
    <w:rsid w:val="00653EF4"/>
    <w:rsid w:val="00656B81"/>
    <w:rsid w:val="006D4D63"/>
    <w:rsid w:val="006E123B"/>
    <w:rsid w:val="006E353F"/>
    <w:rsid w:val="007907C0"/>
    <w:rsid w:val="007A74FC"/>
    <w:rsid w:val="007B2364"/>
    <w:rsid w:val="00812D10"/>
    <w:rsid w:val="008D10E4"/>
    <w:rsid w:val="008F0A92"/>
    <w:rsid w:val="008F7189"/>
    <w:rsid w:val="00926527"/>
    <w:rsid w:val="00956B2A"/>
    <w:rsid w:val="0096293E"/>
    <w:rsid w:val="009656DE"/>
    <w:rsid w:val="009A0E9C"/>
    <w:rsid w:val="009B6F49"/>
    <w:rsid w:val="009C21E8"/>
    <w:rsid w:val="009E01FB"/>
    <w:rsid w:val="00A51384"/>
    <w:rsid w:val="00AA5AEE"/>
    <w:rsid w:val="00AA5FA3"/>
    <w:rsid w:val="00AC58E5"/>
    <w:rsid w:val="00B140D3"/>
    <w:rsid w:val="00B56B0A"/>
    <w:rsid w:val="00BD1692"/>
    <w:rsid w:val="00C42C12"/>
    <w:rsid w:val="00D415D6"/>
    <w:rsid w:val="00D83324"/>
    <w:rsid w:val="00DB6354"/>
    <w:rsid w:val="00DF5919"/>
    <w:rsid w:val="00E5464B"/>
    <w:rsid w:val="00EE38CA"/>
    <w:rsid w:val="00F24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9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A74FC"/>
    <w:rPr>
      <w:sz w:val="24"/>
      <w:szCs w:val="24"/>
      <w:lang w:val="en-GB"/>
    </w:rPr>
  </w:style>
  <w:style w:type="paragraph" w:styleId="Titolo1">
    <w:name w:val="heading 1"/>
    <w:basedOn w:val="Normale"/>
    <w:next w:val="Normale"/>
    <w:link w:val="Titolo1Carattere"/>
    <w:uiPriority w:val="98"/>
    <w:semiHidden/>
    <w:rsid w:val="007A74F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A74F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A74F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A74F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A74F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A74F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A74F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A74F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A74F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7A74FC"/>
    <w:pPr>
      <w:tabs>
        <w:tab w:val="center" w:pos="851"/>
        <w:tab w:val="center" w:pos="6407"/>
      </w:tabs>
      <w:spacing w:before="720"/>
    </w:pPr>
  </w:style>
  <w:style w:type="paragraph" w:customStyle="1" w:styleId="JuPara">
    <w:name w:val="Ju_Para"/>
    <w:aliases w:val="_Para,ECHR_Para"/>
    <w:basedOn w:val="NormalJustified"/>
    <w:link w:val="JuParaChar"/>
    <w:uiPriority w:val="4"/>
    <w:qFormat/>
    <w:rsid w:val="007A74FC"/>
    <w:pPr>
      <w:ind w:firstLine="284"/>
    </w:pPr>
  </w:style>
  <w:style w:type="character" w:styleId="Numeropagina">
    <w:name w:val="page number"/>
    <w:uiPriority w:val="98"/>
    <w:semiHidden/>
    <w:rsid w:val="007A74FC"/>
    <w:rPr>
      <w:sz w:val="18"/>
    </w:rPr>
  </w:style>
  <w:style w:type="character" w:styleId="Rimandocommento">
    <w:name w:val="annotation reference"/>
    <w:basedOn w:val="Carpredefinitoparagrafo"/>
    <w:uiPriority w:val="98"/>
    <w:semiHidden/>
    <w:rsid w:val="007A74FC"/>
    <w:rPr>
      <w:sz w:val="16"/>
      <w:szCs w:val="16"/>
    </w:rPr>
  </w:style>
  <w:style w:type="paragraph" w:styleId="Testocommento">
    <w:name w:val="annotation text"/>
    <w:basedOn w:val="Normale"/>
    <w:link w:val="TestocommentoCarattere"/>
    <w:uiPriority w:val="98"/>
    <w:semiHidden/>
    <w:rsid w:val="007A74FC"/>
    <w:rPr>
      <w:sz w:val="20"/>
      <w:szCs w:val="20"/>
    </w:rPr>
  </w:style>
  <w:style w:type="character" w:customStyle="1" w:styleId="TestocommentoCarattere">
    <w:name w:val="Testo commento Carattere"/>
    <w:basedOn w:val="Carpredefinitoparagrafo"/>
    <w:link w:val="Testocommento"/>
    <w:uiPriority w:val="98"/>
    <w:semiHidden/>
    <w:rsid w:val="007A74FC"/>
    <w:rPr>
      <w:sz w:val="20"/>
      <w:szCs w:val="20"/>
      <w:lang w:val="en-GB"/>
    </w:rPr>
  </w:style>
  <w:style w:type="paragraph" w:customStyle="1" w:styleId="DecHTitle">
    <w:name w:val="Dec_H_Title"/>
    <w:aliases w:val="_Title_1"/>
    <w:basedOn w:val="JuPara"/>
    <w:next w:val="JuPara"/>
    <w:uiPriority w:val="38"/>
    <w:qFormat/>
    <w:rsid w:val="007A74F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A74F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A74FC"/>
    <w:pPr>
      <w:keepNext/>
      <w:keepLines/>
      <w:spacing w:before="1320" w:after="280"/>
      <w:contextualSpacing/>
      <w:jc w:val="center"/>
    </w:pPr>
    <w:rPr>
      <w:b/>
    </w:rPr>
  </w:style>
  <w:style w:type="paragraph" w:customStyle="1" w:styleId="JuHeader">
    <w:name w:val="Ju_Header"/>
    <w:aliases w:val="_Header"/>
    <w:basedOn w:val="Intestazione"/>
    <w:uiPriority w:val="29"/>
    <w:qFormat/>
    <w:rsid w:val="007A74FC"/>
    <w:pPr>
      <w:tabs>
        <w:tab w:val="clear" w:pos="4536"/>
        <w:tab w:val="clear" w:pos="9072"/>
      </w:tabs>
      <w:jc w:val="center"/>
    </w:pPr>
    <w:rPr>
      <w:sz w:val="18"/>
    </w:rPr>
  </w:style>
  <w:style w:type="paragraph" w:styleId="Intestazione">
    <w:name w:val="header"/>
    <w:basedOn w:val="Normale"/>
    <w:link w:val="IntestazioneCarattere"/>
    <w:uiPriority w:val="98"/>
    <w:semiHidden/>
    <w:rsid w:val="007A74F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A74FC"/>
    <w:rPr>
      <w:sz w:val="24"/>
      <w:szCs w:val="24"/>
      <w:lang w:val="en-GB"/>
    </w:rPr>
  </w:style>
  <w:style w:type="paragraph" w:styleId="Testofumetto">
    <w:name w:val="Balloon Text"/>
    <w:basedOn w:val="Normale"/>
    <w:link w:val="TestofumettoCarattere"/>
    <w:uiPriority w:val="98"/>
    <w:semiHidden/>
    <w:rsid w:val="007A74F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A74FC"/>
    <w:rPr>
      <w:rFonts w:ascii="Tahoma" w:hAnsi="Tahoma" w:cs="Tahoma"/>
      <w:sz w:val="16"/>
      <w:szCs w:val="16"/>
      <w:lang w:val="en-GB"/>
    </w:rPr>
  </w:style>
  <w:style w:type="paragraph" w:customStyle="1" w:styleId="DummyStyle">
    <w:name w:val="Dummy_Style"/>
    <w:aliases w:val="_Dummy"/>
    <w:basedOn w:val="Normale"/>
    <w:semiHidden/>
    <w:qFormat/>
    <w:rsid w:val="007A74FC"/>
    <w:rPr>
      <w:color w:val="00B050"/>
      <w:sz w:val="22"/>
    </w:rPr>
  </w:style>
  <w:style w:type="paragraph" w:customStyle="1" w:styleId="NormalJustified">
    <w:name w:val="Normal_Justified"/>
    <w:basedOn w:val="Normale"/>
    <w:semiHidden/>
    <w:rsid w:val="007A74FC"/>
    <w:pPr>
      <w:jc w:val="both"/>
    </w:pPr>
  </w:style>
  <w:style w:type="paragraph" w:customStyle="1" w:styleId="JuQuot">
    <w:name w:val="Ju_Quot"/>
    <w:aliases w:val="_Quote"/>
    <w:basedOn w:val="NormalJustified"/>
    <w:uiPriority w:val="20"/>
    <w:qFormat/>
    <w:rsid w:val="007A74F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A74FC"/>
    <w:pPr>
      <w:keepNext/>
      <w:keepLines/>
      <w:tabs>
        <w:tab w:val="right" w:pos="7938"/>
      </w:tabs>
      <w:ind w:firstLine="0"/>
      <w:jc w:val="center"/>
    </w:pPr>
    <w:rPr>
      <w:i/>
    </w:rPr>
  </w:style>
  <w:style w:type="table" w:customStyle="1" w:styleId="ECHRDNTable">
    <w:name w:val="ECHR_DN_Table"/>
    <w:basedOn w:val="Tabellanormale"/>
    <w:uiPriority w:val="99"/>
    <w:rsid w:val="007A74F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7A74FC"/>
    <w:pPr>
      <w:numPr>
        <w:numId w:val="4"/>
      </w:numPr>
    </w:pPr>
  </w:style>
  <w:style w:type="numbering" w:customStyle="1" w:styleId="ECHRA1StyleList">
    <w:name w:val="ECHR_A1_Style_List"/>
    <w:basedOn w:val="Nessunelenco"/>
    <w:uiPriority w:val="99"/>
    <w:rsid w:val="007A74FC"/>
    <w:pPr>
      <w:numPr>
        <w:numId w:val="5"/>
      </w:numPr>
    </w:pPr>
  </w:style>
  <w:style w:type="paragraph" w:customStyle="1" w:styleId="JuHArticle">
    <w:name w:val="Ju_H_Article"/>
    <w:aliases w:val="_Title_Quote"/>
    <w:basedOn w:val="Normale"/>
    <w:next w:val="JuQuot"/>
    <w:uiPriority w:val="19"/>
    <w:qFormat/>
    <w:rsid w:val="007A74F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7A74FC"/>
    <w:pPr>
      <w:numPr>
        <w:numId w:val="6"/>
      </w:numPr>
    </w:pPr>
  </w:style>
  <w:style w:type="table" w:customStyle="1" w:styleId="ECHRHeaderTable">
    <w:name w:val="ECHR_Header_Table"/>
    <w:basedOn w:val="Tabellanormale"/>
    <w:uiPriority w:val="99"/>
    <w:rsid w:val="007A74F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7A74F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7A74FC"/>
    <w:pPr>
      <w:tabs>
        <w:tab w:val="center" w:pos="6407"/>
      </w:tabs>
      <w:spacing w:before="720"/>
      <w:jc w:val="right"/>
    </w:pPr>
  </w:style>
  <w:style w:type="table" w:customStyle="1" w:styleId="ECHRHeaderTableReduced">
    <w:name w:val="ECHR_Header_Table_Reduced"/>
    <w:basedOn w:val="Tabellanormale"/>
    <w:uiPriority w:val="99"/>
    <w:rsid w:val="007A74F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7A74FC"/>
    <w:rPr>
      <w:caps w:val="0"/>
      <w:smallCaps/>
    </w:rPr>
  </w:style>
  <w:style w:type="character" w:customStyle="1" w:styleId="JuITMark">
    <w:name w:val="Ju_ITMark"/>
    <w:aliases w:val="_ITMark"/>
    <w:basedOn w:val="Carpredefinitoparagrafo"/>
    <w:uiPriority w:val="54"/>
    <w:qFormat/>
    <w:rsid w:val="007A74F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7A74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7A74F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A74FC"/>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7A74F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7A74F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7A74F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7A74F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7A74F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7A74F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7A74F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7A74F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7A74F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7A74F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7A74F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7A74F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7A74F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7A74FC"/>
    <w:pPr>
      <w:keepNext/>
      <w:keepLines/>
      <w:spacing w:before="240" w:after="240"/>
      <w:ind w:firstLine="284"/>
    </w:pPr>
  </w:style>
  <w:style w:type="table" w:customStyle="1" w:styleId="ECHRTableBoxHeader">
    <w:name w:val="ECHR_Table_Box_Header"/>
    <w:basedOn w:val="Tabellanormale"/>
    <w:rsid w:val="007A74F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7A74FC"/>
    <w:pPr>
      <w:tabs>
        <w:tab w:val="left" w:pos="567"/>
        <w:tab w:val="left" w:pos="1134"/>
      </w:tabs>
    </w:pPr>
  </w:style>
  <w:style w:type="paragraph" w:customStyle="1" w:styleId="JuList">
    <w:name w:val="Ju_List"/>
    <w:aliases w:val="_List_1"/>
    <w:basedOn w:val="NormalJustified"/>
    <w:uiPriority w:val="23"/>
    <w:qFormat/>
    <w:rsid w:val="007A74FC"/>
    <w:pPr>
      <w:numPr>
        <w:numId w:val="10"/>
      </w:numPr>
      <w:spacing w:before="280" w:after="60"/>
    </w:pPr>
  </w:style>
  <w:style w:type="paragraph" w:customStyle="1" w:styleId="JuLista">
    <w:name w:val="Ju_List_a"/>
    <w:aliases w:val="_List_2"/>
    <w:basedOn w:val="NormalJustified"/>
    <w:uiPriority w:val="23"/>
    <w:rsid w:val="007A74FC"/>
    <w:pPr>
      <w:numPr>
        <w:ilvl w:val="1"/>
        <w:numId w:val="10"/>
      </w:numPr>
    </w:pPr>
  </w:style>
  <w:style w:type="paragraph" w:customStyle="1" w:styleId="JuListi">
    <w:name w:val="Ju_List_i"/>
    <w:aliases w:val="_List_3"/>
    <w:basedOn w:val="NormalJustified"/>
    <w:uiPriority w:val="23"/>
    <w:rsid w:val="007A74FC"/>
    <w:pPr>
      <w:numPr>
        <w:ilvl w:val="2"/>
        <w:numId w:val="10"/>
      </w:numPr>
    </w:pPr>
  </w:style>
  <w:style w:type="table" w:customStyle="1" w:styleId="ECHRTableFax">
    <w:name w:val="ECHR_Table_Fax"/>
    <w:basedOn w:val="Tabellanormale"/>
    <w:uiPriority w:val="99"/>
    <w:rsid w:val="007A74F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7A74F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7A74F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7A74F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A74F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7A74F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A74F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7A74F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A74F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7A74FC"/>
    <w:rPr>
      <w:b/>
      <w:bCs/>
    </w:rPr>
  </w:style>
  <w:style w:type="character" w:styleId="Enfasicorsivo">
    <w:name w:val="Emphasis"/>
    <w:uiPriority w:val="98"/>
    <w:semiHidden/>
    <w:qFormat/>
    <w:rsid w:val="007A74F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7A74FC"/>
  </w:style>
  <w:style w:type="character" w:customStyle="1" w:styleId="NessunaspaziaturaCarattere">
    <w:name w:val="Nessuna spaziatura Carattere"/>
    <w:basedOn w:val="Carpredefinitoparagrafo"/>
    <w:link w:val="Nessunaspaziatura"/>
    <w:uiPriority w:val="98"/>
    <w:semiHidden/>
    <w:rsid w:val="007A74FC"/>
    <w:rPr>
      <w:sz w:val="24"/>
      <w:szCs w:val="24"/>
      <w:lang w:val="en-GB"/>
    </w:rPr>
  </w:style>
  <w:style w:type="paragraph" w:styleId="Paragrafoelenco">
    <w:name w:val="List Paragraph"/>
    <w:basedOn w:val="Normale"/>
    <w:uiPriority w:val="98"/>
    <w:semiHidden/>
    <w:qFormat/>
    <w:rsid w:val="007A74FC"/>
    <w:pPr>
      <w:ind w:left="720"/>
      <w:contextualSpacing/>
    </w:pPr>
  </w:style>
  <w:style w:type="paragraph" w:styleId="Citazione">
    <w:name w:val="Quote"/>
    <w:basedOn w:val="Normale"/>
    <w:next w:val="Normale"/>
    <w:link w:val="CitazioneCarattere"/>
    <w:uiPriority w:val="98"/>
    <w:semiHidden/>
    <w:qFormat/>
    <w:rsid w:val="007A74F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A74FC"/>
    <w:rPr>
      <w:i/>
      <w:iCs/>
      <w:sz w:val="24"/>
      <w:szCs w:val="24"/>
      <w:lang w:val="en-GB" w:bidi="en-US"/>
    </w:rPr>
  </w:style>
  <w:style w:type="paragraph" w:styleId="Citazioneintensa">
    <w:name w:val="Intense Quote"/>
    <w:basedOn w:val="Normale"/>
    <w:next w:val="Normale"/>
    <w:link w:val="CitazioneintensaCarattere"/>
    <w:uiPriority w:val="98"/>
    <w:semiHidden/>
    <w:qFormat/>
    <w:rsid w:val="007A74F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A74FC"/>
    <w:rPr>
      <w:b/>
      <w:bCs/>
      <w:i/>
      <w:iCs/>
      <w:sz w:val="24"/>
      <w:szCs w:val="24"/>
      <w:lang w:val="en-GB" w:bidi="en-US"/>
    </w:rPr>
  </w:style>
  <w:style w:type="character" w:styleId="Enfasidelicata">
    <w:name w:val="Subtle Emphasis"/>
    <w:uiPriority w:val="98"/>
    <w:semiHidden/>
    <w:qFormat/>
    <w:rsid w:val="007A74FC"/>
    <w:rPr>
      <w:i/>
      <w:iCs/>
    </w:rPr>
  </w:style>
  <w:style w:type="character" w:styleId="Enfasiintensa">
    <w:name w:val="Intense Emphasis"/>
    <w:uiPriority w:val="98"/>
    <w:semiHidden/>
    <w:qFormat/>
    <w:rsid w:val="007A74FC"/>
    <w:rPr>
      <w:b/>
      <w:bCs/>
    </w:rPr>
  </w:style>
  <w:style w:type="character" w:styleId="Riferimentodelicato">
    <w:name w:val="Subtle Reference"/>
    <w:uiPriority w:val="98"/>
    <w:semiHidden/>
    <w:qFormat/>
    <w:rsid w:val="007A74FC"/>
    <w:rPr>
      <w:smallCaps/>
    </w:rPr>
  </w:style>
  <w:style w:type="character" w:styleId="Riferimentointenso">
    <w:name w:val="Intense Reference"/>
    <w:uiPriority w:val="98"/>
    <w:semiHidden/>
    <w:qFormat/>
    <w:rsid w:val="007A74FC"/>
    <w:rPr>
      <w:smallCaps/>
      <w:spacing w:val="5"/>
      <w:u w:val="single"/>
    </w:rPr>
  </w:style>
  <w:style w:type="character" w:styleId="Titolodellibro">
    <w:name w:val="Book Title"/>
    <w:uiPriority w:val="98"/>
    <w:semiHidden/>
    <w:qFormat/>
    <w:rsid w:val="007A74FC"/>
    <w:rPr>
      <w:i/>
      <w:iCs/>
      <w:smallCaps/>
      <w:spacing w:val="5"/>
    </w:rPr>
  </w:style>
  <w:style w:type="paragraph" w:styleId="Titolosommario">
    <w:name w:val="TOC Heading"/>
    <w:basedOn w:val="Normale"/>
    <w:next w:val="Normale"/>
    <w:uiPriority w:val="98"/>
    <w:semiHidden/>
    <w:qFormat/>
    <w:rsid w:val="007A74F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7A74FC"/>
    <w:pPr>
      <w:numPr>
        <w:numId w:val="1"/>
      </w:numPr>
    </w:pPr>
  </w:style>
  <w:style w:type="numbering" w:styleId="1ai">
    <w:name w:val="Outline List 1"/>
    <w:basedOn w:val="Nessunelenco"/>
    <w:uiPriority w:val="99"/>
    <w:semiHidden/>
    <w:unhideWhenUsed/>
    <w:rsid w:val="007A74FC"/>
    <w:pPr>
      <w:numPr>
        <w:numId w:val="2"/>
      </w:numPr>
    </w:pPr>
  </w:style>
  <w:style w:type="numbering" w:styleId="ArticoloSezione">
    <w:name w:val="Outline List 3"/>
    <w:basedOn w:val="Nessunelenco"/>
    <w:uiPriority w:val="99"/>
    <w:semiHidden/>
    <w:unhideWhenUsed/>
    <w:rsid w:val="007A74FC"/>
    <w:pPr>
      <w:numPr>
        <w:numId w:val="3"/>
      </w:numPr>
    </w:pPr>
  </w:style>
  <w:style w:type="paragraph" w:styleId="Bibliografia">
    <w:name w:val="Bibliography"/>
    <w:basedOn w:val="Normale"/>
    <w:next w:val="Normale"/>
    <w:uiPriority w:val="98"/>
    <w:semiHidden/>
    <w:rsid w:val="007A74FC"/>
  </w:style>
  <w:style w:type="paragraph" w:styleId="Testodelblocco">
    <w:name w:val="Block Text"/>
    <w:basedOn w:val="Normale"/>
    <w:uiPriority w:val="98"/>
    <w:semiHidden/>
    <w:rsid w:val="007A74F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7A74FC"/>
    <w:pPr>
      <w:spacing w:after="120"/>
    </w:pPr>
  </w:style>
  <w:style w:type="character" w:customStyle="1" w:styleId="CorpotestoCarattere">
    <w:name w:val="Corpo testo Carattere"/>
    <w:basedOn w:val="Carpredefinitoparagrafo"/>
    <w:link w:val="Corpotesto"/>
    <w:uiPriority w:val="98"/>
    <w:semiHidden/>
    <w:rsid w:val="007A74FC"/>
    <w:rPr>
      <w:sz w:val="24"/>
      <w:szCs w:val="24"/>
      <w:lang w:val="en-GB"/>
    </w:rPr>
  </w:style>
  <w:style w:type="paragraph" w:styleId="Corpodeltesto2">
    <w:name w:val="Body Text 2"/>
    <w:basedOn w:val="Normale"/>
    <w:link w:val="Corpodeltesto2Carattere"/>
    <w:uiPriority w:val="98"/>
    <w:semiHidden/>
    <w:rsid w:val="007A74FC"/>
    <w:pPr>
      <w:spacing w:after="120" w:line="480" w:lineRule="auto"/>
    </w:pPr>
  </w:style>
  <w:style w:type="character" w:customStyle="1" w:styleId="Corpodeltesto2Carattere">
    <w:name w:val="Corpo del testo 2 Carattere"/>
    <w:basedOn w:val="Carpredefinitoparagrafo"/>
    <w:link w:val="Corpodeltesto2"/>
    <w:uiPriority w:val="98"/>
    <w:semiHidden/>
    <w:rsid w:val="007A74FC"/>
    <w:rPr>
      <w:sz w:val="24"/>
      <w:szCs w:val="24"/>
      <w:lang w:val="en-GB"/>
    </w:rPr>
  </w:style>
  <w:style w:type="paragraph" w:styleId="Corpodeltesto3">
    <w:name w:val="Body Text 3"/>
    <w:basedOn w:val="Normale"/>
    <w:link w:val="Corpodeltesto3Carattere"/>
    <w:uiPriority w:val="98"/>
    <w:semiHidden/>
    <w:rsid w:val="007A74F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A74FC"/>
    <w:rPr>
      <w:sz w:val="16"/>
      <w:szCs w:val="16"/>
      <w:lang w:val="en-GB"/>
    </w:rPr>
  </w:style>
  <w:style w:type="paragraph" w:styleId="Primorientrocorpodeltesto">
    <w:name w:val="Body Text First Indent"/>
    <w:basedOn w:val="Corpotesto"/>
    <w:link w:val="PrimorientrocorpodeltestoCarattere"/>
    <w:uiPriority w:val="98"/>
    <w:semiHidden/>
    <w:rsid w:val="007A74F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A74FC"/>
    <w:rPr>
      <w:sz w:val="24"/>
      <w:szCs w:val="24"/>
      <w:lang w:val="en-GB"/>
    </w:rPr>
  </w:style>
  <w:style w:type="paragraph" w:styleId="Rientrocorpodeltesto">
    <w:name w:val="Body Text Indent"/>
    <w:basedOn w:val="Normale"/>
    <w:link w:val="RientrocorpodeltestoCarattere"/>
    <w:uiPriority w:val="98"/>
    <w:semiHidden/>
    <w:rsid w:val="007A74F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A74FC"/>
    <w:rPr>
      <w:sz w:val="24"/>
      <w:szCs w:val="24"/>
      <w:lang w:val="en-GB"/>
    </w:rPr>
  </w:style>
  <w:style w:type="paragraph" w:styleId="Primorientrocorpodeltesto2">
    <w:name w:val="Body Text First Indent 2"/>
    <w:basedOn w:val="Rientrocorpodeltesto"/>
    <w:link w:val="Primorientrocorpodeltesto2Carattere"/>
    <w:uiPriority w:val="98"/>
    <w:semiHidden/>
    <w:rsid w:val="007A74F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A74FC"/>
    <w:rPr>
      <w:sz w:val="24"/>
      <w:szCs w:val="24"/>
      <w:lang w:val="en-GB"/>
    </w:rPr>
  </w:style>
  <w:style w:type="paragraph" w:styleId="Rientrocorpodeltesto2">
    <w:name w:val="Body Text Indent 2"/>
    <w:basedOn w:val="Normale"/>
    <w:link w:val="Rientrocorpodeltesto2Carattere"/>
    <w:uiPriority w:val="98"/>
    <w:semiHidden/>
    <w:rsid w:val="007A74F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A74FC"/>
    <w:rPr>
      <w:sz w:val="24"/>
      <w:szCs w:val="24"/>
      <w:lang w:val="en-GB"/>
    </w:rPr>
  </w:style>
  <w:style w:type="paragraph" w:styleId="Rientrocorpodeltesto3">
    <w:name w:val="Body Text Indent 3"/>
    <w:basedOn w:val="Normale"/>
    <w:link w:val="Rientrocorpodeltesto3Carattere"/>
    <w:uiPriority w:val="98"/>
    <w:semiHidden/>
    <w:rsid w:val="007A74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A74FC"/>
    <w:rPr>
      <w:sz w:val="16"/>
      <w:szCs w:val="16"/>
      <w:lang w:val="en-GB"/>
    </w:rPr>
  </w:style>
  <w:style w:type="paragraph" w:styleId="Didascalia">
    <w:name w:val="caption"/>
    <w:basedOn w:val="Normale"/>
    <w:next w:val="Normale"/>
    <w:uiPriority w:val="98"/>
    <w:semiHidden/>
    <w:qFormat/>
    <w:rsid w:val="007A74F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A74FC"/>
    <w:pPr>
      <w:ind w:left="4252"/>
    </w:pPr>
  </w:style>
  <w:style w:type="character" w:customStyle="1" w:styleId="FormuladichiusuraCarattere">
    <w:name w:val="Formula di chiusura Carattere"/>
    <w:basedOn w:val="Carpredefinitoparagrafo"/>
    <w:link w:val="Formuladichiusura"/>
    <w:uiPriority w:val="98"/>
    <w:semiHidden/>
    <w:rsid w:val="007A74FC"/>
    <w:rPr>
      <w:sz w:val="24"/>
      <w:szCs w:val="24"/>
      <w:lang w:val="en-GB"/>
    </w:rPr>
  </w:style>
  <w:style w:type="table" w:styleId="Grigliaacolori">
    <w:name w:val="Colorful Grid"/>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A74F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A74F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A74F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A74F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A74F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A74F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A74F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A74F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A74F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A74F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A74F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A74F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A74F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A74F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A74FC"/>
    <w:rPr>
      <w:b/>
      <w:bCs/>
    </w:rPr>
  </w:style>
  <w:style w:type="character" w:customStyle="1" w:styleId="SoggettocommentoCarattere">
    <w:name w:val="Soggetto commento Carattere"/>
    <w:basedOn w:val="TestocommentoCarattere"/>
    <w:link w:val="Soggettocommento"/>
    <w:uiPriority w:val="98"/>
    <w:semiHidden/>
    <w:rsid w:val="007A74FC"/>
    <w:rPr>
      <w:b/>
      <w:bCs/>
      <w:sz w:val="20"/>
      <w:szCs w:val="20"/>
      <w:lang w:val="en-GB"/>
    </w:rPr>
  </w:style>
  <w:style w:type="table" w:styleId="Elencoscuro">
    <w:name w:val="Dark List"/>
    <w:basedOn w:val="Tabellanormale"/>
    <w:uiPriority w:val="70"/>
    <w:semiHidden/>
    <w:rsid w:val="007A74F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A74F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A74F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A74F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A74F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A74F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A74F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A74FC"/>
  </w:style>
  <w:style w:type="character" w:customStyle="1" w:styleId="DataCarattere">
    <w:name w:val="Data Carattere"/>
    <w:basedOn w:val="Carpredefinitoparagrafo"/>
    <w:link w:val="Data"/>
    <w:uiPriority w:val="98"/>
    <w:semiHidden/>
    <w:rsid w:val="007A74FC"/>
    <w:rPr>
      <w:sz w:val="24"/>
      <w:szCs w:val="24"/>
      <w:lang w:val="en-GB"/>
    </w:rPr>
  </w:style>
  <w:style w:type="paragraph" w:styleId="Mappadocumento">
    <w:name w:val="Document Map"/>
    <w:basedOn w:val="Normale"/>
    <w:link w:val="MappadocumentoCarattere"/>
    <w:uiPriority w:val="98"/>
    <w:semiHidden/>
    <w:rsid w:val="007A74F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A74F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A74FC"/>
  </w:style>
  <w:style w:type="character" w:customStyle="1" w:styleId="FirmadipostaelettronicaCarattere">
    <w:name w:val="Firma di posta elettronica Carattere"/>
    <w:basedOn w:val="Carpredefinitoparagrafo"/>
    <w:link w:val="Firmadipostaelettronica"/>
    <w:uiPriority w:val="98"/>
    <w:semiHidden/>
    <w:rsid w:val="007A74FC"/>
    <w:rPr>
      <w:sz w:val="24"/>
      <w:szCs w:val="24"/>
      <w:lang w:val="en-GB"/>
    </w:rPr>
  </w:style>
  <w:style w:type="character" w:styleId="Rimandonotadichiusura">
    <w:name w:val="endnote reference"/>
    <w:basedOn w:val="Carpredefinitoparagrafo"/>
    <w:uiPriority w:val="98"/>
    <w:semiHidden/>
    <w:rsid w:val="007A74FC"/>
    <w:rPr>
      <w:vertAlign w:val="superscript"/>
    </w:rPr>
  </w:style>
  <w:style w:type="paragraph" w:styleId="Testonotadichiusura">
    <w:name w:val="endnote text"/>
    <w:basedOn w:val="Normale"/>
    <w:link w:val="TestonotadichiusuraCarattere"/>
    <w:uiPriority w:val="98"/>
    <w:semiHidden/>
    <w:rsid w:val="007A74FC"/>
    <w:rPr>
      <w:sz w:val="20"/>
      <w:szCs w:val="20"/>
    </w:rPr>
  </w:style>
  <w:style w:type="character" w:customStyle="1" w:styleId="TestonotadichiusuraCarattere">
    <w:name w:val="Testo nota di chiusura Carattere"/>
    <w:basedOn w:val="Carpredefinitoparagrafo"/>
    <w:link w:val="Testonotadichiusura"/>
    <w:uiPriority w:val="98"/>
    <w:semiHidden/>
    <w:rsid w:val="007A74FC"/>
    <w:rPr>
      <w:sz w:val="20"/>
      <w:szCs w:val="20"/>
      <w:lang w:val="en-GB"/>
    </w:rPr>
  </w:style>
  <w:style w:type="paragraph" w:styleId="Indirizzodestinatario">
    <w:name w:val="envelope address"/>
    <w:basedOn w:val="Normale"/>
    <w:uiPriority w:val="98"/>
    <w:semiHidden/>
    <w:rsid w:val="007A74F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A74F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A74FC"/>
    <w:rPr>
      <w:color w:val="7030A0" w:themeColor="followedHyperlink"/>
      <w:u w:val="single"/>
    </w:rPr>
  </w:style>
  <w:style w:type="character" w:styleId="Rimandonotaapidipagina">
    <w:name w:val="footnote reference"/>
    <w:basedOn w:val="Carpredefinitoparagrafo"/>
    <w:uiPriority w:val="98"/>
    <w:semiHidden/>
    <w:rsid w:val="007A74FC"/>
    <w:rPr>
      <w:vertAlign w:val="superscript"/>
    </w:rPr>
  </w:style>
  <w:style w:type="paragraph" w:styleId="Testonotaapidipagina">
    <w:name w:val="footnote text"/>
    <w:basedOn w:val="Normale"/>
    <w:link w:val="TestonotaapidipaginaCarattere"/>
    <w:uiPriority w:val="98"/>
    <w:semiHidden/>
    <w:rsid w:val="007A74FC"/>
    <w:rPr>
      <w:sz w:val="20"/>
      <w:szCs w:val="20"/>
    </w:rPr>
  </w:style>
  <w:style w:type="character" w:customStyle="1" w:styleId="TestonotaapidipaginaCarattere">
    <w:name w:val="Testo nota a piè di pagina Carattere"/>
    <w:basedOn w:val="Carpredefinitoparagrafo"/>
    <w:link w:val="Testonotaapidipagina"/>
    <w:uiPriority w:val="98"/>
    <w:semiHidden/>
    <w:rsid w:val="007A74FC"/>
    <w:rPr>
      <w:sz w:val="20"/>
      <w:szCs w:val="20"/>
      <w:lang w:val="en-GB"/>
    </w:rPr>
  </w:style>
  <w:style w:type="character" w:styleId="AcronimoHTML">
    <w:name w:val="HTML Acronym"/>
    <w:basedOn w:val="Carpredefinitoparagrafo"/>
    <w:uiPriority w:val="98"/>
    <w:semiHidden/>
    <w:rsid w:val="007A74FC"/>
  </w:style>
  <w:style w:type="paragraph" w:styleId="IndirizzoHTML">
    <w:name w:val="HTML Address"/>
    <w:basedOn w:val="Normale"/>
    <w:link w:val="IndirizzoHTMLCarattere"/>
    <w:uiPriority w:val="98"/>
    <w:semiHidden/>
    <w:rsid w:val="007A74FC"/>
    <w:rPr>
      <w:i/>
      <w:iCs/>
    </w:rPr>
  </w:style>
  <w:style w:type="character" w:customStyle="1" w:styleId="IndirizzoHTMLCarattere">
    <w:name w:val="Indirizzo HTML Carattere"/>
    <w:basedOn w:val="Carpredefinitoparagrafo"/>
    <w:link w:val="IndirizzoHTML"/>
    <w:uiPriority w:val="98"/>
    <w:semiHidden/>
    <w:rsid w:val="007A74FC"/>
    <w:rPr>
      <w:i/>
      <w:iCs/>
      <w:sz w:val="24"/>
      <w:szCs w:val="24"/>
      <w:lang w:val="en-GB"/>
    </w:rPr>
  </w:style>
  <w:style w:type="character" w:styleId="CitazioneHTML">
    <w:name w:val="HTML Cite"/>
    <w:basedOn w:val="Carpredefinitoparagrafo"/>
    <w:uiPriority w:val="98"/>
    <w:semiHidden/>
    <w:rsid w:val="007A74FC"/>
    <w:rPr>
      <w:i/>
      <w:iCs/>
    </w:rPr>
  </w:style>
  <w:style w:type="character" w:styleId="CodiceHTML">
    <w:name w:val="HTML Code"/>
    <w:basedOn w:val="Carpredefinitoparagrafo"/>
    <w:uiPriority w:val="98"/>
    <w:semiHidden/>
    <w:rsid w:val="007A74FC"/>
    <w:rPr>
      <w:rFonts w:ascii="Consolas" w:hAnsi="Consolas" w:cs="Consolas"/>
      <w:sz w:val="20"/>
      <w:szCs w:val="20"/>
    </w:rPr>
  </w:style>
  <w:style w:type="character" w:styleId="DefinizioneHTML">
    <w:name w:val="HTML Definition"/>
    <w:basedOn w:val="Carpredefinitoparagrafo"/>
    <w:uiPriority w:val="98"/>
    <w:semiHidden/>
    <w:rsid w:val="007A74FC"/>
    <w:rPr>
      <w:i/>
      <w:iCs/>
    </w:rPr>
  </w:style>
  <w:style w:type="character" w:styleId="TastieraHTML">
    <w:name w:val="HTML Keyboard"/>
    <w:basedOn w:val="Carpredefinitoparagrafo"/>
    <w:uiPriority w:val="98"/>
    <w:semiHidden/>
    <w:rsid w:val="007A74FC"/>
    <w:rPr>
      <w:rFonts w:ascii="Consolas" w:hAnsi="Consolas" w:cs="Consolas"/>
      <w:sz w:val="20"/>
      <w:szCs w:val="20"/>
    </w:rPr>
  </w:style>
  <w:style w:type="paragraph" w:styleId="PreformattatoHTML">
    <w:name w:val="HTML Preformatted"/>
    <w:basedOn w:val="Normale"/>
    <w:link w:val="PreformattatoHTMLCarattere"/>
    <w:uiPriority w:val="98"/>
    <w:semiHidden/>
    <w:rsid w:val="007A74F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A74FC"/>
    <w:rPr>
      <w:rFonts w:ascii="Consolas" w:hAnsi="Consolas" w:cs="Consolas"/>
      <w:sz w:val="20"/>
      <w:szCs w:val="20"/>
      <w:lang w:val="en-GB"/>
    </w:rPr>
  </w:style>
  <w:style w:type="character" w:styleId="EsempioHTML">
    <w:name w:val="HTML Sample"/>
    <w:basedOn w:val="Carpredefinitoparagrafo"/>
    <w:uiPriority w:val="98"/>
    <w:semiHidden/>
    <w:rsid w:val="007A74FC"/>
    <w:rPr>
      <w:rFonts w:ascii="Consolas" w:hAnsi="Consolas" w:cs="Consolas"/>
      <w:sz w:val="24"/>
      <w:szCs w:val="24"/>
    </w:rPr>
  </w:style>
  <w:style w:type="character" w:styleId="MacchinadascrivereHTML">
    <w:name w:val="HTML Typewriter"/>
    <w:basedOn w:val="Carpredefinitoparagrafo"/>
    <w:uiPriority w:val="98"/>
    <w:semiHidden/>
    <w:rsid w:val="007A74FC"/>
    <w:rPr>
      <w:rFonts w:ascii="Consolas" w:hAnsi="Consolas" w:cs="Consolas"/>
      <w:sz w:val="20"/>
      <w:szCs w:val="20"/>
    </w:rPr>
  </w:style>
  <w:style w:type="character" w:styleId="VariabileHTML">
    <w:name w:val="HTML Variable"/>
    <w:basedOn w:val="Carpredefinitoparagrafo"/>
    <w:uiPriority w:val="98"/>
    <w:semiHidden/>
    <w:rsid w:val="007A74FC"/>
    <w:rPr>
      <w:i/>
      <w:iCs/>
    </w:rPr>
  </w:style>
  <w:style w:type="character" w:styleId="Collegamentoipertestuale">
    <w:name w:val="Hyperlink"/>
    <w:basedOn w:val="Carpredefinitoparagrafo"/>
    <w:uiPriority w:val="98"/>
    <w:rsid w:val="007A74FC"/>
    <w:rPr>
      <w:color w:val="0072BC" w:themeColor="hyperlink"/>
      <w:u w:val="single"/>
    </w:rPr>
  </w:style>
  <w:style w:type="paragraph" w:styleId="Indice1">
    <w:name w:val="index 1"/>
    <w:basedOn w:val="Normale"/>
    <w:next w:val="Normale"/>
    <w:autoRedefine/>
    <w:uiPriority w:val="98"/>
    <w:semiHidden/>
    <w:rsid w:val="007A74FC"/>
    <w:pPr>
      <w:ind w:left="240" w:hanging="240"/>
    </w:pPr>
  </w:style>
  <w:style w:type="paragraph" w:styleId="Indice2">
    <w:name w:val="index 2"/>
    <w:basedOn w:val="Normale"/>
    <w:next w:val="Normale"/>
    <w:autoRedefine/>
    <w:uiPriority w:val="98"/>
    <w:semiHidden/>
    <w:rsid w:val="007A74FC"/>
    <w:pPr>
      <w:ind w:left="480" w:hanging="240"/>
    </w:pPr>
  </w:style>
  <w:style w:type="paragraph" w:styleId="Indice3">
    <w:name w:val="index 3"/>
    <w:basedOn w:val="Normale"/>
    <w:next w:val="Normale"/>
    <w:autoRedefine/>
    <w:uiPriority w:val="98"/>
    <w:semiHidden/>
    <w:rsid w:val="007A74FC"/>
    <w:pPr>
      <w:ind w:left="720" w:hanging="240"/>
    </w:pPr>
  </w:style>
  <w:style w:type="paragraph" w:styleId="Indice4">
    <w:name w:val="index 4"/>
    <w:basedOn w:val="Normale"/>
    <w:next w:val="Normale"/>
    <w:autoRedefine/>
    <w:uiPriority w:val="98"/>
    <w:semiHidden/>
    <w:rsid w:val="007A74FC"/>
    <w:pPr>
      <w:ind w:left="960" w:hanging="240"/>
    </w:pPr>
  </w:style>
  <w:style w:type="paragraph" w:styleId="Indice5">
    <w:name w:val="index 5"/>
    <w:basedOn w:val="Normale"/>
    <w:next w:val="Normale"/>
    <w:autoRedefine/>
    <w:uiPriority w:val="98"/>
    <w:semiHidden/>
    <w:rsid w:val="007A74FC"/>
    <w:pPr>
      <w:ind w:left="1200" w:hanging="240"/>
    </w:pPr>
  </w:style>
  <w:style w:type="paragraph" w:styleId="Indice6">
    <w:name w:val="index 6"/>
    <w:basedOn w:val="Normale"/>
    <w:next w:val="Normale"/>
    <w:autoRedefine/>
    <w:uiPriority w:val="98"/>
    <w:semiHidden/>
    <w:rsid w:val="007A74FC"/>
    <w:pPr>
      <w:ind w:left="1440" w:hanging="240"/>
    </w:pPr>
  </w:style>
  <w:style w:type="paragraph" w:styleId="Indice7">
    <w:name w:val="index 7"/>
    <w:basedOn w:val="Normale"/>
    <w:next w:val="Normale"/>
    <w:autoRedefine/>
    <w:uiPriority w:val="98"/>
    <w:semiHidden/>
    <w:rsid w:val="007A74FC"/>
    <w:pPr>
      <w:ind w:left="1680" w:hanging="240"/>
    </w:pPr>
  </w:style>
  <w:style w:type="paragraph" w:styleId="Indice8">
    <w:name w:val="index 8"/>
    <w:basedOn w:val="Normale"/>
    <w:next w:val="Normale"/>
    <w:autoRedefine/>
    <w:uiPriority w:val="98"/>
    <w:semiHidden/>
    <w:rsid w:val="007A74FC"/>
    <w:pPr>
      <w:ind w:left="1920" w:hanging="240"/>
    </w:pPr>
  </w:style>
  <w:style w:type="paragraph" w:styleId="Indice9">
    <w:name w:val="index 9"/>
    <w:basedOn w:val="Normale"/>
    <w:next w:val="Normale"/>
    <w:autoRedefine/>
    <w:uiPriority w:val="98"/>
    <w:semiHidden/>
    <w:rsid w:val="007A74FC"/>
    <w:pPr>
      <w:ind w:left="2160" w:hanging="240"/>
    </w:pPr>
  </w:style>
  <w:style w:type="paragraph" w:styleId="Titoloindice">
    <w:name w:val="index heading"/>
    <w:basedOn w:val="Normale"/>
    <w:next w:val="Indice1"/>
    <w:uiPriority w:val="98"/>
    <w:semiHidden/>
    <w:rsid w:val="007A74FC"/>
    <w:rPr>
      <w:rFonts w:asciiTheme="majorHAnsi" w:eastAsiaTheme="majorEastAsia" w:hAnsiTheme="majorHAnsi" w:cstheme="majorBidi"/>
      <w:b/>
      <w:bCs/>
    </w:rPr>
  </w:style>
  <w:style w:type="table" w:styleId="Grigliachiara">
    <w:name w:val="Light Grid"/>
    <w:basedOn w:val="Tabellanormale"/>
    <w:uiPriority w:val="62"/>
    <w:semiHidden/>
    <w:rsid w:val="007A74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A74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A74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A74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A74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A74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A74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A74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A74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A74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A74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A74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A74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A74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A74F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A74F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A74F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A74F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A74F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A74F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A74F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A74FC"/>
  </w:style>
  <w:style w:type="paragraph" w:styleId="Elenco">
    <w:name w:val="List"/>
    <w:basedOn w:val="Normale"/>
    <w:uiPriority w:val="98"/>
    <w:semiHidden/>
    <w:rsid w:val="007A74FC"/>
    <w:pPr>
      <w:ind w:left="283" w:hanging="283"/>
      <w:contextualSpacing/>
    </w:pPr>
  </w:style>
  <w:style w:type="paragraph" w:styleId="Elenco2">
    <w:name w:val="List 2"/>
    <w:basedOn w:val="Normale"/>
    <w:uiPriority w:val="98"/>
    <w:semiHidden/>
    <w:rsid w:val="007A74FC"/>
    <w:pPr>
      <w:ind w:left="566" w:hanging="283"/>
      <w:contextualSpacing/>
    </w:pPr>
  </w:style>
  <w:style w:type="paragraph" w:styleId="Elenco3">
    <w:name w:val="List 3"/>
    <w:basedOn w:val="Normale"/>
    <w:uiPriority w:val="98"/>
    <w:semiHidden/>
    <w:rsid w:val="007A74FC"/>
    <w:pPr>
      <w:ind w:left="849" w:hanging="283"/>
      <w:contextualSpacing/>
    </w:pPr>
  </w:style>
  <w:style w:type="paragraph" w:styleId="Elenco4">
    <w:name w:val="List 4"/>
    <w:basedOn w:val="Normale"/>
    <w:uiPriority w:val="98"/>
    <w:semiHidden/>
    <w:rsid w:val="007A74FC"/>
    <w:pPr>
      <w:ind w:left="1132" w:hanging="283"/>
      <w:contextualSpacing/>
    </w:pPr>
  </w:style>
  <w:style w:type="paragraph" w:styleId="Elenco5">
    <w:name w:val="List 5"/>
    <w:basedOn w:val="Normale"/>
    <w:uiPriority w:val="98"/>
    <w:semiHidden/>
    <w:rsid w:val="007A74FC"/>
    <w:pPr>
      <w:ind w:left="1415" w:hanging="283"/>
      <w:contextualSpacing/>
    </w:pPr>
  </w:style>
  <w:style w:type="paragraph" w:styleId="Puntoelenco">
    <w:name w:val="List Bullet"/>
    <w:basedOn w:val="Normale"/>
    <w:uiPriority w:val="98"/>
    <w:semiHidden/>
    <w:rsid w:val="007A74FC"/>
    <w:pPr>
      <w:numPr>
        <w:numId w:val="11"/>
      </w:numPr>
    </w:pPr>
  </w:style>
  <w:style w:type="paragraph" w:styleId="Puntoelenco2">
    <w:name w:val="List Bullet 2"/>
    <w:basedOn w:val="Normale"/>
    <w:uiPriority w:val="98"/>
    <w:semiHidden/>
    <w:rsid w:val="007A74FC"/>
    <w:pPr>
      <w:numPr>
        <w:numId w:val="12"/>
      </w:numPr>
      <w:contextualSpacing/>
    </w:pPr>
  </w:style>
  <w:style w:type="paragraph" w:styleId="Puntoelenco3">
    <w:name w:val="List Bullet 3"/>
    <w:basedOn w:val="Normale"/>
    <w:uiPriority w:val="98"/>
    <w:semiHidden/>
    <w:rsid w:val="007A74FC"/>
    <w:pPr>
      <w:numPr>
        <w:numId w:val="13"/>
      </w:numPr>
      <w:contextualSpacing/>
    </w:pPr>
  </w:style>
  <w:style w:type="paragraph" w:styleId="Puntoelenco4">
    <w:name w:val="List Bullet 4"/>
    <w:basedOn w:val="Normale"/>
    <w:uiPriority w:val="98"/>
    <w:semiHidden/>
    <w:rsid w:val="007A74FC"/>
    <w:pPr>
      <w:numPr>
        <w:numId w:val="14"/>
      </w:numPr>
      <w:contextualSpacing/>
    </w:pPr>
  </w:style>
  <w:style w:type="paragraph" w:styleId="Puntoelenco5">
    <w:name w:val="List Bullet 5"/>
    <w:basedOn w:val="Normale"/>
    <w:uiPriority w:val="98"/>
    <w:semiHidden/>
    <w:rsid w:val="007A74FC"/>
    <w:pPr>
      <w:numPr>
        <w:numId w:val="15"/>
      </w:numPr>
      <w:contextualSpacing/>
    </w:pPr>
  </w:style>
  <w:style w:type="paragraph" w:styleId="Elencocontinua">
    <w:name w:val="List Continue"/>
    <w:basedOn w:val="Normale"/>
    <w:uiPriority w:val="98"/>
    <w:semiHidden/>
    <w:rsid w:val="007A74FC"/>
    <w:pPr>
      <w:spacing w:after="120"/>
      <w:ind w:left="283"/>
      <w:contextualSpacing/>
    </w:pPr>
  </w:style>
  <w:style w:type="paragraph" w:styleId="Elencocontinua2">
    <w:name w:val="List Continue 2"/>
    <w:basedOn w:val="Normale"/>
    <w:uiPriority w:val="98"/>
    <w:semiHidden/>
    <w:rsid w:val="007A74FC"/>
    <w:pPr>
      <w:spacing w:after="120"/>
      <w:ind w:left="566"/>
      <w:contextualSpacing/>
    </w:pPr>
  </w:style>
  <w:style w:type="paragraph" w:styleId="Elencocontinua3">
    <w:name w:val="List Continue 3"/>
    <w:basedOn w:val="Normale"/>
    <w:uiPriority w:val="98"/>
    <w:semiHidden/>
    <w:rsid w:val="007A74FC"/>
    <w:pPr>
      <w:spacing w:after="120"/>
      <w:ind w:left="849"/>
      <w:contextualSpacing/>
    </w:pPr>
  </w:style>
  <w:style w:type="paragraph" w:styleId="Elencocontinua4">
    <w:name w:val="List Continue 4"/>
    <w:basedOn w:val="Normale"/>
    <w:uiPriority w:val="98"/>
    <w:semiHidden/>
    <w:rsid w:val="007A74FC"/>
    <w:pPr>
      <w:spacing w:after="120"/>
      <w:ind w:left="1132"/>
      <w:contextualSpacing/>
    </w:pPr>
  </w:style>
  <w:style w:type="paragraph" w:styleId="Elencocontinua5">
    <w:name w:val="List Continue 5"/>
    <w:basedOn w:val="Normale"/>
    <w:uiPriority w:val="98"/>
    <w:semiHidden/>
    <w:rsid w:val="007A74FC"/>
    <w:pPr>
      <w:spacing w:after="120"/>
      <w:ind w:left="1415"/>
      <w:contextualSpacing/>
    </w:pPr>
  </w:style>
  <w:style w:type="paragraph" w:styleId="Numeroelenco">
    <w:name w:val="List Number"/>
    <w:basedOn w:val="Normale"/>
    <w:uiPriority w:val="98"/>
    <w:semiHidden/>
    <w:rsid w:val="007A74FC"/>
    <w:pPr>
      <w:numPr>
        <w:numId w:val="16"/>
      </w:numPr>
      <w:contextualSpacing/>
    </w:pPr>
  </w:style>
  <w:style w:type="paragraph" w:styleId="Numeroelenco2">
    <w:name w:val="List Number 2"/>
    <w:basedOn w:val="Normale"/>
    <w:uiPriority w:val="98"/>
    <w:semiHidden/>
    <w:rsid w:val="007A74FC"/>
    <w:pPr>
      <w:numPr>
        <w:numId w:val="17"/>
      </w:numPr>
      <w:contextualSpacing/>
    </w:pPr>
  </w:style>
  <w:style w:type="paragraph" w:styleId="Numeroelenco3">
    <w:name w:val="List Number 3"/>
    <w:basedOn w:val="Normale"/>
    <w:uiPriority w:val="98"/>
    <w:semiHidden/>
    <w:rsid w:val="007A74FC"/>
    <w:pPr>
      <w:numPr>
        <w:numId w:val="18"/>
      </w:numPr>
      <w:contextualSpacing/>
    </w:pPr>
  </w:style>
  <w:style w:type="paragraph" w:styleId="Numeroelenco4">
    <w:name w:val="List Number 4"/>
    <w:basedOn w:val="Normale"/>
    <w:uiPriority w:val="98"/>
    <w:semiHidden/>
    <w:rsid w:val="007A74FC"/>
    <w:pPr>
      <w:numPr>
        <w:numId w:val="19"/>
      </w:numPr>
      <w:contextualSpacing/>
    </w:pPr>
  </w:style>
  <w:style w:type="paragraph" w:styleId="Numeroelenco5">
    <w:name w:val="List Number 5"/>
    <w:basedOn w:val="Normale"/>
    <w:uiPriority w:val="98"/>
    <w:semiHidden/>
    <w:rsid w:val="007A74FC"/>
    <w:pPr>
      <w:numPr>
        <w:numId w:val="20"/>
      </w:numPr>
      <w:contextualSpacing/>
    </w:pPr>
  </w:style>
  <w:style w:type="paragraph" w:styleId="Testomacro">
    <w:name w:val="macro"/>
    <w:link w:val="TestomacroCarattere"/>
    <w:uiPriority w:val="98"/>
    <w:semiHidden/>
    <w:rsid w:val="007A74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A74FC"/>
    <w:rPr>
      <w:rFonts w:ascii="Consolas" w:eastAsiaTheme="minorEastAsia" w:hAnsi="Consolas" w:cs="Consolas"/>
      <w:sz w:val="20"/>
      <w:szCs w:val="20"/>
    </w:rPr>
  </w:style>
  <w:style w:type="table" w:styleId="Grigliamedia1">
    <w:name w:val="Medium Grid 1"/>
    <w:basedOn w:val="Tabellanormale"/>
    <w:uiPriority w:val="67"/>
    <w:semiHidden/>
    <w:rsid w:val="007A74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A74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A74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A74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A74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A74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A74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A74F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A74F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A74F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A74F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A74F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A74F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A74F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A74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A74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A74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A74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A74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A74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A74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A74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A74F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A74FC"/>
    <w:rPr>
      <w:rFonts w:ascii="Times New Roman" w:hAnsi="Times New Roman" w:cs="Times New Roman"/>
    </w:rPr>
  </w:style>
  <w:style w:type="paragraph" w:styleId="Rientronormale">
    <w:name w:val="Normal Indent"/>
    <w:basedOn w:val="Normale"/>
    <w:uiPriority w:val="98"/>
    <w:semiHidden/>
    <w:rsid w:val="007A74FC"/>
    <w:pPr>
      <w:ind w:left="720"/>
    </w:pPr>
  </w:style>
  <w:style w:type="table" w:customStyle="1" w:styleId="ECHRTableNoLines">
    <w:name w:val="ECHR_Table_No_Lines"/>
    <w:basedOn w:val="Tabellanormale"/>
    <w:uiPriority w:val="99"/>
    <w:rsid w:val="007A74F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7A74F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7A74F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A74F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A74F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A74FC"/>
  </w:style>
  <w:style w:type="character" w:customStyle="1" w:styleId="FormuladiaperturaCarattere">
    <w:name w:val="Formula di apertura Carattere"/>
    <w:basedOn w:val="Carpredefinitoparagrafo"/>
    <w:link w:val="Formuladiapertura"/>
    <w:uiPriority w:val="98"/>
    <w:semiHidden/>
    <w:rsid w:val="007A74FC"/>
    <w:rPr>
      <w:sz w:val="24"/>
      <w:szCs w:val="24"/>
      <w:lang w:val="en-GB"/>
    </w:rPr>
  </w:style>
  <w:style w:type="paragraph" w:styleId="Firma">
    <w:name w:val="Signature"/>
    <w:basedOn w:val="Normale"/>
    <w:link w:val="FirmaCarattere"/>
    <w:uiPriority w:val="98"/>
    <w:semiHidden/>
    <w:rsid w:val="007A74FC"/>
    <w:pPr>
      <w:ind w:left="4252"/>
    </w:pPr>
  </w:style>
  <w:style w:type="character" w:customStyle="1" w:styleId="FirmaCarattere">
    <w:name w:val="Firma Carattere"/>
    <w:basedOn w:val="Carpredefinitoparagrafo"/>
    <w:link w:val="Firma"/>
    <w:uiPriority w:val="98"/>
    <w:semiHidden/>
    <w:rsid w:val="007A74FC"/>
    <w:rPr>
      <w:sz w:val="24"/>
      <w:szCs w:val="24"/>
      <w:lang w:val="en-GB"/>
    </w:rPr>
  </w:style>
  <w:style w:type="table" w:styleId="Tabellaeffetti3D1">
    <w:name w:val="Table 3D effects 1"/>
    <w:basedOn w:val="Tabellanormale"/>
    <w:uiPriority w:val="99"/>
    <w:semiHidden/>
    <w:unhideWhenUsed/>
    <w:rsid w:val="007A74F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A74F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A74F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A74F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A74F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A74F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A74F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A74F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A74F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A74F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A74F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A74F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A74F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A74F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A74F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A74F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A74F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7A74F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A74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A74F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A74F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A74F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A74F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A74F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A74F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A74F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A74F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A74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A74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A74F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A74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A74FC"/>
    <w:pPr>
      <w:ind w:left="240" w:hanging="240"/>
    </w:pPr>
  </w:style>
  <w:style w:type="paragraph" w:styleId="Indicedellefigure">
    <w:name w:val="table of figures"/>
    <w:basedOn w:val="Normale"/>
    <w:next w:val="Normale"/>
    <w:uiPriority w:val="98"/>
    <w:semiHidden/>
    <w:rsid w:val="007A74FC"/>
  </w:style>
  <w:style w:type="table" w:styleId="Tabellaprofessionale">
    <w:name w:val="Table Professional"/>
    <w:basedOn w:val="Tabellanormale"/>
    <w:uiPriority w:val="99"/>
    <w:semiHidden/>
    <w:unhideWhenUsed/>
    <w:rsid w:val="007A74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A74F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A74F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A74F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A74F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A74F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A74F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A74F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A74F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7A74F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7A74F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A74F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A74F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A74F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A74F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7A74F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A74F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A74FC"/>
    <w:pPr>
      <w:spacing w:after="100"/>
      <w:ind w:left="1680"/>
    </w:pPr>
  </w:style>
  <w:style w:type="paragraph" w:styleId="Sommario9">
    <w:name w:val="toc 9"/>
    <w:basedOn w:val="Normale"/>
    <w:next w:val="Normale"/>
    <w:autoRedefine/>
    <w:uiPriority w:val="98"/>
    <w:semiHidden/>
    <w:rsid w:val="007A74F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7A74F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A74FC"/>
    <w:rPr>
      <w:sz w:val="24"/>
      <w:szCs w:val="24"/>
      <w:lang w:val="en-GB"/>
    </w:rPr>
  </w:style>
  <w:style w:type="paragraph" w:customStyle="1" w:styleId="ECHRFooterLine">
    <w:name w:val="ECHR_Footer_Line"/>
    <w:aliases w:val="_Footer_Line"/>
    <w:basedOn w:val="Normale"/>
    <w:next w:val="Normale"/>
    <w:uiPriority w:val="30"/>
    <w:semiHidden/>
    <w:rsid w:val="007A74F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7A74F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7A74FC"/>
    <w:pPr>
      <w:ind w:firstLine="284"/>
    </w:pPr>
    <w:rPr>
      <w:b/>
    </w:rPr>
  </w:style>
  <w:style w:type="paragraph" w:styleId="Intestazionenota">
    <w:name w:val="Note Heading"/>
    <w:basedOn w:val="Normale"/>
    <w:next w:val="Normale"/>
    <w:link w:val="IntestazionenotaCarattere"/>
    <w:uiPriority w:val="98"/>
    <w:semiHidden/>
    <w:rsid w:val="007A74FC"/>
  </w:style>
  <w:style w:type="character" w:customStyle="1" w:styleId="IntestazionenotaCarattere">
    <w:name w:val="Intestazione nota Carattere"/>
    <w:basedOn w:val="Carpredefinitoparagrafo"/>
    <w:link w:val="Intestazionenota"/>
    <w:uiPriority w:val="98"/>
    <w:semiHidden/>
    <w:rsid w:val="007A74FC"/>
    <w:rPr>
      <w:sz w:val="24"/>
      <w:szCs w:val="24"/>
      <w:lang w:val="en-GB"/>
    </w:rPr>
  </w:style>
  <w:style w:type="paragraph" w:customStyle="1" w:styleId="ECHRHeaderLandscape">
    <w:name w:val="ECHR_Header_Landscape"/>
    <w:aliases w:val="_Header_Landscape"/>
    <w:basedOn w:val="JuHeader"/>
    <w:uiPriority w:val="29"/>
    <w:semiHidden/>
    <w:rsid w:val="007A74F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A74FC"/>
    <w:pPr>
      <w:numPr>
        <w:numId w:val="7"/>
      </w:numPr>
      <w:spacing w:before="60" w:after="60"/>
    </w:pPr>
  </w:style>
  <w:style w:type="paragraph" w:customStyle="1" w:styleId="ECHRBullet2">
    <w:name w:val="ECHR_Bullet_2"/>
    <w:aliases w:val="_Bul_2"/>
    <w:basedOn w:val="ECHRBullet1"/>
    <w:uiPriority w:val="23"/>
    <w:semiHidden/>
    <w:rsid w:val="007A74FC"/>
    <w:pPr>
      <w:numPr>
        <w:ilvl w:val="1"/>
      </w:numPr>
    </w:pPr>
  </w:style>
  <w:style w:type="paragraph" w:customStyle="1" w:styleId="ECHRBullet3">
    <w:name w:val="ECHR_Bullet_3"/>
    <w:aliases w:val="_Bul_3"/>
    <w:basedOn w:val="ECHRBullet2"/>
    <w:uiPriority w:val="23"/>
    <w:semiHidden/>
    <w:rsid w:val="007A74FC"/>
    <w:pPr>
      <w:numPr>
        <w:ilvl w:val="2"/>
      </w:numPr>
    </w:pPr>
  </w:style>
  <w:style w:type="paragraph" w:customStyle="1" w:styleId="ECHRBullet4">
    <w:name w:val="ECHR_Bullet_4"/>
    <w:aliases w:val="_Bul_4"/>
    <w:basedOn w:val="ECHRBullet3"/>
    <w:uiPriority w:val="23"/>
    <w:semiHidden/>
    <w:rsid w:val="007A74FC"/>
    <w:pPr>
      <w:numPr>
        <w:ilvl w:val="3"/>
      </w:numPr>
    </w:pPr>
  </w:style>
  <w:style w:type="paragraph" w:customStyle="1" w:styleId="ECHRConfidential">
    <w:name w:val="ECHR_Confidential"/>
    <w:aliases w:val="_Confidential"/>
    <w:basedOn w:val="Normale"/>
    <w:next w:val="Normale"/>
    <w:uiPriority w:val="42"/>
    <w:semiHidden/>
    <w:qFormat/>
    <w:rsid w:val="007A74FC"/>
    <w:pPr>
      <w:jc w:val="right"/>
    </w:pPr>
    <w:rPr>
      <w:color w:val="C00000"/>
      <w:sz w:val="20"/>
    </w:rPr>
  </w:style>
  <w:style w:type="paragraph" w:customStyle="1" w:styleId="ECHRDecisionBody">
    <w:name w:val="ECHR_Decision_Body"/>
    <w:aliases w:val="_Decision_Body"/>
    <w:basedOn w:val="NormalJustified"/>
    <w:uiPriority w:val="54"/>
    <w:semiHidden/>
    <w:rsid w:val="007A74F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A74F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A74F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7A74F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A74FC"/>
    <w:pPr>
      <w:jc w:val="right"/>
    </w:pPr>
    <w:rPr>
      <w:sz w:val="20"/>
    </w:rPr>
  </w:style>
  <w:style w:type="paragraph" w:customStyle="1" w:styleId="ECHRHeaderRefIt">
    <w:name w:val="ECHR_Header_Ref_It"/>
    <w:aliases w:val="_Ref_Ital"/>
    <w:basedOn w:val="Normale"/>
    <w:next w:val="ECHRHeaderDate"/>
    <w:uiPriority w:val="43"/>
    <w:semiHidden/>
    <w:qFormat/>
    <w:rsid w:val="007A74FC"/>
    <w:pPr>
      <w:jc w:val="right"/>
    </w:pPr>
    <w:rPr>
      <w:i/>
      <w:sz w:val="20"/>
    </w:rPr>
  </w:style>
  <w:style w:type="paragraph" w:customStyle="1" w:styleId="ECHRHeading9">
    <w:name w:val="ECHR_Heading_9"/>
    <w:aliases w:val="_Head_9"/>
    <w:basedOn w:val="Titolo9"/>
    <w:uiPriority w:val="17"/>
    <w:semiHidden/>
    <w:rsid w:val="007A74F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A74F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A74FC"/>
    <w:pPr>
      <w:numPr>
        <w:numId w:val="8"/>
      </w:numPr>
      <w:spacing w:before="60" w:after="60"/>
    </w:pPr>
  </w:style>
  <w:style w:type="paragraph" w:customStyle="1" w:styleId="ECHRNumberedList2">
    <w:name w:val="ECHR_Numbered_List_2"/>
    <w:aliases w:val="_Num_2"/>
    <w:basedOn w:val="ECHRNumberedList1"/>
    <w:uiPriority w:val="23"/>
    <w:semiHidden/>
    <w:rsid w:val="007A74FC"/>
    <w:pPr>
      <w:numPr>
        <w:ilvl w:val="1"/>
      </w:numPr>
    </w:pPr>
  </w:style>
  <w:style w:type="paragraph" w:customStyle="1" w:styleId="ECHRNumberedList3">
    <w:name w:val="ECHR_Numbered_List_3"/>
    <w:aliases w:val="_Num_3"/>
    <w:basedOn w:val="ECHRNumberedList2"/>
    <w:uiPriority w:val="23"/>
    <w:semiHidden/>
    <w:rsid w:val="007A74FC"/>
    <w:pPr>
      <w:numPr>
        <w:ilvl w:val="2"/>
      </w:numPr>
    </w:pPr>
  </w:style>
  <w:style w:type="paragraph" w:customStyle="1" w:styleId="ECHRParaHanging">
    <w:name w:val="ECHR_Para_Hanging"/>
    <w:aliases w:val="_Hanging"/>
    <w:basedOn w:val="Normale"/>
    <w:uiPriority w:val="8"/>
    <w:semiHidden/>
    <w:qFormat/>
    <w:rsid w:val="007A74FC"/>
    <w:pPr>
      <w:ind w:left="567" w:hanging="567"/>
      <w:jc w:val="both"/>
    </w:pPr>
  </w:style>
  <w:style w:type="paragraph" w:customStyle="1" w:styleId="ECHRParaIndent">
    <w:name w:val="ECHR_Para_Indent"/>
    <w:aliases w:val="_Indent"/>
    <w:basedOn w:val="Normale"/>
    <w:uiPriority w:val="7"/>
    <w:semiHidden/>
    <w:qFormat/>
    <w:rsid w:val="007A74FC"/>
    <w:pPr>
      <w:spacing w:before="120" w:after="120"/>
      <w:ind w:left="284"/>
      <w:jc w:val="both"/>
    </w:pPr>
  </w:style>
  <w:style w:type="character" w:customStyle="1" w:styleId="ECHRRed">
    <w:name w:val="ECHR_Red"/>
    <w:aliases w:val="_Red"/>
    <w:basedOn w:val="Carpredefinitoparagrafo"/>
    <w:uiPriority w:val="15"/>
    <w:semiHidden/>
    <w:qFormat/>
    <w:rsid w:val="007A74FC"/>
    <w:rPr>
      <w:color w:val="C00000" w:themeColor="accent2"/>
    </w:rPr>
  </w:style>
  <w:style w:type="paragraph" w:customStyle="1" w:styleId="DecList">
    <w:name w:val="Dec_List"/>
    <w:aliases w:val="_List"/>
    <w:basedOn w:val="JuList"/>
    <w:uiPriority w:val="22"/>
    <w:rsid w:val="007A74FC"/>
    <w:pPr>
      <w:numPr>
        <w:numId w:val="0"/>
      </w:numPr>
      <w:ind w:left="284"/>
    </w:pPr>
  </w:style>
  <w:style w:type="table" w:customStyle="1" w:styleId="ECHRTable">
    <w:name w:val="ECHR_Table"/>
    <w:basedOn w:val="Tabellanormale"/>
    <w:rsid w:val="007A74F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7A74F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A74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A74F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A74F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A74F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A74F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A74F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A74F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A74FC"/>
    <w:pPr>
      <w:outlineLvl w:val="0"/>
    </w:pPr>
  </w:style>
  <w:style w:type="paragraph" w:customStyle="1" w:styleId="ECHRTitleTOC1">
    <w:name w:val="ECHR_Title_TOC_1"/>
    <w:aliases w:val="_Title_L_TOC"/>
    <w:basedOn w:val="ECHRTitle1"/>
    <w:next w:val="Normale"/>
    <w:uiPriority w:val="27"/>
    <w:semiHidden/>
    <w:qFormat/>
    <w:rsid w:val="007A74FC"/>
    <w:pPr>
      <w:outlineLvl w:val="0"/>
    </w:pPr>
  </w:style>
  <w:style w:type="table" w:customStyle="1" w:styleId="LtrTableAddress">
    <w:name w:val="Ltr_Table_Address"/>
    <w:aliases w:val="ECHR_Ltr_Table_Address"/>
    <w:basedOn w:val="Tabellanormale"/>
    <w:uiPriority w:val="99"/>
    <w:rsid w:val="007A74FC"/>
    <w:rPr>
      <w:sz w:val="24"/>
      <w:szCs w:val="24"/>
    </w:rPr>
    <w:tblPr>
      <w:tblInd w:w="5103" w:type="dxa"/>
    </w:tblPr>
  </w:style>
  <w:style w:type="table" w:customStyle="1" w:styleId="PCFTableStyle">
    <w:name w:val="PCF_Table_Style"/>
    <w:aliases w:val="ECHR_PCF_Table_Style"/>
    <w:basedOn w:val="Tabellanormale"/>
    <w:uiPriority w:val="99"/>
    <w:rsid w:val="007A74F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7A74F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A74F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7A74FC"/>
    <w:rPr>
      <w:color w:val="FFFFFF"/>
    </w:rPr>
  </w:style>
  <w:style w:type="paragraph" w:customStyle="1" w:styleId="ECHRSpacer">
    <w:name w:val="ECHR_Spacer"/>
    <w:aliases w:val="_Spacer"/>
    <w:basedOn w:val="Normale"/>
    <w:uiPriority w:val="45"/>
    <w:semiHidden/>
    <w:rsid w:val="007A74FC"/>
    <w:rPr>
      <w:sz w:val="4"/>
    </w:rPr>
  </w:style>
  <w:style w:type="table" w:customStyle="1" w:styleId="ECHRTableGrey">
    <w:name w:val="ECHR_Table_Grey"/>
    <w:basedOn w:val="Tabellanormale"/>
    <w:uiPriority w:val="99"/>
    <w:rsid w:val="007A74F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7A74F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ECHR_Para Char"/>
    <w:basedOn w:val="Carpredefinitoparagrafo"/>
    <w:link w:val="JuPara"/>
    <w:uiPriority w:val="4"/>
    <w:rsid w:val="006E353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5B90-E2A9-4B94-B04C-774D7E1883EA}">
  <ds:schemaRefs>
    <ds:schemaRef ds:uri="http://schemas.microsoft.com/sharepoint/v3/contenttype/forms"/>
  </ds:schemaRefs>
</ds:datastoreItem>
</file>

<file path=customXml/itemProps2.xml><?xml version="1.0" encoding="utf-8"?>
<ds:datastoreItem xmlns:ds="http://schemas.openxmlformats.org/officeDocument/2006/customXml" ds:itemID="{4C7E92FA-F514-467A-8BD4-7CA66B244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E6A1E2-89F0-49CE-9B77-E569509E22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0EEDD-B35F-4827-9B46-FF481153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17619</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2022-04-04T07:30:00Z</dcterms:created>
  <dcterms:modified xsi:type="dcterms:W3CDTF">2022-04-04T07:30:00Z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10511/05</vt:lpwstr>
  </property>
  <property fmtid="{D5CDD505-2E9C-101B-9397-08002B2CF9AE}" pid="4" name="CASEID">
    <vt:lpwstr>340733</vt:lpwstr>
  </property>
  <property fmtid="{D5CDD505-2E9C-101B-9397-08002B2CF9AE}" pid="5" name="ContentTypeId">
    <vt:lpwstr>0x010100558EB02BDB9E204AB350EDD385B68E10</vt:lpwstr>
  </property>
</Properties>
</file>