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01F7" w14:textId="0A60D61C" w:rsidR="006544C4" w:rsidRPr="00DD19F1" w:rsidRDefault="00DD596B" w:rsidP="00DD19F1">
      <w:pPr>
        <w:pStyle w:val="DecHTitle"/>
        <w:rPr>
          <w:sz w:val="4"/>
          <w:szCs w:val="4"/>
        </w:rPr>
      </w:pPr>
      <w:bookmarkStart w:id="0" w:name="_GoBack"/>
      <w:bookmarkEnd w:id="0"/>
      <w:r w:rsidRPr="00DD19F1">
        <w:t>PREMIÈRE SECTION</w:t>
      </w:r>
    </w:p>
    <w:p w14:paraId="7B8B1879" w14:textId="77777777" w:rsidR="006544C4" w:rsidRPr="00DD19F1" w:rsidRDefault="006544C4" w:rsidP="00DD19F1">
      <w:pPr>
        <w:pStyle w:val="DecHTitle"/>
        <w:rPr>
          <w:caps/>
          <w:sz w:val="32"/>
        </w:rPr>
      </w:pPr>
      <w:r w:rsidRPr="00DD19F1">
        <w:t>DÉCISION</w:t>
      </w:r>
    </w:p>
    <w:p w14:paraId="2236DF8E" w14:textId="3485E53A" w:rsidR="006544C4" w:rsidRPr="00DD19F1" w:rsidRDefault="00DD596B" w:rsidP="00DD19F1">
      <w:pPr>
        <w:pStyle w:val="DecHCase"/>
      </w:pPr>
      <w:r w:rsidRPr="00DD19F1">
        <w:t>Requête n</w:t>
      </w:r>
      <w:r w:rsidRPr="00DD19F1">
        <w:rPr>
          <w:vertAlign w:val="superscript"/>
        </w:rPr>
        <w:t>o</w:t>
      </w:r>
      <w:r w:rsidR="006544C4" w:rsidRPr="00DD19F1">
        <w:t xml:space="preserve"> </w:t>
      </w:r>
      <w:r w:rsidRPr="00DD19F1">
        <w:t>2715/15</w:t>
      </w:r>
      <w:r w:rsidR="006544C4" w:rsidRPr="00DD19F1">
        <w:br/>
      </w:r>
      <w:r w:rsidRPr="00DD19F1">
        <w:t xml:space="preserve">Antonino </w:t>
      </w:r>
      <w:proofErr w:type="spellStart"/>
      <w:r w:rsidRPr="00DD19F1">
        <w:t>Venanzio</w:t>
      </w:r>
      <w:proofErr w:type="spellEnd"/>
      <w:r w:rsidRPr="00DD19F1">
        <w:t xml:space="preserve"> TRIPODO</w:t>
      </w:r>
      <w:r w:rsidRPr="00DD19F1">
        <w:br/>
      </w:r>
      <w:r w:rsidR="006544C4" w:rsidRPr="00DD19F1">
        <w:t xml:space="preserve">contre </w:t>
      </w:r>
      <w:r w:rsidRPr="00DD19F1">
        <w:t>l</w:t>
      </w:r>
      <w:r w:rsidR="00DD19F1" w:rsidRPr="00DD19F1">
        <w:t>’</w:t>
      </w:r>
      <w:r w:rsidRPr="00DD19F1">
        <w:t>Italie</w:t>
      </w:r>
    </w:p>
    <w:p w14:paraId="2E2B1F55" w14:textId="14CE29CD" w:rsidR="00EC2784" w:rsidRPr="00DD19F1" w:rsidRDefault="00EC2784" w:rsidP="00DD19F1">
      <w:pPr>
        <w:pStyle w:val="JuParaLast"/>
        <w:rPr>
          <w:rStyle w:val="JuITMark"/>
          <w:shd w:val="clear" w:color="auto" w:fill="auto"/>
        </w:rPr>
      </w:pPr>
    </w:p>
    <w:p w14:paraId="475DC410" w14:textId="13974F03" w:rsidR="00DD596B" w:rsidRPr="00DD19F1" w:rsidRDefault="00DD596B" w:rsidP="00DD19F1">
      <w:pPr>
        <w:pStyle w:val="JuPara"/>
      </w:pPr>
      <w:r w:rsidRPr="00DD19F1">
        <w:t>La Cour européenne des droits de l</w:t>
      </w:r>
      <w:r w:rsidR="00DD19F1" w:rsidRPr="00DD19F1">
        <w:t>’</w:t>
      </w:r>
      <w:r w:rsidRPr="00DD19F1">
        <w:t xml:space="preserve">homme (première section), siégeant le </w:t>
      </w:r>
      <w:r w:rsidR="00154A4E" w:rsidRPr="00DD19F1">
        <w:t>25 janvier 2022</w:t>
      </w:r>
      <w:r w:rsidRPr="00DD19F1">
        <w:t xml:space="preserve"> en une chambre composée de :</w:t>
      </w:r>
    </w:p>
    <w:p w14:paraId="73377EE3" w14:textId="5A910824" w:rsidR="00DD596B" w:rsidRPr="00DD19F1" w:rsidRDefault="00154A4E" w:rsidP="00DD19F1">
      <w:pPr>
        <w:pStyle w:val="JuJudges"/>
      </w:pPr>
      <w:r w:rsidRPr="00DD19F1">
        <w:tab/>
        <w:t xml:space="preserve">Marko </w:t>
      </w:r>
      <w:proofErr w:type="spellStart"/>
      <w:r w:rsidRPr="00DD19F1">
        <w:t>Bošnjak</w:t>
      </w:r>
      <w:proofErr w:type="spellEnd"/>
      <w:r w:rsidRPr="00DD19F1">
        <w:t>,</w:t>
      </w:r>
      <w:r w:rsidRPr="00DD19F1">
        <w:rPr>
          <w:i/>
        </w:rPr>
        <w:t xml:space="preserve"> président,</w:t>
      </w:r>
      <w:r w:rsidRPr="00DD19F1">
        <w:rPr>
          <w:i/>
        </w:rPr>
        <w:br/>
      </w:r>
      <w:r w:rsidRPr="00DD19F1">
        <w:tab/>
        <w:t xml:space="preserve">Péter </w:t>
      </w:r>
      <w:proofErr w:type="spellStart"/>
      <w:r w:rsidRPr="00DD19F1">
        <w:t>Paczolay</w:t>
      </w:r>
      <w:proofErr w:type="spellEnd"/>
      <w:r w:rsidRPr="00DD19F1">
        <w:t>,</w:t>
      </w:r>
      <w:r w:rsidRPr="00DD19F1">
        <w:rPr>
          <w:i/>
        </w:rPr>
        <w:br/>
      </w:r>
      <w:r w:rsidRPr="00DD19F1">
        <w:tab/>
        <w:t xml:space="preserve">Krzysztof </w:t>
      </w:r>
      <w:proofErr w:type="spellStart"/>
      <w:r w:rsidRPr="00DD19F1">
        <w:t>Wojtyczek</w:t>
      </w:r>
      <w:proofErr w:type="spellEnd"/>
      <w:r w:rsidRPr="00DD19F1">
        <w:t>,</w:t>
      </w:r>
      <w:r w:rsidRPr="00DD19F1">
        <w:rPr>
          <w:i/>
        </w:rPr>
        <w:br/>
      </w:r>
      <w:r w:rsidRPr="00DD19F1">
        <w:tab/>
        <w:t xml:space="preserve">Erik </w:t>
      </w:r>
      <w:proofErr w:type="spellStart"/>
      <w:r w:rsidRPr="00DD19F1">
        <w:t>Wennerström</w:t>
      </w:r>
      <w:proofErr w:type="spellEnd"/>
      <w:r w:rsidRPr="00DD19F1">
        <w:t>,</w:t>
      </w:r>
      <w:r w:rsidRPr="00DD19F1">
        <w:rPr>
          <w:i/>
        </w:rPr>
        <w:br/>
      </w:r>
      <w:r w:rsidRPr="00DD19F1">
        <w:tab/>
        <w:t>Raffaele Sabato,</w:t>
      </w:r>
      <w:r w:rsidRPr="00DD19F1">
        <w:rPr>
          <w:i/>
        </w:rPr>
        <w:br/>
      </w:r>
      <w:r w:rsidRPr="00DD19F1">
        <w:tab/>
        <w:t xml:space="preserve">Lorraine </w:t>
      </w:r>
      <w:proofErr w:type="spellStart"/>
      <w:r w:rsidRPr="00DD19F1">
        <w:t>Schembri</w:t>
      </w:r>
      <w:proofErr w:type="spellEnd"/>
      <w:r w:rsidRPr="00DD19F1">
        <w:t xml:space="preserve"> </w:t>
      </w:r>
      <w:proofErr w:type="spellStart"/>
      <w:r w:rsidRPr="00DD19F1">
        <w:t>Orland</w:t>
      </w:r>
      <w:proofErr w:type="spellEnd"/>
      <w:r w:rsidRPr="00DD19F1">
        <w:t>,</w:t>
      </w:r>
      <w:r w:rsidRPr="00DD19F1">
        <w:rPr>
          <w:i/>
        </w:rPr>
        <w:br/>
      </w:r>
      <w:r w:rsidRPr="00DD19F1">
        <w:tab/>
        <w:t xml:space="preserve">Ioannis </w:t>
      </w:r>
      <w:proofErr w:type="spellStart"/>
      <w:r w:rsidRPr="00DD19F1">
        <w:t>Ktistakis</w:t>
      </w:r>
      <w:proofErr w:type="spellEnd"/>
      <w:r w:rsidRPr="00DD19F1">
        <w:t>,</w:t>
      </w:r>
      <w:r w:rsidRPr="00DD19F1">
        <w:rPr>
          <w:i/>
        </w:rPr>
        <w:t xml:space="preserve"> juges,</w:t>
      </w:r>
    </w:p>
    <w:p w14:paraId="330BCBF1" w14:textId="77777777" w:rsidR="00DD596B" w:rsidRPr="00DD19F1" w:rsidRDefault="00DD596B" w:rsidP="00DD19F1">
      <w:pPr>
        <w:pStyle w:val="JuPara"/>
      </w:pPr>
      <w:proofErr w:type="gramStart"/>
      <w:r w:rsidRPr="00DD19F1">
        <w:t>et</w:t>
      </w:r>
      <w:proofErr w:type="gramEnd"/>
      <w:r w:rsidRPr="00DD19F1">
        <w:t xml:space="preserve"> de Liv </w:t>
      </w:r>
      <w:proofErr w:type="spellStart"/>
      <w:r w:rsidRPr="00DD19F1">
        <w:t>Tigerstedt</w:t>
      </w:r>
      <w:proofErr w:type="spellEnd"/>
      <w:r w:rsidRPr="00DD19F1">
        <w:t xml:space="preserve">, </w:t>
      </w:r>
      <w:r w:rsidRPr="00DD19F1">
        <w:rPr>
          <w:i/>
        </w:rPr>
        <w:t>greffière</w:t>
      </w:r>
      <w:r w:rsidRPr="00DD19F1">
        <w:rPr>
          <w:i/>
          <w:iCs/>
        </w:rPr>
        <w:t xml:space="preserve"> adjointe d</w:t>
      </w:r>
      <w:r w:rsidRPr="00DD19F1">
        <w:rPr>
          <w:i/>
        </w:rPr>
        <w:t>e section</w:t>
      </w:r>
      <w:r w:rsidRPr="00DD19F1">
        <w:t>,</w:t>
      </w:r>
    </w:p>
    <w:p w14:paraId="669BB198" w14:textId="77777777" w:rsidR="00DD596B" w:rsidRPr="00DD19F1" w:rsidRDefault="00DD596B" w:rsidP="00DD19F1">
      <w:pPr>
        <w:pStyle w:val="JuPara"/>
      </w:pPr>
      <w:r w:rsidRPr="00DD19F1">
        <w:t>Vu la requête susmentionnée introduite le 19 décembre 2014,</w:t>
      </w:r>
    </w:p>
    <w:p w14:paraId="7DF8F446" w14:textId="77777777" w:rsidR="00DD596B" w:rsidRPr="00DD19F1" w:rsidRDefault="00DD596B" w:rsidP="00DD19F1">
      <w:pPr>
        <w:pStyle w:val="JuPara"/>
      </w:pPr>
      <w:r w:rsidRPr="00DD19F1">
        <w:t>Vu les observations soumises par le gouvernement défendeur et celles présentées en réponse par le requérant,</w:t>
      </w:r>
    </w:p>
    <w:p w14:paraId="52C01C63" w14:textId="77777777" w:rsidR="00DD596B" w:rsidRPr="00DD19F1" w:rsidRDefault="00DD596B" w:rsidP="00DD19F1">
      <w:pPr>
        <w:pStyle w:val="JuPara"/>
      </w:pPr>
      <w:r w:rsidRPr="00DD19F1">
        <w:t>Après en avoir délibéré, rend la décision suivante :</w:t>
      </w:r>
    </w:p>
    <w:p w14:paraId="2F0DDEA7" w14:textId="77777777" w:rsidR="00DD596B" w:rsidRPr="00DD19F1" w:rsidRDefault="00DD596B" w:rsidP="00DD19F1">
      <w:pPr>
        <w:pStyle w:val="JuHHead"/>
      </w:pPr>
      <w:r w:rsidRPr="00DD19F1">
        <w:t>EN FAIT</w:t>
      </w:r>
    </w:p>
    <w:p w14:paraId="42237A98" w14:textId="63166377"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1</w:t>
      </w:r>
      <w:r>
        <w:rPr>
          <w:noProof/>
        </w:rPr>
        <w:fldChar w:fldCharType="end"/>
      </w:r>
      <w:r w:rsidR="00DD596B" w:rsidRPr="00DD19F1">
        <w:t xml:space="preserve">.  Le requérant, M. Antonino </w:t>
      </w:r>
      <w:proofErr w:type="spellStart"/>
      <w:r w:rsidR="00DD596B" w:rsidRPr="00DD19F1">
        <w:t>Venanzio</w:t>
      </w:r>
      <w:proofErr w:type="spellEnd"/>
      <w:r w:rsidR="00DD596B" w:rsidRPr="00DD19F1">
        <w:t xml:space="preserve"> </w:t>
      </w:r>
      <w:proofErr w:type="spellStart"/>
      <w:r w:rsidR="00DD596B" w:rsidRPr="00DD19F1">
        <w:t>Tripodo</w:t>
      </w:r>
      <w:proofErr w:type="spellEnd"/>
      <w:r w:rsidR="00DD596B" w:rsidRPr="00DD19F1">
        <w:t xml:space="preserve">, est un ressortissant italien né en 1955. Il est actuellement détenu à </w:t>
      </w:r>
      <w:proofErr w:type="spellStart"/>
      <w:r w:rsidR="00DD596B" w:rsidRPr="00DD19F1">
        <w:t>Tolmezzo</w:t>
      </w:r>
      <w:proofErr w:type="spellEnd"/>
      <w:r w:rsidR="00DD596B" w:rsidRPr="00DD19F1">
        <w:t>. Il a été représenté devant la Cour par M</w:t>
      </w:r>
      <w:r w:rsidR="00DD596B" w:rsidRPr="00DD19F1">
        <w:rPr>
          <w:vertAlign w:val="superscript"/>
        </w:rPr>
        <w:t>e</w:t>
      </w:r>
      <w:r w:rsidR="00DD596B" w:rsidRPr="00DD19F1">
        <w:t xml:space="preserve"> S. </w:t>
      </w:r>
      <w:proofErr w:type="spellStart"/>
      <w:r w:rsidR="00DD596B" w:rsidRPr="00DD19F1">
        <w:t>Fùrfaro</w:t>
      </w:r>
      <w:proofErr w:type="spellEnd"/>
      <w:r w:rsidR="00DD596B" w:rsidRPr="00DD19F1">
        <w:t xml:space="preserve">, avocat </w:t>
      </w:r>
      <w:r w:rsidR="00D73737" w:rsidRPr="00DD19F1">
        <w:t xml:space="preserve">à </w:t>
      </w:r>
      <w:r w:rsidR="00DD596B" w:rsidRPr="00DD19F1">
        <w:t xml:space="preserve">Marina di </w:t>
      </w:r>
      <w:proofErr w:type="spellStart"/>
      <w:r w:rsidR="00DD596B" w:rsidRPr="00DD19F1">
        <w:t>Gioiosa</w:t>
      </w:r>
      <w:proofErr w:type="spellEnd"/>
      <w:r w:rsidR="00DD596B" w:rsidRPr="00DD19F1">
        <w:t xml:space="preserve"> </w:t>
      </w:r>
      <w:proofErr w:type="spellStart"/>
      <w:r w:rsidR="00DD596B" w:rsidRPr="00DD19F1">
        <w:t>Jonica</w:t>
      </w:r>
      <w:proofErr w:type="spellEnd"/>
      <w:r w:rsidR="00DD596B" w:rsidRPr="00DD19F1">
        <w:t>.</w:t>
      </w:r>
    </w:p>
    <w:p w14:paraId="6622EF76" w14:textId="192236D2"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2</w:t>
      </w:r>
      <w:r>
        <w:rPr>
          <w:noProof/>
        </w:rPr>
        <w:fldChar w:fldCharType="end"/>
      </w:r>
      <w:r w:rsidR="00DD596B" w:rsidRPr="00DD19F1">
        <w:t xml:space="preserve">.  Le gouvernement italien (« le Gouvernement ») a été représenté </w:t>
      </w:r>
      <w:r w:rsidR="00FC670D" w:rsidRPr="00DD19F1">
        <w:t xml:space="preserve">par </w:t>
      </w:r>
      <w:r w:rsidR="00DD596B" w:rsidRPr="00DD19F1">
        <w:t>son agent, M</w:t>
      </w:r>
      <w:r w:rsidR="00DD596B" w:rsidRPr="00DD19F1">
        <w:rPr>
          <w:vertAlign w:val="superscript"/>
        </w:rPr>
        <w:t>me</w:t>
      </w:r>
      <w:r w:rsidR="00DD596B" w:rsidRPr="00DD19F1">
        <w:t xml:space="preserve"> E. </w:t>
      </w:r>
      <w:proofErr w:type="spellStart"/>
      <w:r w:rsidR="00DD596B" w:rsidRPr="00DD19F1">
        <w:t>Spatafora</w:t>
      </w:r>
      <w:proofErr w:type="spellEnd"/>
      <w:r w:rsidR="00DD596B" w:rsidRPr="00DD19F1">
        <w:t xml:space="preserve">, et son </w:t>
      </w:r>
      <w:proofErr w:type="spellStart"/>
      <w:r w:rsidR="00DD596B" w:rsidRPr="00DD19F1">
        <w:t>coagent</w:t>
      </w:r>
      <w:proofErr w:type="spellEnd"/>
      <w:r w:rsidR="00DD596B" w:rsidRPr="00DD19F1">
        <w:t>, M</w:t>
      </w:r>
      <w:r w:rsidR="00DD596B" w:rsidRPr="00DD19F1">
        <w:rPr>
          <w:vertAlign w:val="superscript"/>
        </w:rPr>
        <w:t>me</w:t>
      </w:r>
      <w:r w:rsidR="00DD596B" w:rsidRPr="00DD19F1">
        <w:t xml:space="preserve"> M. </w:t>
      </w:r>
      <w:proofErr w:type="spellStart"/>
      <w:r w:rsidR="00DD596B" w:rsidRPr="00DD19F1">
        <w:t>Aversano</w:t>
      </w:r>
      <w:proofErr w:type="spellEnd"/>
      <w:r w:rsidR="00DD596B" w:rsidRPr="00DD19F1">
        <w:t>.</w:t>
      </w:r>
    </w:p>
    <w:p w14:paraId="65495E54" w14:textId="6E56772F" w:rsidR="00DD596B" w:rsidRPr="00DD19F1" w:rsidRDefault="00DD596B" w:rsidP="00DD19F1">
      <w:pPr>
        <w:pStyle w:val="JuHA"/>
      </w:pPr>
      <w:r w:rsidRPr="00DD19F1">
        <w:t>Les circonstances de l</w:t>
      </w:r>
      <w:r w:rsidR="00DD19F1" w:rsidRPr="00DD19F1">
        <w:t>’</w:t>
      </w:r>
      <w:r w:rsidRPr="00DD19F1">
        <w:t>espèce</w:t>
      </w:r>
    </w:p>
    <w:p w14:paraId="4AB49BE6" w14:textId="2B91E59C"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3</w:t>
      </w:r>
      <w:r>
        <w:rPr>
          <w:noProof/>
        </w:rPr>
        <w:fldChar w:fldCharType="end"/>
      </w:r>
      <w:r w:rsidR="00DD596B" w:rsidRPr="00DD19F1">
        <w:t>.  Les faits de la cause, tels qu</w:t>
      </w:r>
      <w:r w:rsidR="00DD19F1" w:rsidRPr="00DD19F1">
        <w:t>’</w:t>
      </w:r>
      <w:r w:rsidR="00DD596B" w:rsidRPr="00DD19F1">
        <w:t>ils ont été exposés par les parties, peuvent se résumer comme suit.</w:t>
      </w:r>
    </w:p>
    <w:p w14:paraId="0DCDA92A" w14:textId="76C126DB" w:rsidR="00DD596B" w:rsidRPr="00DD19F1" w:rsidRDefault="00DD596B" w:rsidP="00DD19F1">
      <w:pPr>
        <w:pStyle w:val="JuPara"/>
      </w:pPr>
      <w:r w:rsidRPr="00DD19F1">
        <w:fldChar w:fldCharType="begin"/>
      </w:r>
      <w:r w:rsidRPr="00DD19F1">
        <w:instrText xml:space="preserve"> SEQ level0 \*arabic </w:instrText>
      </w:r>
      <w:r w:rsidRPr="00DD19F1">
        <w:fldChar w:fldCharType="separate"/>
      </w:r>
      <w:r w:rsidR="00DD19F1" w:rsidRPr="00DD19F1">
        <w:rPr>
          <w:noProof/>
        </w:rPr>
        <w:t>4</w:t>
      </w:r>
      <w:r w:rsidRPr="00DD19F1">
        <w:fldChar w:fldCharType="end"/>
      </w:r>
      <w:r w:rsidRPr="00DD19F1">
        <w:t>.  </w:t>
      </w:r>
      <w:bookmarkStart w:id="1" w:name="_Hlk82074293"/>
      <w:r w:rsidRPr="00DD19F1">
        <w:t>En 1999, le requérant fut mis en cause avec F. et M. dans une affaire concernant un meurtre commis en 1988. L</w:t>
      </w:r>
      <w:r w:rsidR="00DD19F1" w:rsidRPr="00DD19F1">
        <w:t>’</w:t>
      </w:r>
      <w:r w:rsidRPr="00DD19F1">
        <w:t>accusation s</w:t>
      </w:r>
      <w:r w:rsidR="00DD19F1" w:rsidRPr="00DD19F1">
        <w:t>’</w:t>
      </w:r>
      <w:r w:rsidRPr="00DD19F1">
        <w:t xml:space="preserve">appuyait notamment </w:t>
      </w:r>
      <w:r w:rsidRPr="00DD19F1">
        <w:lastRenderedPageBreak/>
        <w:t>sur les déclarations d</w:t>
      </w:r>
      <w:r w:rsidR="00DD19F1" w:rsidRPr="00DD19F1">
        <w:t>’</w:t>
      </w:r>
      <w:r w:rsidRPr="00DD19F1">
        <w:t>un collaborateur de justice, G. Ce dernier fut entendu dans le cadre d</w:t>
      </w:r>
      <w:r w:rsidR="00DD19F1" w:rsidRPr="00DD19F1">
        <w:t>’</w:t>
      </w:r>
      <w:r w:rsidRPr="00DD19F1">
        <w:t xml:space="preserve">une audience </w:t>
      </w:r>
      <w:r w:rsidRPr="00DD19F1">
        <w:rPr>
          <w:i/>
          <w:iCs/>
        </w:rPr>
        <w:t xml:space="preserve">ad hoc </w:t>
      </w:r>
      <w:r w:rsidRPr="00DD19F1">
        <w:t>tenue devant le juge de l</w:t>
      </w:r>
      <w:r w:rsidR="00DD19F1" w:rsidRPr="00DD19F1">
        <w:t>’</w:t>
      </w:r>
      <w:r w:rsidRPr="00DD19F1">
        <w:t xml:space="preserve">audience préliminaire de </w:t>
      </w:r>
      <w:proofErr w:type="spellStart"/>
      <w:r w:rsidRPr="00DD19F1">
        <w:t>Locri</w:t>
      </w:r>
      <w:proofErr w:type="spellEnd"/>
      <w:r w:rsidRPr="00DD19F1">
        <w:t xml:space="preserve"> dans le cadre d</w:t>
      </w:r>
      <w:r w:rsidR="00DD19F1" w:rsidRPr="00DD19F1">
        <w:t>’</w:t>
      </w:r>
      <w:r w:rsidRPr="00DD19F1">
        <w:t>un incident probatoire (</w:t>
      </w:r>
      <w:r w:rsidRPr="00DD19F1">
        <w:rPr>
          <w:i/>
          <w:iCs/>
        </w:rPr>
        <w:t xml:space="preserve">incidente </w:t>
      </w:r>
      <w:proofErr w:type="spellStart"/>
      <w:r w:rsidRPr="00DD19F1">
        <w:rPr>
          <w:i/>
          <w:iCs/>
        </w:rPr>
        <w:t>probatorio</w:t>
      </w:r>
      <w:proofErr w:type="spellEnd"/>
      <w:r w:rsidRPr="00DD19F1">
        <w:t>) au sens de l</w:t>
      </w:r>
      <w:r w:rsidR="00DD19F1" w:rsidRPr="00DD19F1">
        <w:t>’</w:t>
      </w:r>
      <w:r w:rsidRPr="00DD19F1">
        <w:t>article 392 du code de procédure pénale (CPP). La procédure s</w:t>
      </w:r>
      <w:r w:rsidR="00DD19F1" w:rsidRPr="00DD19F1">
        <w:t>’</w:t>
      </w:r>
      <w:r w:rsidRPr="00DD19F1">
        <w:t>acheva le 11 décembre 2001, le juge des investigations préliminaires (</w:t>
      </w:r>
      <w:proofErr w:type="spellStart"/>
      <w:r w:rsidRPr="00DD19F1">
        <w:rPr>
          <w:i/>
          <w:iCs/>
        </w:rPr>
        <w:t>giudice</w:t>
      </w:r>
      <w:proofErr w:type="spellEnd"/>
      <w:r w:rsidRPr="00DD19F1">
        <w:rPr>
          <w:i/>
          <w:iCs/>
        </w:rPr>
        <w:t xml:space="preserve"> per le </w:t>
      </w:r>
      <w:proofErr w:type="spellStart"/>
      <w:r w:rsidRPr="00DD19F1">
        <w:rPr>
          <w:i/>
          <w:iCs/>
        </w:rPr>
        <w:t>indagini</w:t>
      </w:r>
      <w:proofErr w:type="spellEnd"/>
      <w:r w:rsidRPr="00DD19F1">
        <w:rPr>
          <w:i/>
          <w:iCs/>
        </w:rPr>
        <w:t xml:space="preserve"> </w:t>
      </w:r>
      <w:proofErr w:type="spellStart"/>
      <w:r w:rsidRPr="00DD19F1">
        <w:rPr>
          <w:i/>
          <w:iCs/>
        </w:rPr>
        <w:t>preliminari</w:t>
      </w:r>
      <w:proofErr w:type="spellEnd"/>
      <w:r w:rsidRPr="00DD19F1">
        <w:t>) ayant décidé de classer l</w:t>
      </w:r>
      <w:r w:rsidR="00DD19F1" w:rsidRPr="00DD19F1">
        <w:t>’</w:t>
      </w:r>
      <w:r w:rsidRPr="00DD19F1">
        <w:t>affaire sans suite.</w:t>
      </w:r>
    </w:p>
    <w:p w14:paraId="25DF653C" w14:textId="31BED974"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5</w:t>
      </w:r>
      <w:r>
        <w:rPr>
          <w:noProof/>
        </w:rPr>
        <w:fldChar w:fldCharType="end"/>
      </w:r>
      <w:r w:rsidR="00DD596B" w:rsidRPr="00DD19F1">
        <w:t>.  En 2003, F. décida de collaborer avec la justice et fit une déposition concernant le meurtre de 1988. Il déclara notamment qu</w:t>
      </w:r>
      <w:r w:rsidR="00DD19F1" w:rsidRPr="00DD19F1">
        <w:t>’</w:t>
      </w:r>
      <w:r w:rsidR="00DD596B" w:rsidRPr="00DD19F1">
        <w:t>il avait exécuté la victime depuis une moto conduite par M., que le requérant avait mis son garage à leur disposition, et que G. avait participé à l</w:t>
      </w:r>
      <w:r w:rsidR="00DD19F1" w:rsidRPr="00DD19F1">
        <w:t>’</w:t>
      </w:r>
      <w:r w:rsidR="00DD596B" w:rsidRPr="00DD19F1">
        <w:t>organisation de l</w:t>
      </w:r>
      <w:r w:rsidR="00DD19F1" w:rsidRPr="00DD19F1">
        <w:t>’</w:t>
      </w:r>
      <w:r w:rsidR="00DD596B" w:rsidRPr="00DD19F1">
        <w:t>opération, avait fourni la moto et était allé en voiture chercher M. et lui au garage du requérant.</w:t>
      </w:r>
    </w:p>
    <w:p w14:paraId="063B7263" w14:textId="751AAF99"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6</w:t>
      </w:r>
      <w:r>
        <w:rPr>
          <w:noProof/>
        </w:rPr>
        <w:fldChar w:fldCharType="end"/>
      </w:r>
      <w:r w:rsidR="00DD596B" w:rsidRPr="00DD19F1">
        <w:t>.  À la suite de cette déposition, une nouvelle procédure concernant le meurtre fut ouverte contre le requérant, F., M. et G.</w:t>
      </w:r>
    </w:p>
    <w:p w14:paraId="319FED4C" w14:textId="4AA1C586"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7</w:t>
      </w:r>
      <w:r>
        <w:rPr>
          <w:noProof/>
        </w:rPr>
        <w:fldChar w:fldCharType="end"/>
      </w:r>
      <w:r w:rsidR="00DD596B" w:rsidRPr="00DD19F1">
        <w:t>.  Au cours des investigations préliminaires, les inculpés ainsi que plusieurs témoins à charge et à décharge furent entendus. Comme en 1999, G. nia avoir participé au meurtre, tout en affirmant en avoir été informé postérieurement et avoir ainsi appris que F. et M. en étaient les auteurs et qu</w:t>
      </w:r>
      <w:r w:rsidR="00DD19F1" w:rsidRPr="00DD19F1">
        <w:t>’</w:t>
      </w:r>
      <w:r w:rsidR="00DD596B" w:rsidRPr="00DD19F1">
        <w:t>ils avaient trouvé refuge chez le requérant.</w:t>
      </w:r>
    </w:p>
    <w:p w14:paraId="5F5F5253" w14:textId="4E652F51"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8</w:t>
      </w:r>
      <w:r>
        <w:rPr>
          <w:noProof/>
        </w:rPr>
        <w:fldChar w:fldCharType="end"/>
      </w:r>
      <w:r w:rsidR="00DD596B" w:rsidRPr="00DD19F1">
        <w:t>.  G. décéda pendant la phase des investigations préliminaires, le 8 mai 2008.</w:t>
      </w:r>
    </w:p>
    <w:p w14:paraId="66E6328F" w14:textId="5A16A8F6"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9</w:t>
      </w:r>
      <w:r>
        <w:rPr>
          <w:noProof/>
        </w:rPr>
        <w:fldChar w:fldCharType="end"/>
      </w:r>
      <w:r w:rsidR="00DD596B" w:rsidRPr="00DD19F1">
        <w:t>.  En raison d</w:t>
      </w:r>
      <w:r w:rsidR="00DD19F1" w:rsidRPr="00DD19F1">
        <w:t>’</w:t>
      </w:r>
      <w:r w:rsidR="00DD596B" w:rsidRPr="00DD19F1">
        <w:t>un risque de menaces à l</w:t>
      </w:r>
      <w:r w:rsidR="00DD19F1" w:rsidRPr="00DD19F1">
        <w:t>’</w:t>
      </w:r>
      <w:r w:rsidR="00DD596B" w:rsidRPr="00DD19F1">
        <w:t>encontre de F., la procédure d</w:t>
      </w:r>
      <w:r w:rsidR="00DD19F1" w:rsidRPr="00DD19F1">
        <w:t>’</w:t>
      </w:r>
      <w:r w:rsidR="00DD596B" w:rsidRPr="00DD19F1">
        <w:t>incident probatoire (</w:t>
      </w:r>
      <w:r w:rsidR="00DD596B" w:rsidRPr="00DD19F1">
        <w:rPr>
          <w:i/>
          <w:iCs/>
        </w:rPr>
        <w:t xml:space="preserve">incidente </w:t>
      </w:r>
      <w:proofErr w:type="spellStart"/>
      <w:r w:rsidR="00DD596B" w:rsidRPr="00DD19F1">
        <w:rPr>
          <w:i/>
          <w:iCs/>
        </w:rPr>
        <w:t>probatorio</w:t>
      </w:r>
      <w:proofErr w:type="spellEnd"/>
      <w:r w:rsidR="00DD596B" w:rsidRPr="00DD19F1">
        <w:t>) fut appliquée, à la demande du parquet, aux sens de l</w:t>
      </w:r>
      <w:r w:rsidR="00DD19F1" w:rsidRPr="00DD19F1">
        <w:t>’</w:t>
      </w:r>
      <w:r w:rsidR="00DD596B" w:rsidRPr="00DD19F1">
        <w:t>article 392 du CPP. Dans ce cadre, le juge de l</w:t>
      </w:r>
      <w:r w:rsidR="00DD19F1" w:rsidRPr="00DD19F1">
        <w:t>’</w:t>
      </w:r>
      <w:r w:rsidR="00DD596B" w:rsidRPr="00DD19F1">
        <w:t xml:space="preserve">audience préliminaire de </w:t>
      </w:r>
      <w:proofErr w:type="spellStart"/>
      <w:r w:rsidR="00DD596B" w:rsidRPr="00DD19F1">
        <w:t>Locri</w:t>
      </w:r>
      <w:proofErr w:type="spellEnd"/>
      <w:r w:rsidR="00DD596B" w:rsidRPr="00DD19F1">
        <w:t xml:space="preserve"> entendit F. en audience </w:t>
      </w:r>
      <w:r w:rsidR="00DD596B" w:rsidRPr="00DD19F1">
        <w:rPr>
          <w:i/>
          <w:iCs/>
        </w:rPr>
        <w:t>ad hoc</w:t>
      </w:r>
      <w:r w:rsidR="00DD596B" w:rsidRPr="00DD19F1">
        <w:t xml:space="preserve"> les 23 mai et 20 juin 2008, en présence des avocats des inculpés. Les déclarations faites par F. lors de ces audiences furent versées au dossier de l</w:t>
      </w:r>
      <w:r w:rsidR="00DD19F1" w:rsidRPr="00DD19F1">
        <w:t>’</w:t>
      </w:r>
      <w:r w:rsidR="00DD596B" w:rsidRPr="00DD19F1">
        <w:t>affaire conformément au premier alinéa de l</w:t>
      </w:r>
      <w:r w:rsidR="00DD19F1" w:rsidRPr="00DD19F1">
        <w:t>’</w:t>
      </w:r>
      <w:r w:rsidR="00DD596B" w:rsidRPr="00DD19F1">
        <w:t>article 431 du CPP.</w:t>
      </w:r>
    </w:p>
    <w:p w14:paraId="282E942F" w14:textId="67C9773B"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10</w:t>
      </w:r>
      <w:r>
        <w:rPr>
          <w:noProof/>
        </w:rPr>
        <w:fldChar w:fldCharType="end"/>
      </w:r>
      <w:r w:rsidR="00DD596B" w:rsidRPr="00DD19F1">
        <w:t>.  Le requérant ainsi que F. et M. furent renvoyés en jugement devant la cour d</w:t>
      </w:r>
      <w:r w:rsidR="00DD19F1" w:rsidRPr="00DD19F1">
        <w:t>’</w:t>
      </w:r>
      <w:r w:rsidR="00DD596B" w:rsidRPr="00DD19F1">
        <w:t xml:space="preserve">assises de </w:t>
      </w:r>
      <w:proofErr w:type="spellStart"/>
      <w:r w:rsidR="00DD596B" w:rsidRPr="00DD19F1">
        <w:t>Locri</w:t>
      </w:r>
      <w:proofErr w:type="spellEnd"/>
      <w:r w:rsidR="00DD596B" w:rsidRPr="00DD19F1">
        <w:t>. Se fondant sur l</w:t>
      </w:r>
      <w:r w:rsidR="00DD19F1" w:rsidRPr="00DD19F1">
        <w:t>’</w:t>
      </w:r>
      <w:r w:rsidR="00DD596B" w:rsidRPr="00DD19F1">
        <w:t>article 512 du CPP, le juge décida d</w:t>
      </w:r>
      <w:r w:rsidR="00DD19F1" w:rsidRPr="00DD19F1">
        <w:t>’</w:t>
      </w:r>
      <w:r w:rsidR="00DD596B" w:rsidRPr="00DD19F1">
        <w:t>utiliser également, pour statuer sur le bien-fondé des accusations, l</w:t>
      </w:r>
      <w:r w:rsidR="00DD19F1" w:rsidRPr="00DD19F1">
        <w:t>’</w:t>
      </w:r>
      <w:r w:rsidR="00DD596B" w:rsidRPr="00DD19F1">
        <w:t>ensemble des déclarations que G. avait faites à la police et au parquet avant son décès.</w:t>
      </w:r>
    </w:p>
    <w:p w14:paraId="1DF788B2" w14:textId="3013CAE7" w:rsidR="00DD596B" w:rsidRPr="00DD19F1" w:rsidRDefault="00DD596B" w:rsidP="00DD19F1">
      <w:pPr>
        <w:pStyle w:val="JuPara"/>
      </w:pPr>
      <w:r w:rsidRPr="00DD19F1">
        <w:t xml:space="preserve">Avant les débats, le requérant et ses deux coinculpés renoncèrent </w:t>
      </w:r>
      <w:bookmarkStart w:id="2" w:name="_Hlk81560817"/>
      <w:r w:rsidRPr="00DD19F1">
        <w:t>à obtenir la comparution de F.</w:t>
      </w:r>
      <w:bookmarkEnd w:id="2"/>
      <w:r w:rsidRPr="00DD19F1">
        <w:t xml:space="preserve"> à l</w:t>
      </w:r>
      <w:r w:rsidR="00DD19F1" w:rsidRPr="00DD19F1">
        <w:t>’</w:t>
      </w:r>
      <w:r w:rsidRPr="00DD19F1">
        <w:t>audience.</w:t>
      </w:r>
    </w:p>
    <w:p w14:paraId="3C43E24A" w14:textId="3374631F"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11</w:t>
      </w:r>
      <w:r>
        <w:rPr>
          <w:noProof/>
        </w:rPr>
        <w:fldChar w:fldCharType="end"/>
      </w:r>
      <w:r w:rsidR="00DD596B" w:rsidRPr="00DD19F1">
        <w:t>.  Par un arrêt du 17 juin 2011, la cour d</w:t>
      </w:r>
      <w:r w:rsidR="00DD19F1" w:rsidRPr="00DD19F1">
        <w:t>’</w:t>
      </w:r>
      <w:r w:rsidR="00DD596B" w:rsidRPr="00DD19F1">
        <w:t xml:space="preserve">assises de </w:t>
      </w:r>
      <w:proofErr w:type="spellStart"/>
      <w:r w:rsidR="00DD596B" w:rsidRPr="00DD19F1">
        <w:t>Locri</w:t>
      </w:r>
      <w:proofErr w:type="spellEnd"/>
      <w:r w:rsidR="00DD596B" w:rsidRPr="00DD19F1">
        <w:t xml:space="preserve"> condamna F. et acquitta le requérant et M. Elle considéra en effet que, bien que parfaitement crédibles, les déclarations de F. les mettant en cause n</w:t>
      </w:r>
      <w:r w:rsidR="00DD19F1" w:rsidRPr="00DD19F1">
        <w:t>’</w:t>
      </w:r>
      <w:r w:rsidR="00DD596B" w:rsidRPr="00DD19F1">
        <w:t>étaient pas corroborées par des éléments de preuve extérieurs (</w:t>
      </w:r>
      <w:proofErr w:type="spellStart"/>
      <w:r w:rsidR="00DD596B" w:rsidRPr="00DD19F1">
        <w:rPr>
          <w:i/>
          <w:iCs/>
        </w:rPr>
        <w:t>elementi</w:t>
      </w:r>
      <w:proofErr w:type="spellEnd"/>
      <w:r w:rsidR="00DD596B" w:rsidRPr="00DD19F1">
        <w:rPr>
          <w:i/>
          <w:iCs/>
        </w:rPr>
        <w:t xml:space="preserve"> </w:t>
      </w:r>
      <w:proofErr w:type="spellStart"/>
      <w:r w:rsidR="00DD596B" w:rsidRPr="00DD19F1">
        <w:rPr>
          <w:i/>
          <w:iCs/>
        </w:rPr>
        <w:t>esterni</w:t>
      </w:r>
      <w:proofErr w:type="spellEnd"/>
      <w:r w:rsidR="00DD596B" w:rsidRPr="00DD19F1">
        <w:rPr>
          <w:i/>
          <w:iCs/>
        </w:rPr>
        <w:t xml:space="preserve"> di </w:t>
      </w:r>
      <w:proofErr w:type="spellStart"/>
      <w:r w:rsidR="00DD596B" w:rsidRPr="00DD19F1">
        <w:rPr>
          <w:i/>
          <w:iCs/>
        </w:rPr>
        <w:t>riscontro</w:t>
      </w:r>
      <w:proofErr w:type="spellEnd"/>
      <w:r w:rsidR="00DD596B" w:rsidRPr="00DD19F1">
        <w:t xml:space="preserve">) suffisamment précis – condition nécessaire pour que les </w:t>
      </w:r>
      <w:proofErr w:type="gramStart"/>
      <w:r w:rsidR="00DD596B" w:rsidRPr="00DD19F1">
        <w:t>déclarations</w:t>
      </w:r>
      <w:proofErr w:type="gramEnd"/>
      <w:r w:rsidR="00DD596B" w:rsidRPr="00DD19F1">
        <w:t xml:space="preserve"> du coauteur de l</w:t>
      </w:r>
      <w:r w:rsidR="00DD19F1" w:rsidRPr="00DD19F1">
        <w:t>’</w:t>
      </w:r>
      <w:r w:rsidR="00DD596B" w:rsidRPr="00DD19F1">
        <w:t>infraction puissent être retenues au procès (article 192 du CPP) – et que les déclarations de G. ne pouvaient pas non plus être retenues car ce témoin n</w:t>
      </w:r>
      <w:r w:rsidR="00DD19F1" w:rsidRPr="00DD19F1">
        <w:t>’</w:t>
      </w:r>
      <w:r w:rsidR="00DD596B" w:rsidRPr="00DD19F1">
        <w:t xml:space="preserve">était pas entièrement crédible. Son avis sur la </w:t>
      </w:r>
      <w:r w:rsidR="00DD596B" w:rsidRPr="00DD19F1">
        <w:lastRenderedPageBreak/>
        <w:t>crédibilité de G. reposait sur le fait que, même si le récit qu</w:t>
      </w:r>
      <w:r w:rsidR="00DD19F1" w:rsidRPr="00DD19F1">
        <w:t>’</w:t>
      </w:r>
      <w:r w:rsidR="00DD596B" w:rsidRPr="00DD19F1">
        <w:t>il avait livré était conforme en plusieurs points à celui de F., notamment quant au rôle joué par le requérant, il n</w:t>
      </w:r>
      <w:r w:rsidR="00DD19F1" w:rsidRPr="00DD19F1">
        <w:t>’</w:t>
      </w:r>
      <w:r w:rsidR="00DD596B" w:rsidRPr="00DD19F1">
        <w:t>avait jamais admis sa propre responsabilité dans la commission de l</w:t>
      </w:r>
      <w:r w:rsidR="00DD19F1" w:rsidRPr="00DD19F1">
        <w:t>’</w:t>
      </w:r>
      <w:r w:rsidR="00DD596B" w:rsidRPr="00DD19F1">
        <w:t>infraction – responsabilité qui avait été pourtant établie par l</w:t>
      </w:r>
      <w:r w:rsidR="00DD19F1" w:rsidRPr="00DD19F1">
        <w:t>’</w:t>
      </w:r>
      <w:r w:rsidR="00DD596B" w:rsidRPr="00DD19F1">
        <w:t>enquête. La cour d</w:t>
      </w:r>
      <w:r w:rsidR="00DD19F1" w:rsidRPr="00DD19F1">
        <w:t>’</w:t>
      </w:r>
      <w:r w:rsidR="00DD596B" w:rsidRPr="00DD19F1">
        <w:t>assises estimait donc que la version des faits que G.</w:t>
      </w:r>
      <w:r w:rsidR="004571F1" w:rsidRPr="00DD19F1">
        <w:t> </w:t>
      </w:r>
      <w:r w:rsidR="00DD596B" w:rsidRPr="00DD19F1">
        <w:t>présentait n</w:t>
      </w:r>
      <w:r w:rsidR="00DD19F1" w:rsidRPr="00DD19F1">
        <w:t>’</w:t>
      </w:r>
      <w:r w:rsidR="00DD596B" w:rsidRPr="00DD19F1">
        <w:t>était pas digne de foi relativement à des aspects essentiels des événements.</w:t>
      </w:r>
    </w:p>
    <w:p w14:paraId="134D119E" w14:textId="75D09BC0" w:rsidR="00DD596B" w:rsidRPr="00DD19F1" w:rsidRDefault="00C22872" w:rsidP="00DD19F1">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00DD19F1" w:rsidRPr="00DD19F1">
        <w:rPr>
          <w:noProof/>
        </w:rPr>
        <w:t>12</w:t>
      </w:r>
      <w:r>
        <w:rPr>
          <w:noProof/>
        </w:rPr>
        <w:fldChar w:fldCharType="end"/>
      </w:r>
      <w:r w:rsidR="00DD596B" w:rsidRPr="00DD19F1">
        <w:t>.</w:t>
      </w:r>
      <w:r w:rsidR="00A84425" w:rsidRPr="00DD19F1">
        <w:t>  </w:t>
      </w:r>
      <w:r w:rsidR="00DD596B" w:rsidRPr="00DD19F1">
        <w:t>Le parquet interjeta appel. Par un arrêt du 26 février 2013, la cour d</w:t>
      </w:r>
      <w:r w:rsidR="00DD19F1" w:rsidRPr="00DD19F1">
        <w:t>’</w:t>
      </w:r>
      <w:r w:rsidR="00DD596B" w:rsidRPr="00DD19F1">
        <w:t>assises d</w:t>
      </w:r>
      <w:r w:rsidR="00DD19F1" w:rsidRPr="00DD19F1">
        <w:t>’</w:t>
      </w:r>
      <w:r w:rsidR="00DD596B" w:rsidRPr="00DD19F1">
        <w:t xml:space="preserve">appel de </w:t>
      </w:r>
      <w:proofErr w:type="spellStart"/>
      <w:r w:rsidR="00DD596B" w:rsidRPr="00DD19F1">
        <w:t>Reggio</w:t>
      </w:r>
      <w:proofErr w:type="spellEnd"/>
      <w:r w:rsidR="00DD596B" w:rsidRPr="00DD19F1">
        <w:t xml:space="preserve"> </w:t>
      </w:r>
      <w:proofErr w:type="spellStart"/>
      <w:r w:rsidR="00DD596B" w:rsidRPr="00DD19F1">
        <w:t>Calabria</w:t>
      </w:r>
      <w:proofErr w:type="spellEnd"/>
      <w:r w:rsidR="00DD596B" w:rsidRPr="00DD19F1">
        <w:t xml:space="preserve"> confirma la condamnation de F. et condamna également le requérant et M. pour meurtre. Elle estima, contrairement au juge de première instance et conformément à la jurisprudence de la Cour de cassation en la matière, qu</w:t>
      </w:r>
      <w:r w:rsidR="00DD19F1" w:rsidRPr="00DD19F1">
        <w:t>’</w:t>
      </w:r>
      <w:r w:rsidR="00DD596B" w:rsidRPr="00DD19F1">
        <w:t>il y avait lieu de faire une « évaluation fragmentée » des différentes déclarations de G. et que selon cette évaluation – qui consistait à retenir la partie crédible des déclarations de G. tout en écartant les parties de son récit qui avaient été démenties par le procès ou qui étaient incohérentes – ces déclarations corroboraient adéquatement la version des faits de F. et le témoignage de celui-ci pouvait être utilisé au sens de l</w:t>
      </w:r>
      <w:r w:rsidR="00DD19F1" w:rsidRPr="00DD19F1">
        <w:t>’</w:t>
      </w:r>
      <w:r w:rsidR="00DD596B" w:rsidRPr="00DD19F1">
        <w:t>article 192 du CPP. Elle jugea en outre que la culpabilité du requérant était confirmée par d</w:t>
      </w:r>
      <w:r w:rsidR="00DD19F1" w:rsidRPr="00DD19F1">
        <w:t>’</w:t>
      </w:r>
      <w:r w:rsidR="00DD596B" w:rsidRPr="00DD19F1">
        <w:t>autres éléments de preuve, à savoir ceux qui établissaient que l</w:t>
      </w:r>
      <w:r w:rsidR="00DD19F1" w:rsidRPr="00DD19F1">
        <w:t>’</w:t>
      </w:r>
      <w:r w:rsidR="00DD596B" w:rsidRPr="00DD19F1">
        <w:t>intéressé avait tenté de se procurer un faux alibi pour le jour du meurtre.</w:t>
      </w:r>
    </w:p>
    <w:p w14:paraId="0EA9A0FC" w14:textId="2537B1E8"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13</w:t>
      </w:r>
      <w:r>
        <w:rPr>
          <w:noProof/>
        </w:rPr>
        <w:fldChar w:fldCharType="end"/>
      </w:r>
      <w:r w:rsidR="00DD596B" w:rsidRPr="00DD19F1">
        <w:t xml:space="preserve">.  Le requérant se </w:t>
      </w:r>
      <w:proofErr w:type="spellStart"/>
      <w:r w:rsidR="00DD596B" w:rsidRPr="00DD19F1">
        <w:t>pourvut</w:t>
      </w:r>
      <w:proofErr w:type="spellEnd"/>
      <w:r w:rsidR="00DD596B" w:rsidRPr="00DD19F1">
        <w:t xml:space="preserve"> en cassation, soutenant notamment que la juridiction d</w:t>
      </w:r>
      <w:r w:rsidR="00DD19F1" w:rsidRPr="00DD19F1">
        <w:t>’</w:t>
      </w:r>
      <w:r w:rsidR="00DD596B" w:rsidRPr="00DD19F1">
        <w:t>appel avait fondé sa condamnation sur une interprétation différente des déclarations du témoin F. alors qu</w:t>
      </w:r>
      <w:r w:rsidR="00DD19F1" w:rsidRPr="00DD19F1">
        <w:t>’</w:t>
      </w:r>
      <w:r w:rsidR="00DD596B" w:rsidRPr="00DD19F1">
        <w:t>elle ne l</w:t>
      </w:r>
      <w:r w:rsidR="00DD19F1" w:rsidRPr="00DD19F1">
        <w:t>’</w:t>
      </w:r>
      <w:r w:rsidR="00DD596B" w:rsidRPr="00DD19F1">
        <w:t>avait pas entendu directement.</w:t>
      </w:r>
    </w:p>
    <w:p w14:paraId="1C919B12" w14:textId="6AC46804"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14</w:t>
      </w:r>
      <w:r>
        <w:rPr>
          <w:noProof/>
        </w:rPr>
        <w:fldChar w:fldCharType="end"/>
      </w:r>
      <w:r w:rsidR="00DD596B" w:rsidRPr="00DD19F1">
        <w:t>.  Par un arrêt du 14 mars 2014, la Cour de cassation débouta le requérant. Elle considéra en particulier que le seul témoin dont la juridiction d</w:t>
      </w:r>
      <w:r w:rsidR="00DD19F1" w:rsidRPr="00DD19F1">
        <w:t>’</w:t>
      </w:r>
      <w:r w:rsidR="00DD596B" w:rsidRPr="00DD19F1">
        <w:t>appel avait interprété les déclarations différemment du juge de première instance était G. Elle nota à cet égard que, G. étant décédé, il était devenu impossible pour la juridiction d</w:t>
      </w:r>
      <w:r w:rsidR="00DD19F1" w:rsidRPr="00DD19F1">
        <w:t>’</w:t>
      </w:r>
      <w:r w:rsidR="00DD596B" w:rsidRPr="00DD19F1">
        <w:t>appel de l</w:t>
      </w:r>
      <w:r w:rsidR="00DD19F1" w:rsidRPr="00DD19F1">
        <w:t>’</w:t>
      </w:r>
      <w:r w:rsidR="00DD596B" w:rsidRPr="00DD19F1">
        <w:t>entendre à nouveau.</w:t>
      </w:r>
      <w:bookmarkEnd w:id="1"/>
    </w:p>
    <w:p w14:paraId="18F6CBDF" w14:textId="77777777" w:rsidR="00DD596B" w:rsidRPr="00DD19F1" w:rsidRDefault="00DD596B" w:rsidP="00DD19F1">
      <w:pPr>
        <w:pStyle w:val="JuHA"/>
      </w:pPr>
      <w:r w:rsidRPr="00DD19F1">
        <w:t>Le droit et la pratique internes pertinents</w:t>
      </w:r>
    </w:p>
    <w:bookmarkStart w:id="3" w:name="_Hlk83801353"/>
    <w:p w14:paraId="4EF7E4AE" w14:textId="74F33228" w:rsidR="00DD596B" w:rsidRPr="00DD19F1" w:rsidRDefault="00DD596B" w:rsidP="00DD19F1">
      <w:pPr>
        <w:pStyle w:val="JuPara"/>
      </w:pPr>
      <w:r w:rsidRPr="00DD19F1">
        <w:fldChar w:fldCharType="begin"/>
      </w:r>
      <w:r w:rsidRPr="00DD19F1">
        <w:instrText xml:space="preserve"> SEQ level0 \*arabic </w:instrText>
      </w:r>
      <w:r w:rsidRPr="00DD19F1">
        <w:fldChar w:fldCharType="separate"/>
      </w:r>
      <w:r w:rsidR="00DD19F1" w:rsidRPr="00DD19F1">
        <w:rPr>
          <w:noProof/>
        </w:rPr>
        <w:t>15</w:t>
      </w:r>
      <w:r w:rsidRPr="00DD19F1">
        <w:fldChar w:fldCharType="end"/>
      </w:r>
      <w:r w:rsidRPr="00DD19F1">
        <w:t>.  </w:t>
      </w:r>
      <w:bookmarkStart w:id="4" w:name="_Hlk36127236"/>
      <w:r w:rsidRPr="00DD19F1">
        <w:t xml:space="preserve">Le cadre juridique et la pratique internes pertinents en matière de </w:t>
      </w:r>
      <w:proofErr w:type="spellStart"/>
      <w:r w:rsidRPr="00DD19F1">
        <w:rPr>
          <w:i/>
          <w:iCs/>
        </w:rPr>
        <w:t>reformatio</w:t>
      </w:r>
      <w:proofErr w:type="spellEnd"/>
      <w:r w:rsidRPr="00DD19F1">
        <w:rPr>
          <w:i/>
          <w:iCs/>
        </w:rPr>
        <w:t xml:space="preserve"> in pejus</w:t>
      </w:r>
      <w:r w:rsidRPr="00DD19F1">
        <w:t xml:space="preserve"> des décisions d</w:t>
      </w:r>
      <w:r w:rsidR="00DD19F1" w:rsidRPr="00DD19F1">
        <w:t>’</w:t>
      </w:r>
      <w:r w:rsidRPr="00DD19F1">
        <w:t xml:space="preserve">acquittement prononcées en première instance sont décrits dans les arrêts </w:t>
      </w:r>
      <w:proofErr w:type="spellStart"/>
      <w:r w:rsidRPr="00DD19F1">
        <w:rPr>
          <w:i/>
        </w:rPr>
        <w:t>Lorefice</w:t>
      </w:r>
      <w:proofErr w:type="spellEnd"/>
      <w:r w:rsidRPr="00DD19F1">
        <w:rPr>
          <w:i/>
        </w:rPr>
        <w:t xml:space="preserve"> c. Italie</w:t>
      </w:r>
      <w:r w:rsidRPr="00DD19F1">
        <w:t xml:space="preserve"> (n</w:t>
      </w:r>
      <w:r w:rsidRPr="00DD19F1">
        <w:rPr>
          <w:vertAlign w:val="superscript"/>
        </w:rPr>
        <w:t>o</w:t>
      </w:r>
      <w:r w:rsidRPr="00DD19F1">
        <w:t xml:space="preserve"> 63446/13, §§ 26-28, 29 juin 2017) et </w:t>
      </w:r>
      <w:r w:rsidRPr="00DD19F1">
        <w:rPr>
          <w:rFonts w:cstheme="minorHAnsi"/>
          <w:i/>
          <w:color w:val="000000"/>
        </w:rPr>
        <w:t xml:space="preserve">Di Martino et </w:t>
      </w:r>
      <w:proofErr w:type="spellStart"/>
      <w:r w:rsidRPr="00DD19F1">
        <w:rPr>
          <w:rFonts w:cstheme="minorHAnsi"/>
          <w:i/>
          <w:color w:val="000000"/>
        </w:rPr>
        <w:t>Molinari</w:t>
      </w:r>
      <w:proofErr w:type="spellEnd"/>
      <w:r w:rsidRPr="00DD19F1">
        <w:rPr>
          <w:rFonts w:cstheme="minorHAnsi"/>
          <w:i/>
          <w:color w:val="000000"/>
        </w:rPr>
        <w:t xml:space="preserve"> c. Italie</w:t>
      </w:r>
      <w:r w:rsidRPr="00DD19F1">
        <w:rPr>
          <w:rFonts w:cstheme="minorHAnsi"/>
          <w:color w:val="000000"/>
        </w:rPr>
        <w:t xml:space="preserve"> (n</w:t>
      </w:r>
      <w:r w:rsidRPr="00DD19F1">
        <w:rPr>
          <w:rFonts w:cstheme="minorHAnsi"/>
          <w:color w:val="000000"/>
          <w:vertAlign w:val="superscript"/>
        </w:rPr>
        <w:t>os</w:t>
      </w:r>
      <w:r w:rsidRPr="00DD19F1">
        <w:rPr>
          <w:rFonts w:cstheme="minorHAnsi"/>
          <w:color w:val="000000"/>
        </w:rPr>
        <w:t> 15931/15 et 16459/15, §§ 15 et 16, 25 mars 2021)</w:t>
      </w:r>
      <w:r w:rsidRPr="00DD19F1">
        <w:t>.</w:t>
      </w:r>
      <w:bookmarkEnd w:id="4"/>
    </w:p>
    <w:p w14:paraId="170CC9AB" w14:textId="6D96AEEF"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16</w:t>
      </w:r>
      <w:r>
        <w:rPr>
          <w:noProof/>
        </w:rPr>
        <w:fldChar w:fldCharType="end"/>
      </w:r>
      <w:r w:rsidR="00DD596B" w:rsidRPr="00DD19F1">
        <w:t>.  L</w:t>
      </w:r>
      <w:r w:rsidR="00DD19F1" w:rsidRPr="00DD19F1">
        <w:t>’</w:t>
      </w:r>
      <w:r w:rsidR="00DD596B" w:rsidRPr="00DD19F1">
        <w:t>article 192 § 3 du CPP dispose que les déclarations faites par le coauteur de l</w:t>
      </w:r>
      <w:r w:rsidR="00DD19F1" w:rsidRPr="00DD19F1">
        <w:t>’</w:t>
      </w:r>
      <w:r w:rsidR="00DD596B" w:rsidRPr="00DD19F1">
        <w:t>infraction ne peuvent être retenues que si elles sont corroborées par d</w:t>
      </w:r>
      <w:r w:rsidR="00DD19F1" w:rsidRPr="00DD19F1">
        <w:t>’</w:t>
      </w:r>
      <w:r w:rsidR="00DD596B" w:rsidRPr="00DD19F1">
        <w:t>autres éléments de preuve qui en confirment la crédibilité.</w:t>
      </w:r>
    </w:p>
    <w:p w14:paraId="6F1D4B88" w14:textId="17F22AEB"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17</w:t>
      </w:r>
      <w:r>
        <w:rPr>
          <w:noProof/>
        </w:rPr>
        <w:fldChar w:fldCharType="end"/>
      </w:r>
      <w:r w:rsidR="00DD596B" w:rsidRPr="00DD19F1">
        <w:t>.  Selon l</w:t>
      </w:r>
      <w:r w:rsidR="00DD19F1" w:rsidRPr="00DD19F1">
        <w:t>’</w:t>
      </w:r>
      <w:r w:rsidR="00DD596B" w:rsidRPr="00DD19F1">
        <w:t xml:space="preserve">article 392 du CPP le parquet et le prévenu peuvent demander au juge des investigations préliminaires que soit tenue une audience </w:t>
      </w:r>
      <w:r w:rsidR="00DD596B" w:rsidRPr="00DD19F1">
        <w:rPr>
          <w:i/>
          <w:iCs/>
        </w:rPr>
        <w:t>ad hoc</w:t>
      </w:r>
      <w:r w:rsidR="00DD596B" w:rsidRPr="00DD19F1">
        <w:t xml:space="preserve"> (</w:t>
      </w:r>
      <w:r w:rsidR="00DD596B" w:rsidRPr="00DD19F1">
        <w:rPr>
          <w:i/>
          <w:iCs/>
        </w:rPr>
        <w:t xml:space="preserve">incidente </w:t>
      </w:r>
      <w:proofErr w:type="spellStart"/>
      <w:r w:rsidR="00DD596B" w:rsidRPr="00DD19F1">
        <w:rPr>
          <w:i/>
          <w:iCs/>
        </w:rPr>
        <w:t>probatorio</w:t>
      </w:r>
      <w:proofErr w:type="spellEnd"/>
      <w:r w:rsidR="00DD596B" w:rsidRPr="00DD19F1">
        <w:t xml:space="preserve">) aux fins de la production immédiate en tant que preuve </w:t>
      </w:r>
      <w:r w:rsidR="00DD596B" w:rsidRPr="00DD19F1">
        <w:lastRenderedPageBreak/>
        <w:t>d</w:t>
      </w:r>
      <w:r w:rsidR="00DD19F1" w:rsidRPr="00DD19F1">
        <w:t>’</w:t>
      </w:r>
      <w:r w:rsidR="00DD596B" w:rsidRPr="00DD19F1">
        <w:t>un témoignage, d</w:t>
      </w:r>
      <w:r w:rsidR="00DD19F1" w:rsidRPr="00DD19F1">
        <w:t>’</w:t>
      </w:r>
      <w:r w:rsidR="00DD596B" w:rsidRPr="00DD19F1">
        <w:t>une confrontation, d</w:t>
      </w:r>
      <w:r w:rsidR="00DD19F1" w:rsidRPr="00DD19F1">
        <w:t>’</w:t>
      </w:r>
      <w:r w:rsidR="00DD596B" w:rsidRPr="00DD19F1">
        <w:t>une expertise ou d</w:t>
      </w:r>
      <w:r w:rsidR="00DD19F1" w:rsidRPr="00DD19F1">
        <w:t>’</w:t>
      </w:r>
      <w:r w:rsidR="00DD596B" w:rsidRPr="00DD19F1">
        <w:t>une identification. Ladite disposition préconise la procédure de l</w:t>
      </w:r>
      <w:r w:rsidR="00DD19F1" w:rsidRPr="00DD19F1">
        <w:t>’</w:t>
      </w:r>
      <w:r w:rsidR="00DD596B" w:rsidRPr="00DD19F1">
        <w:t>incident probatoire, entre autres cas spécifiques, pour l</w:t>
      </w:r>
      <w:r w:rsidR="00DD19F1" w:rsidRPr="00DD19F1">
        <w:t>’</w:t>
      </w:r>
      <w:r w:rsidR="00DD596B" w:rsidRPr="00DD19F1">
        <w:t>audition d</w:t>
      </w:r>
      <w:r w:rsidR="00DD19F1" w:rsidRPr="00DD19F1">
        <w:t>’</w:t>
      </w:r>
      <w:r w:rsidR="00DD596B" w:rsidRPr="00DD19F1">
        <w:t>un témoin qui pourrait être dans l</w:t>
      </w:r>
      <w:r w:rsidR="00DD19F1" w:rsidRPr="00DD19F1">
        <w:t>’</w:t>
      </w:r>
      <w:r w:rsidR="00DD596B" w:rsidRPr="00DD19F1">
        <w:t>incapacité de témoigner aux débats pour cause de maladie ou autre grave empêchement ou dont les déclarations aux débats pourraient être suggestionnées par la menace, la violence ou des propositions d</w:t>
      </w:r>
      <w:r w:rsidR="00DD19F1" w:rsidRPr="00DD19F1">
        <w:t>’</w:t>
      </w:r>
      <w:r w:rsidR="00DD596B" w:rsidRPr="00DD19F1">
        <w:t>argent ou autre utilité.</w:t>
      </w:r>
    </w:p>
    <w:p w14:paraId="2CB34A82" w14:textId="5D1E953A" w:rsidR="00DD596B" w:rsidRPr="00DD19F1" w:rsidRDefault="00DD596B" w:rsidP="00DD19F1">
      <w:pPr>
        <w:pStyle w:val="JuPara"/>
      </w:pPr>
      <w:bookmarkStart w:id="5" w:name="_Hlk93917636"/>
      <w:r w:rsidRPr="00DD19F1">
        <w:t>Au sens de l</w:t>
      </w:r>
      <w:r w:rsidR="00DD19F1" w:rsidRPr="00DD19F1">
        <w:t>’</w:t>
      </w:r>
      <w:r w:rsidRPr="00DD19F1">
        <w:t>article 401 du CPP, l</w:t>
      </w:r>
      <w:r w:rsidR="00DD19F1" w:rsidRPr="00DD19F1">
        <w:t>’</w:t>
      </w:r>
      <w:r w:rsidRPr="00DD19F1">
        <w:t xml:space="preserve">audience </w:t>
      </w:r>
      <w:r w:rsidRPr="00DD19F1">
        <w:rPr>
          <w:i/>
          <w:iCs/>
        </w:rPr>
        <w:t>ad hoc</w:t>
      </w:r>
      <w:r w:rsidRPr="00DD19F1">
        <w:t xml:space="preserve"> consacrée à l</w:t>
      </w:r>
      <w:r w:rsidR="00DD19F1" w:rsidRPr="00DD19F1">
        <w:t>’</w:t>
      </w:r>
      <w:r w:rsidRPr="00DD19F1">
        <w:t>audition se déroule en chambre du conseil avec la participation du ministère public, de la personne mise en cause par les investigations et du défenseur de celle-ci. Le défenseur de la partie lésée a également la faculté d</w:t>
      </w:r>
      <w:r w:rsidR="00DD19F1" w:rsidRPr="00DD19F1">
        <w:t>’</w:t>
      </w:r>
      <w:r w:rsidRPr="00DD19F1">
        <w:t>y participer.</w:t>
      </w:r>
    </w:p>
    <w:bookmarkEnd w:id="5"/>
    <w:p w14:paraId="65C0353B" w14:textId="033004CC" w:rsidR="00DD596B" w:rsidRPr="00DD19F1" w:rsidRDefault="00DD596B" w:rsidP="00DD19F1">
      <w:pPr>
        <w:pStyle w:val="JuPara"/>
      </w:pPr>
      <w:r w:rsidRPr="00DD19F1">
        <w:fldChar w:fldCharType="begin"/>
      </w:r>
      <w:r w:rsidRPr="00DD19F1">
        <w:instrText xml:space="preserve"> SEQ level0 \*arabic \* MERGEFORMAT </w:instrText>
      </w:r>
      <w:r w:rsidRPr="00DD19F1">
        <w:fldChar w:fldCharType="separate"/>
      </w:r>
      <w:r w:rsidR="00DD19F1" w:rsidRPr="00DD19F1">
        <w:rPr>
          <w:noProof/>
        </w:rPr>
        <w:t>18</w:t>
      </w:r>
      <w:r w:rsidRPr="00DD19F1">
        <w:fldChar w:fldCharType="end"/>
      </w:r>
      <w:r w:rsidRPr="00DD19F1">
        <w:t>.  L</w:t>
      </w:r>
      <w:r w:rsidR="00DD19F1" w:rsidRPr="00DD19F1">
        <w:t>’</w:t>
      </w:r>
      <w:r w:rsidRPr="00DD19F1">
        <w:t>article 431, premier alinéa, du CPP établit que sont versés au dossier (</w:t>
      </w:r>
      <w:proofErr w:type="spellStart"/>
      <w:r w:rsidRPr="00DD19F1">
        <w:rPr>
          <w:i/>
          <w:iCs/>
        </w:rPr>
        <w:t>fascicolo</w:t>
      </w:r>
      <w:proofErr w:type="spellEnd"/>
      <w:r w:rsidRPr="00DD19F1">
        <w:rPr>
          <w:i/>
          <w:iCs/>
        </w:rPr>
        <w:t xml:space="preserve"> per il </w:t>
      </w:r>
      <w:proofErr w:type="spellStart"/>
      <w:r w:rsidRPr="00DD19F1">
        <w:rPr>
          <w:i/>
          <w:iCs/>
        </w:rPr>
        <w:t>dibattimento</w:t>
      </w:r>
      <w:proofErr w:type="spellEnd"/>
      <w:r w:rsidRPr="00DD19F1">
        <w:t>), entre autres éléments, les procès-verbaux des dépositions faites dans le cadre d</w:t>
      </w:r>
      <w:r w:rsidR="00DD19F1" w:rsidRPr="00DD19F1">
        <w:t>’</w:t>
      </w:r>
      <w:r w:rsidRPr="00DD19F1">
        <w:t>un incident probatoire (</w:t>
      </w:r>
      <w:r w:rsidRPr="00DD19F1">
        <w:rPr>
          <w:i/>
          <w:iCs/>
        </w:rPr>
        <w:t xml:space="preserve">incidente </w:t>
      </w:r>
      <w:proofErr w:type="spellStart"/>
      <w:r w:rsidRPr="00DD19F1">
        <w:rPr>
          <w:i/>
          <w:iCs/>
        </w:rPr>
        <w:t>probatorio</w:t>
      </w:r>
      <w:proofErr w:type="spellEnd"/>
      <w:r w:rsidRPr="00DD19F1">
        <w:t>).</w:t>
      </w:r>
    </w:p>
    <w:p w14:paraId="6DCAE4BE" w14:textId="54001557"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19</w:t>
      </w:r>
      <w:r>
        <w:rPr>
          <w:noProof/>
        </w:rPr>
        <w:fldChar w:fldCharType="end"/>
      </w:r>
      <w:r w:rsidR="00DD596B" w:rsidRPr="00DD19F1">
        <w:t>.  Aux termes de l</w:t>
      </w:r>
      <w:r w:rsidR="00DD19F1" w:rsidRPr="00DD19F1">
        <w:t>’</w:t>
      </w:r>
      <w:r w:rsidR="00DD596B" w:rsidRPr="00DD19F1">
        <w:t>article 512 du CPP :</w:t>
      </w:r>
    </w:p>
    <w:p w14:paraId="1BB6486F" w14:textId="7BC5A431" w:rsidR="00DD596B" w:rsidRPr="00DD19F1" w:rsidRDefault="00DD596B" w:rsidP="00DD19F1">
      <w:pPr>
        <w:pStyle w:val="JuQuot"/>
      </w:pPr>
      <w:r w:rsidRPr="00DD19F1">
        <w:t>« 1.  À la demande des parties, le juge ordonne la lecture des procès-verbaux qui contiennent les dépositions de personnes détenant des informations sur les faits et qui ont été établis par la police judiciaire, le ministère public, les avocats ou le juge au cours de l</w:t>
      </w:r>
      <w:r w:rsidR="00DD19F1" w:rsidRPr="00DD19F1">
        <w:t>’</w:t>
      </w:r>
      <w:r w:rsidRPr="00DD19F1">
        <w:t>audience préliminaire, lorsque, en raison de faits ou circonstances imprévisibles, la réitération [de ces dépositions] est devenue impossible (...) »</w:t>
      </w:r>
      <w:bookmarkEnd w:id="3"/>
    </w:p>
    <w:p w14:paraId="3B058418" w14:textId="77777777" w:rsidR="00DD596B" w:rsidRPr="00DD19F1" w:rsidRDefault="00DD596B" w:rsidP="00DD19F1">
      <w:pPr>
        <w:pStyle w:val="JuHHead"/>
      </w:pPr>
      <w:r w:rsidRPr="00DD19F1">
        <w:t>GRIEF</w:t>
      </w:r>
    </w:p>
    <w:p w14:paraId="5DA96848" w14:textId="1600FD7E"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20</w:t>
      </w:r>
      <w:r>
        <w:rPr>
          <w:noProof/>
        </w:rPr>
        <w:fldChar w:fldCharType="end"/>
      </w:r>
      <w:r w:rsidR="00DD596B" w:rsidRPr="00DD19F1">
        <w:t>.  Invoquant l</w:t>
      </w:r>
      <w:r w:rsidR="00DD19F1" w:rsidRPr="00DD19F1">
        <w:t>’</w:t>
      </w:r>
      <w:r w:rsidR="00DD596B" w:rsidRPr="00DD19F1">
        <w:t xml:space="preserve">article 6 § 1 de la Convention, </w:t>
      </w:r>
      <w:bookmarkStart w:id="6" w:name="_Hlk82074481"/>
      <w:r w:rsidR="00DD596B" w:rsidRPr="00DD19F1">
        <w:t xml:space="preserve">le requérant se plaint </w:t>
      </w:r>
      <w:bookmarkStart w:id="7" w:name="_Hlk36127488"/>
      <w:r w:rsidR="00DD596B" w:rsidRPr="00DD19F1">
        <w:t>que la cour d</w:t>
      </w:r>
      <w:r w:rsidR="00DD19F1" w:rsidRPr="00DD19F1">
        <w:t>’</w:t>
      </w:r>
      <w:r w:rsidR="00DD596B" w:rsidRPr="00DD19F1">
        <w:t>assises d</w:t>
      </w:r>
      <w:r w:rsidR="00DD19F1" w:rsidRPr="00DD19F1">
        <w:t>’</w:t>
      </w:r>
      <w:r w:rsidR="00DD596B" w:rsidRPr="00DD19F1">
        <w:t xml:space="preserve">appel de </w:t>
      </w:r>
      <w:proofErr w:type="spellStart"/>
      <w:r w:rsidR="00DD596B" w:rsidRPr="00DD19F1">
        <w:t>Reggio</w:t>
      </w:r>
      <w:proofErr w:type="spellEnd"/>
      <w:r w:rsidR="00DD596B" w:rsidRPr="00DD19F1">
        <w:t xml:space="preserve"> </w:t>
      </w:r>
      <w:proofErr w:type="spellStart"/>
      <w:r w:rsidR="00DD596B" w:rsidRPr="00DD19F1">
        <w:t>Calabria</w:t>
      </w:r>
      <w:proofErr w:type="spellEnd"/>
      <w:r w:rsidR="00DD596B" w:rsidRPr="00DD19F1">
        <w:t xml:space="preserve"> l</w:t>
      </w:r>
      <w:r w:rsidR="00DD19F1" w:rsidRPr="00DD19F1">
        <w:t>’</w:t>
      </w:r>
      <w:r w:rsidR="00DD596B" w:rsidRPr="00DD19F1">
        <w:t>ait déclaré coupable pour la première fois sans avoir entendu directement le principal témoin de l</w:t>
      </w:r>
      <w:r w:rsidR="00DD19F1" w:rsidRPr="00DD19F1">
        <w:t>’</w:t>
      </w:r>
      <w:r w:rsidR="00DD596B" w:rsidRPr="00DD19F1">
        <w:t>accusation</w:t>
      </w:r>
      <w:bookmarkEnd w:id="6"/>
      <w:bookmarkEnd w:id="7"/>
      <w:r w:rsidR="00DD596B" w:rsidRPr="00DD19F1">
        <w:t>, à savoir F.</w:t>
      </w:r>
    </w:p>
    <w:p w14:paraId="47126AA5" w14:textId="77777777" w:rsidR="00DD596B" w:rsidRPr="00DD19F1" w:rsidRDefault="00DD596B" w:rsidP="00DD19F1">
      <w:pPr>
        <w:pStyle w:val="JuHHead"/>
      </w:pPr>
      <w:r w:rsidRPr="00DD19F1">
        <w:t>EN DROIT</w:t>
      </w:r>
    </w:p>
    <w:p w14:paraId="289229A3" w14:textId="174758C1" w:rsidR="00DD596B" w:rsidRPr="00DD19F1" w:rsidRDefault="00DD596B" w:rsidP="00DD19F1">
      <w:pPr>
        <w:pStyle w:val="JuPara"/>
      </w:pPr>
      <w:r w:rsidRPr="00DD19F1">
        <w:rPr>
          <w:rStyle w:val="JuParaChar"/>
        </w:rPr>
        <w:fldChar w:fldCharType="begin"/>
      </w:r>
      <w:r w:rsidRPr="00DD19F1">
        <w:rPr>
          <w:rStyle w:val="JuParaChar"/>
        </w:rPr>
        <w:instrText xml:space="preserve"> SEQ level0 \*arabic \* MERGEFORMAT </w:instrText>
      </w:r>
      <w:r w:rsidRPr="00DD19F1">
        <w:rPr>
          <w:rStyle w:val="JuParaChar"/>
        </w:rPr>
        <w:fldChar w:fldCharType="separate"/>
      </w:r>
      <w:r w:rsidR="00DD19F1" w:rsidRPr="00DD19F1">
        <w:rPr>
          <w:rStyle w:val="JuParaChar"/>
          <w:noProof/>
        </w:rPr>
        <w:t>21</w:t>
      </w:r>
      <w:r w:rsidRPr="00DD19F1">
        <w:rPr>
          <w:rStyle w:val="JuParaChar"/>
        </w:rPr>
        <w:fldChar w:fldCharType="end"/>
      </w:r>
      <w:r w:rsidRPr="00DD19F1">
        <w:t>.  </w:t>
      </w:r>
      <w:bookmarkStart w:id="8" w:name="_Hlk83801415"/>
      <w:r w:rsidRPr="00DD19F1">
        <w:t>Le requérant invoque l</w:t>
      </w:r>
      <w:r w:rsidR="00DD19F1" w:rsidRPr="00DD19F1">
        <w:t>’</w:t>
      </w:r>
      <w:r w:rsidRPr="00DD19F1">
        <w:t>article 6 § 1 de la Convention, qui, en ses parties pertinentes, est ainsi libellé :</w:t>
      </w:r>
    </w:p>
    <w:p w14:paraId="0A54290F" w14:textId="77777777" w:rsidR="00DD596B" w:rsidRPr="00DD19F1" w:rsidRDefault="00DD596B" w:rsidP="00DD19F1">
      <w:pPr>
        <w:pStyle w:val="JuQuot"/>
      </w:pPr>
      <w:r w:rsidRPr="00DD19F1">
        <w:t>« Toute personne a droit à ce que sa cause soit entendue équitablement (...) par un tribunal (...) qui décidera (...) du bien-fondé de toute accusation en matière pénale dirigée contre elle. »</w:t>
      </w:r>
    </w:p>
    <w:bookmarkEnd w:id="8"/>
    <w:p w14:paraId="59B7EBEE" w14:textId="087F684B" w:rsidR="00DD596B" w:rsidRPr="00DD19F1" w:rsidRDefault="00DD596B" w:rsidP="00DD19F1">
      <w:pPr>
        <w:pStyle w:val="JuPara"/>
      </w:pPr>
      <w:r w:rsidRPr="00DD19F1">
        <w:fldChar w:fldCharType="begin"/>
      </w:r>
      <w:r w:rsidRPr="00DD19F1">
        <w:instrText xml:space="preserve"> SEQ level0 \*arabic </w:instrText>
      </w:r>
      <w:r w:rsidRPr="00DD19F1">
        <w:fldChar w:fldCharType="separate"/>
      </w:r>
      <w:r w:rsidR="00DD19F1" w:rsidRPr="00DD19F1">
        <w:rPr>
          <w:noProof/>
        </w:rPr>
        <w:t>22</w:t>
      </w:r>
      <w:r w:rsidRPr="00DD19F1">
        <w:fldChar w:fldCharType="end"/>
      </w:r>
      <w:r w:rsidRPr="00DD19F1">
        <w:t>.  </w:t>
      </w:r>
      <w:bookmarkStart w:id="9" w:name="_Hlk36127691"/>
      <w:r w:rsidRPr="00DD19F1">
        <w:t>Il considère que, avant de le condamner, la cour d</w:t>
      </w:r>
      <w:r w:rsidR="00DD19F1" w:rsidRPr="00DD19F1">
        <w:t>’</w:t>
      </w:r>
      <w:r w:rsidRPr="00DD19F1">
        <w:t>assises d</w:t>
      </w:r>
      <w:r w:rsidR="00DD19F1" w:rsidRPr="00DD19F1">
        <w:t>’</w:t>
      </w:r>
      <w:r w:rsidRPr="00DD19F1">
        <w:t>appel aurait dû entendre F., dont les déclarations avaient selon lui amené la juridiction de première instance à l</w:t>
      </w:r>
      <w:r w:rsidR="00DD19F1" w:rsidRPr="00DD19F1">
        <w:t>’</w:t>
      </w:r>
      <w:r w:rsidRPr="00DD19F1">
        <w:t>acquitter. Il cite la jurisprudence de la Cour découlant notamment de l</w:t>
      </w:r>
      <w:r w:rsidR="00DD19F1" w:rsidRPr="00DD19F1">
        <w:t>’</w:t>
      </w:r>
      <w:r w:rsidRPr="00DD19F1">
        <w:t xml:space="preserve">arrêt </w:t>
      </w:r>
      <w:bookmarkStart w:id="10" w:name="_Hlk93917458"/>
      <w:r w:rsidRPr="00DD19F1">
        <w:rPr>
          <w:i/>
          <w:iCs/>
        </w:rPr>
        <w:t>Dan c. Moldova</w:t>
      </w:r>
      <w:r w:rsidRPr="00DD19F1">
        <w:t xml:space="preserve"> </w:t>
      </w:r>
      <w:bookmarkEnd w:id="10"/>
      <w:r w:rsidR="00663662" w:rsidRPr="00DD19F1">
        <w:t>(n</w:t>
      </w:r>
      <w:r w:rsidR="00663662" w:rsidRPr="00DD19F1">
        <w:rPr>
          <w:vertAlign w:val="superscript"/>
        </w:rPr>
        <w:t>o</w:t>
      </w:r>
      <w:r w:rsidR="00663662" w:rsidRPr="00DD19F1">
        <w:t xml:space="preserve"> 8999/07, 5 juillet 2011) </w:t>
      </w:r>
      <w:r w:rsidRPr="00DD19F1">
        <w:t xml:space="preserve">et </w:t>
      </w:r>
      <w:proofErr w:type="spellStart"/>
      <w:r w:rsidRPr="00DD19F1">
        <w:rPr>
          <w:i/>
          <w:iCs/>
        </w:rPr>
        <w:t>Lorefice</w:t>
      </w:r>
      <w:proofErr w:type="spellEnd"/>
      <w:r w:rsidRPr="00DD19F1">
        <w:rPr>
          <w:i/>
          <w:iCs/>
        </w:rPr>
        <w:t xml:space="preserve"> </w:t>
      </w:r>
      <w:r w:rsidR="00663662" w:rsidRPr="00DD19F1">
        <w:t>(précité)</w:t>
      </w:r>
      <w:r w:rsidRPr="00DD19F1">
        <w:t>.</w:t>
      </w:r>
    </w:p>
    <w:p w14:paraId="7FE2EE3C" w14:textId="00CD7668"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23</w:t>
      </w:r>
      <w:r>
        <w:rPr>
          <w:noProof/>
        </w:rPr>
        <w:fldChar w:fldCharType="end"/>
      </w:r>
      <w:r w:rsidR="00DD596B" w:rsidRPr="00DD19F1">
        <w:t>.  Le Gouvernement affirme pour sa part que les différentes juridictions n</w:t>
      </w:r>
      <w:r w:rsidR="00DD19F1" w:rsidRPr="00DD19F1">
        <w:t>’</w:t>
      </w:r>
      <w:r w:rsidR="00DD596B" w:rsidRPr="00DD19F1">
        <w:t>ont jamais mis en doute la crédibilité de F., et qu</w:t>
      </w:r>
      <w:r w:rsidR="00DD19F1" w:rsidRPr="00DD19F1">
        <w:t>’</w:t>
      </w:r>
      <w:r w:rsidR="00DD596B" w:rsidRPr="00DD19F1">
        <w:t>elles ont toujours interprété ses déclarations de la même manière. Il ajoute que le requérant n</w:t>
      </w:r>
      <w:r w:rsidR="00DD19F1" w:rsidRPr="00DD19F1">
        <w:t>’</w:t>
      </w:r>
      <w:r w:rsidR="00DD596B" w:rsidRPr="00DD19F1">
        <w:t xml:space="preserve">a </w:t>
      </w:r>
      <w:r w:rsidR="00DD596B" w:rsidRPr="00DD19F1">
        <w:lastRenderedPageBreak/>
        <w:t>pas sollicité l</w:t>
      </w:r>
      <w:r w:rsidR="00DD19F1" w:rsidRPr="00DD19F1">
        <w:t>’</w:t>
      </w:r>
      <w:r w:rsidR="00DD596B" w:rsidRPr="00DD19F1">
        <w:t>audition de F. devant la cour d</w:t>
      </w:r>
      <w:r w:rsidR="00DD19F1" w:rsidRPr="00DD19F1">
        <w:t>’</w:t>
      </w:r>
      <w:r w:rsidR="00DD596B" w:rsidRPr="00DD19F1">
        <w:t>assises d</w:t>
      </w:r>
      <w:r w:rsidR="00DD19F1" w:rsidRPr="00DD19F1">
        <w:t>’</w:t>
      </w:r>
      <w:r w:rsidR="00DD596B" w:rsidRPr="00DD19F1">
        <w:t>appel et qu</w:t>
      </w:r>
      <w:r w:rsidR="00DD19F1" w:rsidRPr="00DD19F1">
        <w:t>’</w:t>
      </w:r>
      <w:r w:rsidR="00DD596B" w:rsidRPr="00DD19F1">
        <w:t>en outre, il avait expressément renoncé à l</w:t>
      </w:r>
      <w:r w:rsidR="00DD19F1" w:rsidRPr="00DD19F1">
        <w:t>’</w:t>
      </w:r>
      <w:r w:rsidR="00DD596B" w:rsidRPr="00DD19F1">
        <w:t>audition de ce témoin en première instance.</w:t>
      </w:r>
    </w:p>
    <w:p w14:paraId="3FDA7FC3" w14:textId="50F187EE"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24</w:t>
      </w:r>
      <w:r>
        <w:rPr>
          <w:noProof/>
        </w:rPr>
        <w:fldChar w:fldCharType="end"/>
      </w:r>
      <w:r w:rsidR="00DD596B" w:rsidRPr="00DD19F1">
        <w:t>.  Il précise que le témoignage de G. n</w:t>
      </w:r>
      <w:r w:rsidR="00DD19F1" w:rsidRPr="00DD19F1">
        <w:t>’</w:t>
      </w:r>
      <w:r w:rsidR="00DD596B" w:rsidRPr="00DD19F1">
        <w:t>a servi qu</w:t>
      </w:r>
      <w:r w:rsidR="00DD19F1" w:rsidRPr="00DD19F1">
        <w:t>’</w:t>
      </w:r>
      <w:r w:rsidR="00DD596B" w:rsidRPr="00DD19F1">
        <w:t>à confirmer la version des faits présentée par le témoin principal, et que c</w:t>
      </w:r>
      <w:r w:rsidR="00DD19F1" w:rsidRPr="00DD19F1">
        <w:t>’</w:t>
      </w:r>
      <w:r w:rsidR="00DD596B" w:rsidRPr="00DD19F1">
        <w:t>est en raison d</w:t>
      </w:r>
      <w:r w:rsidR="00DD19F1" w:rsidRPr="00DD19F1">
        <w:t>’</w:t>
      </w:r>
      <w:r w:rsidR="00DD596B" w:rsidRPr="00DD19F1">
        <w:t>une erreur d</w:t>
      </w:r>
      <w:r w:rsidR="00DD19F1" w:rsidRPr="00DD19F1">
        <w:t>’</w:t>
      </w:r>
      <w:r w:rsidR="00DD596B" w:rsidRPr="00DD19F1">
        <w:t>application des critères d</w:t>
      </w:r>
      <w:r w:rsidR="00DD19F1" w:rsidRPr="00DD19F1">
        <w:t>’</w:t>
      </w:r>
      <w:r w:rsidR="00DD596B" w:rsidRPr="00DD19F1">
        <w:t xml:space="preserve">évaluation des preuves établis par la loi et par </w:t>
      </w:r>
      <w:proofErr w:type="gramStart"/>
      <w:r w:rsidR="00DD596B" w:rsidRPr="00DD19F1">
        <w:t>la jurisprudence pertinentes</w:t>
      </w:r>
      <w:proofErr w:type="gramEnd"/>
      <w:r w:rsidR="00DD596B" w:rsidRPr="00DD19F1">
        <w:t xml:space="preserve"> que le juge de première instance ne l</w:t>
      </w:r>
      <w:r w:rsidR="00DD19F1" w:rsidRPr="00DD19F1">
        <w:t>’</w:t>
      </w:r>
      <w:r w:rsidR="00DD596B" w:rsidRPr="00DD19F1">
        <w:t>avait pas retenu. Il argue qu</w:t>
      </w:r>
      <w:r w:rsidR="00DD19F1" w:rsidRPr="00DD19F1">
        <w:t>’</w:t>
      </w:r>
      <w:r w:rsidR="00DD596B" w:rsidRPr="00DD19F1">
        <w:t>en tout état de cause, il était impossible d</w:t>
      </w:r>
      <w:r w:rsidR="00DD19F1" w:rsidRPr="00DD19F1">
        <w:t>’</w:t>
      </w:r>
      <w:r w:rsidR="00DD596B" w:rsidRPr="00DD19F1">
        <w:t>entendre à nouveau ce témoin, celui-ci étant décédé. Enfin, il affirme que la responsabilité pénale du requérant avait été établie par d</w:t>
      </w:r>
      <w:r w:rsidR="00DD19F1" w:rsidRPr="00DD19F1">
        <w:t>’</w:t>
      </w:r>
      <w:r w:rsidR="00DD596B" w:rsidRPr="00DD19F1">
        <w:t>autres éléments de l</w:t>
      </w:r>
      <w:r w:rsidR="00DD19F1" w:rsidRPr="00DD19F1">
        <w:t>’</w:t>
      </w:r>
      <w:r w:rsidR="00DD596B" w:rsidRPr="00DD19F1">
        <w:t>enquête qui prouvaient notamment que l</w:t>
      </w:r>
      <w:r w:rsidR="00DD19F1" w:rsidRPr="00DD19F1">
        <w:t>’</w:t>
      </w:r>
      <w:r w:rsidR="00DD596B" w:rsidRPr="00DD19F1">
        <w:t>intéressé avait tenté de se procurer un faux alibi.</w:t>
      </w:r>
    </w:p>
    <w:p w14:paraId="3C64415E" w14:textId="01E8448B" w:rsidR="00DD596B" w:rsidRPr="00DD19F1" w:rsidRDefault="00DD596B" w:rsidP="00DD19F1">
      <w:pPr>
        <w:pStyle w:val="JuPara"/>
      </w:pPr>
      <w:r w:rsidRPr="00DD19F1">
        <w:fldChar w:fldCharType="begin"/>
      </w:r>
      <w:r w:rsidRPr="00DD19F1">
        <w:instrText xml:space="preserve"> SEQ level0 \*arabic </w:instrText>
      </w:r>
      <w:r w:rsidRPr="00DD19F1">
        <w:fldChar w:fldCharType="separate"/>
      </w:r>
      <w:r w:rsidR="00DD19F1" w:rsidRPr="00DD19F1">
        <w:rPr>
          <w:noProof/>
        </w:rPr>
        <w:t>25</w:t>
      </w:r>
      <w:r w:rsidRPr="00DD19F1">
        <w:fldChar w:fldCharType="end"/>
      </w:r>
      <w:r w:rsidRPr="00DD19F1">
        <w:t>.  La Cour observe que la jurisprudence citée par le requérant établit le principe selon lequel lorsqu</w:t>
      </w:r>
      <w:r w:rsidR="00DD19F1" w:rsidRPr="00DD19F1">
        <w:t>’</w:t>
      </w:r>
      <w:r w:rsidRPr="00DD19F1">
        <w:t>une instance d</w:t>
      </w:r>
      <w:r w:rsidR="00DD19F1" w:rsidRPr="00DD19F1">
        <w:t>’</w:t>
      </w:r>
      <w:r w:rsidRPr="00DD19F1">
        <w:t>appel est amenée à connaître d</w:t>
      </w:r>
      <w:r w:rsidR="00DD19F1" w:rsidRPr="00DD19F1">
        <w:t>’</w:t>
      </w:r>
      <w:r w:rsidRPr="00DD19F1">
        <w:t>une affaire en fait et en droit et à étudier dans son ensemble la question de la culpabilité ou de l</w:t>
      </w:r>
      <w:r w:rsidR="00DD19F1" w:rsidRPr="00DD19F1">
        <w:t>’</w:t>
      </w:r>
      <w:r w:rsidRPr="00DD19F1">
        <w:t>innocence du justiciable mis en cause, l</w:t>
      </w:r>
      <w:r w:rsidR="00DD19F1" w:rsidRPr="00DD19F1">
        <w:t>’</w:t>
      </w:r>
      <w:r w:rsidRPr="00DD19F1">
        <w:t>équité du procès commande qu</w:t>
      </w:r>
      <w:r w:rsidR="00DD19F1" w:rsidRPr="00DD19F1">
        <w:t>’</w:t>
      </w:r>
      <w:r w:rsidRPr="00DD19F1">
        <w:t>elle ne décide pas de ces questions sans apprécier directement les témoignages décisifs qui ont été faits oralement devant le juge de première instance et qu</w:t>
      </w:r>
      <w:r w:rsidR="00DD19F1" w:rsidRPr="00DD19F1">
        <w:t>’</w:t>
      </w:r>
      <w:r w:rsidRPr="00DD19F1">
        <w:t>elle s</w:t>
      </w:r>
      <w:r w:rsidR="00DD19F1" w:rsidRPr="00DD19F1">
        <w:t>’</w:t>
      </w:r>
      <w:r w:rsidRPr="00DD19F1">
        <w:t>apprête à interpréter pour la première fois d</w:t>
      </w:r>
      <w:r w:rsidR="00DD19F1" w:rsidRPr="00DD19F1">
        <w:t>’</w:t>
      </w:r>
      <w:r w:rsidRPr="00DD19F1">
        <w:t>une manière défavorable à l</w:t>
      </w:r>
      <w:r w:rsidR="00DD19F1" w:rsidRPr="00DD19F1">
        <w:t>’</w:t>
      </w:r>
      <w:r w:rsidRPr="00DD19F1">
        <w:t>accusé (</w:t>
      </w:r>
      <w:r w:rsidRPr="00DD19F1">
        <w:rPr>
          <w:i/>
          <w:iCs/>
        </w:rPr>
        <w:t>Dan</w:t>
      </w:r>
      <w:r w:rsidRPr="00DD19F1">
        <w:t xml:space="preserve">, </w:t>
      </w:r>
      <w:r w:rsidR="00663662" w:rsidRPr="00DD19F1">
        <w:t xml:space="preserve">précité, </w:t>
      </w:r>
      <w:r w:rsidRPr="00DD19F1">
        <w:t>§ 30,</w:t>
      </w:r>
      <w:r w:rsidR="00663662" w:rsidRPr="00DD19F1">
        <w:t xml:space="preserve"> et</w:t>
      </w:r>
      <w:r w:rsidRPr="00DD19F1">
        <w:t xml:space="preserve"> </w:t>
      </w:r>
      <w:proofErr w:type="spellStart"/>
      <w:r w:rsidRPr="00DD19F1">
        <w:rPr>
          <w:i/>
          <w:iCs/>
        </w:rPr>
        <w:t>Lorefice</w:t>
      </w:r>
      <w:proofErr w:type="spellEnd"/>
      <w:r w:rsidRPr="00DD19F1">
        <w:t xml:space="preserve">, </w:t>
      </w:r>
      <w:bookmarkStart w:id="11" w:name="_Hlk95746925"/>
      <w:r w:rsidRPr="00DD19F1">
        <w:t>précité</w:t>
      </w:r>
      <w:bookmarkEnd w:id="11"/>
      <w:r w:rsidRPr="00DD19F1">
        <w:t>, § 36 ; voir également, parmi d</w:t>
      </w:r>
      <w:r w:rsidR="00DD19F1" w:rsidRPr="00DD19F1">
        <w:t>’</w:t>
      </w:r>
      <w:r w:rsidRPr="00DD19F1">
        <w:t xml:space="preserve">autres, </w:t>
      </w:r>
      <w:proofErr w:type="spellStart"/>
      <w:r w:rsidRPr="00DD19F1">
        <w:rPr>
          <w:i/>
          <w:iCs/>
        </w:rPr>
        <w:t>Găitănaru</w:t>
      </w:r>
      <w:proofErr w:type="spellEnd"/>
      <w:r w:rsidRPr="00DD19F1">
        <w:rPr>
          <w:i/>
          <w:iCs/>
        </w:rPr>
        <w:t xml:space="preserve"> c.</w:t>
      </w:r>
      <w:r w:rsidR="004571F1" w:rsidRPr="00DD19F1">
        <w:rPr>
          <w:i/>
          <w:iCs/>
        </w:rPr>
        <w:t> </w:t>
      </w:r>
      <w:r w:rsidRPr="00DD19F1">
        <w:rPr>
          <w:i/>
          <w:iCs/>
        </w:rPr>
        <w:t>Roumanie</w:t>
      </w:r>
      <w:r w:rsidRPr="00DD19F1">
        <w:t>, n</w:t>
      </w:r>
      <w:r w:rsidRPr="00DD19F1">
        <w:rPr>
          <w:vertAlign w:val="superscript"/>
        </w:rPr>
        <w:t>o</w:t>
      </w:r>
      <w:r w:rsidRPr="00DD19F1">
        <w:t xml:space="preserve"> 26082/05, 26 juin 2012,</w:t>
      </w:r>
      <w:r w:rsidR="00663662" w:rsidRPr="00DD19F1">
        <w:t xml:space="preserve"> et</w:t>
      </w:r>
      <w:r w:rsidRPr="00DD19F1">
        <w:t xml:space="preserve"> </w:t>
      </w:r>
      <w:proofErr w:type="spellStart"/>
      <w:r w:rsidRPr="00DD19F1">
        <w:rPr>
          <w:i/>
          <w:iCs/>
        </w:rPr>
        <w:t>Lazu</w:t>
      </w:r>
      <w:proofErr w:type="spellEnd"/>
      <w:r w:rsidRPr="00DD19F1">
        <w:rPr>
          <w:i/>
          <w:iCs/>
        </w:rPr>
        <w:t xml:space="preserve"> c. Moldova</w:t>
      </w:r>
      <w:r w:rsidRPr="00DD19F1">
        <w:t>, n</w:t>
      </w:r>
      <w:r w:rsidRPr="00DD19F1">
        <w:rPr>
          <w:vertAlign w:val="superscript"/>
        </w:rPr>
        <w:t>o</w:t>
      </w:r>
      <w:r w:rsidRPr="00DD19F1">
        <w:t xml:space="preserve"> 46182/08, 5</w:t>
      </w:r>
      <w:r w:rsidR="004571F1" w:rsidRPr="00DD19F1">
        <w:t> </w:t>
      </w:r>
      <w:r w:rsidRPr="00DD19F1">
        <w:t>juillet 2016). Ceux qui ont la responsabilité de décider de la culpabilité ou de l</w:t>
      </w:r>
      <w:r w:rsidR="00DD19F1" w:rsidRPr="00DD19F1">
        <w:t>’</w:t>
      </w:r>
      <w:r w:rsidRPr="00DD19F1">
        <w:t>innocence de l</w:t>
      </w:r>
      <w:r w:rsidR="00DD19F1" w:rsidRPr="00DD19F1">
        <w:t>’</w:t>
      </w:r>
      <w:r w:rsidRPr="00DD19F1">
        <w:t>accusé doivent, en principe, entendre les témoins en personne et évaluer leur crédibilité (</w:t>
      </w:r>
      <w:r w:rsidRPr="00DD19F1">
        <w:rPr>
          <w:i/>
          <w:iCs/>
        </w:rPr>
        <w:t>Dan</w:t>
      </w:r>
      <w:r w:rsidRPr="00DD19F1">
        <w:t xml:space="preserve">, précité, § 33, et </w:t>
      </w:r>
      <w:proofErr w:type="spellStart"/>
      <w:r w:rsidRPr="00DD19F1">
        <w:rPr>
          <w:i/>
          <w:iCs/>
        </w:rPr>
        <w:t>Lorefice</w:t>
      </w:r>
      <w:proofErr w:type="spellEnd"/>
      <w:r w:rsidRPr="00DD19F1">
        <w:t>, précité, §</w:t>
      </w:r>
      <w:r w:rsidR="004571F1" w:rsidRPr="00DD19F1">
        <w:t> </w:t>
      </w:r>
      <w:r w:rsidRPr="00DD19F1">
        <w:t>43).</w:t>
      </w:r>
    </w:p>
    <w:p w14:paraId="6D2C91B5" w14:textId="0F5F707E"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26</w:t>
      </w:r>
      <w:r>
        <w:rPr>
          <w:noProof/>
        </w:rPr>
        <w:fldChar w:fldCharType="end"/>
      </w:r>
      <w:r w:rsidR="00DD596B" w:rsidRPr="00DD19F1">
        <w:t>.  La Cour a néanmoins souligné que, bien qu</w:t>
      </w:r>
      <w:r w:rsidR="00DD19F1" w:rsidRPr="00DD19F1">
        <w:t>’</w:t>
      </w:r>
      <w:r w:rsidR="00DD596B" w:rsidRPr="00DD19F1">
        <w:t>il soit nécessaire que la juridiction qui condamne pour la première fois un inculpé apprécie directement les preuves sur lesquelles elle fonde sa décision, il ne s</w:t>
      </w:r>
      <w:r w:rsidR="00DD19F1" w:rsidRPr="00DD19F1">
        <w:t>’</w:t>
      </w:r>
      <w:r w:rsidR="00DD596B" w:rsidRPr="00DD19F1">
        <w:t>agit pas là d</w:t>
      </w:r>
      <w:r w:rsidR="00DD19F1" w:rsidRPr="00DD19F1">
        <w:t>’</w:t>
      </w:r>
      <w:r w:rsidR="00DD596B" w:rsidRPr="00DD19F1">
        <w:t>une règle automatique en vertu de laquelle un procès serait inéquitable dès lors que cette juridiction n</w:t>
      </w:r>
      <w:r w:rsidR="00DD19F1" w:rsidRPr="00DD19F1">
        <w:t>’</w:t>
      </w:r>
      <w:r w:rsidR="00DD596B" w:rsidRPr="00DD19F1">
        <w:t>a pas entendu tous les témoins mentionnés dans son arrêt et dont elle a dû apprécier la crédibilité. Il convient en effet de prendre en compte entre autres éléments la valeur probante des témoignages en cause (</w:t>
      </w:r>
      <w:r w:rsidR="00DD596B" w:rsidRPr="00DD19F1">
        <w:rPr>
          <w:i/>
          <w:iCs/>
        </w:rPr>
        <w:t>Chiper c. Roumanie</w:t>
      </w:r>
      <w:r w:rsidR="00DD596B" w:rsidRPr="00DD19F1">
        <w:t>, n</w:t>
      </w:r>
      <w:r w:rsidR="00DD596B" w:rsidRPr="00DD19F1">
        <w:rPr>
          <w:vertAlign w:val="superscript"/>
        </w:rPr>
        <w:t>o</w:t>
      </w:r>
      <w:r w:rsidR="00DD596B" w:rsidRPr="00DD19F1">
        <w:t xml:space="preserve"> 22036/10, § 63, 27 juin 2017). En outre, la Cour a déjà eu l</w:t>
      </w:r>
      <w:r w:rsidR="00DD19F1" w:rsidRPr="00DD19F1">
        <w:t>’</w:t>
      </w:r>
      <w:r w:rsidR="00DD596B" w:rsidRPr="00DD19F1">
        <w:t>occasion de dire qu</w:t>
      </w:r>
      <w:r w:rsidR="00DD19F1" w:rsidRPr="00DD19F1">
        <w:t>’</w:t>
      </w:r>
      <w:r w:rsidR="00DD596B" w:rsidRPr="00DD19F1">
        <w:t>un requérant qui renonce sans équivoque aux preuves orales, en sollicitant l</w:t>
      </w:r>
      <w:r w:rsidR="00DD19F1" w:rsidRPr="00DD19F1">
        <w:t>’</w:t>
      </w:r>
      <w:r w:rsidR="00DD596B" w:rsidRPr="00DD19F1">
        <w:t>adoption de la procédure abrégée et en acceptant ainsi de baser sa défense sur les pièces recueillies pendant les investigations préliminaires, ne saurait se plaindre d</w:t>
      </w:r>
      <w:r w:rsidR="00DD19F1" w:rsidRPr="00DD19F1">
        <w:t>’</w:t>
      </w:r>
      <w:r w:rsidR="00DD596B" w:rsidRPr="00DD19F1">
        <w:t>une violation du droit à un procès équitable en raison du fait que la juridiction d</w:t>
      </w:r>
      <w:r w:rsidR="00DD19F1" w:rsidRPr="00DD19F1">
        <w:t>’</w:t>
      </w:r>
      <w:r w:rsidR="00DD596B" w:rsidRPr="00DD19F1">
        <w:t xml:space="preserve">appel </w:t>
      </w:r>
      <w:bookmarkStart w:id="12" w:name="_Hlk83825032"/>
      <w:r w:rsidR="00DD596B" w:rsidRPr="00DD19F1">
        <w:t>n</w:t>
      </w:r>
      <w:r w:rsidR="00DD19F1" w:rsidRPr="00DD19F1">
        <w:t>’</w:t>
      </w:r>
      <w:r w:rsidR="00DD596B" w:rsidRPr="00DD19F1">
        <w:t>a pas convoqué et entendu des témoins qui n</w:t>
      </w:r>
      <w:r w:rsidR="00DD19F1" w:rsidRPr="00DD19F1">
        <w:t>’</w:t>
      </w:r>
      <w:r w:rsidR="00DD596B" w:rsidRPr="00DD19F1">
        <w:t xml:space="preserve">ont jamais comparu au procès </w:t>
      </w:r>
      <w:bookmarkEnd w:id="12"/>
      <w:r w:rsidR="00DD596B" w:rsidRPr="00DD19F1">
        <w:t xml:space="preserve">(voir, </w:t>
      </w:r>
      <w:bookmarkStart w:id="13" w:name="_Hlk83810097"/>
      <w:r w:rsidR="00DD596B" w:rsidRPr="00DD19F1">
        <w:rPr>
          <w:rFonts w:cstheme="minorHAnsi"/>
          <w:i/>
          <w:color w:val="000000"/>
        </w:rPr>
        <w:t xml:space="preserve">Di Martino et </w:t>
      </w:r>
      <w:proofErr w:type="spellStart"/>
      <w:r w:rsidR="00DD596B" w:rsidRPr="00DD19F1">
        <w:rPr>
          <w:rFonts w:cstheme="minorHAnsi"/>
          <w:i/>
          <w:color w:val="000000"/>
        </w:rPr>
        <w:t>Molinari</w:t>
      </w:r>
      <w:proofErr w:type="spellEnd"/>
      <w:r w:rsidR="00DD596B" w:rsidRPr="00DD19F1">
        <w:rPr>
          <w:rFonts w:cstheme="minorHAnsi"/>
          <w:color w:val="000000"/>
        </w:rPr>
        <w:t>, précité, §§ 36 et 37</w:t>
      </w:r>
      <w:bookmarkEnd w:id="13"/>
      <w:r w:rsidR="00DD596B" w:rsidRPr="00DD19F1">
        <w:rPr>
          <w:rFonts w:cstheme="minorHAnsi"/>
          <w:color w:val="000000"/>
        </w:rPr>
        <w:t>).</w:t>
      </w:r>
    </w:p>
    <w:p w14:paraId="61DEAF6F" w14:textId="7FDEDB74"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27</w:t>
      </w:r>
      <w:r>
        <w:rPr>
          <w:noProof/>
        </w:rPr>
        <w:fldChar w:fldCharType="end"/>
      </w:r>
      <w:r w:rsidR="00DD596B" w:rsidRPr="00DD19F1">
        <w:t>.  En l</w:t>
      </w:r>
      <w:r w:rsidR="00DD19F1" w:rsidRPr="00DD19F1">
        <w:t>’</w:t>
      </w:r>
      <w:r w:rsidR="00DD596B" w:rsidRPr="00DD19F1">
        <w:t>espèce, la cour d</w:t>
      </w:r>
      <w:r w:rsidR="00DD19F1" w:rsidRPr="00DD19F1">
        <w:t>’</w:t>
      </w:r>
      <w:r w:rsidR="00DD596B" w:rsidRPr="00DD19F1">
        <w:t>assises a acquitté le requérant en considérant que les règles applicables en matière d</w:t>
      </w:r>
      <w:r w:rsidR="00DD19F1" w:rsidRPr="00DD19F1">
        <w:t>’</w:t>
      </w:r>
      <w:r w:rsidR="00DD596B" w:rsidRPr="00DD19F1">
        <w:t>utilisation au procès des déclarations du coauteur de l</w:t>
      </w:r>
      <w:r w:rsidR="00DD19F1" w:rsidRPr="00DD19F1">
        <w:t>’</w:t>
      </w:r>
      <w:r w:rsidR="00DD596B" w:rsidRPr="00DD19F1">
        <w:t>infraction interdisaient de retenir les déclarations de F. bien que celles-ci fussent parfaitement crédibles et déterminantes pour établir la responsabilité de l</w:t>
      </w:r>
      <w:r w:rsidR="00DD19F1" w:rsidRPr="00DD19F1">
        <w:t>’</w:t>
      </w:r>
      <w:r w:rsidR="00DD596B" w:rsidRPr="00DD19F1">
        <w:t>intéressé. La cour d</w:t>
      </w:r>
      <w:r w:rsidR="00DD19F1" w:rsidRPr="00DD19F1">
        <w:t>’</w:t>
      </w:r>
      <w:r w:rsidR="00DD596B" w:rsidRPr="00DD19F1">
        <w:t>assises d</w:t>
      </w:r>
      <w:r w:rsidR="00DD19F1" w:rsidRPr="00DD19F1">
        <w:t>’</w:t>
      </w:r>
      <w:r w:rsidR="00DD596B" w:rsidRPr="00DD19F1">
        <w:t xml:space="preserve">appel a ensuite renversé le </w:t>
      </w:r>
      <w:r w:rsidR="00DD596B" w:rsidRPr="00DD19F1">
        <w:lastRenderedPageBreak/>
        <w:t>verdict de première instance en considérant au contraire que lesdites déclarations avaient été suffisamment corroborées par les autres éléments du procès et que dès lors, elles pouvaient, selon la jurisprudence de la Cour de cassation, être utilisées pour fonder la condamnation du requérant.</w:t>
      </w:r>
    </w:p>
    <w:p w14:paraId="36FD17B5" w14:textId="304C251D" w:rsidR="00DD596B" w:rsidRPr="00DD19F1" w:rsidRDefault="00C22872" w:rsidP="00DD19F1">
      <w:pPr>
        <w:pStyle w:val="JuPara"/>
        <w:rPr>
          <w:i/>
        </w:rPr>
      </w:pPr>
      <w:r>
        <w:rPr>
          <w:noProof/>
        </w:rPr>
        <w:fldChar w:fldCharType="begin"/>
      </w:r>
      <w:r>
        <w:rPr>
          <w:noProof/>
        </w:rPr>
        <w:instrText xml:space="preserve"> SEQ level0 \*arabic \* MERGEFORMAT </w:instrText>
      </w:r>
      <w:r>
        <w:rPr>
          <w:noProof/>
        </w:rPr>
        <w:fldChar w:fldCharType="separate"/>
      </w:r>
      <w:r w:rsidR="00DD19F1" w:rsidRPr="00DD19F1">
        <w:rPr>
          <w:noProof/>
        </w:rPr>
        <w:t>28</w:t>
      </w:r>
      <w:r>
        <w:rPr>
          <w:noProof/>
        </w:rPr>
        <w:fldChar w:fldCharType="end"/>
      </w:r>
      <w:r w:rsidR="00DD596B" w:rsidRPr="00DD19F1">
        <w:t>.  La Cour observe tout d</w:t>
      </w:r>
      <w:r w:rsidR="00DD19F1" w:rsidRPr="00DD19F1">
        <w:t>’</w:t>
      </w:r>
      <w:r w:rsidR="00DD596B" w:rsidRPr="00DD19F1">
        <w:t>abord que les déclarations de F. ont été recueillies dans le cadre d</w:t>
      </w:r>
      <w:r w:rsidR="00DD19F1" w:rsidRPr="00DD19F1">
        <w:t>’</w:t>
      </w:r>
      <w:r w:rsidR="00DD596B" w:rsidRPr="00DD19F1">
        <w:t xml:space="preserve">une audience </w:t>
      </w:r>
      <w:r w:rsidR="00DD596B" w:rsidRPr="00DD19F1">
        <w:rPr>
          <w:i/>
          <w:iCs/>
        </w:rPr>
        <w:t>ad hoc</w:t>
      </w:r>
      <w:r w:rsidR="00DD596B" w:rsidRPr="00DD19F1">
        <w:t xml:space="preserve"> tenue au cours des investigations préliminaires. Elle observe que la procédure de l</w:t>
      </w:r>
      <w:r w:rsidR="00DD19F1" w:rsidRPr="00DD19F1">
        <w:t>’</w:t>
      </w:r>
      <w:r w:rsidR="00DD596B" w:rsidRPr="00DD19F1">
        <w:t>incident probatoire prévue par l</w:t>
      </w:r>
      <w:r w:rsidR="00DD19F1" w:rsidRPr="00DD19F1">
        <w:t>’</w:t>
      </w:r>
      <w:r w:rsidR="00DD596B" w:rsidRPr="00DD19F1">
        <w:t xml:space="preserve">article 392 du CPP permet de recueillir une preuve orale devant le juge des investigations préliminaires, dans des circonstances spécifiques et à la demande des parties (voir, par exemple, </w:t>
      </w:r>
      <w:r w:rsidR="00DD596B" w:rsidRPr="00DD19F1">
        <w:rPr>
          <w:i/>
        </w:rPr>
        <w:t xml:space="preserve">Giuliani et </w:t>
      </w:r>
      <w:proofErr w:type="spellStart"/>
      <w:r w:rsidR="00DD596B" w:rsidRPr="00DD19F1">
        <w:rPr>
          <w:i/>
        </w:rPr>
        <w:t>Gaggio</w:t>
      </w:r>
      <w:proofErr w:type="spellEnd"/>
      <w:r w:rsidR="00DD596B" w:rsidRPr="00DD19F1">
        <w:rPr>
          <w:i/>
        </w:rPr>
        <w:t xml:space="preserve"> c. Italie</w:t>
      </w:r>
      <w:r w:rsidR="00DD596B" w:rsidRPr="00DD19F1">
        <w:t xml:space="preserve"> [GC], n</w:t>
      </w:r>
      <w:r w:rsidR="00DD596B" w:rsidRPr="00DD19F1">
        <w:rPr>
          <w:vertAlign w:val="superscript"/>
        </w:rPr>
        <w:t>o</w:t>
      </w:r>
      <w:r w:rsidR="00DD596B" w:rsidRPr="00DD19F1">
        <w:t xml:space="preserve"> 23458/02, § 57, CEDH 2011 (extraits), </w:t>
      </w:r>
      <w:proofErr w:type="spellStart"/>
      <w:r w:rsidR="00DD596B" w:rsidRPr="00DD19F1">
        <w:rPr>
          <w:i/>
        </w:rPr>
        <w:t>Sottani</w:t>
      </w:r>
      <w:proofErr w:type="spellEnd"/>
      <w:r w:rsidR="00DD596B" w:rsidRPr="00DD19F1">
        <w:rPr>
          <w:i/>
        </w:rPr>
        <w:t xml:space="preserve"> c. Italie </w:t>
      </w:r>
      <w:r w:rsidR="00DD596B" w:rsidRPr="00DD19F1">
        <w:t>(déc.), n</w:t>
      </w:r>
      <w:r w:rsidR="00DD596B" w:rsidRPr="00DD19F1">
        <w:rPr>
          <w:vertAlign w:val="superscript"/>
        </w:rPr>
        <w:t>o</w:t>
      </w:r>
      <w:r w:rsidR="00DD596B" w:rsidRPr="00DD19F1">
        <w:t xml:space="preserve"> 26775/02, CEDH 2005</w:t>
      </w:r>
      <w:r w:rsidR="00DD596B" w:rsidRPr="00DD19F1">
        <w:noBreakHyphen/>
        <w:t xml:space="preserve">III (extraits), et </w:t>
      </w:r>
      <w:r w:rsidR="00DD596B" w:rsidRPr="00DD19F1">
        <w:rPr>
          <w:i/>
        </w:rPr>
        <w:t>J.L. c. Italie</w:t>
      </w:r>
      <w:r w:rsidR="00DD596B" w:rsidRPr="00DD19F1">
        <w:rPr>
          <w:iCs/>
        </w:rPr>
        <w:t xml:space="preserve">, </w:t>
      </w:r>
      <w:r w:rsidR="00DD596B" w:rsidRPr="00DD19F1">
        <w:t>n</w:t>
      </w:r>
      <w:r w:rsidR="00DD596B" w:rsidRPr="00DD19F1">
        <w:rPr>
          <w:vertAlign w:val="superscript"/>
        </w:rPr>
        <w:t>o</w:t>
      </w:r>
      <w:r w:rsidR="00DD596B" w:rsidRPr="00DD19F1">
        <w:rPr>
          <w:iCs/>
        </w:rPr>
        <w:t xml:space="preserve"> 5671/16, §</w:t>
      </w:r>
      <w:r w:rsidR="004571F1" w:rsidRPr="00DD19F1">
        <w:rPr>
          <w:iCs/>
        </w:rPr>
        <w:t> </w:t>
      </w:r>
      <w:r w:rsidR="00DD596B" w:rsidRPr="00DD19F1">
        <w:rPr>
          <w:iCs/>
        </w:rPr>
        <w:t>131, 27 mai 2021</w:t>
      </w:r>
      <w:r w:rsidR="00DD596B" w:rsidRPr="00DD19F1">
        <w:t>). Les éléments de preuve ainsi recueillis, consignés dans un procès-verbal, sont versés au dossier d</w:t>
      </w:r>
      <w:r w:rsidR="00DD19F1" w:rsidRPr="00DD19F1">
        <w:t>’</w:t>
      </w:r>
      <w:r w:rsidR="00DD596B" w:rsidRPr="00DD19F1">
        <w:t>audience au sens de l</w:t>
      </w:r>
      <w:r w:rsidR="00DD19F1" w:rsidRPr="00DD19F1">
        <w:t>’</w:t>
      </w:r>
      <w:r w:rsidR="00DD596B" w:rsidRPr="00DD19F1">
        <w:t>article 431 du CPP et sont examinés pendant les débats en tant que preuves documentaires (voir paragraphes 1</w:t>
      </w:r>
      <w:r w:rsidR="000C45AC" w:rsidRPr="00DD19F1">
        <w:t>7</w:t>
      </w:r>
      <w:r w:rsidR="00DD596B" w:rsidRPr="00DD19F1">
        <w:t xml:space="preserve"> et 1</w:t>
      </w:r>
      <w:r w:rsidR="000C45AC" w:rsidRPr="00DD19F1">
        <w:t>8</w:t>
      </w:r>
      <w:r w:rsidR="00DD596B" w:rsidRPr="00DD19F1">
        <w:t xml:space="preserve"> ci-dessus).</w:t>
      </w:r>
    </w:p>
    <w:p w14:paraId="26834130" w14:textId="38D2FEE8" w:rsidR="00DD596B" w:rsidRPr="00DD19F1" w:rsidRDefault="00C22872" w:rsidP="00DD19F1">
      <w:pPr>
        <w:pStyle w:val="JuPara"/>
        <w:rPr>
          <w:i/>
        </w:rPr>
      </w:pPr>
      <w:r>
        <w:rPr>
          <w:noProof/>
        </w:rPr>
        <w:fldChar w:fldCharType="begin"/>
      </w:r>
      <w:r>
        <w:rPr>
          <w:noProof/>
        </w:rPr>
        <w:instrText xml:space="preserve"> SEQ level0 \*arabic \* MERGEFORMAT </w:instrText>
      </w:r>
      <w:r>
        <w:rPr>
          <w:noProof/>
        </w:rPr>
        <w:fldChar w:fldCharType="separate"/>
      </w:r>
      <w:r w:rsidR="00DD19F1" w:rsidRPr="00DD19F1">
        <w:rPr>
          <w:noProof/>
        </w:rPr>
        <w:t>29</w:t>
      </w:r>
      <w:r>
        <w:rPr>
          <w:noProof/>
        </w:rPr>
        <w:fldChar w:fldCharType="end"/>
      </w:r>
      <w:r w:rsidR="00DD596B" w:rsidRPr="00DD19F1">
        <w:t>.  </w:t>
      </w:r>
      <w:r w:rsidR="00DD596B" w:rsidRPr="00DD19F1">
        <w:rPr>
          <w:iCs/>
        </w:rPr>
        <w:t>Ainsi, en</w:t>
      </w:r>
      <w:r w:rsidR="00DD596B" w:rsidRPr="00DD19F1">
        <w:t xml:space="preserve"> l</w:t>
      </w:r>
      <w:r w:rsidR="00DD19F1" w:rsidRPr="00DD19F1">
        <w:t>’</w:t>
      </w:r>
      <w:r w:rsidR="00DD596B" w:rsidRPr="00DD19F1">
        <w:t>espèce, la cour d</w:t>
      </w:r>
      <w:r w:rsidR="00DD19F1" w:rsidRPr="00DD19F1">
        <w:t>’</w:t>
      </w:r>
      <w:r w:rsidR="00DD596B" w:rsidRPr="00DD19F1">
        <w:t>assises et la cour d</w:t>
      </w:r>
      <w:r w:rsidR="00DD19F1" w:rsidRPr="00DD19F1">
        <w:t>’</w:t>
      </w:r>
      <w:r w:rsidR="00DD596B" w:rsidRPr="00DD19F1">
        <w:t>assises d</w:t>
      </w:r>
      <w:r w:rsidR="00DD19F1" w:rsidRPr="00DD19F1">
        <w:t>’</w:t>
      </w:r>
      <w:r w:rsidR="00DD596B" w:rsidRPr="00DD19F1">
        <w:t>appel se sont toutes deux basées exclusivement sur la transcription de la déposition que F. avait rendu devant une autre instance, à savoir le juge de l</w:t>
      </w:r>
      <w:r w:rsidR="00DD19F1" w:rsidRPr="00DD19F1">
        <w:t>’</w:t>
      </w:r>
      <w:r w:rsidR="00DD596B" w:rsidRPr="00DD19F1">
        <w:t>audience préliminaire,</w:t>
      </w:r>
      <w:r w:rsidR="00DD596B" w:rsidRPr="00DD19F1">
        <w:rPr>
          <w:b/>
          <w:bCs/>
        </w:rPr>
        <w:t xml:space="preserve"> </w:t>
      </w:r>
      <w:r w:rsidR="00DD596B" w:rsidRPr="00DD19F1">
        <w:t>et qui avait été versée au dossier conformément au droit national (paragraphe 9 ci-dessus). Par conséquent, le procès du requérant ne reposait pas sur des preuves orales mais sur des preuves documentaires.</w:t>
      </w:r>
    </w:p>
    <w:p w14:paraId="61CE0994" w14:textId="79B0C2EE" w:rsidR="00DD596B" w:rsidRPr="00DD19F1" w:rsidRDefault="00DD596B" w:rsidP="00DD19F1">
      <w:pPr>
        <w:pStyle w:val="JuPara"/>
      </w:pPr>
      <w:r w:rsidRPr="00DD19F1">
        <w:t>Il s</w:t>
      </w:r>
      <w:r w:rsidR="00DD19F1" w:rsidRPr="00DD19F1">
        <w:t>’</w:t>
      </w:r>
      <w:r w:rsidRPr="00DD19F1">
        <w:t xml:space="preserve">ensuit que la présente affaire se distingue des affaires </w:t>
      </w:r>
      <w:r w:rsidRPr="00DD19F1">
        <w:rPr>
          <w:i/>
          <w:iCs/>
        </w:rPr>
        <w:t>Dan</w:t>
      </w:r>
      <w:r w:rsidRPr="00DD19F1">
        <w:t xml:space="preserve"> et </w:t>
      </w:r>
      <w:proofErr w:type="spellStart"/>
      <w:r w:rsidRPr="00DD19F1">
        <w:rPr>
          <w:i/>
          <w:iCs/>
        </w:rPr>
        <w:t>Lorefice</w:t>
      </w:r>
      <w:proofErr w:type="spellEnd"/>
      <w:r w:rsidRPr="00DD19F1">
        <w:t xml:space="preserve"> citées par le requérant, ainsi que des autres affaires similaires examinées par la Cour, dans lesquelles les juridictions de recours, avant de condamner les requérants, n</w:t>
      </w:r>
      <w:r w:rsidR="00DD19F1" w:rsidRPr="00DD19F1">
        <w:t>’</w:t>
      </w:r>
      <w:r w:rsidRPr="00DD19F1">
        <w:t>avaient pas convoqué et auditionné des témoins qui avaient été directement et oralement examinés par le juge de première instance.</w:t>
      </w:r>
    </w:p>
    <w:p w14:paraId="495A1C15" w14:textId="5B9CC9FC"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30</w:t>
      </w:r>
      <w:r>
        <w:rPr>
          <w:noProof/>
        </w:rPr>
        <w:fldChar w:fldCharType="end"/>
      </w:r>
      <w:r w:rsidR="00DD596B" w:rsidRPr="00DD19F1">
        <w:t>.  La Cour rappelle d</w:t>
      </w:r>
      <w:r w:rsidR="00DD19F1" w:rsidRPr="00DD19F1">
        <w:t>’</w:t>
      </w:r>
      <w:r w:rsidR="00DD596B" w:rsidRPr="00DD19F1">
        <w:t>ailleurs avoir déjà examiné l</w:t>
      </w:r>
      <w:r w:rsidR="00DD19F1" w:rsidRPr="00DD19F1">
        <w:t>’</w:t>
      </w:r>
      <w:r w:rsidR="00DD596B" w:rsidRPr="00DD19F1">
        <w:t>applicabilité des principes de jurisprudence qui se dégagent de l</w:t>
      </w:r>
      <w:r w:rsidR="00DD19F1" w:rsidRPr="00DD19F1">
        <w:t>’</w:t>
      </w:r>
      <w:r w:rsidR="00DD596B" w:rsidRPr="00DD19F1">
        <w:t xml:space="preserve">arrêt </w:t>
      </w:r>
      <w:r w:rsidR="00DD596B" w:rsidRPr="00DD19F1">
        <w:rPr>
          <w:i/>
          <w:iCs/>
        </w:rPr>
        <w:t>Dan</w:t>
      </w:r>
      <w:r w:rsidR="00DD596B" w:rsidRPr="00DD19F1">
        <w:t xml:space="preserve"> aux spécificités du droit italien, et avoir affirmé que ceux-ci ne trouvent pas à s</w:t>
      </w:r>
      <w:r w:rsidR="00DD19F1" w:rsidRPr="00DD19F1">
        <w:t>’</w:t>
      </w:r>
      <w:r w:rsidR="00DD596B" w:rsidRPr="00DD19F1">
        <w:t>appliquer dès lors que le juge de première instance ne fonde pas l</w:t>
      </w:r>
      <w:r w:rsidR="00DD19F1" w:rsidRPr="00DD19F1">
        <w:t>’</w:t>
      </w:r>
      <w:r w:rsidR="00DD596B" w:rsidRPr="00DD19F1">
        <w:t xml:space="preserve">acquittement sur des déclarations oralement acquises au cours des débats, mais se base sur la transcription des dépositions recueillies à un autre stade du procès (voir </w:t>
      </w:r>
      <w:r w:rsidR="00DD596B" w:rsidRPr="00DD19F1">
        <w:rPr>
          <w:i/>
          <w:iCs/>
        </w:rPr>
        <w:t>Di</w:t>
      </w:r>
      <w:r w:rsidR="00AD1B40" w:rsidRPr="00DD19F1">
        <w:rPr>
          <w:i/>
          <w:iCs/>
        </w:rPr>
        <w:t> </w:t>
      </w:r>
      <w:r w:rsidR="00DD596B" w:rsidRPr="00DD19F1">
        <w:rPr>
          <w:i/>
          <w:iCs/>
        </w:rPr>
        <w:t xml:space="preserve">Martino et </w:t>
      </w:r>
      <w:proofErr w:type="spellStart"/>
      <w:r w:rsidR="00DD596B" w:rsidRPr="00DD19F1">
        <w:rPr>
          <w:i/>
          <w:iCs/>
        </w:rPr>
        <w:t>Molinari</w:t>
      </w:r>
      <w:proofErr w:type="spellEnd"/>
      <w:r w:rsidR="00DD596B" w:rsidRPr="00DD19F1">
        <w:t>, précité, § 37, concernant la procédure abrégée, soit une procédure simplifiée dans laquelle le prévenu, en vue d</w:t>
      </w:r>
      <w:r w:rsidR="00DD19F1" w:rsidRPr="00DD19F1">
        <w:t>’</w:t>
      </w:r>
      <w:r w:rsidR="00DD596B" w:rsidRPr="00DD19F1">
        <w:t>obtenir une réduction de peine, accepte d</w:t>
      </w:r>
      <w:r w:rsidR="00DD19F1" w:rsidRPr="00DD19F1">
        <w:t>’</w:t>
      </w:r>
      <w:r w:rsidR="00DD596B" w:rsidRPr="00DD19F1">
        <w:t xml:space="preserve">être jugé sur la base des éléments de preuve recueillis par le parquet pendant les investigations préliminaires). </w:t>
      </w:r>
      <w:bookmarkStart w:id="14" w:name="_Hlk93918024"/>
      <w:r w:rsidR="00DD596B" w:rsidRPr="00DD19F1">
        <w:t>Aux yeux de la Cour, ce constat de non-applicabilité</w:t>
      </w:r>
      <w:r w:rsidR="00DD596B" w:rsidRPr="00DD19F1">
        <w:rPr>
          <w:b/>
          <w:bCs/>
        </w:rPr>
        <w:t xml:space="preserve"> </w:t>
      </w:r>
      <w:r w:rsidR="00DD596B" w:rsidRPr="00DD19F1">
        <w:t>est justifié également dans la procédure de l</w:t>
      </w:r>
      <w:r w:rsidR="00DD19F1" w:rsidRPr="00DD19F1">
        <w:t>’</w:t>
      </w:r>
      <w:r w:rsidR="00DD596B" w:rsidRPr="00DD19F1">
        <w:t>incident probatoire, où les dépositions des témoins sont recueillies, dans le but de préserver l</w:t>
      </w:r>
      <w:r w:rsidR="00DD19F1" w:rsidRPr="00DD19F1">
        <w:t>’</w:t>
      </w:r>
      <w:r w:rsidR="00DD596B" w:rsidRPr="00DD19F1">
        <w:t>authenticité et l</w:t>
      </w:r>
      <w:r w:rsidR="00DD19F1" w:rsidRPr="00DD19F1">
        <w:t>’</w:t>
      </w:r>
      <w:r w:rsidR="00DD596B" w:rsidRPr="00DD19F1">
        <w:t>intégrité de la preuve, à la présence du prévenu et des avocats de celui-ci et dans le respect du principe du contradictoire.</w:t>
      </w:r>
      <w:bookmarkEnd w:id="14"/>
    </w:p>
    <w:p w14:paraId="33E77E0E" w14:textId="738D3CFD"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31</w:t>
      </w:r>
      <w:r>
        <w:rPr>
          <w:noProof/>
        </w:rPr>
        <w:fldChar w:fldCharType="end"/>
      </w:r>
      <w:r w:rsidR="00DD596B" w:rsidRPr="00DD19F1">
        <w:t>.  Il s</w:t>
      </w:r>
      <w:r w:rsidR="00DD19F1" w:rsidRPr="00DD19F1">
        <w:t>’</w:t>
      </w:r>
      <w:r w:rsidR="00DD596B" w:rsidRPr="00DD19F1">
        <w:t>ensuit que l</w:t>
      </w:r>
      <w:r w:rsidR="00DD19F1" w:rsidRPr="00DD19F1">
        <w:t>’</w:t>
      </w:r>
      <w:r w:rsidR="00DD596B" w:rsidRPr="00DD19F1">
        <w:t>on ne saurait considérer que le fait que la cour d</w:t>
      </w:r>
      <w:r w:rsidR="00DD19F1" w:rsidRPr="00DD19F1">
        <w:t>’</w:t>
      </w:r>
      <w:r w:rsidR="00DD596B" w:rsidRPr="00DD19F1">
        <w:t>assises d</w:t>
      </w:r>
      <w:r w:rsidR="00DD19F1" w:rsidRPr="00DD19F1">
        <w:t>’</w:t>
      </w:r>
      <w:r w:rsidR="00DD596B" w:rsidRPr="00DD19F1">
        <w:t>appel n</w:t>
      </w:r>
      <w:r w:rsidR="00DD19F1" w:rsidRPr="00DD19F1">
        <w:t>’</w:t>
      </w:r>
      <w:r w:rsidR="00DD596B" w:rsidRPr="00DD19F1">
        <w:t xml:space="preserve">ait pas convoqué et entendu F. avant de renverser le </w:t>
      </w:r>
      <w:r w:rsidR="00DD596B" w:rsidRPr="00DD19F1">
        <w:lastRenderedPageBreak/>
        <w:t>verdict d</w:t>
      </w:r>
      <w:r w:rsidR="00DD19F1" w:rsidRPr="00DD19F1">
        <w:t>’</w:t>
      </w:r>
      <w:r w:rsidR="00DD596B" w:rsidRPr="00DD19F1">
        <w:t>acquittement du requérant soit constitutif en lui-même d</w:t>
      </w:r>
      <w:r w:rsidR="00DD19F1" w:rsidRPr="00DD19F1">
        <w:t>’</w:t>
      </w:r>
      <w:r w:rsidR="00DD596B" w:rsidRPr="00DD19F1">
        <w:t>une violation du droit à un procès équitable garanti par l</w:t>
      </w:r>
      <w:r w:rsidR="00DD19F1" w:rsidRPr="00DD19F1">
        <w:t>’</w:t>
      </w:r>
      <w:r w:rsidR="00DD596B" w:rsidRPr="00DD19F1">
        <w:t>article 6 § 1 de la Convention.</w:t>
      </w:r>
    </w:p>
    <w:bookmarkStart w:id="15" w:name="_Hlk94255866"/>
    <w:bookmarkStart w:id="16" w:name="_Hlk94261337"/>
    <w:p w14:paraId="52CFA548" w14:textId="39B38D53" w:rsidR="00DD596B" w:rsidRPr="00DD19F1" w:rsidRDefault="00DD596B" w:rsidP="00DD19F1">
      <w:pPr>
        <w:pStyle w:val="JuPara"/>
      </w:pPr>
      <w:r w:rsidRPr="00DD19F1">
        <w:fldChar w:fldCharType="begin"/>
      </w:r>
      <w:r w:rsidRPr="00DD19F1">
        <w:instrText xml:space="preserve"> SEQ level0 \*arabic \* MERGEFORMAT </w:instrText>
      </w:r>
      <w:r w:rsidRPr="00DD19F1">
        <w:fldChar w:fldCharType="separate"/>
      </w:r>
      <w:r w:rsidR="00DD19F1" w:rsidRPr="00DD19F1">
        <w:rPr>
          <w:noProof/>
        </w:rPr>
        <w:t>32</w:t>
      </w:r>
      <w:r w:rsidRPr="00DD19F1">
        <w:fldChar w:fldCharType="end"/>
      </w:r>
      <w:r w:rsidRPr="00DD19F1">
        <w:t>.  </w:t>
      </w:r>
      <w:bookmarkStart w:id="17" w:name="_Hlk94262105"/>
      <w:r w:rsidRPr="00DD19F1">
        <w:t>A titre surabondant, la Cour observe que, même en faisant abstraction de l</w:t>
      </w:r>
      <w:r w:rsidR="00DD19F1" w:rsidRPr="00DD19F1">
        <w:t>’</w:t>
      </w:r>
      <w:r w:rsidRPr="00DD19F1">
        <w:t>application de la procédure de l</w:t>
      </w:r>
      <w:r w:rsidR="00DD19F1" w:rsidRPr="00DD19F1">
        <w:t>’</w:t>
      </w:r>
      <w:r w:rsidRPr="00DD19F1">
        <w:t>incident probatoire et à supposer que la cour d</w:t>
      </w:r>
      <w:r w:rsidR="00DD19F1" w:rsidRPr="00DD19F1">
        <w:t>’</w:t>
      </w:r>
      <w:r w:rsidRPr="00DD19F1">
        <w:t>assises eut entendu F. aux débats, d</w:t>
      </w:r>
      <w:r w:rsidR="00DD19F1" w:rsidRPr="00DD19F1">
        <w:t>’</w:t>
      </w:r>
      <w:r w:rsidRPr="00DD19F1">
        <w:t>autres considérations auraient permis d</w:t>
      </w:r>
      <w:r w:rsidR="00DD19F1" w:rsidRPr="00DD19F1">
        <w:t>’</w:t>
      </w:r>
      <w:r w:rsidRPr="00DD19F1">
        <w:t>exclure une violation du droit à un procès équitable en l</w:t>
      </w:r>
      <w:r w:rsidR="00DD19F1" w:rsidRPr="00DD19F1">
        <w:t>’</w:t>
      </w:r>
      <w:r w:rsidRPr="00DD19F1">
        <w:t>espèce.</w:t>
      </w:r>
    </w:p>
    <w:p w14:paraId="4EEB34F4" w14:textId="507A71C3" w:rsidR="00DD596B" w:rsidRPr="00DD19F1" w:rsidRDefault="00DD596B" w:rsidP="00DD19F1">
      <w:pPr>
        <w:pStyle w:val="JuPara"/>
        <w:rPr>
          <w:b/>
          <w:bCs/>
        </w:rPr>
      </w:pPr>
      <w:r w:rsidRPr="00DD19F1">
        <w:t>Tout d</w:t>
      </w:r>
      <w:r w:rsidR="00DD19F1" w:rsidRPr="00DD19F1">
        <w:t>’</w:t>
      </w:r>
      <w:r w:rsidRPr="00DD19F1">
        <w:t>abord,</w:t>
      </w:r>
      <w:r w:rsidRPr="00DD19F1">
        <w:rPr>
          <w:b/>
          <w:bCs/>
        </w:rPr>
        <w:t xml:space="preserve"> </w:t>
      </w:r>
      <w:r w:rsidRPr="00DD19F1">
        <w:t>la cour d</w:t>
      </w:r>
      <w:r w:rsidR="00DD19F1" w:rsidRPr="00DD19F1">
        <w:t>’</w:t>
      </w:r>
      <w:r w:rsidRPr="00DD19F1">
        <w:t>assises d</w:t>
      </w:r>
      <w:r w:rsidR="00DD19F1" w:rsidRPr="00DD19F1">
        <w:t>’</w:t>
      </w:r>
      <w:r w:rsidRPr="00DD19F1">
        <w:t>appel ne s</w:t>
      </w:r>
      <w:r w:rsidR="00DD19F1" w:rsidRPr="00DD19F1">
        <w:t>’</w:t>
      </w:r>
      <w:r w:rsidRPr="00DD19F1">
        <w:t>est pas livrée à une nouvelle interprétation des déclarations de F., et elle n</w:t>
      </w:r>
      <w:r w:rsidR="00DD19F1" w:rsidRPr="00DD19F1">
        <w:t>’</w:t>
      </w:r>
      <w:r w:rsidRPr="00DD19F1">
        <w:t>a pas jugé différemment sa crédibilité, laquelle n</w:t>
      </w:r>
      <w:r w:rsidR="00DD19F1" w:rsidRPr="00DD19F1">
        <w:t>’</w:t>
      </w:r>
      <w:r w:rsidRPr="00DD19F1">
        <w:t>a jamais été mise en doute pendant le procès.</w:t>
      </w:r>
      <w:bookmarkEnd w:id="15"/>
      <w:r w:rsidRPr="00DD19F1">
        <w:t xml:space="preserve"> La Cour observe que la juridiction de première instance et la juridiction de recours ont jugé en revanche de manière différente la crédibilité de G., dont les déclarations ont été déterminantes pour fonder la condamnation du requérant en appel au vu des dispositions de loi en matière d</w:t>
      </w:r>
      <w:r w:rsidR="00DD19F1" w:rsidRPr="00DD19F1">
        <w:t>’</w:t>
      </w:r>
      <w:r w:rsidRPr="00DD19F1">
        <w:t>utilisation des déclarations du coauteur de l</w:t>
      </w:r>
      <w:r w:rsidR="00DD19F1" w:rsidRPr="00DD19F1">
        <w:t>’</w:t>
      </w:r>
      <w:r w:rsidRPr="00DD19F1">
        <w:t>infraction</w:t>
      </w:r>
      <w:r w:rsidRPr="00DD19F1">
        <w:rPr>
          <w:b/>
          <w:bCs/>
        </w:rPr>
        <w:t xml:space="preserve"> </w:t>
      </w:r>
      <w:r w:rsidRPr="00DD19F1">
        <w:t>(paragraphes 11 et</w:t>
      </w:r>
      <w:r w:rsidRPr="00DD19F1">
        <w:rPr>
          <w:b/>
          <w:bCs/>
        </w:rPr>
        <w:t xml:space="preserve"> </w:t>
      </w:r>
      <w:r w:rsidRPr="00DD19F1">
        <w:t>12 ci-dessus). Or, ce témoin n</w:t>
      </w:r>
      <w:r w:rsidR="00DD19F1" w:rsidRPr="00DD19F1">
        <w:t>’</w:t>
      </w:r>
      <w:r w:rsidRPr="00DD19F1">
        <w:t>a pas pu être entendu aux débats en raison de son décès et, en tout état de cause, l</w:t>
      </w:r>
      <w:r w:rsidR="00DD19F1" w:rsidRPr="00DD19F1">
        <w:t>’</w:t>
      </w:r>
      <w:r w:rsidRPr="00DD19F1">
        <w:t>utilisation des dépositions rendues par celui-ci au cours des investigations préliminaires n</w:t>
      </w:r>
      <w:r w:rsidR="00DD19F1" w:rsidRPr="00DD19F1">
        <w:t>’</w:t>
      </w:r>
      <w:r w:rsidRPr="00DD19F1">
        <w:t>a jamais été contestée par le requérant.</w:t>
      </w:r>
    </w:p>
    <w:bookmarkEnd w:id="16"/>
    <w:bookmarkEnd w:id="17"/>
    <w:p w14:paraId="62E8BFE4" w14:textId="77B6E835" w:rsidR="00DD596B" w:rsidRPr="00DD19F1" w:rsidRDefault="00DD596B" w:rsidP="00DD19F1">
      <w:pPr>
        <w:pStyle w:val="JuPara"/>
      </w:pPr>
      <w:r w:rsidRPr="00DD19F1">
        <w:fldChar w:fldCharType="begin"/>
      </w:r>
      <w:r w:rsidRPr="00DD19F1">
        <w:instrText xml:space="preserve"> SEQ level0 \*arabic \* MERGEFORMAT </w:instrText>
      </w:r>
      <w:r w:rsidRPr="00DD19F1">
        <w:fldChar w:fldCharType="separate"/>
      </w:r>
      <w:r w:rsidR="00DD19F1" w:rsidRPr="00DD19F1">
        <w:rPr>
          <w:noProof/>
        </w:rPr>
        <w:t>33</w:t>
      </w:r>
      <w:r w:rsidRPr="00DD19F1">
        <w:fldChar w:fldCharType="end"/>
      </w:r>
      <w:r w:rsidRPr="00DD19F1">
        <w:t>.  En outre, la cour d</w:t>
      </w:r>
      <w:r w:rsidR="00DD19F1" w:rsidRPr="00DD19F1">
        <w:t>’</w:t>
      </w:r>
      <w:r w:rsidRPr="00DD19F1">
        <w:t>assises d</w:t>
      </w:r>
      <w:r w:rsidR="00DD19F1" w:rsidRPr="00DD19F1">
        <w:t>’</w:t>
      </w:r>
      <w:r w:rsidRPr="00DD19F1">
        <w:t>appel a fondé son verdict quant à la culpabilité du requérant sur d</w:t>
      </w:r>
      <w:r w:rsidR="00DD19F1" w:rsidRPr="00DD19F1">
        <w:t>’</w:t>
      </w:r>
      <w:r w:rsidRPr="00DD19F1">
        <w:t>autres éléments de preuves à charge, ayant trait notamment à la création d</w:t>
      </w:r>
      <w:r w:rsidR="00DD19F1" w:rsidRPr="00DD19F1">
        <w:t>’</w:t>
      </w:r>
      <w:r w:rsidRPr="00DD19F1">
        <w:t>un faux alibi, vis-à-vis desquels le requérant a pu exercer ses droits de défense (paragraphe 1</w:t>
      </w:r>
      <w:r w:rsidR="00004C5F" w:rsidRPr="00DD19F1">
        <w:t>2</w:t>
      </w:r>
      <w:r w:rsidRPr="00DD19F1">
        <w:t xml:space="preserve"> ci-dessus). Il appartenait à la juridiction nationale d</w:t>
      </w:r>
      <w:r w:rsidR="00DD19F1" w:rsidRPr="00DD19F1">
        <w:t>’</w:t>
      </w:r>
      <w:r w:rsidRPr="00DD19F1">
        <w:t>apprécier les divers éléments de preuve recueillis et d</w:t>
      </w:r>
      <w:r w:rsidR="00DD19F1" w:rsidRPr="00DD19F1">
        <w:t>’</w:t>
      </w:r>
      <w:r w:rsidRPr="00DD19F1">
        <w:t>appliquer les principes de jurisprudence interne applicables en matière d</w:t>
      </w:r>
      <w:r w:rsidR="00DD19F1" w:rsidRPr="00DD19F1">
        <w:t>’</w:t>
      </w:r>
      <w:r w:rsidRPr="00DD19F1">
        <w:t>utilisation des preuves dans le cadre du procès (</w:t>
      </w:r>
      <w:r w:rsidRPr="00DD19F1">
        <w:rPr>
          <w:i/>
          <w:iCs/>
        </w:rPr>
        <w:t>Vidal c. Belgique</w:t>
      </w:r>
      <w:r w:rsidRPr="00DD19F1">
        <w:t>, 22 avril 1992, § 33, série A n</w:t>
      </w:r>
      <w:r w:rsidRPr="00DD19F1">
        <w:rPr>
          <w:vertAlign w:val="superscript"/>
        </w:rPr>
        <w:t>o</w:t>
      </w:r>
      <w:r w:rsidRPr="00DD19F1">
        <w:t xml:space="preserve"> 235‑B).</w:t>
      </w:r>
    </w:p>
    <w:p w14:paraId="3CF512CB" w14:textId="2651D60C" w:rsidR="00DD596B" w:rsidRPr="00DD19F1" w:rsidRDefault="00C22872" w:rsidP="00DD19F1">
      <w:pPr>
        <w:pStyle w:val="JuPara"/>
      </w:pPr>
      <w:r>
        <w:rPr>
          <w:noProof/>
        </w:rPr>
        <w:fldChar w:fldCharType="begin"/>
      </w:r>
      <w:r>
        <w:rPr>
          <w:noProof/>
        </w:rPr>
        <w:instrText xml:space="preserve"> SEQ level0 \*arabic \* MERGEFORMAT </w:instrText>
      </w:r>
      <w:r>
        <w:rPr>
          <w:noProof/>
        </w:rPr>
        <w:fldChar w:fldCharType="separate"/>
      </w:r>
      <w:r w:rsidR="00DD19F1" w:rsidRPr="00DD19F1">
        <w:rPr>
          <w:noProof/>
        </w:rPr>
        <w:t>34</w:t>
      </w:r>
      <w:r>
        <w:rPr>
          <w:noProof/>
        </w:rPr>
        <w:fldChar w:fldCharType="end"/>
      </w:r>
      <w:r w:rsidR="00DD596B" w:rsidRPr="00DD19F1">
        <w:t>.  </w:t>
      </w:r>
      <w:bookmarkStart w:id="18" w:name="_Hlk94255714"/>
      <w:r w:rsidR="00DD596B" w:rsidRPr="00DD19F1">
        <w:t>Enfin le requérant ayant renoncé expressément à son droit à obtenir la convocation de F. aux débats (paragraphe 1</w:t>
      </w:r>
      <w:r w:rsidR="00004C5F" w:rsidRPr="00DD19F1">
        <w:t>0</w:t>
      </w:r>
      <w:r w:rsidR="00DD596B" w:rsidRPr="00DD19F1">
        <w:t xml:space="preserve"> ci-dessus), il ne saurait se plaindre devant la Cour de l</w:t>
      </w:r>
      <w:r w:rsidR="00DD19F1" w:rsidRPr="00DD19F1">
        <w:t>’</w:t>
      </w:r>
      <w:r w:rsidR="00DD596B" w:rsidRPr="00DD19F1">
        <w:t>utilisation à titre de preuve de déclarations faites par ce témoin avant le procès et de l</w:t>
      </w:r>
      <w:r w:rsidR="00DD19F1" w:rsidRPr="00DD19F1">
        <w:t>’</w:t>
      </w:r>
      <w:r w:rsidR="00DD596B" w:rsidRPr="00DD19F1">
        <w:t>impossibilité de se confronter avec lui en la présence du juge qui a en définitive jugé l</w:t>
      </w:r>
      <w:r w:rsidR="00DD19F1" w:rsidRPr="00DD19F1">
        <w:t>’</w:t>
      </w:r>
      <w:r w:rsidR="00DD596B" w:rsidRPr="00DD19F1">
        <w:t>affaire (</w:t>
      </w:r>
      <w:r w:rsidR="00DD596B" w:rsidRPr="00DD19F1">
        <w:rPr>
          <w:i/>
          <w:iCs/>
        </w:rPr>
        <w:t>mutatis mutandis</w:t>
      </w:r>
      <w:r w:rsidR="00DD596B" w:rsidRPr="00DD19F1">
        <w:t xml:space="preserve">, </w:t>
      </w:r>
      <w:r w:rsidR="00DD596B" w:rsidRPr="00DD19F1">
        <w:rPr>
          <w:i/>
          <w:iCs/>
        </w:rPr>
        <w:t xml:space="preserve">P.K. c. </w:t>
      </w:r>
      <w:proofErr w:type="spellStart"/>
      <w:r w:rsidR="00DD596B" w:rsidRPr="00DD19F1">
        <w:rPr>
          <w:i/>
          <w:iCs/>
        </w:rPr>
        <w:t>Finland</w:t>
      </w:r>
      <w:proofErr w:type="spellEnd"/>
      <w:r w:rsidR="00DD596B" w:rsidRPr="00DD19F1">
        <w:t xml:space="preserve"> (</w:t>
      </w:r>
      <w:proofErr w:type="spellStart"/>
      <w:r w:rsidR="00DD596B" w:rsidRPr="00DD19F1">
        <w:t>dec</w:t>
      </w:r>
      <w:proofErr w:type="spellEnd"/>
      <w:r w:rsidR="00DD596B" w:rsidRPr="00DD19F1">
        <w:t>.), n</w:t>
      </w:r>
      <w:r w:rsidR="00DD596B" w:rsidRPr="00DD19F1">
        <w:rPr>
          <w:vertAlign w:val="superscript"/>
        </w:rPr>
        <w:t>o</w:t>
      </w:r>
      <w:r w:rsidR="00DD596B" w:rsidRPr="00DD19F1">
        <w:t xml:space="preserve"> 37442/97, 9 juillet 2002, </w:t>
      </w:r>
      <w:proofErr w:type="spellStart"/>
      <w:r w:rsidR="00DD596B" w:rsidRPr="00DD19F1">
        <w:rPr>
          <w:i/>
        </w:rPr>
        <w:t>Graviano</w:t>
      </w:r>
      <w:proofErr w:type="spellEnd"/>
      <w:r w:rsidR="00DD596B" w:rsidRPr="00DD19F1">
        <w:rPr>
          <w:i/>
        </w:rPr>
        <w:t xml:space="preserve"> c. Italie</w:t>
      </w:r>
      <w:r w:rsidR="00DD596B" w:rsidRPr="00DD19F1">
        <w:t>, n</w:t>
      </w:r>
      <w:r w:rsidR="00DD596B" w:rsidRPr="00DD19F1">
        <w:rPr>
          <w:vertAlign w:val="superscript"/>
        </w:rPr>
        <w:t>o</w:t>
      </w:r>
      <w:r w:rsidR="004571F1" w:rsidRPr="00DD19F1">
        <w:rPr>
          <w:vertAlign w:val="superscript"/>
        </w:rPr>
        <w:t> </w:t>
      </w:r>
      <w:r w:rsidR="00DD596B" w:rsidRPr="00DD19F1">
        <w:t xml:space="preserve">10075/02, § 38, 10 février 2005, et </w:t>
      </w:r>
      <w:proofErr w:type="spellStart"/>
      <w:r w:rsidR="00DD596B" w:rsidRPr="00DD19F1">
        <w:rPr>
          <w:i/>
        </w:rPr>
        <w:t>Cutean</w:t>
      </w:r>
      <w:proofErr w:type="spellEnd"/>
      <w:r w:rsidR="00DD596B" w:rsidRPr="00DD19F1">
        <w:rPr>
          <w:i/>
        </w:rPr>
        <w:t xml:space="preserve"> c. Roumanie</w:t>
      </w:r>
      <w:r w:rsidR="00DD596B" w:rsidRPr="00DD19F1">
        <w:t>, n</w:t>
      </w:r>
      <w:r w:rsidR="00DD596B" w:rsidRPr="00DD19F1">
        <w:rPr>
          <w:vertAlign w:val="superscript"/>
        </w:rPr>
        <w:t>o</w:t>
      </w:r>
      <w:r w:rsidR="00DD596B" w:rsidRPr="00DD19F1">
        <w:t xml:space="preserve"> 53150/12, § 61, 2 décembre 2014).</w:t>
      </w:r>
    </w:p>
    <w:bookmarkEnd w:id="18"/>
    <w:p w14:paraId="20DEBA62" w14:textId="42A97F7B" w:rsidR="00DD596B" w:rsidRPr="00DD19F1" w:rsidRDefault="00DD596B" w:rsidP="00DD19F1">
      <w:pPr>
        <w:pStyle w:val="JuPara"/>
      </w:pPr>
      <w:r w:rsidRPr="00DD19F1">
        <w:fldChar w:fldCharType="begin"/>
      </w:r>
      <w:r w:rsidRPr="00DD19F1">
        <w:instrText xml:space="preserve"> SEQ level0 \*arabic \* MERGEFORMAT </w:instrText>
      </w:r>
      <w:r w:rsidRPr="00DD19F1">
        <w:fldChar w:fldCharType="separate"/>
      </w:r>
      <w:r w:rsidR="00DD19F1" w:rsidRPr="00DD19F1">
        <w:rPr>
          <w:noProof/>
        </w:rPr>
        <w:t>35</w:t>
      </w:r>
      <w:r w:rsidRPr="00DD19F1">
        <w:fldChar w:fldCharType="end"/>
      </w:r>
      <w:r w:rsidRPr="00DD19F1">
        <w:t>.  Les considérations qui précèdent sont suffisantes pour permettre à la Cour de conclure que la procédure pénale, prise dans son ensemble, n</w:t>
      </w:r>
      <w:r w:rsidR="00DD19F1" w:rsidRPr="00DD19F1">
        <w:t>’</w:t>
      </w:r>
      <w:r w:rsidRPr="00DD19F1">
        <w:t>a pas emporté violation du droit du requérant à un procès équitable.</w:t>
      </w:r>
    </w:p>
    <w:bookmarkEnd w:id="9"/>
    <w:p w14:paraId="1BA103C4" w14:textId="0CBDDBAB" w:rsidR="00DD596B" w:rsidRPr="00DD19F1" w:rsidRDefault="00DD596B" w:rsidP="00DD19F1">
      <w:pPr>
        <w:pStyle w:val="JuPara"/>
      </w:pPr>
      <w:r w:rsidRPr="00DD19F1">
        <w:fldChar w:fldCharType="begin"/>
      </w:r>
      <w:r w:rsidRPr="00DD19F1">
        <w:instrText xml:space="preserve"> SEQ level0 \*arabic \* MERGEFORMAT </w:instrText>
      </w:r>
      <w:r w:rsidRPr="00DD19F1">
        <w:fldChar w:fldCharType="separate"/>
      </w:r>
      <w:r w:rsidR="00DD19F1" w:rsidRPr="00DD19F1">
        <w:rPr>
          <w:noProof/>
        </w:rPr>
        <w:t>36</w:t>
      </w:r>
      <w:r w:rsidRPr="00DD19F1">
        <w:fldChar w:fldCharType="end"/>
      </w:r>
      <w:r w:rsidRPr="00DD19F1">
        <w:t>.  Eu égard à l</w:t>
      </w:r>
      <w:r w:rsidR="00DD19F1" w:rsidRPr="00DD19F1">
        <w:t>’</w:t>
      </w:r>
      <w:r w:rsidRPr="00DD19F1">
        <w:t>ensemble de ce qui précède, la Cour conclut que la requête est manifestement mal fondée et doit être rejetée, en application de l</w:t>
      </w:r>
      <w:r w:rsidR="00DD19F1" w:rsidRPr="00DD19F1">
        <w:t>’</w:t>
      </w:r>
      <w:r w:rsidRPr="00DD19F1">
        <w:t>article 35 §§ 3 a) et 4 de la Convention.</w:t>
      </w:r>
    </w:p>
    <w:p w14:paraId="0B1A3898" w14:textId="38AEDE6D" w:rsidR="00DD596B" w:rsidRPr="00DD19F1" w:rsidRDefault="00DD596B" w:rsidP="00DD19F1">
      <w:pPr>
        <w:pStyle w:val="JuParaLast"/>
      </w:pPr>
      <w:bookmarkStart w:id="19" w:name="_Hlk70067019"/>
      <w:r w:rsidRPr="00DD19F1">
        <w:t xml:space="preserve">Par ces motifs, la Cour, </w:t>
      </w:r>
      <w:bookmarkEnd w:id="19"/>
      <w:r w:rsidRPr="00DD19F1">
        <w:t>à l</w:t>
      </w:r>
      <w:r w:rsidR="00DD19F1" w:rsidRPr="00DD19F1">
        <w:t>’</w:t>
      </w:r>
      <w:r w:rsidRPr="00DD19F1">
        <w:t>unanimité,</w:t>
      </w:r>
    </w:p>
    <w:p w14:paraId="07F9D027" w14:textId="77777777" w:rsidR="00DD596B" w:rsidRPr="00DD19F1" w:rsidRDefault="00DD596B" w:rsidP="00DD19F1">
      <w:pPr>
        <w:pStyle w:val="JuList"/>
        <w:numPr>
          <w:ilvl w:val="0"/>
          <w:numId w:val="0"/>
        </w:numPr>
        <w:ind w:left="340" w:hanging="56"/>
      </w:pPr>
      <w:r w:rsidRPr="00DD19F1">
        <w:rPr>
          <w:i/>
        </w:rPr>
        <w:t>Déclare</w:t>
      </w:r>
      <w:r w:rsidRPr="00DD19F1">
        <w:t xml:space="preserve"> la requête irrecevable.</w:t>
      </w:r>
    </w:p>
    <w:p w14:paraId="15B30CBC" w14:textId="51C05E93" w:rsidR="00050A32" w:rsidRPr="00DD19F1" w:rsidRDefault="00F40988" w:rsidP="00DD19F1">
      <w:pPr>
        <w:pStyle w:val="JuParaLast"/>
        <w:rPr>
          <w:sz w:val="14"/>
        </w:rPr>
      </w:pPr>
      <w:r w:rsidRPr="00DD19F1">
        <w:lastRenderedPageBreak/>
        <w:t xml:space="preserve">Fait en français puis communiqué par écrit le </w:t>
      </w:r>
      <w:r w:rsidR="00DD596B" w:rsidRPr="00DD19F1">
        <w:t>24 février 2022</w:t>
      </w:r>
      <w:r w:rsidRPr="00DD19F1">
        <w:t>.</w:t>
      </w:r>
    </w:p>
    <w:p w14:paraId="7FC5D8F9" w14:textId="2D8F3BB6" w:rsidR="00234E8A" w:rsidRPr="00DD19F1" w:rsidRDefault="00050A32" w:rsidP="00DD19F1">
      <w:pPr>
        <w:pStyle w:val="JuSigned"/>
      </w:pPr>
      <w:r w:rsidRPr="00DD19F1">
        <w:tab/>
      </w:r>
      <w:r w:rsidR="007768EA" w:rsidRPr="00DD19F1">
        <w:rPr>
          <w:rFonts w:ascii="Times New Roman" w:hAnsi="Times New Roman" w:cs="Times New Roman"/>
          <w:color w:val="000000"/>
        </w:rPr>
        <w:t xml:space="preserve">Liv </w:t>
      </w:r>
      <w:proofErr w:type="spellStart"/>
      <w:r w:rsidR="007768EA" w:rsidRPr="00DD19F1">
        <w:rPr>
          <w:rFonts w:ascii="Times New Roman" w:hAnsi="Times New Roman" w:cs="Times New Roman"/>
          <w:color w:val="000000"/>
        </w:rPr>
        <w:t>Tigerstedt</w:t>
      </w:r>
      <w:proofErr w:type="spellEnd"/>
      <w:r w:rsidR="0091478F" w:rsidRPr="00DD19F1">
        <w:tab/>
      </w:r>
      <w:r w:rsidR="00DD596B" w:rsidRPr="00DD19F1">
        <w:t xml:space="preserve">Marko </w:t>
      </w:r>
      <w:proofErr w:type="spellStart"/>
      <w:r w:rsidR="00DD596B" w:rsidRPr="00DD19F1">
        <w:t>Bošnjak</w:t>
      </w:r>
      <w:proofErr w:type="spellEnd"/>
      <w:r w:rsidR="0058193F" w:rsidRPr="00DD19F1">
        <w:br/>
      </w:r>
      <w:r w:rsidR="0035621E" w:rsidRPr="00DD19F1">
        <w:rPr>
          <w:iCs/>
        </w:rPr>
        <w:tab/>
      </w:r>
      <w:r w:rsidR="00DD596B" w:rsidRPr="00DD19F1">
        <w:t>Greffière</w:t>
      </w:r>
      <w:r w:rsidR="007768EA" w:rsidRPr="00DD19F1">
        <w:t xml:space="preserve"> adjointe</w:t>
      </w:r>
      <w:r w:rsidR="0091478F" w:rsidRPr="00DD19F1">
        <w:tab/>
      </w:r>
      <w:r w:rsidR="00DD596B" w:rsidRPr="00DD19F1">
        <w:t>Président</w:t>
      </w:r>
    </w:p>
    <w:sectPr w:rsidR="00234E8A" w:rsidRPr="00DD19F1"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EA503" w14:textId="77777777" w:rsidR="00C22872" w:rsidRPr="00DD596B" w:rsidRDefault="00C22872" w:rsidP="006544C4">
      <w:r w:rsidRPr="00DD596B">
        <w:separator/>
      </w:r>
    </w:p>
  </w:endnote>
  <w:endnote w:type="continuationSeparator" w:id="0">
    <w:p w14:paraId="619BE361" w14:textId="77777777" w:rsidR="00C22872" w:rsidRPr="00DD596B" w:rsidRDefault="00C22872" w:rsidP="006544C4">
      <w:r w:rsidRPr="00DD59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242" w14:textId="3ED39CA7" w:rsidR="00AF7102" w:rsidRPr="00DD596B" w:rsidRDefault="00DD596B"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7437" w14:textId="03E4DB13" w:rsidR="00AF7102" w:rsidRPr="00DD596B" w:rsidRDefault="00DD596B"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EB0B" w14:textId="6B1A6211" w:rsidR="00DD596B" w:rsidRPr="00150BFA" w:rsidRDefault="00DD596B" w:rsidP="0020718E">
    <w:pPr>
      <w:jc w:val="center"/>
    </w:pPr>
    <w:r>
      <w:rPr>
        <w:noProof/>
        <w:lang w:val="en-US" w:eastAsia="ja-JP"/>
      </w:rPr>
      <w:drawing>
        <wp:inline distT="0" distB="0" distL="0" distR="0" wp14:anchorId="5E2B21C8" wp14:editId="37BBE88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9CF8716" w14:textId="3ED4219D" w:rsidR="00112D62" w:rsidRPr="00DD596B" w:rsidRDefault="00C22872"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BB909" w14:textId="77777777" w:rsidR="00C22872" w:rsidRPr="00DD596B" w:rsidRDefault="00C22872" w:rsidP="006544C4">
      <w:r w:rsidRPr="00DD596B">
        <w:separator/>
      </w:r>
    </w:p>
  </w:footnote>
  <w:footnote w:type="continuationSeparator" w:id="0">
    <w:p w14:paraId="61198CAD" w14:textId="77777777" w:rsidR="00C22872" w:rsidRPr="00DD596B" w:rsidRDefault="00C22872" w:rsidP="006544C4">
      <w:r w:rsidRPr="00DD59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D28F" w14:textId="028ED995" w:rsidR="00112D62" w:rsidRPr="00DD596B" w:rsidRDefault="00334EC5" w:rsidP="003312A3">
    <w:pPr>
      <w:pStyle w:val="JuHeader"/>
    </w:pPr>
    <w:r w:rsidRPr="00DD596B">
      <w:t xml:space="preserve">DÉCISION </w:t>
    </w:r>
    <w:r w:rsidR="00DD596B">
      <w:t>TRIPODO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E420" w14:textId="730C5FDD" w:rsidR="00112D62" w:rsidRPr="00DD596B" w:rsidRDefault="00334EC5" w:rsidP="006544C4">
    <w:pPr>
      <w:pStyle w:val="JuHeader"/>
    </w:pPr>
    <w:r w:rsidRPr="00DD596B">
      <w:t xml:space="preserve">DÉCISION </w:t>
    </w:r>
    <w:r w:rsidR="00DD596B">
      <w:t>TRIPODO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DC31" w14:textId="5BCD602F" w:rsidR="00DD596B" w:rsidRPr="00A45145" w:rsidRDefault="00DD596B" w:rsidP="00A45145">
    <w:pPr>
      <w:jc w:val="center"/>
    </w:pPr>
    <w:r>
      <w:rPr>
        <w:noProof/>
        <w:lang w:val="en-US" w:eastAsia="ja-JP"/>
      </w:rPr>
      <w:drawing>
        <wp:inline distT="0" distB="0" distL="0" distR="0" wp14:anchorId="79B7ADEE" wp14:editId="16988F6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6F2BEE7" w14:textId="75C32E1F" w:rsidR="00112D62" w:rsidRPr="00DD596B" w:rsidRDefault="00C22872"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DD596B"/>
    <w:rsid w:val="000041F8"/>
    <w:rsid w:val="000042A8"/>
    <w:rsid w:val="00004308"/>
    <w:rsid w:val="00004C5F"/>
    <w:rsid w:val="00005BF0"/>
    <w:rsid w:val="00007154"/>
    <w:rsid w:val="0001025C"/>
    <w:rsid w:val="000103AE"/>
    <w:rsid w:val="00011D69"/>
    <w:rsid w:val="00012AD3"/>
    <w:rsid w:val="00015C2D"/>
    <w:rsid w:val="00015F00"/>
    <w:rsid w:val="00022C1D"/>
    <w:rsid w:val="000279B8"/>
    <w:rsid w:val="00034987"/>
    <w:rsid w:val="00040DA3"/>
    <w:rsid w:val="00041058"/>
    <w:rsid w:val="00050A32"/>
    <w:rsid w:val="000602DF"/>
    <w:rsid w:val="00061B05"/>
    <w:rsid w:val="000632D5"/>
    <w:rsid w:val="000644EE"/>
    <w:rsid w:val="000925AD"/>
    <w:rsid w:val="000A24EB"/>
    <w:rsid w:val="000B6923"/>
    <w:rsid w:val="000C45AC"/>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54A4E"/>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5D31"/>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5366"/>
    <w:rsid w:val="00447F5B"/>
    <w:rsid w:val="004571F1"/>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3662"/>
    <w:rsid w:val="0066550C"/>
    <w:rsid w:val="006716F2"/>
    <w:rsid w:val="00682BF2"/>
    <w:rsid w:val="006859CE"/>
    <w:rsid w:val="00691270"/>
    <w:rsid w:val="00694BA8"/>
    <w:rsid w:val="006A037C"/>
    <w:rsid w:val="006A36F4"/>
    <w:rsid w:val="006A406F"/>
    <w:rsid w:val="006A5D3A"/>
    <w:rsid w:val="006A7989"/>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8EA"/>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4425"/>
    <w:rsid w:val="00A865D2"/>
    <w:rsid w:val="00A94C20"/>
    <w:rsid w:val="00AA227F"/>
    <w:rsid w:val="00AA3BC7"/>
    <w:rsid w:val="00AA754A"/>
    <w:rsid w:val="00AB099E"/>
    <w:rsid w:val="00AB4328"/>
    <w:rsid w:val="00AC6FC1"/>
    <w:rsid w:val="00AD1B40"/>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22872"/>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3737"/>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19F1"/>
    <w:rsid w:val="00DD596B"/>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39E5"/>
    <w:rsid w:val="00FC3A78"/>
    <w:rsid w:val="00FC670D"/>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7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A84425"/>
    <w:rPr>
      <w:sz w:val="24"/>
      <w:szCs w:val="24"/>
      <w:lang w:val="fr-FR"/>
    </w:rPr>
  </w:style>
  <w:style w:type="paragraph" w:styleId="Titolo1">
    <w:name w:val="heading 1"/>
    <w:basedOn w:val="Normale"/>
    <w:next w:val="Normale"/>
    <w:link w:val="Titolo1Carattere"/>
    <w:uiPriority w:val="98"/>
    <w:semiHidden/>
    <w:rsid w:val="00A8442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A8442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A8442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A8442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A8442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A8442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A8442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A8442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A8442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A8442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A84425"/>
    <w:rPr>
      <w:rFonts w:ascii="Tahoma" w:hAnsi="Tahoma" w:cs="Tahoma"/>
      <w:sz w:val="16"/>
      <w:szCs w:val="16"/>
      <w:lang w:val="fr-FR"/>
    </w:rPr>
  </w:style>
  <w:style w:type="character" w:styleId="Titolodellibro">
    <w:name w:val="Book Title"/>
    <w:uiPriority w:val="98"/>
    <w:semiHidden/>
    <w:qFormat/>
    <w:rsid w:val="00A84425"/>
    <w:rPr>
      <w:i/>
      <w:iCs/>
      <w:smallCaps/>
      <w:spacing w:val="5"/>
    </w:rPr>
  </w:style>
  <w:style w:type="paragraph" w:customStyle="1" w:styleId="JuHeader">
    <w:name w:val="Ju_Header"/>
    <w:aliases w:val="_Header"/>
    <w:basedOn w:val="Intestazione"/>
    <w:uiPriority w:val="29"/>
    <w:qFormat/>
    <w:rsid w:val="00A84425"/>
    <w:pPr>
      <w:tabs>
        <w:tab w:val="clear" w:pos="4536"/>
        <w:tab w:val="clear" w:pos="9072"/>
      </w:tabs>
      <w:jc w:val="center"/>
    </w:pPr>
    <w:rPr>
      <w:sz w:val="18"/>
    </w:rPr>
  </w:style>
  <w:style w:type="paragraph" w:customStyle="1" w:styleId="NormalJustified">
    <w:name w:val="Normal_Justified"/>
    <w:basedOn w:val="Normale"/>
    <w:semiHidden/>
    <w:rsid w:val="00A84425"/>
    <w:pPr>
      <w:jc w:val="both"/>
    </w:pPr>
  </w:style>
  <w:style w:type="character" w:styleId="Enfasigrassetto">
    <w:name w:val="Strong"/>
    <w:uiPriority w:val="98"/>
    <w:semiHidden/>
    <w:qFormat/>
    <w:rsid w:val="00A84425"/>
    <w:rPr>
      <w:b/>
      <w:bCs/>
    </w:rPr>
  </w:style>
  <w:style w:type="paragraph" w:styleId="Nessunaspaziatura">
    <w:name w:val="No Spacing"/>
    <w:basedOn w:val="Normale"/>
    <w:link w:val="NessunaspaziaturaCarattere"/>
    <w:uiPriority w:val="98"/>
    <w:semiHidden/>
    <w:qFormat/>
    <w:rsid w:val="00A84425"/>
  </w:style>
  <w:style w:type="character" w:customStyle="1" w:styleId="NessunaspaziaturaCarattere">
    <w:name w:val="Nessuna spaziatura Carattere"/>
    <w:basedOn w:val="Carpredefinitoparagrafo"/>
    <w:link w:val="Nessunaspaziatura"/>
    <w:uiPriority w:val="98"/>
    <w:semiHidden/>
    <w:rsid w:val="00A84425"/>
    <w:rPr>
      <w:sz w:val="24"/>
      <w:szCs w:val="24"/>
      <w:lang w:val="fr-FR"/>
    </w:rPr>
  </w:style>
  <w:style w:type="paragraph" w:customStyle="1" w:styleId="ECHRBullet1">
    <w:name w:val="ECHR_Bullet_1"/>
    <w:aliases w:val="_Bul_1"/>
    <w:basedOn w:val="NormalJustified"/>
    <w:uiPriority w:val="23"/>
    <w:semiHidden/>
    <w:qFormat/>
    <w:rsid w:val="00A84425"/>
    <w:pPr>
      <w:numPr>
        <w:numId w:val="5"/>
      </w:numPr>
      <w:spacing w:before="60" w:after="60"/>
    </w:pPr>
  </w:style>
  <w:style w:type="paragraph" w:customStyle="1" w:styleId="JuQuot">
    <w:name w:val="Ju_Quot"/>
    <w:aliases w:val="_Quote"/>
    <w:basedOn w:val="NormalJustified"/>
    <w:uiPriority w:val="20"/>
    <w:qFormat/>
    <w:rsid w:val="00A84425"/>
    <w:pPr>
      <w:spacing w:before="120" w:after="120"/>
      <w:ind w:left="425" w:firstLine="142"/>
    </w:pPr>
    <w:rPr>
      <w:sz w:val="20"/>
    </w:rPr>
  </w:style>
  <w:style w:type="paragraph" w:customStyle="1" w:styleId="JuList">
    <w:name w:val="Ju_List"/>
    <w:aliases w:val="_List_1"/>
    <w:basedOn w:val="NormalJustified"/>
    <w:uiPriority w:val="23"/>
    <w:qFormat/>
    <w:rsid w:val="00A84425"/>
    <w:pPr>
      <w:numPr>
        <w:numId w:val="6"/>
      </w:numPr>
      <w:spacing w:before="280" w:after="60"/>
    </w:pPr>
  </w:style>
  <w:style w:type="paragraph" w:customStyle="1" w:styleId="JuLista">
    <w:name w:val="Ju_List_a"/>
    <w:aliases w:val="_List_2"/>
    <w:basedOn w:val="NormalJustified"/>
    <w:uiPriority w:val="23"/>
    <w:rsid w:val="00A84425"/>
    <w:pPr>
      <w:numPr>
        <w:ilvl w:val="1"/>
        <w:numId w:val="6"/>
      </w:numPr>
    </w:pPr>
  </w:style>
  <w:style w:type="paragraph" w:customStyle="1" w:styleId="JuListi">
    <w:name w:val="Ju_List_i"/>
    <w:aliases w:val="_List_3"/>
    <w:basedOn w:val="NormalJustified"/>
    <w:uiPriority w:val="23"/>
    <w:rsid w:val="00A84425"/>
    <w:pPr>
      <w:numPr>
        <w:ilvl w:val="2"/>
        <w:numId w:val="6"/>
      </w:numPr>
    </w:pPr>
  </w:style>
  <w:style w:type="paragraph" w:customStyle="1" w:styleId="ECHRCoverTitle4">
    <w:name w:val="ECHR_Cover_Title_4"/>
    <w:aliases w:val="_Title_4"/>
    <w:basedOn w:val="JuPara"/>
    <w:next w:val="JuPara"/>
    <w:uiPriority w:val="38"/>
    <w:qFormat/>
    <w:rsid w:val="00A84425"/>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A84425"/>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A84425"/>
    <w:pPr>
      <w:numPr>
        <w:numId w:val="5"/>
      </w:numPr>
    </w:pPr>
  </w:style>
  <w:style w:type="numbering" w:customStyle="1" w:styleId="ECHRA1StyleList">
    <w:name w:val="ECHR_A1_Style_List"/>
    <w:basedOn w:val="Nessunelenco"/>
    <w:uiPriority w:val="99"/>
    <w:rsid w:val="00A84425"/>
    <w:pPr>
      <w:numPr>
        <w:numId w:val="6"/>
      </w:numPr>
    </w:pPr>
  </w:style>
  <w:style w:type="paragraph" w:customStyle="1" w:styleId="JuHHead">
    <w:name w:val="Ju_H_Head"/>
    <w:aliases w:val="_Head_1"/>
    <w:basedOn w:val="Titolo1"/>
    <w:next w:val="JuPara"/>
    <w:uiPriority w:val="17"/>
    <w:qFormat/>
    <w:rsid w:val="00A84425"/>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A84425"/>
    <w:pPr>
      <w:numPr>
        <w:numId w:val="7"/>
      </w:numPr>
    </w:pPr>
  </w:style>
  <w:style w:type="paragraph" w:styleId="Titolo">
    <w:name w:val="Title"/>
    <w:basedOn w:val="Normale"/>
    <w:next w:val="Normale"/>
    <w:link w:val="TitoloCarattere"/>
    <w:uiPriority w:val="98"/>
    <w:semiHidden/>
    <w:qFormat/>
    <w:rsid w:val="00A8442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A84425"/>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A8442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A84425"/>
    <w:pPr>
      <w:ind w:firstLine="284"/>
    </w:pPr>
    <w:rPr>
      <w:b/>
    </w:rPr>
  </w:style>
  <w:style w:type="paragraph" w:customStyle="1" w:styleId="JuCourt">
    <w:name w:val="Ju_Court"/>
    <w:aliases w:val="_Court_Names"/>
    <w:basedOn w:val="Normale"/>
    <w:next w:val="Normale"/>
    <w:uiPriority w:val="32"/>
    <w:qFormat/>
    <w:rsid w:val="00A84425"/>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A84425"/>
    <w:pPr>
      <w:tabs>
        <w:tab w:val="center" w:pos="6407"/>
      </w:tabs>
      <w:spacing w:before="720"/>
      <w:jc w:val="right"/>
    </w:pPr>
  </w:style>
  <w:style w:type="paragraph" w:customStyle="1" w:styleId="JuHIRoman">
    <w:name w:val="Ju_H_I_Roman"/>
    <w:aliases w:val="_Head_2"/>
    <w:basedOn w:val="Titolo2"/>
    <w:next w:val="JuPara"/>
    <w:uiPriority w:val="17"/>
    <w:qFormat/>
    <w:rsid w:val="00A84425"/>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A84425"/>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A84425"/>
    <w:pPr>
      <w:keepNext/>
      <w:keepLines/>
      <w:numPr>
        <w:ilvl w:val="3"/>
        <w:numId w:val="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A8442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A84425"/>
    <w:rPr>
      <w:sz w:val="24"/>
      <w:szCs w:val="24"/>
      <w:lang w:val="fr-FR"/>
    </w:rPr>
  </w:style>
  <w:style w:type="character" w:customStyle="1" w:styleId="Titolo1Carattere">
    <w:name w:val="Titolo 1 Carattere"/>
    <w:basedOn w:val="Carpredefinitoparagrafo"/>
    <w:link w:val="Titolo1"/>
    <w:uiPriority w:val="98"/>
    <w:semiHidden/>
    <w:rsid w:val="00A84425"/>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A84425"/>
    <w:pPr>
      <w:keepNext/>
      <w:keepLines/>
      <w:numPr>
        <w:ilvl w:val="4"/>
        <w:numId w:val="1"/>
      </w:numPr>
      <w:spacing w:before="100" w:beforeAutospacing="1" w:after="120"/>
      <w:jc w:val="both"/>
    </w:pPr>
    <w:rPr>
      <w:color w:val="auto"/>
      <w:sz w:val="20"/>
    </w:rPr>
  </w:style>
  <w:style w:type="paragraph" w:customStyle="1" w:styleId="JuHi">
    <w:name w:val="Ju_H_i"/>
    <w:aliases w:val="_Head_6"/>
    <w:basedOn w:val="Titolo6"/>
    <w:next w:val="JuPara"/>
    <w:uiPriority w:val="17"/>
    <w:rsid w:val="00A84425"/>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A84425"/>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A84425"/>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A84425"/>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A84425"/>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A84425"/>
    <w:pPr>
      <w:keepNext/>
      <w:keepLines/>
      <w:spacing w:before="240" w:after="240"/>
      <w:ind w:firstLine="284"/>
    </w:pPr>
  </w:style>
  <w:style w:type="character" w:customStyle="1" w:styleId="JuITMark">
    <w:name w:val="Ju_ITMark"/>
    <w:aliases w:val="_ITMark"/>
    <w:basedOn w:val="Carpredefinitoparagrafo"/>
    <w:uiPriority w:val="54"/>
    <w:qFormat/>
    <w:rsid w:val="00A84425"/>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A84425"/>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A84425"/>
    <w:pPr>
      <w:tabs>
        <w:tab w:val="left" w:pos="567"/>
        <w:tab w:val="left" w:pos="1134"/>
      </w:tabs>
    </w:pPr>
  </w:style>
  <w:style w:type="character" w:customStyle="1" w:styleId="Titolo5Carattere">
    <w:name w:val="Titolo 5 Carattere"/>
    <w:basedOn w:val="Carpredefinitoparagrafo"/>
    <w:link w:val="Titolo5"/>
    <w:uiPriority w:val="98"/>
    <w:semiHidden/>
    <w:rsid w:val="00A84425"/>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A84425"/>
    <w:rPr>
      <w:caps w:val="0"/>
      <w:smallCaps/>
    </w:rPr>
  </w:style>
  <w:style w:type="character" w:styleId="Enfasidelicata">
    <w:name w:val="Subtle Emphasis"/>
    <w:uiPriority w:val="98"/>
    <w:semiHidden/>
    <w:qFormat/>
    <w:rsid w:val="00A84425"/>
    <w:rPr>
      <w:i/>
      <w:iCs/>
    </w:rPr>
  </w:style>
  <w:style w:type="table" w:customStyle="1" w:styleId="ECHRTable">
    <w:name w:val="ECHR_Table"/>
    <w:basedOn w:val="Tabellanormale"/>
    <w:rsid w:val="00A8442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A8442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A84425"/>
    <w:pPr>
      <w:keepNext/>
      <w:keepLines/>
      <w:spacing w:after="280"/>
      <w:ind w:firstLine="0"/>
      <w:jc w:val="center"/>
    </w:pPr>
    <w:rPr>
      <w:rFonts w:asciiTheme="majorHAnsi" w:hAnsiTheme="majorHAnsi"/>
    </w:rPr>
  </w:style>
  <w:style w:type="character" w:styleId="Enfasicorsivo">
    <w:name w:val="Emphasis"/>
    <w:uiPriority w:val="98"/>
    <w:semiHidden/>
    <w:qFormat/>
    <w:rsid w:val="00A84425"/>
    <w:rPr>
      <w:b/>
      <w:bCs/>
      <w:i/>
      <w:iCs/>
      <w:spacing w:val="10"/>
      <w:bdr w:val="none" w:sz="0" w:space="0" w:color="auto"/>
      <w:shd w:val="clear" w:color="auto" w:fill="auto"/>
    </w:rPr>
  </w:style>
  <w:style w:type="paragraph" w:styleId="Pidipagina">
    <w:name w:val="footer"/>
    <w:basedOn w:val="Normale"/>
    <w:link w:val="PidipaginaCarattere"/>
    <w:uiPriority w:val="98"/>
    <w:semiHidden/>
    <w:rsid w:val="00A8442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A84425"/>
    <w:rPr>
      <w:sz w:val="24"/>
      <w:szCs w:val="24"/>
      <w:lang w:val="fr-FR"/>
    </w:rPr>
  </w:style>
  <w:style w:type="character" w:styleId="Rimandonotaapidipagina">
    <w:name w:val="footnote reference"/>
    <w:basedOn w:val="Carpredefinitoparagrafo"/>
    <w:uiPriority w:val="98"/>
    <w:semiHidden/>
    <w:rsid w:val="00A84425"/>
    <w:rPr>
      <w:vertAlign w:val="superscript"/>
    </w:rPr>
  </w:style>
  <w:style w:type="paragraph" w:styleId="Testonotaapidipagina">
    <w:name w:val="footnote text"/>
    <w:basedOn w:val="NormalJustified"/>
    <w:link w:val="TestonotaapidipaginaCarattere"/>
    <w:uiPriority w:val="98"/>
    <w:semiHidden/>
    <w:rsid w:val="00A84425"/>
    <w:rPr>
      <w:sz w:val="20"/>
      <w:szCs w:val="20"/>
    </w:rPr>
  </w:style>
  <w:style w:type="character" w:customStyle="1" w:styleId="TestonotaapidipaginaCarattere">
    <w:name w:val="Testo nota a piè di pagina Carattere"/>
    <w:basedOn w:val="Carpredefinitoparagrafo"/>
    <w:link w:val="Testonotaapidipagina"/>
    <w:uiPriority w:val="98"/>
    <w:semiHidden/>
    <w:rsid w:val="00A84425"/>
    <w:rPr>
      <w:sz w:val="20"/>
      <w:szCs w:val="20"/>
      <w:lang w:val="fr-FR"/>
    </w:rPr>
  </w:style>
  <w:style w:type="character" w:customStyle="1" w:styleId="Titolo6Carattere">
    <w:name w:val="Titolo 6 Carattere"/>
    <w:basedOn w:val="Carpredefinitoparagrafo"/>
    <w:link w:val="Titolo6"/>
    <w:uiPriority w:val="98"/>
    <w:semiHidden/>
    <w:rsid w:val="00A84425"/>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A84425"/>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A84425"/>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A84425"/>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A84425"/>
    <w:rPr>
      <w:color w:val="0072BC" w:themeColor="hyperlink"/>
      <w:u w:val="single"/>
    </w:rPr>
  </w:style>
  <w:style w:type="character" w:styleId="Enfasiintensa">
    <w:name w:val="Intense Emphasis"/>
    <w:uiPriority w:val="98"/>
    <w:semiHidden/>
    <w:qFormat/>
    <w:rsid w:val="00A84425"/>
    <w:rPr>
      <w:b/>
      <w:bCs/>
    </w:rPr>
  </w:style>
  <w:style w:type="paragraph" w:styleId="Citazioneintensa">
    <w:name w:val="Intense Quote"/>
    <w:basedOn w:val="Normale"/>
    <w:next w:val="Normale"/>
    <w:link w:val="CitazioneintensaCarattere"/>
    <w:uiPriority w:val="98"/>
    <w:semiHidden/>
    <w:qFormat/>
    <w:rsid w:val="00A8442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A84425"/>
    <w:rPr>
      <w:b/>
      <w:bCs/>
      <w:i/>
      <w:iCs/>
      <w:sz w:val="24"/>
      <w:szCs w:val="24"/>
      <w:lang w:val="fr-FR" w:bidi="en-US"/>
    </w:rPr>
  </w:style>
  <w:style w:type="character" w:styleId="Riferimentointenso">
    <w:name w:val="Intense Reference"/>
    <w:uiPriority w:val="98"/>
    <w:semiHidden/>
    <w:qFormat/>
    <w:rsid w:val="00A84425"/>
    <w:rPr>
      <w:smallCaps/>
      <w:spacing w:val="5"/>
      <w:u w:val="single"/>
    </w:rPr>
  </w:style>
  <w:style w:type="paragraph" w:styleId="Paragrafoelenco">
    <w:name w:val="List Paragraph"/>
    <w:basedOn w:val="Normale"/>
    <w:uiPriority w:val="98"/>
    <w:semiHidden/>
    <w:qFormat/>
    <w:rsid w:val="00A84425"/>
    <w:pPr>
      <w:ind w:left="720"/>
      <w:contextualSpacing/>
    </w:pPr>
  </w:style>
  <w:style w:type="table" w:customStyle="1" w:styleId="LtrTableAddress">
    <w:name w:val="Ltr_Table_Address"/>
    <w:aliases w:val="ECHR_Ltr_Table_Address"/>
    <w:basedOn w:val="Tabellanormale"/>
    <w:uiPriority w:val="99"/>
    <w:rsid w:val="00A84425"/>
    <w:rPr>
      <w:sz w:val="24"/>
      <w:szCs w:val="24"/>
    </w:rPr>
    <w:tblPr>
      <w:tblInd w:w="5103" w:type="dxa"/>
    </w:tblPr>
  </w:style>
  <w:style w:type="paragraph" w:styleId="Citazione">
    <w:name w:val="Quote"/>
    <w:basedOn w:val="Normale"/>
    <w:next w:val="Normale"/>
    <w:link w:val="CitazioneCarattere"/>
    <w:uiPriority w:val="98"/>
    <w:semiHidden/>
    <w:qFormat/>
    <w:rsid w:val="00A8442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A84425"/>
    <w:rPr>
      <w:i/>
      <w:iCs/>
      <w:sz w:val="24"/>
      <w:szCs w:val="24"/>
      <w:lang w:val="fr-FR" w:bidi="en-US"/>
    </w:rPr>
  </w:style>
  <w:style w:type="character" w:styleId="Riferimentodelicato">
    <w:name w:val="Subtle Reference"/>
    <w:uiPriority w:val="98"/>
    <w:semiHidden/>
    <w:qFormat/>
    <w:rsid w:val="00A84425"/>
    <w:rPr>
      <w:smallCaps/>
    </w:rPr>
  </w:style>
  <w:style w:type="table" w:styleId="Grigliatabella">
    <w:name w:val="Table Grid"/>
    <w:basedOn w:val="Tabellanormale"/>
    <w:uiPriority w:val="59"/>
    <w:semiHidden/>
    <w:rsid w:val="00A8442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A8442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A8442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A8442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A8442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A8442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A8442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A8442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A8442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A8442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A8442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A8442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A8442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A8442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A84425"/>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A84425"/>
    <w:pPr>
      <w:ind w:firstLine="284"/>
    </w:pPr>
  </w:style>
  <w:style w:type="character" w:customStyle="1" w:styleId="SottotitoloCarattere">
    <w:name w:val="Sottotitolo Carattere"/>
    <w:basedOn w:val="Carpredefinitoparagrafo"/>
    <w:link w:val="Sottotitolo"/>
    <w:uiPriority w:val="98"/>
    <w:semiHidden/>
    <w:rsid w:val="00A84425"/>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A8442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A8442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A84425"/>
    <w:pPr>
      <w:numPr>
        <w:numId w:val="2"/>
      </w:numPr>
    </w:pPr>
  </w:style>
  <w:style w:type="table" w:customStyle="1" w:styleId="ECHRTableForInternalUse">
    <w:name w:val="ECHR_Table_For_Internal_Use"/>
    <w:basedOn w:val="Tabellanormale"/>
    <w:uiPriority w:val="99"/>
    <w:rsid w:val="00A8442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8442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A84425"/>
    <w:pPr>
      <w:numPr>
        <w:numId w:val="3"/>
      </w:numPr>
    </w:pPr>
  </w:style>
  <w:style w:type="numbering" w:styleId="ArticoloSezione">
    <w:name w:val="Outline List 3"/>
    <w:basedOn w:val="Nessunelenco"/>
    <w:uiPriority w:val="99"/>
    <w:semiHidden/>
    <w:unhideWhenUsed/>
    <w:rsid w:val="00A84425"/>
    <w:pPr>
      <w:numPr>
        <w:numId w:val="4"/>
      </w:numPr>
    </w:pPr>
  </w:style>
  <w:style w:type="table" w:customStyle="1" w:styleId="ECHRHeaderTable">
    <w:name w:val="ECHR_Header_Table"/>
    <w:basedOn w:val="Tabellanormale"/>
    <w:uiPriority w:val="99"/>
    <w:rsid w:val="00A8442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A84425"/>
  </w:style>
  <w:style w:type="paragraph" w:styleId="Testodelblocco">
    <w:name w:val="Block Text"/>
    <w:basedOn w:val="Normale"/>
    <w:uiPriority w:val="98"/>
    <w:semiHidden/>
    <w:rsid w:val="00A8442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A8442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A84425"/>
    <w:pPr>
      <w:spacing w:after="120"/>
    </w:pPr>
  </w:style>
  <w:style w:type="table" w:customStyle="1" w:styleId="ECHRHeaderTableReduced">
    <w:name w:val="ECHR_Header_Table_Reduced"/>
    <w:basedOn w:val="Tabellanormale"/>
    <w:uiPriority w:val="99"/>
    <w:rsid w:val="00A8442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A84425"/>
    <w:rPr>
      <w:sz w:val="18"/>
    </w:rPr>
  </w:style>
  <w:style w:type="character" w:styleId="Rimandocommento">
    <w:name w:val="annotation reference"/>
    <w:basedOn w:val="Carpredefinitoparagrafo"/>
    <w:uiPriority w:val="98"/>
    <w:semiHidden/>
    <w:rsid w:val="00A84425"/>
    <w:rPr>
      <w:sz w:val="16"/>
      <w:szCs w:val="16"/>
    </w:rPr>
  </w:style>
  <w:style w:type="paragraph" w:styleId="Testocommento">
    <w:name w:val="annotation text"/>
    <w:basedOn w:val="Normale"/>
    <w:link w:val="TestocommentoCarattere"/>
    <w:uiPriority w:val="98"/>
    <w:semiHidden/>
    <w:rsid w:val="00A84425"/>
    <w:rPr>
      <w:sz w:val="20"/>
      <w:szCs w:val="20"/>
    </w:rPr>
  </w:style>
  <w:style w:type="character" w:customStyle="1" w:styleId="TestocommentoCarattere">
    <w:name w:val="Testo commento Carattere"/>
    <w:basedOn w:val="Carpredefinitoparagrafo"/>
    <w:link w:val="Testocommento"/>
    <w:uiPriority w:val="98"/>
    <w:semiHidden/>
    <w:rsid w:val="00A84425"/>
    <w:rPr>
      <w:sz w:val="20"/>
      <w:szCs w:val="20"/>
      <w:lang w:val="fr-FR"/>
    </w:rPr>
  </w:style>
  <w:style w:type="paragraph" w:customStyle="1" w:styleId="JuSigned">
    <w:name w:val="Ju_Signed"/>
    <w:aliases w:val="_Signature"/>
    <w:basedOn w:val="Normale"/>
    <w:next w:val="JuPara"/>
    <w:uiPriority w:val="31"/>
    <w:qFormat/>
    <w:rsid w:val="00A84425"/>
    <w:pPr>
      <w:tabs>
        <w:tab w:val="center" w:pos="1418"/>
        <w:tab w:val="center" w:pos="5954"/>
      </w:tabs>
      <w:spacing w:before="720"/>
    </w:pPr>
  </w:style>
  <w:style w:type="paragraph" w:customStyle="1" w:styleId="JuTitle">
    <w:name w:val="Ju_Title"/>
    <w:aliases w:val="_Title_2"/>
    <w:basedOn w:val="Normale"/>
    <w:next w:val="JuPara"/>
    <w:uiPriority w:val="38"/>
    <w:qFormat/>
    <w:rsid w:val="00A84425"/>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A84425"/>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A84425"/>
    <w:pPr>
      <w:numPr>
        <w:numId w:val="9"/>
      </w:numPr>
      <w:contextualSpacing/>
    </w:pPr>
  </w:style>
  <w:style w:type="paragraph" w:styleId="Puntoelenco3">
    <w:name w:val="List Bullet 3"/>
    <w:basedOn w:val="Normale"/>
    <w:uiPriority w:val="98"/>
    <w:semiHidden/>
    <w:rsid w:val="00A84425"/>
    <w:pPr>
      <w:numPr>
        <w:numId w:val="10"/>
      </w:numPr>
      <w:contextualSpacing/>
    </w:pPr>
  </w:style>
  <w:style w:type="character" w:customStyle="1" w:styleId="CorpotestoCarattere">
    <w:name w:val="Corpo testo Carattere"/>
    <w:basedOn w:val="Carpredefinitoparagrafo"/>
    <w:link w:val="Corpotesto"/>
    <w:uiPriority w:val="98"/>
    <w:semiHidden/>
    <w:rsid w:val="00A84425"/>
    <w:rPr>
      <w:sz w:val="24"/>
      <w:szCs w:val="24"/>
      <w:lang w:val="fr-FR"/>
    </w:rPr>
  </w:style>
  <w:style w:type="paragraph" w:styleId="Corpodeltesto2">
    <w:name w:val="Body Text 2"/>
    <w:basedOn w:val="Normale"/>
    <w:link w:val="Corpodeltesto2Carattere"/>
    <w:uiPriority w:val="98"/>
    <w:semiHidden/>
    <w:rsid w:val="00A84425"/>
    <w:pPr>
      <w:spacing w:after="120" w:line="480" w:lineRule="auto"/>
    </w:pPr>
  </w:style>
  <w:style w:type="character" w:customStyle="1" w:styleId="Corpodeltesto2Carattere">
    <w:name w:val="Corpo del testo 2 Carattere"/>
    <w:basedOn w:val="Carpredefinitoparagrafo"/>
    <w:link w:val="Corpodeltesto2"/>
    <w:uiPriority w:val="98"/>
    <w:semiHidden/>
    <w:rsid w:val="00A84425"/>
    <w:rPr>
      <w:sz w:val="24"/>
      <w:szCs w:val="24"/>
      <w:lang w:val="fr-FR"/>
    </w:rPr>
  </w:style>
  <w:style w:type="paragraph" w:styleId="Corpodeltesto3">
    <w:name w:val="Body Text 3"/>
    <w:basedOn w:val="Normale"/>
    <w:link w:val="Corpodeltesto3Carattere"/>
    <w:uiPriority w:val="98"/>
    <w:semiHidden/>
    <w:rsid w:val="00A8442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A84425"/>
    <w:rPr>
      <w:sz w:val="16"/>
      <w:szCs w:val="16"/>
      <w:lang w:val="fr-FR"/>
    </w:rPr>
  </w:style>
  <w:style w:type="paragraph" w:styleId="Primorientrocorpodeltesto">
    <w:name w:val="Body Text First Indent"/>
    <w:basedOn w:val="Corpotesto"/>
    <w:link w:val="PrimorientrocorpodeltestoCarattere"/>
    <w:uiPriority w:val="98"/>
    <w:semiHidden/>
    <w:rsid w:val="00A8442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A84425"/>
    <w:rPr>
      <w:sz w:val="24"/>
      <w:szCs w:val="24"/>
      <w:lang w:val="fr-FR"/>
    </w:rPr>
  </w:style>
  <w:style w:type="paragraph" w:styleId="Rientrocorpodeltesto">
    <w:name w:val="Body Text Indent"/>
    <w:basedOn w:val="Normale"/>
    <w:link w:val="RientrocorpodeltestoCarattere"/>
    <w:uiPriority w:val="98"/>
    <w:semiHidden/>
    <w:rsid w:val="00A8442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A84425"/>
    <w:rPr>
      <w:sz w:val="24"/>
      <w:szCs w:val="24"/>
      <w:lang w:val="fr-FR"/>
    </w:rPr>
  </w:style>
  <w:style w:type="paragraph" w:styleId="Primorientrocorpodeltesto2">
    <w:name w:val="Body Text First Indent 2"/>
    <w:basedOn w:val="Rientrocorpodeltesto"/>
    <w:link w:val="Primorientrocorpodeltesto2Carattere"/>
    <w:uiPriority w:val="98"/>
    <w:semiHidden/>
    <w:rsid w:val="00A8442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A84425"/>
    <w:rPr>
      <w:sz w:val="24"/>
      <w:szCs w:val="24"/>
      <w:lang w:val="fr-FR"/>
    </w:rPr>
  </w:style>
  <w:style w:type="paragraph" w:styleId="Rientrocorpodeltesto2">
    <w:name w:val="Body Text Indent 2"/>
    <w:basedOn w:val="Normale"/>
    <w:link w:val="Rientrocorpodeltesto2Carattere"/>
    <w:uiPriority w:val="98"/>
    <w:semiHidden/>
    <w:rsid w:val="00A8442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A84425"/>
    <w:rPr>
      <w:sz w:val="24"/>
      <w:szCs w:val="24"/>
      <w:lang w:val="fr-FR"/>
    </w:rPr>
  </w:style>
  <w:style w:type="paragraph" w:styleId="Rientrocorpodeltesto3">
    <w:name w:val="Body Text Indent 3"/>
    <w:basedOn w:val="Normale"/>
    <w:link w:val="Rientrocorpodeltesto3Carattere"/>
    <w:uiPriority w:val="98"/>
    <w:semiHidden/>
    <w:rsid w:val="00A8442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A84425"/>
    <w:rPr>
      <w:sz w:val="16"/>
      <w:szCs w:val="16"/>
      <w:lang w:val="fr-FR"/>
    </w:rPr>
  </w:style>
  <w:style w:type="paragraph" w:styleId="Didascalia">
    <w:name w:val="caption"/>
    <w:basedOn w:val="Normale"/>
    <w:next w:val="Normale"/>
    <w:uiPriority w:val="98"/>
    <w:semiHidden/>
    <w:qFormat/>
    <w:rsid w:val="00A8442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A84425"/>
    <w:pPr>
      <w:ind w:left="4252"/>
    </w:pPr>
  </w:style>
  <w:style w:type="character" w:customStyle="1" w:styleId="FormuladichiusuraCarattere">
    <w:name w:val="Formula di chiusura Carattere"/>
    <w:basedOn w:val="Carpredefinitoparagrafo"/>
    <w:link w:val="Formuladichiusura"/>
    <w:uiPriority w:val="98"/>
    <w:semiHidden/>
    <w:rsid w:val="00A84425"/>
    <w:rPr>
      <w:sz w:val="24"/>
      <w:szCs w:val="24"/>
      <w:lang w:val="fr-FR"/>
    </w:rPr>
  </w:style>
  <w:style w:type="table" w:styleId="Grigliaacolori">
    <w:name w:val="Colorful Grid"/>
    <w:basedOn w:val="Tabellanormale"/>
    <w:uiPriority w:val="73"/>
    <w:semiHidden/>
    <w:rsid w:val="00A8442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8442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A8442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A8442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A8442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8442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A8442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8442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A8442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8442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A8442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A8442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A8442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8442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A8442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A8442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A8442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8442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A8442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A8442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A8442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A84425"/>
    <w:rPr>
      <w:b/>
      <w:bCs/>
    </w:rPr>
  </w:style>
  <w:style w:type="character" w:customStyle="1" w:styleId="SoggettocommentoCarattere">
    <w:name w:val="Soggetto commento Carattere"/>
    <w:basedOn w:val="TestocommentoCarattere"/>
    <w:link w:val="Soggettocommento"/>
    <w:uiPriority w:val="98"/>
    <w:semiHidden/>
    <w:rsid w:val="00A84425"/>
    <w:rPr>
      <w:b/>
      <w:bCs/>
      <w:sz w:val="20"/>
      <w:szCs w:val="20"/>
      <w:lang w:val="fr-FR"/>
    </w:rPr>
  </w:style>
  <w:style w:type="table" w:styleId="Elencoscuro">
    <w:name w:val="Dark List"/>
    <w:basedOn w:val="Tabellanormale"/>
    <w:uiPriority w:val="70"/>
    <w:semiHidden/>
    <w:rsid w:val="00A8442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A8442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8442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A8442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A8442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A8442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8442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A84425"/>
  </w:style>
  <w:style w:type="character" w:customStyle="1" w:styleId="DataCarattere">
    <w:name w:val="Data Carattere"/>
    <w:basedOn w:val="Carpredefinitoparagrafo"/>
    <w:link w:val="Data"/>
    <w:uiPriority w:val="98"/>
    <w:semiHidden/>
    <w:rsid w:val="00A84425"/>
    <w:rPr>
      <w:sz w:val="24"/>
      <w:szCs w:val="24"/>
      <w:lang w:val="fr-FR"/>
    </w:rPr>
  </w:style>
  <w:style w:type="paragraph" w:styleId="Mappadocumento">
    <w:name w:val="Document Map"/>
    <w:basedOn w:val="Normale"/>
    <w:link w:val="MappadocumentoCarattere"/>
    <w:uiPriority w:val="98"/>
    <w:semiHidden/>
    <w:rsid w:val="00A8442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A84425"/>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A84425"/>
  </w:style>
  <w:style w:type="character" w:customStyle="1" w:styleId="FirmadipostaelettronicaCarattere">
    <w:name w:val="Firma di posta elettronica Carattere"/>
    <w:basedOn w:val="Carpredefinitoparagrafo"/>
    <w:link w:val="Firmadipostaelettronica"/>
    <w:uiPriority w:val="98"/>
    <w:semiHidden/>
    <w:rsid w:val="00A84425"/>
    <w:rPr>
      <w:sz w:val="24"/>
      <w:szCs w:val="24"/>
      <w:lang w:val="fr-FR"/>
    </w:rPr>
  </w:style>
  <w:style w:type="character" w:styleId="Rimandonotadichiusura">
    <w:name w:val="endnote reference"/>
    <w:basedOn w:val="Carpredefinitoparagrafo"/>
    <w:uiPriority w:val="98"/>
    <w:semiHidden/>
    <w:rsid w:val="00A84425"/>
    <w:rPr>
      <w:vertAlign w:val="superscript"/>
    </w:rPr>
  </w:style>
  <w:style w:type="paragraph" w:styleId="Testonotadichiusura">
    <w:name w:val="endnote text"/>
    <w:basedOn w:val="Normale"/>
    <w:link w:val="TestonotadichiusuraCarattere"/>
    <w:uiPriority w:val="98"/>
    <w:semiHidden/>
    <w:rsid w:val="00A84425"/>
    <w:rPr>
      <w:sz w:val="20"/>
      <w:szCs w:val="20"/>
    </w:rPr>
  </w:style>
  <w:style w:type="character" w:customStyle="1" w:styleId="TestonotadichiusuraCarattere">
    <w:name w:val="Testo nota di chiusura Carattere"/>
    <w:basedOn w:val="Carpredefinitoparagrafo"/>
    <w:link w:val="Testonotadichiusura"/>
    <w:uiPriority w:val="98"/>
    <w:semiHidden/>
    <w:rsid w:val="00A84425"/>
    <w:rPr>
      <w:sz w:val="20"/>
      <w:szCs w:val="20"/>
      <w:lang w:val="fr-FR"/>
    </w:rPr>
  </w:style>
  <w:style w:type="paragraph" w:styleId="Indirizzodestinatario">
    <w:name w:val="envelope address"/>
    <w:basedOn w:val="Normale"/>
    <w:uiPriority w:val="98"/>
    <w:semiHidden/>
    <w:rsid w:val="00A8442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A8442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A84425"/>
    <w:rPr>
      <w:color w:val="7030A0" w:themeColor="followedHyperlink"/>
      <w:u w:val="single"/>
    </w:rPr>
  </w:style>
  <w:style w:type="character" w:styleId="AcronimoHTML">
    <w:name w:val="HTML Acronym"/>
    <w:basedOn w:val="Carpredefinitoparagrafo"/>
    <w:uiPriority w:val="98"/>
    <w:semiHidden/>
    <w:rsid w:val="00A84425"/>
  </w:style>
  <w:style w:type="paragraph" w:styleId="IndirizzoHTML">
    <w:name w:val="HTML Address"/>
    <w:basedOn w:val="Normale"/>
    <w:link w:val="IndirizzoHTMLCarattere"/>
    <w:uiPriority w:val="98"/>
    <w:semiHidden/>
    <w:rsid w:val="00A84425"/>
    <w:rPr>
      <w:i/>
      <w:iCs/>
    </w:rPr>
  </w:style>
  <w:style w:type="character" w:customStyle="1" w:styleId="IndirizzoHTMLCarattere">
    <w:name w:val="Indirizzo HTML Carattere"/>
    <w:basedOn w:val="Carpredefinitoparagrafo"/>
    <w:link w:val="IndirizzoHTML"/>
    <w:uiPriority w:val="98"/>
    <w:semiHidden/>
    <w:rsid w:val="00A84425"/>
    <w:rPr>
      <w:i/>
      <w:iCs/>
      <w:sz w:val="24"/>
      <w:szCs w:val="24"/>
      <w:lang w:val="fr-FR"/>
    </w:rPr>
  </w:style>
  <w:style w:type="character" w:styleId="CitazioneHTML">
    <w:name w:val="HTML Cite"/>
    <w:basedOn w:val="Carpredefinitoparagrafo"/>
    <w:uiPriority w:val="98"/>
    <w:semiHidden/>
    <w:rsid w:val="00A84425"/>
    <w:rPr>
      <w:i/>
      <w:iCs/>
    </w:rPr>
  </w:style>
  <w:style w:type="character" w:styleId="CodiceHTML">
    <w:name w:val="HTML Code"/>
    <w:basedOn w:val="Carpredefinitoparagrafo"/>
    <w:uiPriority w:val="98"/>
    <w:semiHidden/>
    <w:rsid w:val="00A84425"/>
    <w:rPr>
      <w:rFonts w:ascii="Consolas" w:hAnsi="Consolas" w:cs="Consolas"/>
      <w:sz w:val="20"/>
      <w:szCs w:val="20"/>
    </w:rPr>
  </w:style>
  <w:style w:type="character" w:styleId="DefinizioneHTML">
    <w:name w:val="HTML Definition"/>
    <w:basedOn w:val="Carpredefinitoparagrafo"/>
    <w:uiPriority w:val="98"/>
    <w:semiHidden/>
    <w:rsid w:val="00A84425"/>
    <w:rPr>
      <w:i/>
      <w:iCs/>
    </w:rPr>
  </w:style>
  <w:style w:type="character" w:styleId="TastieraHTML">
    <w:name w:val="HTML Keyboard"/>
    <w:basedOn w:val="Carpredefinitoparagrafo"/>
    <w:uiPriority w:val="98"/>
    <w:semiHidden/>
    <w:rsid w:val="00A84425"/>
    <w:rPr>
      <w:rFonts w:ascii="Consolas" w:hAnsi="Consolas" w:cs="Consolas"/>
      <w:sz w:val="20"/>
      <w:szCs w:val="20"/>
    </w:rPr>
  </w:style>
  <w:style w:type="paragraph" w:styleId="PreformattatoHTML">
    <w:name w:val="HTML Preformatted"/>
    <w:basedOn w:val="Normale"/>
    <w:link w:val="PreformattatoHTMLCarattere"/>
    <w:uiPriority w:val="98"/>
    <w:semiHidden/>
    <w:rsid w:val="00A8442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A84425"/>
    <w:rPr>
      <w:rFonts w:ascii="Consolas" w:hAnsi="Consolas" w:cs="Consolas"/>
      <w:sz w:val="20"/>
      <w:szCs w:val="20"/>
      <w:lang w:val="fr-FR"/>
    </w:rPr>
  </w:style>
  <w:style w:type="character" w:styleId="EsempioHTML">
    <w:name w:val="HTML Sample"/>
    <w:basedOn w:val="Carpredefinitoparagrafo"/>
    <w:uiPriority w:val="98"/>
    <w:semiHidden/>
    <w:rsid w:val="00A84425"/>
    <w:rPr>
      <w:rFonts w:ascii="Consolas" w:hAnsi="Consolas" w:cs="Consolas"/>
      <w:sz w:val="24"/>
      <w:szCs w:val="24"/>
    </w:rPr>
  </w:style>
  <w:style w:type="character" w:styleId="MacchinadascrivereHTML">
    <w:name w:val="HTML Typewriter"/>
    <w:basedOn w:val="Carpredefinitoparagrafo"/>
    <w:uiPriority w:val="98"/>
    <w:semiHidden/>
    <w:rsid w:val="00A84425"/>
    <w:rPr>
      <w:rFonts w:ascii="Consolas" w:hAnsi="Consolas" w:cs="Consolas"/>
      <w:sz w:val="20"/>
      <w:szCs w:val="20"/>
    </w:rPr>
  </w:style>
  <w:style w:type="character" w:styleId="VariabileHTML">
    <w:name w:val="HTML Variable"/>
    <w:basedOn w:val="Carpredefinitoparagrafo"/>
    <w:uiPriority w:val="98"/>
    <w:semiHidden/>
    <w:rsid w:val="00A84425"/>
    <w:rPr>
      <w:i/>
      <w:iCs/>
    </w:rPr>
  </w:style>
  <w:style w:type="paragraph" w:styleId="Indice1">
    <w:name w:val="index 1"/>
    <w:basedOn w:val="Normale"/>
    <w:next w:val="Normale"/>
    <w:autoRedefine/>
    <w:uiPriority w:val="98"/>
    <w:semiHidden/>
    <w:rsid w:val="00A84425"/>
    <w:pPr>
      <w:ind w:left="240" w:hanging="240"/>
    </w:pPr>
  </w:style>
  <w:style w:type="paragraph" w:styleId="Indice2">
    <w:name w:val="index 2"/>
    <w:basedOn w:val="Normale"/>
    <w:next w:val="Normale"/>
    <w:autoRedefine/>
    <w:uiPriority w:val="98"/>
    <w:semiHidden/>
    <w:rsid w:val="00A84425"/>
    <w:pPr>
      <w:ind w:left="480" w:hanging="240"/>
    </w:pPr>
  </w:style>
  <w:style w:type="paragraph" w:styleId="Indice3">
    <w:name w:val="index 3"/>
    <w:basedOn w:val="Normale"/>
    <w:next w:val="Normale"/>
    <w:autoRedefine/>
    <w:uiPriority w:val="98"/>
    <w:semiHidden/>
    <w:rsid w:val="00A84425"/>
    <w:pPr>
      <w:ind w:left="720" w:hanging="240"/>
    </w:pPr>
  </w:style>
  <w:style w:type="paragraph" w:styleId="Indice4">
    <w:name w:val="index 4"/>
    <w:basedOn w:val="Normale"/>
    <w:next w:val="Normale"/>
    <w:autoRedefine/>
    <w:uiPriority w:val="98"/>
    <w:semiHidden/>
    <w:rsid w:val="00A84425"/>
    <w:pPr>
      <w:ind w:left="960" w:hanging="240"/>
    </w:pPr>
  </w:style>
  <w:style w:type="paragraph" w:styleId="Indice5">
    <w:name w:val="index 5"/>
    <w:basedOn w:val="Normale"/>
    <w:next w:val="Normale"/>
    <w:autoRedefine/>
    <w:uiPriority w:val="98"/>
    <w:semiHidden/>
    <w:rsid w:val="00A84425"/>
    <w:pPr>
      <w:ind w:left="1200" w:hanging="240"/>
    </w:pPr>
  </w:style>
  <w:style w:type="paragraph" w:styleId="Indice6">
    <w:name w:val="index 6"/>
    <w:basedOn w:val="Normale"/>
    <w:next w:val="Normale"/>
    <w:autoRedefine/>
    <w:uiPriority w:val="98"/>
    <w:semiHidden/>
    <w:rsid w:val="00A84425"/>
    <w:pPr>
      <w:ind w:left="1440" w:hanging="240"/>
    </w:pPr>
  </w:style>
  <w:style w:type="paragraph" w:styleId="Indice7">
    <w:name w:val="index 7"/>
    <w:basedOn w:val="Normale"/>
    <w:next w:val="Normale"/>
    <w:autoRedefine/>
    <w:uiPriority w:val="98"/>
    <w:semiHidden/>
    <w:rsid w:val="00A84425"/>
    <w:pPr>
      <w:ind w:left="1680" w:hanging="240"/>
    </w:pPr>
  </w:style>
  <w:style w:type="paragraph" w:styleId="Indice8">
    <w:name w:val="index 8"/>
    <w:basedOn w:val="Normale"/>
    <w:next w:val="Normale"/>
    <w:autoRedefine/>
    <w:uiPriority w:val="98"/>
    <w:semiHidden/>
    <w:rsid w:val="00A84425"/>
    <w:pPr>
      <w:ind w:left="1920" w:hanging="240"/>
    </w:pPr>
  </w:style>
  <w:style w:type="paragraph" w:styleId="Indice9">
    <w:name w:val="index 9"/>
    <w:basedOn w:val="Normale"/>
    <w:next w:val="Normale"/>
    <w:autoRedefine/>
    <w:uiPriority w:val="98"/>
    <w:semiHidden/>
    <w:rsid w:val="00A84425"/>
    <w:pPr>
      <w:ind w:left="2160" w:hanging="240"/>
    </w:pPr>
  </w:style>
  <w:style w:type="paragraph" w:styleId="Titoloindice">
    <w:name w:val="index heading"/>
    <w:basedOn w:val="Normale"/>
    <w:next w:val="Indice1"/>
    <w:uiPriority w:val="98"/>
    <w:semiHidden/>
    <w:rsid w:val="00A84425"/>
    <w:rPr>
      <w:rFonts w:asciiTheme="majorHAnsi" w:eastAsiaTheme="majorEastAsia" w:hAnsiTheme="majorHAnsi" w:cstheme="majorBidi"/>
      <w:b/>
      <w:bCs/>
    </w:rPr>
  </w:style>
  <w:style w:type="table" w:styleId="Grigliachiara">
    <w:name w:val="Light Grid"/>
    <w:basedOn w:val="Tabellanormale"/>
    <w:uiPriority w:val="62"/>
    <w:semiHidden/>
    <w:rsid w:val="00A8442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8442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A8442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A8442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A8442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8442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A8442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8442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A8442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8442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A8442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A8442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A8442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8442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A8442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A8442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A8442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8442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A8442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A8442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A8442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A84425"/>
  </w:style>
  <w:style w:type="paragraph" w:styleId="Elenco">
    <w:name w:val="List"/>
    <w:basedOn w:val="Normale"/>
    <w:uiPriority w:val="98"/>
    <w:semiHidden/>
    <w:rsid w:val="00A84425"/>
    <w:pPr>
      <w:ind w:left="283" w:hanging="283"/>
      <w:contextualSpacing/>
    </w:pPr>
  </w:style>
  <w:style w:type="paragraph" w:styleId="Elenco2">
    <w:name w:val="List 2"/>
    <w:basedOn w:val="Normale"/>
    <w:uiPriority w:val="98"/>
    <w:semiHidden/>
    <w:rsid w:val="00A84425"/>
    <w:pPr>
      <w:ind w:left="566" w:hanging="283"/>
      <w:contextualSpacing/>
    </w:pPr>
  </w:style>
  <w:style w:type="paragraph" w:styleId="Elenco3">
    <w:name w:val="List 3"/>
    <w:basedOn w:val="Normale"/>
    <w:uiPriority w:val="98"/>
    <w:semiHidden/>
    <w:rsid w:val="00A84425"/>
    <w:pPr>
      <w:ind w:left="849" w:hanging="283"/>
      <w:contextualSpacing/>
    </w:pPr>
  </w:style>
  <w:style w:type="paragraph" w:styleId="Elenco4">
    <w:name w:val="List 4"/>
    <w:basedOn w:val="Normale"/>
    <w:uiPriority w:val="98"/>
    <w:semiHidden/>
    <w:rsid w:val="00A84425"/>
    <w:pPr>
      <w:ind w:left="1132" w:hanging="283"/>
      <w:contextualSpacing/>
    </w:pPr>
  </w:style>
  <w:style w:type="paragraph" w:styleId="Elenco5">
    <w:name w:val="List 5"/>
    <w:basedOn w:val="Normale"/>
    <w:uiPriority w:val="98"/>
    <w:semiHidden/>
    <w:rsid w:val="00A84425"/>
    <w:pPr>
      <w:ind w:left="1415" w:hanging="283"/>
      <w:contextualSpacing/>
    </w:pPr>
  </w:style>
  <w:style w:type="paragraph" w:styleId="Puntoelenco">
    <w:name w:val="List Bullet"/>
    <w:basedOn w:val="Normale"/>
    <w:uiPriority w:val="98"/>
    <w:semiHidden/>
    <w:rsid w:val="00A84425"/>
    <w:pPr>
      <w:numPr>
        <w:numId w:val="8"/>
      </w:numPr>
    </w:pPr>
  </w:style>
  <w:style w:type="paragraph" w:styleId="Puntoelenco4">
    <w:name w:val="List Bullet 4"/>
    <w:basedOn w:val="Normale"/>
    <w:uiPriority w:val="98"/>
    <w:semiHidden/>
    <w:rsid w:val="00A84425"/>
    <w:pPr>
      <w:numPr>
        <w:numId w:val="11"/>
      </w:numPr>
      <w:contextualSpacing/>
    </w:pPr>
  </w:style>
  <w:style w:type="paragraph" w:styleId="Puntoelenco5">
    <w:name w:val="List Bullet 5"/>
    <w:basedOn w:val="Normale"/>
    <w:uiPriority w:val="98"/>
    <w:semiHidden/>
    <w:rsid w:val="00A84425"/>
    <w:pPr>
      <w:numPr>
        <w:numId w:val="12"/>
      </w:numPr>
      <w:contextualSpacing/>
    </w:pPr>
  </w:style>
  <w:style w:type="paragraph" w:styleId="Elencocontinua">
    <w:name w:val="List Continue"/>
    <w:basedOn w:val="Normale"/>
    <w:uiPriority w:val="98"/>
    <w:semiHidden/>
    <w:rsid w:val="00A84425"/>
    <w:pPr>
      <w:spacing w:after="120"/>
      <w:ind w:left="283"/>
      <w:contextualSpacing/>
    </w:pPr>
  </w:style>
  <w:style w:type="paragraph" w:styleId="Elencocontinua2">
    <w:name w:val="List Continue 2"/>
    <w:basedOn w:val="Normale"/>
    <w:uiPriority w:val="98"/>
    <w:semiHidden/>
    <w:rsid w:val="00A84425"/>
    <w:pPr>
      <w:spacing w:after="120"/>
      <w:ind w:left="566"/>
      <w:contextualSpacing/>
    </w:pPr>
  </w:style>
  <w:style w:type="paragraph" w:styleId="Elencocontinua3">
    <w:name w:val="List Continue 3"/>
    <w:basedOn w:val="Normale"/>
    <w:uiPriority w:val="98"/>
    <w:semiHidden/>
    <w:rsid w:val="00A84425"/>
    <w:pPr>
      <w:spacing w:after="120"/>
      <w:ind w:left="849"/>
      <w:contextualSpacing/>
    </w:pPr>
  </w:style>
  <w:style w:type="paragraph" w:styleId="Elencocontinua4">
    <w:name w:val="List Continue 4"/>
    <w:basedOn w:val="Normale"/>
    <w:uiPriority w:val="98"/>
    <w:semiHidden/>
    <w:rsid w:val="00A84425"/>
    <w:pPr>
      <w:spacing w:after="120"/>
      <w:ind w:left="1132"/>
      <w:contextualSpacing/>
    </w:pPr>
  </w:style>
  <w:style w:type="paragraph" w:styleId="Elencocontinua5">
    <w:name w:val="List Continue 5"/>
    <w:basedOn w:val="Normale"/>
    <w:uiPriority w:val="98"/>
    <w:semiHidden/>
    <w:rsid w:val="00A84425"/>
    <w:pPr>
      <w:spacing w:after="120"/>
      <w:ind w:left="1415"/>
      <w:contextualSpacing/>
    </w:pPr>
  </w:style>
  <w:style w:type="paragraph" w:styleId="Numeroelenco">
    <w:name w:val="List Number"/>
    <w:basedOn w:val="Normale"/>
    <w:uiPriority w:val="98"/>
    <w:semiHidden/>
    <w:rsid w:val="00A84425"/>
    <w:pPr>
      <w:numPr>
        <w:numId w:val="13"/>
      </w:numPr>
      <w:contextualSpacing/>
    </w:pPr>
  </w:style>
  <w:style w:type="paragraph" w:styleId="Numeroelenco2">
    <w:name w:val="List Number 2"/>
    <w:basedOn w:val="Normale"/>
    <w:uiPriority w:val="98"/>
    <w:semiHidden/>
    <w:rsid w:val="00A84425"/>
    <w:pPr>
      <w:numPr>
        <w:numId w:val="14"/>
      </w:numPr>
      <w:contextualSpacing/>
    </w:pPr>
  </w:style>
  <w:style w:type="paragraph" w:styleId="Numeroelenco3">
    <w:name w:val="List Number 3"/>
    <w:basedOn w:val="Normale"/>
    <w:uiPriority w:val="98"/>
    <w:semiHidden/>
    <w:rsid w:val="00A84425"/>
    <w:pPr>
      <w:numPr>
        <w:numId w:val="15"/>
      </w:numPr>
      <w:contextualSpacing/>
    </w:pPr>
  </w:style>
  <w:style w:type="paragraph" w:styleId="Numeroelenco4">
    <w:name w:val="List Number 4"/>
    <w:basedOn w:val="Normale"/>
    <w:uiPriority w:val="98"/>
    <w:semiHidden/>
    <w:rsid w:val="00A84425"/>
    <w:pPr>
      <w:numPr>
        <w:numId w:val="16"/>
      </w:numPr>
      <w:contextualSpacing/>
    </w:pPr>
  </w:style>
  <w:style w:type="paragraph" w:styleId="Numeroelenco5">
    <w:name w:val="List Number 5"/>
    <w:basedOn w:val="Normale"/>
    <w:uiPriority w:val="98"/>
    <w:semiHidden/>
    <w:rsid w:val="00A84425"/>
    <w:pPr>
      <w:numPr>
        <w:numId w:val="17"/>
      </w:numPr>
      <w:contextualSpacing/>
    </w:pPr>
  </w:style>
  <w:style w:type="paragraph" w:styleId="Testomacro">
    <w:name w:val="macro"/>
    <w:link w:val="TestomacroCarattere"/>
    <w:uiPriority w:val="98"/>
    <w:semiHidden/>
    <w:rsid w:val="00A8442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A84425"/>
    <w:rPr>
      <w:rFonts w:ascii="Consolas" w:eastAsiaTheme="minorEastAsia" w:hAnsi="Consolas" w:cs="Consolas"/>
      <w:sz w:val="20"/>
      <w:szCs w:val="20"/>
    </w:rPr>
  </w:style>
  <w:style w:type="table" w:styleId="Grigliamedia1">
    <w:name w:val="Medium Grid 1"/>
    <w:basedOn w:val="Tabellanormale"/>
    <w:uiPriority w:val="67"/>
    <w:semiHidden/>
    <w:rsid w:val="00A8442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A8442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A8442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A8442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8442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A8442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8442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A8442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A8442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8442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A8442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A8442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A8442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8442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A8442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8442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A8442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8442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A8442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A8442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A8442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8442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A8442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8442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8442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8442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8442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8442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8442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8442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8442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8442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8442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8442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8442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8442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A844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A84425"/>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A84425"/>
    <w:rPr>
      <w:rFonts w:ascii="Times New Roman" w:hAnsi="Times New Roman" w:cs="Times New Roman"/>
    </w:rPr>
  </w:style>
  <w:style w:type="paragraph" w:styleId="Rientronormale">
    <w:name w:val="Normal Indent"/>
    <w:basedOn w:val="Normale"/>
    <w:uiPriority w:val="98"/>
    <w:semiHidden/>
    <w:rsid w:val="00A84425"/>
    <w:pPr>
      <w:ind w:left="720"/>
    </w:pPr>
  </w:style>
  <w:style w:type="paragraph" w:styleId="Intestazionenota">
    <w:name w:val="Note Heading"/>
    <w:basedOn w:val="Normale"/>
    <w:next w:val="Normale"/>
    <w:link w:val="IntestazionenotaCarattere"/>
    <w:uiPriority w:val="98"/>
    <w:semiHidden/>
    <w:rsid w:val="00A84425"/>
  </w:style>
  <w:style w:type="character" w:customStyle="1" w:styleId="IntestazionenotaCarattere">
    <w:name w:val="Intestazione nota Carattere"/>
    <w:basedOn w:val="Carpredefinitoparagrafo"/>
    <w:link w:val="Intestazionenota"/>
    <w:uiPriority w:val="98"/>
    <w:semiHidden/>
    <w:rsid w:val="00A84425"/>
    <w:rPr>
      <w:sz w:val="24"/>
      <w:szCs w:val="24"/>
      <w:lang w:val="fr-FR"/>
    </w:rPr>
  </w:style>
  <w:style w:type="character" w:styleId="Testosegnaposto">
    <w:name w:val="Placeholder Text"/>
    <w:basedOn w:val="Carpredefinitoparagrafo"/>
    <w:uiPriority w:val="98"/>
    <w:semiHidden/>
    <w:rsid w:val="00A8442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A8442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A84425"/>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A84425"/>
  </w:style>
  <w:style w:type="character" w:customStyle="1" w:styleId="FormuladiaperturaCarattere">
    <w:name w:val="Formula di apertura Carattere"/>
    <w:basedOn w:val="Carpredefinitoparagrafo"/>
    <w:link w:val="Formuladiapertura"/>
    <w:uiPriority w:val="98"/>
    <w:semiHidden/>
    <w:rsid w:val="00A84425"/>
    <w:rPr>
      <w:sz w:val="24"/>
      <w:szCs w:val="24"/>
      <w:lang w:val="fr-FR"/>
    </w:rPr>
  </w:style>
  <w:style w:type="paragraph" w:styleId="Firma">
    <w:name w:val="Signature"/>
    <w:basedOn w:val="Normale"/>
    <w:link w:val="FirmaCarattere"/>
    <w:uiPriority w:val="98"/>
    <w:semiHidden/>
    <w:rsid w:val="00A84425"/>
    <w:pPr>
      <w:ind w:left="4252"/>
    </w:pPr>
  </w:style>
  <w:style w:type="character" w:customStyle="1" w:styleId="FirmaCarattere">
    <w:name w:val="Firma Carattere"/>
    <w:basedOn w:val="Carpredefinitoparagrafo"/>
    <w:link w:val="Firma"/>
    <w:uiPriority w:val="98"/>
    <w:semiHidden/>
    <w:rsid w:val="00A84425"/>
    <w:rPr>
      <w:sz w:val="24"/>
      <w:szCs w:val="24"/>
      <w:lang w:val="fr-FR"/>
    </w:rPr>
  </w:style>
  <w:style w:type="table" w:styleId="Tabellaeffetti3D1">
    <w:name w:val="Table 3D effects 1"/>
    <w:basedOn w:val="Tabellanormale"/>
    <w:uiPriority w:val="99"/>
    <w:semiHidden/>
    <w:unhideWhenUsed/>
    <w:rsid w:val="00A8442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8442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8442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8442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8442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8442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8442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8442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8442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8442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8442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8442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8442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8442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8442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8442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8442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A8442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A8442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A8442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A8442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A8442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A8442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A8442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A8442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A8442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A8442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A8442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A8442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A8442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A8442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A8442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A8442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A84425"/>
    <w:pPr>
      <w:ind w:left="240" w:hanging="240"/>
    </w:pPr>
  </w:style>
  <w:style w:type="paragraph" w:styleId="Indicedellefigure">
    <w:name w:val="table of figures"/>
    <w:basedOn w:val="Normale"/>
    <w:next w:val="Normale"/>
    <w:uiPriority w:val="98"/>
    <w:semiHidden/>
    <w:rsid w:val="00A84425"/>
  </w:style>
  <w:style w:type="table" w:styleId="Tabellaprofessionale">
    <w:name w:val="Table Professional"/>
    <w:basedOn w:val="Tabellanormale"/>
    <w:uiPriority w:val="99"/>
    <w:semiHidden/>
    <w:unhideWhenUsed/>
    <w:rsid w:val="00A8442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8442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8442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8442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8442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8442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8442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8442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8442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8442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A8442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A8442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A84425"/>
    <w:pPr>
      <w:spacing w:after="100"/>
      <w:ind w:left="1680"/>
    </w:pPr>
  </w:style>
  <w:style w:type="paragraph" w:styleId="Sommario9">
    <w:name w:val="toc 9"/>
    <w:basedOn w:val="Normale"/>
    <w:next w:val="Normale"/>
    <w:autoRedefine/>
    <w:uiPriority w:val="98"/>
    <w:semiHidden/>
    <w:rsid w:val="00A84425"/>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A84425"/>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A84425"/>
    <w:pPr>
      <w:numPr>
        <w:ilvl w:val="1"/>
      </w:numPr>
    </w:pPr>
  </w:style>
  <w:style w:type="paragraph" w:customStyle="1" w:styleId="ECHRBullet3">
    <w:name w:val="ECHR_Bullet_3"/>
    <w:aliases w:val="_Bul_3"/>
    <w:basedOn w:val="ECHRBullet2"/>
    <w:uiPriority w:val="23"/>
    <w:semiHidden/>
    <w:rsid w:val="00A84425"/>
    <w:pPr>
      <w:numPr>
        <w:ilvl w:val="2"/>
      </w:numPr>
    </w:pPr>
  </w:style>
  <w:style w:type="paragraph" w:customStyle="1" w:styleId="ECHRBullet4">
    <w:name w:val="ECHR_Bullet_4"/>
    <w:aliases w:val="_Bul_4"/>
    <w:basedOn w:val="ECHRBullet3"/>
    <w:uiPriority w:val="23"/>
    <w:semiHidden/>
    <w:rsid w:val="00A84425"/>
    <w:pPr>
      <w:numPr>
        <w:ilvl w:val="3"/>
      </w:numPr>
    </w:pPr>
  </w:style>
  <w:style w:type="paragraph" w:customStyle="1" w:styleId="ECHRConfidential">
    <w:name w:val="ECHR_Confidential"/>
    <w:aliases w:val="_Confidential"/>
    <w:basedOn w:val="Normale"/>
    <w:next w:val="Normale"/>
    <w:uiPriority w:val="42"/>
    <w:semiHidden/>
    <w:qFormat/>
    <w:rsid w:val="00A84425"/>
    <w:pPr>
      <w:jc w:val="right"/>
    </w:pPr>
    <w:rPr>
      <w:color w:val="C00000"/>
      <w:sz w:val="20"/>
    </w:rPr>
  </w:style>
  <w:style w:type="paragraph" w:customStyle="1" w:styleId="ECHRDecisionBody">
    <w:name w:val="ECHR_Decision_Body"/>
    <w:aliases w:val="_Decision_Body"/>
    <w:basedOn w:val="NormalJustified"/>
    <w:uiPriority w:val="54"/>
    <w:semiHidden/>
    <w:rsid w:val="00A8442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A8442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A84425"/>
    <w:rPr>
      <w:rFonts w:ascii="Arial" w:hAnsi="Arial"/>
      <w:i/>
      <w:color w:val="002856"/>
      <w:sz w:val="32"/>
      <w:szCs w:val="24"/>
      <w:lang w:val="fr-FR"/>
    </w:rPr>
  </w:style>
  <w:style w:type="paragraph" w:customStyle="1" w:styleId="DummyStyle">
    <w:name w:val="Dummy_Style"/>
    <w:aliases w:val="_Dummy"/>
    <w:basedOn w:val="Normale"/>
    <w:semiHidden/>
    <w:qFormat/>
    <w:rsid w:val="00A84425"/>
    <w:rPr>
      <w:color w:val="00B050"/>
      <w:sz w:val="22"/>
    </w:rPr>
  </w:style>
  <w:style w:type="paragraph" w:customStyle="1" w:styleId="ECHRFooterLineLandscape">
    <w:name w:val="ECHR_Footer_Line_Landscape"/>
    <w:aliases w:val="_Footer_Line_Landscape"/>
    <w:basedOn w:val="Normale"/>
    <w:uiPriority w:val="29"/>
    <w:semiHidden/>
    <w:rsid w:val="00A8442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A84425"/>
    <w:pPr>
      <w:ind w:left="567" w:hanging="567"/>
    </w:pPr>
  </w:style>
  <w:style w:type="paragraph" w:customStyle="1" w:styleId="ECHRHeading9">
    <w:name w:val="ECHR_Heading_9"/>
    <w:aliases w:val="_Head_9"/>
    <w:basedOn w:val="Titolo9"/>
    <w:uiPriority w:val="17"/>
    <w:semiHidden/>
    <w:rsid w:val="00A84425"/>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A84425"/>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A84425"/>
    <w:pPr>
      <w:spacing w:before="120" w:after="120"/>
      <w:ind w:left="567"/>
    </w:pPr>
  </w:style>
  <w:style w:type="paragraph" w:customStyle="1" w:styleId="ECHRLine">
    <w:name w:val="ECHR_Line"/>
    <w:aliases w:val="_Line"/>
    <w:basedOn w:val="NormalJustified"/>
    <w:next w:val="Normale"/>
    <w:uiPriority w:val="46"/>
    <w:semiHidden/>
    <w:rsid w:val="00A84425"/>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A84425"/>
    <w:pPr>
      <w:numPr>
        <w:numId w:val="0"/>
      </w:numPr>
      <w:ind w:left="284"/>
    </w:pPr>
  </w:style>
  <w:style w:type="paragraph" w:customStyle="1" w:styleId="ECHRNumberedList1">
    <w:name w:val="ECHR_Numbered_List_1"/>
    <w:aliases w:val="_Num_1"/>
    <w:basedOn w:val="NormalJustified"/>
    <w:uiPriority w:val="23"/>
    <w:semiHidden/>
    <w:qFormat/>
    <w:rsid w:val="00A84425"/>
    <w:pPr>
      <w:numPr>
        <w:numId w:val="7"/>
      </w:numPr>
      <w:spacing w:before="60" w:after="60"/>
    </w:pPr>
  </w:style>
  <w:style w:type="paragraph" w:customStyle="1" w:styleId="ECHRNumberedList2">
    <w:name w:val="ECHR_Numbered_List_2"/>
    <w:aliases w:val="_Num_2"/>
    <w:basedOn w:val="ECHRNumberedList1"/>
    <w:uiPriority w:val="23"/>
    <w:semiHidden/>
    <w:rsid w:val="00A84425"/>
    <w:pPr>
      <w:numPr>
        <w:ilvl w:val="1"/>
      </w:numPr>
    </w:pPr>
  </w:style>
  <w:style w:type="paragraph" w:customStyle="1" w:styleId="ECHRNumberedList3">
    <w:name w:val="ECHR_Numbered_List_3"/>
    <w:aliases w:val="_Num_3"/>
    <w:basedOn w:val="ECHRNumberedList2"/>
    <w:uiPriority w:val="23"/>
    <w:semiHidden/>
    <w:rsid w:val="00A84425"/>
    <w:pPr>
      <w:numPr>
        <w:ilvl w:val="2"/>
      </w:numPr>
    </w:pPr>
  </w:style>
  <w:style w:type="paragraph" w:customStyle="1" w:styleId="ECHRPlaceholder">
    <w:name w:val="ECHR_Placeholder"/>
    <w:aliases w:val="_Placeholder"/>
    <w:basedOn w:val="JuSigned"/>
    <w:uiPriority w:val="31"/>
    <w:rsid w:val="00A84425"/>
    <w:rPr>
      <w:color w:val="FFFFFF"/>
    </w:rPr>
  </w:style>
  <w:style w:type="character" w:customStyle="1" w:styleId="ECHRRed">
    <w:name w:val="ECHR_Red"/>
    <w:aliases w:val="_Red"/>
    <w:basedOn w:val="Carpredefinitoparagrafo"/>
    <w:uiPriority w:val="15"/>
    <w:semiHidden/>
    <w:qFormat/>
    <w:rsid w:val="00A84425"/>
    <w:rPr>
      <w:color w:val="C00000" w:themeColor="accent2"/>
    </w:rPr>
  </w:style>
  <w:style w:type="paragraph" w:customStyle="1" w:styleId="ECHRHeaderDate">
    <w:name w:val="ECHR_Header_Date"/>
    <w:aliases w:val="_Ref_Date"/>
    <w:basedOn w:val="Normale"/>
    <w:uiPriority w:val="44"/>
    <w:semiHidden/>
    <w:qFormat/>
    <w:rsid w:val="00A84425"/>
    <w:pPr>
      <w:jc w:val="right"/>
    </w:pPr>
    <w:rPr>
      <w:sz w:val="20"/>
    </w:rPr>
  </w:style>
  <w:style w:type="paragraph" w:customStyle="1" w:styleId="ECHRHeaderRefIt">
    <w:name w:val="ECHR_Header_Ref_It"/>
    <w:aliases w:val="_Ref_Ital"/>
    <w:basedOn w:val="Normale"/>
    <w:next w:val="ECHRHeaderDate"/>
    <w:uiPriority w:val="43"/>
    <w:semiHidden/>
    <w:qFormat/>
    <w:rsid w:val="00A84425"/>
    <w:pPr>
      <w:jc w:val="right"/>
    </w:pPr>
    <w:rPr>
      <w:i/>
      <w:sz w:val="20"/>
    </w:rPr>
  </w:style>
  <w:style w:type="paragraph" w:customStyle="1" w:styleId="ECHRSpacer">
    <w:name w:val="ECHR_Spacer"/>
    <w:aliases w:val="_Spacer"/>
    <w:basedOn w:val="Normale"/>
    <w:uiPriority w:val="45"/>
    <w:semiHidden/>
    <w:rsid w:val="00A84425"/>
    <w:rPr>
      <w:sz w:val="4"/>
    </w:rPr>
  </w:style>
  <w:style w:type="paragraph" w:customStyle="1" w:styleId="ECHRTitleCentre1">
    <w:name w:val="ECHR_Title_Centre_1"/>
    <w:aliases w:val="_Title_C_1"/>
    <w:basedOn w:val="Normale"/>
    <w:next w:val="Normale"/>
    <w:uiPriority w:val="26"/>
    <w:semiHidden/>
    <w:qFormat/>
    <w:rsid w:val="00A8442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A8442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A8442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A84425"/>
    <w:pPr>
      <w:outlineLvl w:val="0"/>
    </w:pPr>
  </w:style>
  <w:style w:type="paragraph" w:customStyle="1" w:styleId="ECHRTitle1">
    <w:name w:val="ECHR_Title_1"/>
    <w:aliases w:val="_Title_L_1"/>
    <w:basedOn w:val="Normale"/>
    <w:next w:val="Normale"/>
    <w:uiPriority w:val="28"/>
    <w:semiHidden/>
    <w:qFormat/>
    <w:rsid w:val="00A8442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A8442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A8442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A84425"/>
    <w:pPr>
      <w:outlineLvl w:val="0"/>
    </w:pPr>
  </w:style>
  <w:style w:type="table" w:customStyle="1" w:styleId="ECHRTable2">
    <w:name w:val="ECHR_Table_2"/>
    <w:basedOn w:val="Tabellanormale"/>
    <w:uiPriority w:val="99"/>
    <w:rsid w:val="00A8442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A8442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A8442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DD596B"/>
    <w:rPr>
      <w:sz w:val="24"/>
      <w:szCs w:val="24"/>
      <w:lang w:val="fr-FR"/>
    </w:rPr>
  </w:style>
  <w:style w:type="table" w:styleId="Tabellagriglia1chiara">
    <w:name w:val="Grid Table 1 Light"/>
    <w:basedOn w:val="Tabellanormale"/>
    <w:uiPriority w:val="46"/>
    <w:semiHidden/>
    <w:rsid w:val="00A844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A8442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A8442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A8442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A8442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A8442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A8442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A8442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A8442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A8442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A8442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A8442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A8442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A8442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A8442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A8442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A8442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A8442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A8442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A8442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A8442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A8442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A8442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A8442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A8442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A8442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A8442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A8442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A844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A844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A844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A844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A844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A844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A8442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A8442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A8442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A8442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A8442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A8442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A8442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A8442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A8442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A8442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A8442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A8442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A8442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A8442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A8442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A84425"/>
    <w:rPr>
      <w:color w:val="2B579A"/>
      <w:shd w:val="clear" w:color="auto" w:fill="E1DFDD"/>
    </w:rPr>
  </w:style>
  <w:style w:type="table" w:styleId="Tabellaelenco1chiara">
    <w:name w:val="List Table 1 Light"/>
    <w:basedOn w:val="Tabellanormale"/>
    <w:uiPriority w:val="46"/>
    <w:semiHidden/>
    <w:rsid w:val="00A8442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A8442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A8442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A8442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A8442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A8442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A8442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A8442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A8442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A8442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A8442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A8442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A8442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A8442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A8442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A8442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A8442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A8442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A8442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A8442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A8442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A8442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A8442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A8442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A8442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A8442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A8442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A8442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A8442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A8442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A8442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A8442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A8442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A8442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A8442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A8442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A8442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A8442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A8442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A8442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A8442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A8442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A8442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A8442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A8442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A8442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A8442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A8442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A8442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A84425"/>
    <w:rPr>
      <w:color w:val="2B579A"/>
      <w:shd w:val="clear" w:color="auto" w:fill="E1DFDD"/>
    </w:rPr>
  </w:style>
  <w:style w:type="table" w:styleId="Tabellasemplice-1">
    <w:name w:val="Plain Table 1"/>
    <w:basedOn w:val="Tabellanormale"/>
    <w:uiPriority w:val="41"/>
    <w:semiHidden/>
    <w:rsid w:val="00A8442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A844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A8442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A8442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A8442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A84425"/>
    <w:rPr>
      <w:u w:val="dotted"/>
    </w:rPr>
  </w:style>
  <w:style w:type="character" w:customStyle="1" w:styleId="SmartLink">
    <w:name w:val="Smart Link"/>
    <w:basedOn w:val="Carpredefinitoparagrafo"/>
    <w:uiPriority w:val="99"/>
    <w:semiHidden/>
    <w:unhideWhenUsed/>
    <w:rsid w:val="00A84425"/>
    <w:rPr>
      <w:color w:val="0000FF"/>
      <w:u w:val="single"/>
      <w:shd w:val="clear" w:color="auto" w:fill="F3F2F1"/>
    </w:rPr>
  </w:style>
  <w:style w:type="table" w:styleId="Grigliatabellachiara">
    <w:name w:val="Grid Table Light"/>
    <w:basedOn w:val="Tabellanormale"/>
    <w:uiPriority w:val="40"/>
    <w:semiHidden/>
    <w:rsid w:val="00A8442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A8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52D9-6A11-41C7-AC13-CEC6369E195D}">
  <ds:schemaRefs>
    <ds:schemaRef ds:uri="http://schemas.microsoft.com/sharepoint/v3/contenttype/forms"/>
  </ds:schemaRefs>
</ds:datastoreItem>
</file>

<file path=customXml/itemProps2.xml><?xml version="1.0" encoding="utf-8"?>
<ds:datastoreItem xmlns:ds="http://schemas.openxmlformats.org/officeDocument/2006/customXml" ds:itemID="{7A268F87-21F2-40E1-9A7B-44E598C7B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9C000B-154C-485B-8C11-320C6775D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3B337-6DE6-4813-9A0B-1407A0D7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17441</Characters>
  <Application>Microsoft Office Word</Application>
  <DocSecurity>0</DocSecurity>
  <Lines>145</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2022-04-04T08:25:00Z</dcterms:created>
  <dcterms:modified xsi:type="dcterms:W3CDTF">2022-04-04T08:25:00Z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2715/15</vt:lpwstr>
  </property>
  <property fmtid="{D5CDD505-2E9C-101B-9397-08002B2CF9AE}" pid="4" name="CASEID">
    <vt:lpwstr>1113071</vt:lpwstr>
  </property>
  <property fmtid="{D5CDD505-2E9C-101B-9397-08002B2CF9AE}" pid="5" name="ContentTypeId">
    <vt:lpwstr>0x010100558EB02BDB9E204AB350EDD385B68E10</vt:lpwstr>
  </property>
</Properties>
</file>