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76E9" w14:textId="77777777" w:rsidR="00115035" w:rsidRPr="00866ECC" w:rsidRDefault="00115035" w:rsidP="00866ECC">
      <w:pPr>
        <w:jc w:val="center"/>
      </w:pPr>
    </w:p>
    <w:p w14:paraId="723084CF" w14:textId="77777777" w:rsidR="00E93FC7" w:rsidRPr="00866ECC" w:rsidRDefault="00000000" w:rsidP="00866ECC">
      <w:pPr>
        <w:pStyle w:val="DecHTitle"/>
      </w:pPr>
      <w:r w:rsidRPr="00866ECC">
        <w:t>FIRST SECTION</w:t>
      </w:r>
    </w:p>
    <w:p w14:paraId="4A63F3EE" w14:textId="77777777" w:rsidR="00E93FC7" w:rsidRPr="00866ECC" w:rsidRDefault="00000000" w:rsidP="00866ECC">
      <w:pPr>
        <w:pStyle w:val="DecHTitle"/>
      </w:pPr>
      <w:r w:rsidRPr="00866ECC">
        <w:t>DECISION</w:t>
      </w:r>
    </w:p>
    <w:p w14:paraId="7791DFAD" w14:textId="77777777" w:rsidR="00EE3667" w:rsidRPr="00866ECC" w:rsidRDefault="00000000" w:rsidP="00866ECC">
      <w:pPr>
        <w:pStyle w:val="DecHCase"/>
        <w:rPr>
          <w:i/>
        </w:rPr>
      </w:pPr>
      <w:r w:rsidRPr="00866ECC">
        <w:rPr>
          <w:noProof/>
        </w:rPr>
        <w:t>Application no.</w:t>
      </w:r>
      <w:r w:rsidR="006267D3" w:rsidRPr="00866ECC">
        <w:t xml:space="preserve"> </w:t>
      </w:r>
      <w:r w:rsidRPr="00866ECC">
        <w:t>30747/07</w:t>
      </w:r>
      <w:r w:rsidR="006267D3" w:rsidRPr="00866ECC">
        <w:br/>
      </w:r>
      <w:r w:rsidRPr="00866ECC">
        <w:rPr>
          <w:noProof/>
        </w:rPr>
        <w:t>Mariano FAGONE and Teresa SCURSUNI CANTARELLA</w:t>
      </w:r>
      <w:r w:rsidRPr="00866ECC">
        <w:rPr>
          <w:noProof/>
        </w:rPr>
        <w:br/>
      </w:r>
      <w:r w:rsidR="006267D3" w:rsidRPr="00866ECC">
        <w:t xml:space="preserve">against </w:t>
      </w:r>
      <w:r w:rsidRPr="00866ECC">
        <w:t>Italy</w:t>
      </w:r>
    </w:p>
    <w:p w14:paraId="323EF778" w14:textId="77777777" w:rsidR="00E93FC7" w:rsidRPr="00866ECC" w:rsidRDefault="00E93FC7" w:rsidP="00866ECC">
      <w:pPr>
        <w:rPr>
          <w:sz w:val="2"/>
          <w:szCs w:val="2"/>
        </w:rPr>
      </w:pPr>
    </w:p>
    <w:p w14:paraId="34A887BE" w14:textId="77777777" w:rsidR="006017FD" w:rsidRPr="00866ECC" w:rsidRDefault="00000000" w:rsidP="00866ECC">
      <w:pPr>
        <w:pStyle w:val="JuPara"/>
      </w:pPr>
      <w:r w:rsidRPr="00866ECC">
        <w:t xml:space="preserve">The European Court of Human Rights (First Section), sitting on </w:t>
      </w:r>
      <w:r w:rsidR="00DF002E" w:rsidRPr="00866ECC">
        <w:t>4 July 2023</w:t>
      </w:r>
      <w:r w:rsidRPr="00866ECC">
        <w:t xml:space="preserve"> as a Committee composed of:</w:t>
      </w:r>
    </w:p>
    <w:p w14:paraId="406C5300" w14:textId="77777777" w:rsidR="006017FD" w:rsidRPr="00866ECC" w:rsidRDefault="00000000" w:rsidP="00866ECC">
      <w:pPr>
        <w:pStyle w:val="JuJudges"/>
        <w:rPr>
          <w:iCs/>
        </w:rPr>
      </w:pPr>
      <w:r w:rsidRPr="00866ECC">
        <w:tab/>
        <w:t>Péter Paczolay</w:t>
      </w:r>
      <w:r w:rsidRPr="00866ECC">
        <w:rPr>
          <w:i/>
        </w:rPr>
        <w:t>, President</w:t>
      </w:r>
      <w:r w:rsidRPr="00866ECC">
        <w:t>,</w:t>
      </w:r>
      <w:r w:rsidRPr="00866ECC">
        <w:br/>
      </w:r>
      <w:r w:rsidRPr="00866ECC">
        <w:tab/>
        <w:t>Gilberto Felici,</w:t>
      </w:r>
      <w:r w:rsidRPr="00866ECC">
        <w:br/>
      </w:r>
      <w:r w:rsidRPr="00866ECC">
        <w:tab/>
        <w:t>Raffaele Sabato</w:t>
      </w:r>
      <w:r w:rsidRPr="00866ECC">
        <w:rPr>
          <w:i/>
        </w:rPr>
        <w:t>, judges</w:t>
      </w:r>
      <w:r w:rsidRPr="00866ECC">
        <w:t>,</w:t>
      </w:r>
      <w:r w:rsidRPr="00866ECC">
        <w:br/>
        <w:t xml:space="preserve">and Liv Tigerstedt, </w:t>
      </w:r>
      <w:r w:rsidRPr="00866ECC">
        <w:rPr>
          <w:i/>
        </w:rPr>
        <w:t>Deputy</w:t>
      </w:r>
      <w:r w:rsidRPr="00866ECC">
        <w:t xml:space="preserve"> </w:t>
      </w:r>
      <w:r w:rsidRPr="00866ECC">
        <w:rPr>
          <w:i/>
          <w:iCs/>
        </w:rPr>
        <w:t>Section Registrar</w:t>
      </w:r>
      <w:r w:rsidRPr="00866ECC">
        <w:rPr>
          <w:i/>
        </w:rPr>
        <w:t>,</w:t>
      </w:r>
    </w:p>
    <w:p w14:paraId="16B8EBB6" w14:textId="77777777" w:rsidR="006017FD" w:rsidRPr="00866ECC" w:rsidRDefault="00000000" w:rsidP="00866ECC">
      <w:pPr>
        <w:pStyle w:val="JuPara"/>
      </w:pPr>
      <w:r w:rsidRPr="00866ECC">
        <w:t>Having regard to:</w:t>
      </w:r>
    </w:p>
    <w:p w14:paraId="4F376E3F" w14:textId="77777777" w:rsidR="006017FD" w:rsidRPr="00866ECC" w:rsidRDefault="00000000" w:rsidP="00866ECC">
      <w:pPr>
        <w:pStyle w:val="JuPara"/>
      </w:pPr>
      <w:r w:rsidRPr="00866ECC">
        <w:t>the application (no. 30747/07) against the Italian Republic lodged with the Court under Article 34 of the Convention for the Protection of Human Rights and Fundamental Freedoms (“the Convention”) on 9 July 2007 by two Italian nationals, Mr Mariano Fagone and Ms Teresa Scursuni Cantarella, who were born in 1939 and 1940 respectively and live in Militello Val di Catania (“the</w:t>
      </w:r>
      <w:r w:rsidR="00DF002E" w:rsidRPr="00866ECC">
        <w:t> </w:t>
      </w:r>
      <w:r w:rsidRPr="00866ECC">
        <w:t>applicants”), and who were represented by Mr S. Formaggio and A.</w:t>
      </w:r>
      <w:r w:rsidR="00B43917" w:rsidRPr="00866ECC">
        <w:t> </w:t>
      </w:r>
      <w:r w:rsidRPr="00866ECC">
        <w:t>Anfuso Alberghina, lawyers practising in Caltagirone;</w:t>
      </w:r>
    </w:p>
    <w:p w14:paraId="1C8D4B85" w14:textId="77777777" w:rsidR="006017FD" w:rsidRPr="00866ECC" w:rsidRDefault="00000000" w:rsidP="00866ECC">
      <w:pPr>
        <w:pStyle w:val="JuPara"/>
      </w:pPr>
      <w:r w:rsidRPr="00866ECC">
        <w:t>the decision to give notice of the complaints raised under Article 1 of Protocol No. 1 to the Convention to the Italian Government (“the</w:t>
      </w:r>
      <w:r w:rsidR="00DF002E" w:rsidRPr="00866ECC">
        <w:t> </w:t>
      </w:r>
      <w:r w:rsidRPr="00866ECC">
        <w:t>Government”), represented by their Agent, Mr L. D’Ascia, and to declare inadmissible the remainder of the application;</w:t>
      </w:r>
    </w:p>
    <w:p w14:paraId="7396DE9E" w14:textId="77777777" w:rsidR="006017FD" w:rsidRPr="00866ECC" w:rsidRDefault="00000000" w:rsidP="00866ECC">
      <w:pPr>
        <w:pStyle w:val="JuPara"/>
      </w:pPr>
      <w:r w:rsidRPr="00866ECC">
        <w:t>the parties’ observations;</w:t>
      </w:r>
    </w:p>
    <w:p w14:paraId="7DE7412A" w14:textId="77777777" w:rsidR="006017FD" w:rsidRPr="00866ECC" w:rsidRDefault="00000000" w:rsidP="00866ECC">
      <w:pPr>
        <w:pStyle w:val="JuPara"/>
      </w:pPr>
      <w:r w:rsidRPr="00866ECC">
        <w:t>the decision to reject the Government’s objection to the examination of the application by a Committee;</w:t>
      </w:r>
    </w:p>
    <w:p w14:paraId="2BBBEC82" w14:textId="77777777" w:rsidR="006017FD" w:rsidRPr="00866ECC" w:rsidRDefault="00000000" w:rsidP="00866ECC">
      <w:pPr>
        <w:pStyle w:val="JuPara"/>
      </w:pPr>
      <w:r w:rsidRPr="00866ECC">
        <w:t>Having deliberated, decides as follows:</w:t>
      </w:r>
    </w:p>
    <w:p w14:paraId="636D01A1" w14:textId="77777777" w:rsidR="006017FD" w:rsidRPr="00866ECC" w:rsidRDefault="00000000" w:rsidP="00866ECC">
      <w:pPr>
        <w:pStyle w:val="JuHHead"/>
        <w:numPr>
          <w:ilvl w:val="0"/>
          <w:numId w:val="0"/>
        </w:numPr>
      </w:pPr>
      <w:r w:rsidRPr="00866ECC">
        <w:t>SUBJECT MATTER OF THE CASE</w:t>
      </w:r>
    </w:p>
    <w:p w14:paraId="67E4657D" w14:textId="77777777" w:rsidR="006017FD" w:rsidRPr="00866ECC" w:rsidRDefault="00000000" w:rsidP="00866ECC">
      <w:pPr>
        <w:pStyle w:val="JuPara"/>
      </w:pPr>
      <w:r w:rsidRPr="00866ECC">
        <w:fldChar w:fldCharType="begin"/>
      </w:r>
      <w:r w:rsidRPr="00866ECC">
        <w:instrText xml:space="preserve"> SEQ level0 \*arabic </w:instrText>
      </w:r>
      <w:r w:rsidRPr="00866ECC">
        <w:fldChar w:fldCharType="separate"/>
      </w:r>
      <w:r w:rsidR="00866ECC" w:rsidRPr="00866ECC">
        <w:rPr>
          <w:noProof/>
        </w:rPr>
        <w:t>1</w:t>
      </w:r>
      <w:r w:rsidRPr="00866ECC">
        <w:fldChar w:fldCharType="end"/>
      </w:r>
      <w:r w:rsidRPr="00866ECC">
        <w:t>.  The case concerns the applicants’ complaint that they were deprived of their land through the application of the constructive-expropriation rule (“</w:t>
      </w:r>
      <w:r w:rsidRPr="00866ECC">
        <w:rPr>
          <w:i/>
        </w:rPr>
        <w:t>accessione invertita</w:t>
      </w:r>
      <w:r w:rsidRPr="00866ECC">
        <w:t>” or “</w:t>
      </w:r>
      <w:r w:rsidRPr="00866ECC">
        <w:rPr>
          <w:i/>
        </w:rPr>
        <w:t>occupazione acquisitiva</w:t>
      </w:r>
      <w:r w:rsidRPr="00866ECC">
        <w:t>”) by the domestic courts.</w:t>
      </w:r>
    </w:p>
    <w:p w14:paraId="40164ABF" w14:textId="77777777" w:rsidR="006017FD" w:rsidRPr="00866ECC" w:rsidRDefault="00000000" w:rsidP="00866ECC">
      <w:pPr>
        <w:pStyle w:val="JuPara"/>
      </w:pPr>
      <w:fldSimple w:instr=" SEQ level0 \*arabic \* MERGEFORMAT ">
        <w:r w:rsidR="00866ECC" w:rsidRPr="00866ECC">
          <w:rPr>
            <w:noProof/>
          </w:rPr>
          <w:t>2</w:t>
        </w:r>
      </w:fldSimple>
      <w:r w:rsidRPr="00866ECC">
        <w:t>.  On 20 October 1967, a project for the construction of an aqueduct in the municipality of Militello in Val di Catania was approved. Its execution was subsequently authorised on 5 January 1968.</w:t>
      </w:r>
    </w:p>
    <w:p w14:paraId="323E4F2A" w14:textId="77777777" w:rsidR="006017FD" w:rsidRPr="00866ECC" w:rsidRDefault="00000000" w:rsidP="00866ECC">
      <w:pPr>
        <w:pStyle w:val="JuPara"/>
      </w:pPr>
      <w:fldSimple w:instr=" SEQ level0 \*arabic \* MERGEFORMAT ">
        <w:r w:rsidR="00866ECC" w:rsidRPr="00866ECC">
          <w:rPr>
            <w:noProof/>
          </w:rPr>
          <w:t>3</w:t>
        </w:r>
      </w:fldSimple>
      <w:r w:rsidRPr="00866ECC">
        <w:t>.  The project entailed the occupation of a plot of land, recorded at folio no. 29, parcels nos. 120 and 155, which at the time was owned by G.S., A.T., G.B and R.S. (“the initial owners”).</w:t>
      </w:r>
    </w:p>
    <w:p w14:paraId="1B6FC691" w14:textId="77777777" w:rsidR="006017FD" w:rsidRPr="00866ECC" w:rsidRDefault="00000000" w:rsidP="00866ECC">
      <w:pPr>
        <w:pStyle w:val="JuPara"/>
      </w:pPr>
      <w:fldSimple w:instr=" SEQ level0 \*arabic \* MERGEFORMAT ">
        <w:bookmarkStart w:id="0" w:name="paragraph00004"/>
        <w:r w:rsidR="00866ECC" w:rsidRPr="00866ECC">
          <w:rPr>
            <w:noProof/>
          </w:rPr>
          <w:t>4</w:t>
        </w:r>
        <w:bookmarkEnd w:id="0"/>
      </w:fldSimple>
      <w:r w:rsidRPr="00866ECC">
        <w:t>.  On 23 January 1971, the municipality and the initial owners reached an agreement for the voluntary transfer of the land. The agreement authorised the municipality to occupy the land and provided that the transfer of property would occur at the moment of its physical occupation. The same agreement also provided that, in the event that the initial owners were to transfer the property of the land, they were obliged to transfer the rights and obligations set forth in the agreement. The parties also agreed on the compensation, amounting to 1,707,000 Italian lire (ITL), which was paid to the initial owners on 10 July 1973.</w:t>
      </w:r>
    </w:p>
    <w:p w14:paraId="2A216705" w14:textId="77777777" w:rsidR="006017FD" w:rsidRPr="00866ECC" w:rsidRDefault="00000000" w:rsidP="00866ECC">
      <w:pPr>
        <w:pStyle w:val="JuPara"/>
      </w:pPr>
      <w:fldSimple w:instr=" SEQ level0 \*arabic \* MERGEFORMAT ">
        <w:r w:rsidR="00866ECC" w:rsidRPr="00866ECC">
          <w:rPr>
            <w:noProof/>
          </w:rPr>
          <w:t>5</w:t>
        </w:r>
      </w:fldSimple>
      <w:r w:rsidRPr="00866ECC">
        <w:t>.  Meanwhile, on 13 July 1971, the municipality decided to request an authorisation for the urgent occupation of several plots of land, including the one belonging to the initial owners. On 18 December 1971, the prefect of Catania ordered the execution of the expropriation plan.</w:t>
      </w:r>
    </w:p>
    <w:p w14:paraId="5E79E316" w14:textId="77777777" w:rsidR="006017FD" w:rsidRPr="00866ECC" w:rsidRDefault="00000000" w:rsidP="00866ECC">
      <w:pPr>
        <w:pStyle w:val="JuPara"/>
      </w:pPr>
      <w:fldSimple w:instr=" SEQ level0 \*arabic \* MERGEFORMAT ">
        <w:r w:rsidR="00866ECC" w:rsidRPr="00866ECC">
          <w:rPr>
            <w:noProof/>
          </w:rPr>
          <w:t>6</w:t>
        </w:r>
      </w:fldSimple>
      <w:r w:rsidRPr="00866ECC">
        <w:t>.   Neither a formal authorisation to occupy the land, nor a formal expropriation order, was ever adopted and the voluntary transfer of ownership was not recorded in the land register.</w:t>
      </w:r>
    </w:p>
    <w:p w14:paraId="0509ACA5" w14:textId="77777777" w:rsidR="006017FD" w:rsidRPr="00866ECC" w:rsidRDefault="00000000" w:rsidP="00866ECC">
      <w:pPr>
        <w:pStyle w:val="JuPara"/>
      </w:pPr>
      <w:fldSimple w:instr=" SEQ level0 \*arabic \* MERGEFORMAT ">
        <w:r w:rsidR="00866ECC" w:rsidRPr="00866ECC">
          <w:rPr>
            <w:noProof/>
          </w:rPr>
          <w:t>7</w:t>
        </w:r>
      </w:fldSimple>
      <w:r w:rsidRPr="00866ECC">
        <w:t>.  On 30 October 1979, the applicants purchased the plot of land from the initial owners.</w:t>
      </w:r>
    </w:p>
    <w:p w14:paraId="5F30EDC3" w14:textId="77777777" w:rsidR="006017FD" w:rsidRPr="00866ECC" w:rsidRDefault="00000000" w:rsidP="00866ECC">
      <w:pPr>
        <w:pStyle w:val="JuPara"/>
      </w:pPr>
      <w:fldSimple w:instr=" SEQ level0 \*arabic \* MERGEFORMAT ">
        <w:r w:rsidR="00866ECC" w:rsidRPr="00866ECC">
          <w:rPr>
            <w:noProof/>
          </w:rPr>
          <w:t>8</w:t>
        </w:r>
      </w:fldSimple>
      <w:r w:rsidRPr="00866ECC">
        <w:t>.  On 13 September 1983, the applicants obtained a building permit for the construction of a warehouse on the land. On 5 November 1983, they obtained an authorisation to build from the local civil engineering office. According to their statements, only when carrying out the construction work, they discovered that part of the land had been occupied by the municipality. It emerges from the domestic decisions that a well, a fence and two buildings had been erected by the municipality on adjoining land and partially on the land purchased by the applicants.</w:t>
      </w:r>
    </w:p>
    <w:p w14:paraId="731E380A" w14:textId="77777777" w:rsidR="006017FD" w:rsidRPr="00866ECC" w:rsidRDefault="00000000" w:rsidP="00866ECC">
      <w:pPr>
        <w:pStyle w:val="JuPara"/>
      </w:pPr>
      <w:fldSimple w:instr=" SEQ level0 \*arabic \* MERGEFORMAT ">
        <w:r w:rsidR="00866ECC" w:rsidRPr="00866ECC">
          <w:rPr>
            <w:noProof/>
          </w:rPr>
          <w:t>9</w:t>
        </w:r>
      </w:fldSimple>
      <w:r w:rsidRPr="00866ECC">
        <w:t>.  In 1984, the applicants brought an action against the municipality, arguing that the occupation of the land was unlawful and seeking either its restitution, following the removal of the public works or, in the alternative, compensation. With its statement of defence, the municipality filed complaints against the initial owners, who therefore joined the proceedings. The applicants thus extended their request for damages also to the initial owners.</w:t>
      </w:r>
    </w:p>
    <w:p w14:paraId="6958CE8B" w14:textId="77777777" w:rsidR="006017FD" w:rsidRPr="00866ECC" w:rsidRDefault="00000000" w:rsidP="00866ECC">
      <w:pPr>
        <w:pStyle w:val="JuPara"/>
      </w:pPr>
      <w:fldSimple w:instr=" SEQ level0 \*arabic \* MERGEFORMAT ">
        <w:r w:rsidR="00866ECC" w:rsidRPr="00866ECC">
          <w:rPr>
            <w:noProof/>
          </w:rPr>
          <w:t>10</w:t>
        </w:r>
      </w:fldSimple>
      <w:r w:rsidRPr="00866ECC">
        <w:t xml:space="preserve">.  On 6 November 2002, the Caltagirone District Court found that the applicants could not have been aware of an expropriation having taken place when they purchased the land, as no formal expropriation order had been issued with respect to the land. As a consequence, it held that the applicants were entitled to compensation based on the criteria contained in Article </w:t>
      </w:r>
      <w:r w:rsidRPr="00866ECC">
        <w:lastRenderedPageBreak/>
        <w:t>5 </w:t>
      </w:r>
      <w:r w:rsidRPr="00866ECC">
        <w:rPr>
          <w:i/>
          <w:iCs/>
        </w:rPr>
        <w:t>bis</w:t>
      </w:r>
      <w:r w:rsidRPr="00866ECC">
        <w:t> of Legislative Decree no. 333 of 11</w:t>
      </w:r>
      <w:r w:rsidR="00420696" w:rsidRPr="00866ECC">
        <w:t xml:space="preserve"> </w:t>
      </w:r>
      <w:r w:rsidRPr="00866ECC">
        <w:t>July 1992, as amended by Law no. 662 of 1996. Both the municipality and the applicants filed an appeal.</w:t>
      </w:r>
    </w:p>
    <w:bookmarkStart w:id="1" w:name="paragraph00012"/>
    <w:p w14:paraId="0EF88E87" w14:textId="77777777" w:rsidR="006017FD" w:rsidRPr="00866ECC" w:rsidRDefault="00000000" w:rsidP="00866ECC">
      <w:pPr>
        <w:pStyle w:val="JuPara"/>
      </w:pPr>
      <w:r w:rsidRPr="00866ECC">
        <w:fldChar w:fldCharType="begin"/>
      </w:r>
      <w:r w:rsidRPr="00866ECC">
        <w:instrText xml:space="preserve"> SEQ level0 \*arabic \* MERGEFORMAT </w:instrText>
      </w:r>
      <w:r w:rsidRPr="00866ECC">
        <w:fldChar w:fldCharType="separate"/>
      </w:r>
      <w:r w:rsidR="00866ECC" w:rsidRPr="00866ECC">
        <w:rPr>
          <w:noProof/>
        </w:rPr>
        <w:t>11</w:t>
      </w:r>
      <w:r w:rsidRPr="00866ECC">
        <w:fldChar w:fldCharType="end"/>
      </w:r>
      <w:bookmarkEnd w:id="1"/>
      <w:r w:rsidRPr="00866ECC">
        <w:t>.  By a judgment of 13 April 2006, the Catania Court of Appeal quashed the first instance judgment. It considered that the occupation of the land had initially been lawful but, as a formal expropriation order had not been issued, it had subsequently become unlawful. It found that the public works had been completed, and the property had been transferred to the municipality, at the latest in 1973. The court concluded that, as the applicants’ complaints were subject to a five-year limitation period which started to run from the date of completion of the public works, their complaints were time-barred.</w:t>
      </w:r>
      <w:r w:rsidR="00420696" w:rsidRPr="00866ECC">
        <w:t xml:space="preserve"> </w:t>
      </w:r>
      <w:r w:rsidRPr="00866ECC">
        <w:t>Concerning the complaint brought by the applicants against the initial owners, the Court of Appeal noted that such complaint had not been included in the applicants’ final submissions before the District Court and, as such, had to be considered as waived.</w:t>
      </w:r>
    </w:p>
    <w:p w14:paraId="70809753" w14:textId="77777777" w:rsidR="006017FD" w:rsidRPr="00866ECC" w:rsidRDefault="00000000" w:rsidP="00866ECC">
      <w:pPr>
        <w:pStyle w:val="JuPara"/>
      </w:pPr>
      <w:fldSimple w:instr=" SEQ level0 \*arabic \* MERGEFORMAT ">
        <w:r w:rsidR="00866ECC" w:rsidRPr="00866ECC">
          <w:rPr>
            <w:noProof/>
          </w:rPr>
          <w:t>12</w:t>
        </w:r>
      </w:fldSimple>
      <w:r w:rsidRPr="00866ECC">
        <w:t>.  The judgment was served to the applicants on 21 November 2006 and became final on 20 January 2007.</w:t>
      </w:r>
    </w:p>
    <w:p w14:paraId="103A3388" w14:textId="77777777" w:rsidR="006017FD" w:rsidRPr="00866ECC" w:rsidRDefault="00000000" w:rsidP="00866ECC">
      <w:pPr>
        <w:pStyle w:val="JuPara"/>
      </w:pPr>
      <w:fldSimple w:instr=" SEQ level0 \*arabic \* MERGEFORMAT ">
        <w:bookmarkStart w:id="2" w:name="paragraph00015"/>
        <w:r w:rsidR="00866ECC" w:rsidRPr="00866ECC">
          <w:rPr>
            <w:noProof/>
          </w:rPr>
          <w:t>13</w:t>
        </w:r>
        <w:bookmarkEnd w:id="2"/>
      </w:fldSimple>
      <w:r w:rsidRPr="00866ECC">
        <w:t>.  The applicants complained that they had been unlawfully deprived of their land on account of the application, by the domestic courts, of the constructive-expropriation rule. In particular, they complained that the unlawful character of the expropriation proceedings, combined with the application of Article 5 </w:t>
      </w:r>
      <w:r w:rsidRPr="00866ECC">
        <w:rPr>
          <w:i/>
          <w:iCs/>
        </w:rPr>
        <w:t>bis</w:t>
      </w:r>
      <w:r w:rsidRPr="00866ECC">
        <w:t> of Legislative Decree no. 333 of 11</w:t>
      </w:r>
      <w:r w:rsidR="00420696" w:rsidRPr="00866ECC">
        <w:t xml:space="preserve"> </w:t>
      </w:r>
      <w:r w:rsidRPr="00866ECC">
        <w:t>July 1992 for the determination of damages and with the application of the limitation period, resulted in a breach of Article 1 of Protocol No. 1 to the Convention.</w:t>
      </w:r>
    </w:p>
    <w:p w14:paraId="23D79CEF" w14:textId="77777777" w:rsidR="006017FD" w:rsidRPr="00866ECC" w:rsidRDefault="00000000" w:rsidP="00866ECC">
      <w:pPr>
        <w:pStyle w:val="JuHHead"/>
        <w:keepNext w:val="0"/>
        <w:keepLines w:val="0"/>
        <w:numPr>
          <w:ilvl w:val="0"/>
          <w:numId w:val="1"/>
        </w:numPr>
        <w:ind w:left="360" w:hanging="360"/>
      </w:pPr>
      <w:r w:rsidRPr="00866ECC">
        <w:t>THE COURT’S ASSESSMENT</w:t>
      </w:r>
    </w:p>
    <w:p w14:paraId="21AC3CF7" w14:textId="77777777" w:rsidR="006017FD" w:rsidRPr="00866ECC" w:rsidRDefault="00000000" w:rsidP="00866ECC">
      <w:pPr>
        <w:pStyle w:val="JuHA"/>
      </w:pPr>
      <w:r w:rsidRPr="00866ECC">
        <w:t>Preliminary issue</w:t>
      </w:r>
    </w:p>
    <w:p w14:paraId="67AB95C9" w14:textId="77777777" w:rsidR="006017FD" w:rsidRPr="00866ECC" w:rsidRDefault="00000000" w:rsidP="00866ECC">
      <w:pPr>
        <w:pStyle w:val="JuPara"/>
      </w:pPr>
      <w:fldSimple w:instr=" SEQ level0 \*arabic \* MERGEFORMAT ">
        <w:r w:rsidR="00866ECC" w:rsidRPr="00866ECC">
          <w:rPr>
            <w:noProof/>
          </w:rPr>
          <w:t>14</w:t>
        </w:r>
      </w:fldSimple>
      <w:r w:rsidRPr="00866ECC">
        <w:t>.  The Court takes note of the information regarding the death of the applicant Mariano Fagone and the wish of his heirs to continue the proceedings in his stead, as well as of the absence of an objection on the Government’s part. Therefore, the Court considers that Salvatore Fagone, Giovanni Fagone, Sebastiano Fagone and Maurizio Fagone have standing to continue the proceedings on behalf of the deceased.</w:t>
      </w:r>
    </w:p>
    <w:p w14:paraId="3C9E39DA" w14:textId="77777777" w:rsidR="006017FD" w:rsidRPr="00866ECC" w:rsidRDefault="00000000" w:rsidP="00866ECC">
      <w:pPr>
        <w:pStyle w:val="JuPara"/>
      </w:pPr>
      <w:fldSimple w:instr=" SEQ level0 \*arabic \* MERGEFORMAT ">
        <w:r w:rsidR="00866ECC" w:rsidRPr="00866ECC">
          <w:rPr>
            <w:noProof/>
          </w:rPr>
          <w:t>15</w:t>
        </w:r>
      </w:fldSimple>
      <w:r w:rsidRPr="00866ECC">
        <w:t>.  However, for practical reasons, Mr Mariano Fagone will continue to be called “the applicant” in this judgment.</w:t>
      </w:r>
    </w:p>
    <w:p w14:paraId="1D1E4760" w14:textId="77777777" w:rsidR="006017FD" w:rsidRPr="00866ECC" w:rsidRDefault="00000000" w:rsidP="00866ECC">
      <w:pPr>
        <w:pStyle w:val="JuHA"/>
      </w:pPr>
      <w:r w:rsidRPr="00866ECC">
        <w:t xml:space="preserve"> Scope of the case</w:t>
      </w:r>
    </w:p>
    <w:p w14:paraId="2DA4E5EC" w14:textId="77777777" w:rsidR="006017FD" w:rsidRPr="00866ECC" w:rsidRDefault="00000000" w:rsidP="00866ECC">
      <w:pPr>
        <w:pStyle w:val="JuPara"/>
      </w:pPr>
      <w:fldSimple w:instr=" SEQ level0 \*arabic \* MERGEFORMAT ">
        <w:r w:rsidR="00866ECC" w:rsidRPr="00866ECC">
          <w:rPr>
            <w:noProof/>
          </w:rPr>
          <w:t>16</w:t>
        </w:r>
      </w:fldSimple>
      <w:r w:rsidRPr="00866ECC">
        <w:t>.  The Court notes that, with the additional observations filed on 23 April 2019, the applicants complained, under Article 1 of Protocol No. 1 to the Convention, of the municipality’s failure to record the prior transfer of the land in the land register and of the fact that the same municipality subsequently granted them a building permit.</w:t>
      </w:r>
    </w:p>
    <w:p w14:paraId="2A15637B" w14:textId="77777777" w:rsidR="006017FD" w:rsidRPr="00866ECC" w:rsidRDefault="00000000" w:rsidP="00866ECC">
      <w:pPr>
        <w:pStyle w:val="JuPara"/>
      </w:pPr>
      <w:fldSimple w:instr=" SEQ level0 \*arabic \* MERGEFORMAT ">
        <w:r w:rsidR="00866ECC" w:rsidRPr="00866ECC">
          <w:rPr>
            <w:noProof/>
          </w:rPr>
          <w:t>17</w:t>
        </w:r>
      </w:fldSimple>
      <w:r w:rsidRPr="00866ECC">
        <w:t>.  The Court finds that these complaints are not an elaboration of the applicants’ original complaint to the Court, concerning the unlawful deprivation of land on account of the application of the constructive</w:t>
      </w:r>
      <w:r w:rsidR="00B43917" w:rsidRPr="00866ECC">
        <w:noBreakHyphen/>
      </w:r>
      <w:r w:rsidRPr="00866ECC">
        <w:t xml:space="preserve">expropriation rule (see paragraph </w:t>
      </w:r>
      <w:r w:rsidRPr="00866ECC">
        <w:fldChar w:fldCharType="begin"/>
      </w:r>
      <w:r w:rsidRPr="00866ECC">
        <w:instrText xml:space="preserve"> REF paragraph00015 \h  \* CharFormat </w:instrText>
      </w:r>
      <w:r w:rsidRPr="00866ECC">
        <w:fldChar w:fldCharType="separate"/>
      </w:r>
      <w:r w:rsidR="00866ECC" w:rsidRPr="00866ECC">
        <w:t>13</w:t>
      </w:r>
      <w:r w:rsidRPr="00866ECC">
        <w:fldChar w:fldCharType="end"/>
      </w:r>
      <w:r w:rsidRPr="00866ECC">
        <w:t xml:space="preserve"> above), but completely new complaints. Accordingly, they have been lodged outside the six-month time</w:t>
      </w:r>
      <w:r w:rsidR="00B43917" w:rsidRPr="00866ECC">
        <w:noBreakHyphen/>
      </w:r>
      <w:r w:rsidRPr="00866ECC">
        <w:t>limit (see</w:t>
      </w:r>
      <w:bookmarkStart w:id="3" w:name="_cl42558"/>
      <w:r w:rsidR="00DF002E" w:rsidRPr="00866ECC">
        <w:t> </w:t>
      </w:r>
      <w:r w:rsidRPr="00866ECC">
        <w:rPr>
          <w:i/>
          <w:iCs/>
        </w:rPr>
        <w:t>Grosam v. the Czech Republic</w:t>
      </w:r>
      <w:bookmarkEnd w:id="3"/>
      <w:r w:rsidRPr="00866ECC">
        <w:t xml:space="preserve"> [GC], no. 19750/13, §§ 91, 95</w:t>
      </w:r>
      <w:r w:rsidR="00B43917" w:rsidRPr="00866ECC">
        <w:noBreakHyphen/>
      </w:r>
      <w:r w:rsidRPr="00866ECC">
        <w:t>96 and 98, 23 June 2022).</w:t>
      </w:r>
    </w:p>
    <w:p w14:paraId="119629DF" w14:textId="77777777" w:rsidR="006017FD" w:rsidRPr="00866ECC" w:rsidRDefault="00000000" w:rsidP="00866ECC">
      <w:pPr>
        <w:pStyle w:val="JuHA"/>
      </w:pPr>
      <w:r w:rsidRPr="00866ECC">
        <w:t>A</w:t>
      </w:r>
      <w:r w:rsidR="00EC475F" w:rsidRPr="00866ECC">
        <w:t>lleged violation of</w:t>
      </w:r>
      <w:r w:rsidRPr="00866ECC">
        <w:t xml:space="preserve"> A</w:t>
      </w:r>
      <w:r w:rsidR="00EC475F" w:rsidRPr="00866ECC">
        <w:t xml:space="preserve">rticle </w:t>
      </w:r>
      <w:r w:rsidRPr="00866ECC">
        <w:t xml:space="preserve">1 </w:t>
      </w:r>
      <w:r w:rsidR="00EC475F" w:rsidRPr="00866ECC">
        <w:t>of</w:t>
      </w:r>
      <w:r w:rsidRPr="00866ECC">
        <w:t xml:space="preserve"> P</w:t>
      </w:r>
      <w:r w:rsidR="00EC475F" w:rsidRPr="00866ECC">
        <w:t>ro</w:t>
      </w:r>
      <w:r w:rsidRPr="00866ECC">
        <w:t xml:space="preserve">tocol </w:t>
      </w:r>
      <w:r w:rsidR="00EC475F" w:rsidRPr="00866ECC">
        <w:t>N</w:t>
      </w:r>
      <w:r w:rsidRPr="00866ECC">
        <w:t>o. 1 to</w:t>
      </w:r>
      <w:r w:rsidR="00EC475F" w:rsidRPr="00866ECC">
        <w:t xml:space="preserve"> the Convention</w:t>
      </w:r>
    </w:p>
    <w:p w14:paraId="48D10EBA" w14:textId="77777777" w:rsidR="006017FD" w:rsidRPr="00866ECC" w:rsidRDefault="00000000" w:rsidP="00866ECC">
      <w:pPr>
        <w:pStyle w:val="JuPara"/>
      </w:pPr>
      <w:fldSimple w:instr=" SEQ level0 \*arabic \* MERGEFORMAT ">
        <w:r w:rsidR="00866ECC" w:rsidRPr="00866ECC">
          <w:rPr>
            <w:noProof/>
          </w:rPr>
          <w:t>18</w:t>
        </w:r>
      </w:fldSimple>
      <w:r w:rsidRPr="00866ECC">
        <w:t xml:space="preserve">.  The Government objected to the admissibility of the application on grounds of lack of victim status. They pointed out that the applicants complained of an unlawful deprivation of what they referred to as their land, whereas the land had already been transferred from the initial owners to the municipality when the applicants purchased it. As a consequence, in their view, the applicants never acquired the plot of land at issue. Furthermore, the Government argued that the applicants should have directed their complaints against the initial owners, who were obliged – according to the 1971 agreement – to inform them of the agreement they had entered into with the municipality (see paragraph </w:t>
      </w:r>
      <w:r w:rsidRPr="00866ECC">
        <w:fldChar w:fldCharType="begin"/>
      </w:r>
      <w:r w:rsidRPr="00866ECC">
        <w:instrText xml:space="preserve"> REF paragraph00004 \h  \* CharFormat </w:instrText>
      </w:r>
      <w:r w:rsidRPr="00866ECC">
        <w:fldChar w:fldCharType="separate"/>
      </w:r>
      <w:r w:rsidR="00866ECC" w:rsidRPr="00866ECC">
        <w:t>4</w:t>
      </w:r>
      <w:r w:rsidRPr="00866ECC">
        <w:fldChar w:fldCharType="end"/>
      </w:r>
      <w:r w:rsidRPr="00866ECC">
        <w:t xml:space="preserve"> above).</w:t>
      </w:r>
    </w:p>
    <w:p w14:paraId="172ED0B0" w14:textId="77777777" w:rsidR="006017FD" w:rsidRPr="00866ECC" w:rsidRDefault="00000000" w:rsidP="00866ECC">
      <w:pPr>
        <w:pStyle w:val="JuPara"/>
      </w:pPr>
      <w:fldSimple w:instr=" SEQ level0 \*arabic \* MERGEFORMAT ">
        <w:bookmarkStart w:id="4" w:name="paragraph00020"/>
        <w:r w:rsidR="00866ECC" w:rsidRPr="00866ECC">
          <w:rPr>
            <w:noProof/>
          </w:rPr>
          <w:t>19</w:t>
        </w:r>
        <w:bookmarkEnd w:id="4"/>
      </w:fldSimple>
      <w:r w:rsidRPr="00866ECC">
        <w:t>.  The applicants did not make any submissions concerning their ownership of the land in reply to the Government’s objection. Rather, they insisted on the unlawful nature of the expropriation, pointing out that the agreement between the initial owners and the municipality was invalid and that no expropriation decree had ever been adopted.</w:t>
      </w:r>
    </w:p>
    <w:p w14:paraId="7A089E9D" w14:textId="77777777" w:rsidR="006017FD" w:rsidRPr="00866ECC" w:rsidRDefault="00000000" w:rsidP="00866ECC">
      <w:pPr>
        <w:pStyle w:val="JuPara"/>
      </w:pPr>
      <w:fldSimple w:instr=" SEQ level0 \*arabic \* MERGEFORMAT ">
        <w:r w:rsidR="00866ECC" w:rsidRPr="00866ECC">
          <w:rPr>
            <w:noProof/>
          </w:rPr>
          <w:t>20</w:t>
        </w:r>
      </w:fldSimple>
      <w:r w:rsidRPr="00866ECC">
        <w:t xml:space="preserve">.  According to the Court’s established case-law, the word “victim”, as used in Article 34 of the Convention, denotes the person directly affected by the act or omission in issue (see, among other authorities, </w:t>
      </w:r>
      <w:r w:rsidRPr="00866ECC">
        <w:rPr>
          <w:i/>
          <w:iCs/>
        </w:rPr>
        <w:t>Brumărescu v. Romania</w:t>
      </w:r>
      <w:r w:rsidRPr="00866ECC">
        <w:t xml:space="preserve"> [GC], no. 28342/95, § 50, ECHR 1999-VII, and </w:t>
      </w:r>
      <w:r w:rsidRPr="00866ECC">
        <w:rPr>
          <w:i/>
          <w:iCs/>
        </w:rPr>
        <w:t>J.M. v. the United Kingdom</w:t>
      </w:r>
      <w:r w:rsidRPr="00866ECC">
        <w:t>, no. 37060/06, § 27, 28 September 2010).</w:t>
      </w:r>
    </w:p>
    <w:p w14:paraId="37B9F375" w14:textId="77777777" w:rsidR="006017FD" w:rsidRPr="00866ECC" w:rsidRDefault="00000000" w:rsidP="00866ECC">
      <w:pPr>
        <w:pStyle w:val="JuPara"/>
      </w:pPr>
      <w:fldSimple w:instr=" SEQ level0 \*arabic \* MERGEFORMAT ">
        <w:r w:rsidR="00866ECC" w:rsidRPr="00866ECC">
          <w:rPr>
            <w:noProof/>
          </w:rPr>
          <w:t>21</w:t>
        </w:r>
      </w:fldSimple>
      <w:r w:rsidRPr="00866ECC">
        <w:t xml:space="preserve">.  The Court further recalls that an applicant can allege a violation of Article 1 of Protocol No. 1 only in so far as the impugned decisions related to his “possessions” within the meaning of this provision. Consequently, a person who complains of a violation of his or her right under Article 1 of Protocol No. 1 must first show to be the owner of said right (see </w:t>
      </w:r>
      <w:r w:rsidRPr="00866ECC">
        <w:rPr>
          <w:i/>
          <w:iCs/>
        </w:rPr>
        <w:t>Arsimikov and Arsemikov v. Russia</w:t>
      </w:r>
      <w:r w:rsidRPr="00866ECC">
        <w:t xml:space="preserve">, no. 41890/12, § 46, 9 June 2020; </w:t>
      </w:r>
      <w:r w:rsidRPr="00866ECC">
        <w:rPr>
          <w:i/>
          <w:iCs/>
        </w:rPr>
        <w:t>Novikov v. Russia</w:t>
      </w:r>
      <w:r w:rsidRPr="00866ECC">
        <w:t>, no.</w:t>
      </w:r>
      <w:r w:rsidR="00420696" w:rsidRPr="00866ECC">
        <w:t> </w:t>
      </w:r>
      <w:r w:rsidRPr="00866ECC">
        <w:t xml:space="preserve">35989/02, § 33, 18 June 2009; and </w:t>
      </w:r>
      <w:r w:rsidRPr="00866ECC">
        <w:rPr>
          <w:i/>
          <w:iCs/>
        </w:rPr>
        <w:t>Stephens v. Cyprus, Turkey and the United Nations</w:t>
      </w:r>
      <w:r w:rsidRPr="00866ECC">
        <w:t xml:space="preserve"> (dec.), no. 45267/06, 11 December 2008).</w:t>
      </w:r>
    </w:p>
    <w:p w14:paraId="73BDA43F" w14:textId="77777777" w:rsidR="006017FD" w:rsidRPr="00866ECC" w:rsidRDefault="00000000" w:rsidP="00866ECC">
      <w:pPr>
        <w:pStyle w:val="JuPara"/>
      </w:pPr>
      <w:fldSimple w:instr=" SEQ level0 \*arabic \* MERGEFORMAT ">
        <w:r w:rsidR="00866ECC" w:rsidRPr="00866ECC">
          <w:rPr>
            <w:noProof/>
          </w:rPr>
          <w:t>22</w:t>
        </w:r>
      </w:fldSimple>
      <w:r w:rsidRPr="00866ECC">
        <w:t xml:space="preserve">.  In the present case, the Court recalls that the applicants’ complaint relates to an allegedly unlawful deprivation of property (see paragraph </w:t>
      </w:r>
      <w:r w:rsidRPr="00866ECC">
        <w:fldChar w:fldCharType="begin"/>
      </w:r>
      <w:r w:rsidRPr="00866ECC">
        <w:instrText xml:space="preserve"> REF paragraph00015 \h  \* CharFormat </w:instrText>
      </w:r>
      <w:r w:rsidRPr="00866ECC">
        <w:fldChar w:fldCharType="separate"/>
      </w:r>
      <w:r w:rsidR="00866ECC" w:rsidRPr="00866ECC">
        <w:t>13</w:t>
      </w:r>
      <w:r w:rsidRPr="00866ECC">
        <w:fldChar w:fldCharType="end"/>
      </w:r>
      <w:r w:rsidRPr="00866ECC">
        <w:t xml:space="preserve"> above). The Court must therefore address the Government’s submissions regarding ownership of that land and determine whether the applicants have demonstrated that they were its owners.</w:t>
      </w:r>
    </w:p>
    <w:p w14:paraId="4D52EF6F" w14:textId="77777777" w:rsidR="006017FD" w:rsidRPr="00866ECC" w:rsidRDefault="00000000" w:rsidP="00866ECC">
      <w:pPr>
        <w:pStyle w:val="JuPara"/>
      </w:pPr>
      <w:r w:rsidRPr="00866ECC">
        <w:rPr>
          <w:color w:val="000000"/>
        </w:rPr>
        <w:lastRenderedPageBreak/>
        <w:fldChar w:fldCharType="begin"/>
      </w:r>
      <w:r w:rsidRPr="00866ECC">
        <w:rPr>
          <w:color w:val="000000"/>
        </w:rPr>
        <w:instrText xml:space="preserve"> SEQ level0 \*arabic \* MERGEFORMAT </w:instrText>
      </w:r>
      <w:r w:rsidRPr="00866ECC">
        <w:rPr>
          <w:color w:val="000000"/>
        </w:rPr>
        <w:fldChar w:fldCharType="separate"/>
      </w:r>
      <w:r w:rsidR="00866ECC" w:rsidRPr="00866ECC">
        <w:rPr>
          <w:noProof/>
          <w:color w:val="000000"/>
        </w:rPr>
        <w:t>23</w:t>
      </w:r>
      <w:r w:rsidRPr="00866ECC">
        <w:rPr>
          <w:color w:val="000000"/>
        </w:rPr>
        <w:fldChar w:fldCharType="end"/>
      </w:r>
      <w:r w:rsidRPr="00866ECC">
        <w:rPr>
          <w:color w:val="000000"/>
        </w:rPr>
        <w:t>.  </w:t>
      </w:r>
      <w:r w:rsidRPr="00866ECC">
        <w:t xml:space="preserve">The agreement of 23 January 1971 provided that the property of the land was transferred to the municipality from the moment of the occupation (see paragraph </w:t>
      </w:r>
      <w:r w:rsidRPr="00866ECC">
        <w:fldChar w:fldCharType="begin"/>
      </w:r>
      <w:r w:rsidRPr="00866ECC">
        <w:instrText xml:space="preserve"> REF paragraph00004 \h  \* CharFormat  \* MERGEFORMAT </w:instrText>
      </w:r>
      <w:r w:rsidRPr="00866ECC">
        <w:fldChar w:fldCharType="separate"/>
      </w:r>
      <w:r w:rsidR="00866ECC" w:rsidRPr="00866ECC">
        <w:t>4</w:t>
      </w:r>
      <w:r w:rsidRPr="00866ECC">
        <w:fldChar w:fldCharType="end"/>
      </w:r>
      <w:r w:rsidRPr="00866ECC">
        <w:t xml:space="preserve"> above). </w:t>
      </w:r>
      <w:r w:rsidRPr="00866ECC">
        <w:rPr>
          <w:color w:val="000000"/>
        </w:rPr>
        <w:t xml:space="preserve">Based on the documents in the Court’s possession, the agreement has never been invalidated by domestic courts and has been executed. </w:t>
      </w:r>
      <w:r w:rsidRPr="00866ECC">
        <w:t xml:space="preserve">Furthermore, the national authorities’ deliberations, the occupation of the land and the execution of the public works all took place before the applicants’ purchase. </w:t>
      </w:r>
      <w:r w:rsidRPr="00866ECC">
        <w:rPr>
          <w:color w:val="000000"/>
        </w:rPr>
        <w:t xml:space="preserve">Although the municipality had raised these arguments before the Court of Appeal, the latter did not explicitly address the issue of whether the applicants had ever acquired the property of the land. </w:t>
      </w:r>
      <w:r w:rsidRPr="00866ECC">
        <w:t>The Court considers that these circumstances are such as to cast doubts about whether the applicants ever acquired ownership of the land.</w:t>
      </w:r>
    </w:p>
    <w:p w14:paraId="01B85A8E" w14:textId="77777777" w:rsidR="006017FD" w:rsidRPr="00866ECC" w:rsidRDefault="00000000" w:rsidP="00866ECC">
      <w:pPr>
        <w:pStyle w:val="JuPara"/>
      </w:pPr>
      <w:fldSimple w:instr=" SEQ level0 \*arabic \* MERGEFORMAT ">
        <w:r w:rsidR="00866ECC" w:rsidRPr="00866ECC">
          <w:rPr>
            <w:noProof/>
          </w:rPr>
          <w:t>24</w:t>
        </w:r>
      </w:fldSimple>
      <w:r w:rsidRPr="00866ECC">
        <w:t xml:space="preserve">.  Additionally, the Court notes that in their observations the applicants only contested the validity of the 1971 agreement (see paragraph </w:t>
      </w:r>
      <w:r w:rsidRPr="00866ECC">
        <w:fldChar w:fldCharType="begin"/>
      </w:r>
      <w:r w:rsidRPr="00866ECC">
        <w:instrText xml:space="preserve"> REF paragraph00020 \h  \* CharFormat </w:instrText>
      </w:r>
      <w:r w:rsidR="00403246" w:rsidRPr="00866ECC">
        <w:instrText xml:space="preserve"> \* MERGEFORMAT </w:instrText>
      </w:r>
      <w:r w:rsidRPr="00866ECC">
        <w:fldChar w:fldCharType="separate"/>
      </w:r>
      <w:r w:rsidR="00866ECC" w:rsidRPr="00866ECC">
        <w:t>19</w:t>
      </w:r>
      <w:r w:rsidRPr="00866ECC">
        <w:fldChar w:fldCharType="end"/>
      </w:r>
      <w:r w:rsidRPr="00866ECC">
        <w:t xml:space="preserve"> above), a matter which is for the national courts to assess. They did not, however, provide any argument in response to the Government’s allegation that they had never acquired the ownership of the contested land.</w:t>
      </w:r>
    </w:p>
    <w:p w14:paraId="1876BC46" w14:textId="77777777" w:rsidR="006017FD" w:rsidRPr="00866ECC" w:rsidRDefault="00000000" w:rsidP="00866ECC">
      <w:pPr>
        <w:pStyle w:val="JuPara"/>
      </w:pPr>
      <w:fldSimple w:instr=" SEQ level0 \*arabic \* MERGEFORMAT ">
        <w:r w:rsidR="00866ECC" w:rsidRPr="00866ECC">
          <w:rPr>
            <w:noProof/>
          </w:rPr>
          <w:t>25</w:t>
        </w:r>
      </w:fldSimple>
      <w:r w:rsidRPr="00866ECC">
        <w:t xml:space="preserve">.  In light of these considerations, the Court considers that the applicants have not shown that they were the owners of the property at the time of its expropriation. Taking into account that the applicants’ complaints concern exclusively the alleged deprivation of their land, the Court is not persuaded, on the basis of the material available to it, that the applicants can claim to be victims of the violation complained of (see, </w:t>
      </w:r>
      <w:r w:rsidRPr="00866ECC">
        <w:rPr>
          <w:i/>
          <w:iCs/>
        </w:rPr>
        <w:t>mutatis mutandis</w:t>
      </w:r>
      <w:r w:rsidRPr="00866ECC">
        <w:t xml:space="preserve">, </w:t>
      </w:r>
      <w:r w:rsidRPr="00866ECC">
        <w:rPr>
          <w:i/>
          <w:iCs/>
        </w:rPr>
        <w:t>Falcon Privat Bank A.G. v. Italy</w:t>
      </w:r>
      <w:r w:rsidRPr="00866ECC">
        <w:t xml:space="preserve"> (dec.), no. 48931/09, § 69, 23 June 2015, and </w:t>
      </w:r>
      <w:r w:rsidRPr="00866ECC">
        <w:rPr>
          <w:i/>
          <w:iCs/>
        </w:rPr>
        <w:t xml:space="preserve">Stephens, </w:t>
      </w:r>
      <w:r w:rsidRPr="00866ECC">
        <w:t>cited above).</w:t>
      </w:r>
    </w:p>
    <w:p w14:paraId="1E21963C" w14:textId="77777777" w:rsidR="006017FD" w:rsidRPr="00866ECC" w:rsidRDefault="00000000" w:rsidP="00866ECC">
      <w:pPr>
        <w:pStyle w:val="JuPara"/>
      </w:pPr>
      <w:fldSimple w:instr=" SEQ level0 \*arabic \* MERGEFORMAT ">
        <w:r w:rsidR="00866ECC" w:rsidRPr="00866ECC">
          <w:rPr>
            <w:noProof/>
          </w:rPr>
          <w:t>26</w:t>
        </w:r>
      </w:fldSimple>
      <w:r w:rsidRPr="00866ECC">
        <w:t xml:space="preserve">.  The application is therefore incompatible </w:t>
      </w:r>
      <w:r w:rsidRPr="00866ECC">
        <w:rPr>
          <w:i/>
          <w:iCs/>
        </w:rPr>
        <w:t xml:space="preserve">ratione personae </w:t>
      </w:r>
      <w:r w:rsidRPr="00866ECC">
        <w:t>with the provisions of the Convention within the meaning of Article 35 § 3 and must be rejected in accordance with Article 35 § 4.</w:t>
      </w:r>
    </w:p>
    <w:p w14:paraId="098D4D3F" w14:textId="77777777" w:rsidR="006017FD" w:rsidRPr="00866ECC" w:rsidRDefault="00000000" w:rsidP="00866ECC">
      <w:pPr>
        <w:pStyle w:val="JuParaLast"/>
      </w:pPr>
      <w:r w:rsidRPr="00866ECC">
        <w:t>For these reasons, the Court, unanimously,</w:t>
      </w:r>
    </w:p>
    <w:p w14:paraId="0CD92E60" w14:textId="77777777" w:rsidR="006017FD" w:rsidRPr="00866ECC" w:rsidRDefault="00000000" w:rsidP="00866ECC">
      <w:pPr>
        <w:pStyle w:val="DecList"/>
      </w:pPr>
      <w:r w:rsidRPr="00866ECC">
        <w:rPr>
          <w:i/>
        </w:rPr>
        <w:t>Declares</w:t>
      </w:r>
      <w:r w:rsidRPr="00866ECC">
        <w:t xml:space="preserve"> the application inadmissible.</w:t>
      </w:r>
    </w:p>
    <w:p w14:paraId="02D4CD1B" w14:textId="77777777" w:rsidR="00BD1692" w:rsidRPr="00866ECC" w:rsidRDefault="00000000" w:rsidP="00866ECC">
      <w:pPr>
        <w:pStyle w:val="JuParaLast"/>
        <w:rPr>
          <w:sz w:val="14"/>
        </w:rPr>
      </w:pPr>
      <w:r w:rsidRPr="00866ECC">
        <w:t xml:space="preserve">Done in English and notified in writing on </w:t>
      </w:r>
      <w:r w:rsidR="006017FD" w:rsidRPr="00866ECC">
        <w:rPr>
          <w:noProof/>
        </w:rPr>
        <w:t>7 September 2023</w:t>
      </w:r>
      <w:r w:rsidRPr="00866ECC">
        <w:t>.</w:t>
      </w:r>
    </w:p>
    <w:p w14:paraId="38CD2913" w14:textId="77777777" w:rsidR="00BD1692" w:rsidRPr="00866ECC" w:rsidRDefault="00000000" w:rsidP="00866ECC">
      <w:pPr>
        <w:pStyle w:val="ECHRPlaceholder"/>
      </w:pPr>
      <w:r w:rsidRPr="00866ECC">
        <w:tab/>
      </w:r>
    </w:p>
    <w:p w14:paraId="31AD9473" w14:textId="77777777" w:rsidR="002B6368" w:rsidRPr="00866ECC" w:rsidRDefault="00000000" w:rsidP="00866ECC">
      <w:pPr>
        <w:pStyle w:val="JuSigned"/>
      </w:pPr>
      <w:r w:rsidRPr="00866ECC">
        <w:tab/>
      </w:r>
      <w:r w:rsidR="006017FD" w:rsidRPr="00866ECC">
        <w:rPr>
          <w:rFonts w:eastAsia="PMingLiU"/>
          <w:noProof/>
        </w:rPr>
        <w:t>Liv Tigerstedt</w:t>
      </w:r>
      <w:r w:rsidR="001D1233" w:rsidRPr="00866ECC">
        <w:tab/>
      </w:r>
      <w:r w:rsidR="006017FD" w:rsidRPr="00866ECC">
        <w:rPr>
          <w:noProof/>
        </w:rPr>
        <w:t>Péter Paczolay</w:t>
      </w:r>
      <w:r w:rsidR="001D1233" w:rsidRPr="00866ECC">
        <w:br/>
      </w:r>
      <w:r w:rsidR="001D1233" w:rsidRPr="00866ECC">
        <w:tab/>
      </w:r>
      <w:r w:rsidR="006017FD" w:rsidRPr="00866ECC">
        <w:rPr>
          <w:noProof/>
        </w:rPr>
        <w:t>Deputy Registrar</w:t>
      </w:r>
      <w:r w:rsidR="006267D3" w:rsidRPr="00866ECC">
        <w:tab/>
        <w:t>President</w:t>
      </w:r>
    </w:p>
    <w:sectPr w:rsidR="002B6368" w:rsidRPr="00866ECC" w:rsidSect="007604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EA06" w14:textId="77777777" w:rsidR="00BE375A" w:rsidRDefault="00BE375A">
      <w:r>
        <w:separator/>
      </w:r>
    </w:p>
  </w:endnote>
  <w:endnote w:type="continuationSeparator" w:id="0">
    <w:p w14:paraId="6A95955F" w14:textId="77777777" w:rsidR="00BE375A" w:rsidRDefault="00B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9698" w14:textId="77777777" w:rsidR="001818B5" w:rsidRPr="006017FD"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5B93" w14:textId="77777777" w:rsidR="001818B5" w:rsidRPr="006017FD"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6DDC" w14:textId="77777777" w:rsidR="006017FD" w:rsidRPr="00150BFA" w:rsidRDefault="00000000" w:rsidP="0020718E">
    <w:pPr>
      <w:jc w:val="center"/>
    </w:pPr>
    <w:r w:rsidRPr="006017FD">
      <w:rPr>
        <w:noProof/>
      </w:rPr>
      <w:drawing>
        <wp:inline distT="0" distB="0" distL="0" distR="0" wp14:anchorId="44234442" wp14:editId="17FE6382">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52467939" w14:textId="77777777" w:rsidR="00F05C7B" w:rsidRPr="006017FD" w:rsidRDefault="00F05C7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2B75" w14:textId="77777777" w:rsidR="00BE375A" w:rsidRDefault="00BE375A">
      <w:r>
        <w:separator/>
      </w:r>
    </w:p>
  </w:footnote>
  <w:footnote w:type="continuationSeparator" w:id="0">
    <w:p w14:paraId="7EB34297" w14:textId="77777777" w:rsidR="00BE375A" w:rsidRDefault="00BE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8EC8" w14:textId="77777777" w:rsidR="00F05C7B" w:rsidRPr="00DF002E" w:rsidRDefault="00000000" w:rsidP="0076040F">
    <w:pPr>
      <w:pStyle w:val="JuHeader"/>
      <w:rPr>
        <w:lang w:val="it-IT"/>
      </w:rPr>
    </w:pPr>
    <w:r w:rsidRPr="00DF002E">
      <w:rPr>
        <w:lang w:val="it-IT"/>
      </w:rPr>
      <w:t>FAGONE AND SCURSUNI CANTARELLA v. ITALY</w:t>
    </w:r>
    <w:r w:rsidR="006267D3" w:rsidRPr="00DF002E">
      <w:rPr>
        <w:lang w:val="it-IT"/>
      </w:rPr>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69C5" w14:textId="77777777" w:rsidR="00F05C7B" w:rsidRPr="00DF002E" w:rsidRDefault="00000000" w:rsidP="000D61E7">
    <w:pPr>
      <w:pStyle w:val="JuHeader"/>
      <w:rPr>
        <w:lang w:val="it-IT"/>
      </w:rPr>
    </w:pPr>
    <w:r w:rsidRPr="00DF002E">
      <w:rPr>
        <w:lang w:val="it-IT"/>
      </w:rPr>
      <w:t>FAGONE AND SCURSUNI CANTARELLA v. ITALY</w:t>
    </w:r>
    <w:r w:rsidR="006267D3" w:rsidRPr="00DF002E">
      <w:rPr>
        <w:lang w:val="it-IT"/>
      </w:rPr>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3966" w14:textId="77777777" w:rsidR="006017FD" w:rsidRPr="00A45145" w:rsidRDefault="00000000" w:rsidP="00A45145">
    <w:pPr>
      <w:jc w:val="center"/>
    </w:pPr>
    <w:r>
      <w:rPr>
        <w:noProof/>
        <w:lang w:val="en-US"/>
      </w:rPr>
      <w:drawing>
        <wp:inline distT="0" distB="0" distL="0" distR="0" wp14:anchorId="143720B2" wp14:editId="21EE0AD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7A0F02E6" w14:textId="77777777" w:rsidR="00F05C7B" w:rsidRPr="006017FD"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7E282BB6">
      <w:start w:val="1"/>
      <w:numFmt w:val="bullet"/>
      <w:pStyle w:val="Puntoelenco"/>
      <w:lvlText w:val=""/>
      <w:lvlJc w:val="left"/>
      <w:pPr>
        <w:tabs>
          <w:tab w:val="num" w:pos="851"/>
        </w:tabs>
        <w:ind w:left="568" w:firstLine="0"/>
      </w:pPr>
      <w:rPr>
        <w:rFonts w:ascii="Wingdings" w:hAnsi="Wingdings" w:hint="default"/>
        <w:color w:val="808080"/>
        <w:sz w:val="16"/>
      </w:rPr>
    </w:lvl>
    <w:lvl w:ilvl="1" w:tplc="75000502" w:tentative="1">
      <w:start w:val="1"/>
      <w:numFmt w:val="bullet"/>
      <w:lvlText w:val="o"/>
      <w:lvlJc w:val="left"/>
      <w:pPr>
        <w:tabs>
          <w:tab w:val="num" w:pos="1724"/>
        </w:tabs>
        <w:ind w:left="1724" w:hanging="360"/>
      </w:pPr>
      <w:rPr>
        <w:rFonts w:ascii="Courier New" w:hAnsi="Courier New" w:cs="Courier New" w:hint="default"/>
      </w:rPr>
    </w:lvl>
    <w:lvl w:ilvl="2" w:tplc="9E664010" w:tentative="1">
      <w:start w:val="1"/>
      <w:numFmt w:val="bullet"/>
      <w:lvlText w:val=""/>
      <w:lvlJc w:val="left"/>
      <w:pPr>
        <w:tabs>
          <w:tab w:val="num" w:pos="2444"/>
        </w:tabs>
        <w:ind w:left="2444" w:hanging="360"/>
      </w:pPr>
      <w:rPr>
        <w:rFonts w:ascii="Wingdings" w:hAnsi="Wingdings" w:hint="default"/>
      </w:rPr>
    </w:lvl>
    <w:lvl w:ilvl="3" w:tplc="2438FCAA" w:tentative="1">
      <w:start w:val="1"/>
      <w:numFmt w:val="bullet"/>
      <w:lvlText w:val=""/>
      <w:lvlJc w:val="left"/>
      <w:pPr>
        <w:tabs>
          <w:tab w:val="num" w:pos="3164"/>
        </w:tabs>
        <w:ind w:left="3164" w:hanging="360"/>
      </w:pPr>
      <w:rPr>
        <w:rFonts w:ascii="Symbol" w:hAnsi="Symbol" w:hint="default"/>
      </w:rPr>
    </w:lvl>
    <w:lvl w:ilvl="4" w:tplc="936E8A6C" w:tentative="1">
      <w:start w:val="1"/>
      <w:numFmt w:val="bullet"/>
      <w:lvlText w:val="o"/>
      <w:lvlJc w:val="left"/>
      <w:pPr>
        <w:tabs>
          <w:tab w:val="num" w:pos="3884"/>
        </w:tabs>
        <w:ind w:left="3884" w:hanging="360"/>
      </w:pPr>
      <w:rPr>
        <w:rFonts w:ascii="Courier New" w:hAnsi="Courier New" w:cs="Courier New" w:hint="default"/>
      </w:rPr>
    </w:lvl>
    <w:lvl w:ilvl="5" w:tplc="FAECF180" w:tentative="1">
      <w:start w:val="1"/>
      <w:numFmt w:val="bullet"/>
      <w:lvlText w:val=""/>
      <w:lvlJc w:val="left"/>
      <w:pPr>
        <w:tabs>
          <w:tab w:val="num" w:pos="4604"/>
        </w:tabs>
        <w:ind w:left="4604" w:hanging="360"/>
      </w:pPr>
      <w:rPr>
        <w:rFonts w:ascii="Wingdings" w:hAnsi="Wingdings" w:hint="default"/>
      </w:rPr>
    </w:lvl>
    <w:lvl w:ilvl="6" w:tplc="3DF43E8C" w:tentative="1">
      <w:start w:val="1"/>
      <w:numFmt w:val="bullet"/>
      <w:lvlText w:val=""/>
      <w:lvlJc w:val="left"/>
      <w:pPr>
        <w:tabs>
          <w:tab w:val="num" w:pos="5324"/>
        </w:tabs>
        <w:ind w:left="5324" w:hanging="360"/>
      </w:pPr>
      <w:rPr>
        <w:rFonts w:ascii="Symbol" w:hAnsi="Symbol" w:hint="default"/>
      </w:rPr>
    </w:lvl>
    <w:lvl w:ilvl="7" w:tplc="FEEC56D2" w:tentative="1">
      <w:start w:val="1"/>
      <w:numFmt w:val="bullet"/>
      <w:lvlText w:val="o"/>
      <w:lvlJc w:val="left"/>
      <w:pPr>
        <w:tabs>
          <w:tab w:val="num" w:pos="6044"/>
        </w:tabs>
        <w:ind w:left="6044" w:hanging="360"/>
      </w:pPr>
      <w:rPr>
        <w:rFonts w:ascii="Courier New" w:hAnsi="Courier New" w:cs="Courier New" w:hint="default"/>
      </w:rPr>
    </w:lvl>
    <w:lvl w:ilvl="8" w:tplc="3BAA6096" w:tentative="1">
      <w:start w:val="1"/>
      <w:numFmt w:val="bullet"/>
      <w:lvlText w:val=""/>
      <w:lvlJc w:val="left"/>
      <w:pPr>
        <w:tabs>
          <w:tab w:val="num" w:pos="6764"/>
        </w:tabs>
        <w:ind w:left="6764" w:hanging="360"/>
      </w:pPr>
      <w:rPr>
        <w:rFonts w:ascii="Wingdings" w:hAnsi="Wingdings" w:hint="default"/>
      </w:rPr>
    </w:lvl>
  </w:abstractNum>
  <w:num w:numId="1" w16cid:durableId="948777683">
    <w:abstractNumId w:val="17"/>
  </w:num>
  <w:num w:numId="2" w16cid:durableId="1694262864">
    <w:abstractNumId w:val="14"/>
  </w:num>
  <w:num w:numId="3" w16cid:durableId="1271816332">
    <w:abstractNumId w:val="12"/>
  </w:num>
  <w:num w:numId="4" w16cid:durableId="910165273">
    <w:abstractNumId w:val="11"/>
  </w:num>
  <w:num w:numId="5" w16cid:durableId="645088869">
    <w:abstractNumId w:val="18"/>
  </w:num>
  <w:num w:numId="6" w16cid:durableId="1725175958">
    <w:abstractNumId w:val="7"/>
  </w:num>
  <w:num w:numId="7" w16cid:durableId="796606861">
    <w:abstractNumId w:val="6"/>
  </w:num>
  <w:num w:numId="8" w16cid:durableId="1247108894">
    <w:abstractNumId w:val="5"/>
  </w:num>
  <w:num w:numId="9" w16cid:durableId="53746700">
    <w:abstractNumId w:val="4"/>
  </w:num>
  <w:num w:numId="10" w16cid:durableId="1436746542">
    <w:abstractNumId w:val="8"/>
  </w:num>
  <w:num w:numId="11" w16cid:durableId="709382351">
    <w:abstractNumId w:val="3"/>
  </w:num>
  <w:num w:numId="12" w16cid:durableId="123547045">
    <w:abstractNumId w:val="2"/>
  </w:num>
  <w:num w:numId="13" w16cid:durableId="1698775481">
    <w:abstractNumId w:val="1"/>
  </w:num>
  <w:num w:numId="14" w16cid:durableId="1127695724">
    <w:abstractNumId w:val="0"/>
  </w:num>
  <w:num w:numId="15" w16cid:durableId="548078117">
    <w:abstractNumId w:val="15"/>
  </w:num>
  <w:num w:numId="16" w16cid:durableId="1785491257">
    <w:abstractNumId w:val="13"/>
  </w:num>
  <w:num w:numId="17" w16cid:durableId="1234852282">
    <w:abstractNumId w:val="16"/>
  </w:num>
  <w:num w:numId="18" w16cid:durableId="1434284753">
    <w:abstractNumId w:val="15"/>
  </w:num>
  <w:num w:numId="19" w16cid:durableId="942686680">
    <w:abstractNumId w:val="16"/>
  </w:num>
  <w:num w:numId="20" w16cid:durableId="2124961142">
    <w:abstractNumId w:val="10"/>
  </w:num>
  <w:num w:numId="21" w16cid:durableId="6692895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1"/>
    <w:docVar w:name="SignForeName" w:val="0"/>
    <w:docVar w:name="SndCaseNumber" w:val="Error!Nodocumentvariablesupplied."/>
  </w:docVars>
  <w:rsids>
    <w:rsidRoot w:val="006017FD"/>
    <w:rsid w:val="00095FD8"/>
    <w:rsid w:val="000B1FA9"/>
    <w:rsid w:val="000D61E7"/>
    <w:rsid w:val="000E3A89"/>
    <w:rsid w:val="00115035"/>
    <w:rsid w:val="00132029"/>
    <w:rsid w:val="00144EBC"/>
    <w:rsid w:val="00150BFA"/>
    <w:rsid w:val="001818B5"/>
    <w:rsid w:val="001D1233"/>
    <w:rsid w:val="0020718E"/>
    <w:rsid w:val="00223591"/>
    <w:rsid w:val="002A7443"/>
    <w:rsid w:val="002B6368"/>
    <w:rsid w:val="002E2C77"/>
    <w:rsid w:val="00356C4C"/>
    <w:rsid w:val="003B50D7"/>
    <w:rsid w:val="003E3C60"/>
    <w:rsid w:val="00403246"/>
    <w:rsid w:val="00420696"/>
    <w:rsid w:val="00452087"/>
    <w:rsid w:val="00464268"/>
    <w:rsid w:val="004A4C71"/>
    <w:rsid w:val="004B4E73"/>
    <w:rsid w:val="005E56C2"/>
    <w:rsid w:val="005F11CB"/>
    <w:rsid w:val="006017FD"/>
    <w:rsid w:val="006262FA"/>
    <w:rsid w:val="006267D3"/>
    <w:rsid w:val="006300E9"/>
    <w:rsid w:val="00653EF4"/>
    <w:rsid w:val="00656B81"/>
    <w:rsid w:val="006D4D63"/>
    <w:rsid w:val="006E123B"/>
    <w:rsid w:val="007549CD"/>
    <w:rsid w:val="0076040F"/>
    <w:rsid w:val="007907C0"/>
    <w:rsid w:val="007A74FC"/>
    <w:rsid w:val="007B2364"/>
    <w:rsid w:val="00812D10"/>
    <w:rsid w:val="00866ECC"/>
    <w:rsid w:val="008D10E4"/>
    <w:rsid w:val="008F0A92"/>
    <w:rsid w:val="008F7189"/>
    <w:rsid w:val="00956B2A"/>
    <w:rsid w:val="0096293E"/>
    <w:rsid w:val="009656DE"/>
    <w:rsid w:val="009B6F49"/>
    <w:rsid w:val="009C21E8"/>
    <w:rsid w:val="009E01FB"/>
    <w:rsid w:val="00A45145"/>
    <w:rsid w:val="00AA5AEE"/>
    <w:rsid w:val="00AC58E5"/>
    <w:rsid w:val="00B140D3"/>
    <w:rsid w:val="00B43917"/>
    <w:rsid w:val="00B94D82"/>
    <w:rsid w:val="00BD1692"/>
    <w:rsid w:val="00BE375A"/>
    <w:rsid w:val="00C42C12"/>
    <w:rsid w:val="00C8038F"/>
    <w:rsid w:val="00CB3BD9"/>
    <w:rsid w:val="00D415D6"/>
    <w:rsid w:val="00DB6354"/>
    <w:rsid w:val="00DF002E"/>
    <w:rsid w:val="00E13998"/>
    <w:rsid w:val="00E5464B"/>
    <w:rsid w:val="00E93FC7"/>
    <w:rsid w:val="00EA1004"/>
    <w:rsid w:val="00EC475F"/>
    <w:rsid w:val="00EE3667"/>
    <w:rsid w:val="00EE38CA"/>
    <w:rsid w:val="00F0534F"/>
    <w:rsid w:val="00F05C7B"/>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9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866ECC"/>
    <w:rPr>
      <w:sz w:val="24"/>
      <w:szCs w:val="24"/>
      <w:lang w:val="en-GB"/>
    </w:rPr>
  </w:style>
  <w:style w:type="paragraph" w:styleId="Titolo1">
    <w:name w:val="heading 1"/>
    <w:basedOn w:val="Normale"/>
    <w:next w:val="Normale"/>
    <w:link w:val="Titolo1Carattere"/>
    <w:uiPriority w:val="98"/>
    <w:semiHidden/>
    <w:rsid w:val="00866EC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66EC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66EC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66EC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66EC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66EC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66EC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66EC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66EC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866ECC"/>
    <w:pPr>
      <w:tabs>
        <w:tab w:val="center" w:pos="1418"/>
        <w:tab w:val="center" w:pos="5954"/>
      </w:tabs>
      <w:spacing w:before="720"/>
    </w:pPr>
  </w:style>
  <w:style w:type="paragraph" w:customStyle="1" w:styleId="JuPara">
    <w:name w:val="Ju_Para"/>
    <w:aliases w:val="_Para"/>
    <w:basedOn w:val="NormalJustified"/>
    <w:link w:val="JuParaChar"/>
    <w:uiPriority w:val="4"/>
    <w:qFormat/>
    <w:rsid w:val="00866ECC"/>
    <w:pPr>
      <w:ind w:firstLine="284"/>
    </w:pPr>
  </w:style>
  <w:style w:type="character" w:styleId="Numeropagina">
    <w:name w:val="page number"/>
    <w:uiPriority w:val="98"/>
    <w:semiHidden/>
    <w:rsid w:val="00866ECC"/>
    <w:rPr>
      <w:sz w:val="18"/>
    </w:rPr>
  </w:style>
  <w:style w:type="character" w:styleId="Rimandocommento">
    <w:name w:val="annotation reference"/>
    <w:basedOn w:val="Carpredefinitoparagrafo"/>
    <w:uiPriority w:val="98"/>
    <w:semiHidden/>
    <w:rsid w:val="00866ECC"/>
    <w:rPr>
      <w:sz w:val="16"/>
      <w:szCs w:val="16"/>
    </w:rPr>
  </w:style>
  <w:style w:type="paragraph" w:styleId="Testocommento">
    <w:name w:val="annotation text"/>
    <w:basedOn w:val="Normale"/>
    <w:link w:val="TestocommentoCarattere"/>
    <w:uiPriority w:val="98"/>
    <w:semiHidden/>
    <w:rsid w:val="00866ECC"/>
    <w:rPr>
      <w:sz w:val="20"/>
      <w:szCs w:val="20"/>
    </w:rPr>
  </w:style>
  <w:style w:type="character" w:customStyle="1" w:styleId="TestocommentoCarattere">
    <w:name w:val="Testo commento Carattere"/>
    <w:basedOn w:val="Carpredefinitoparagrafo"/>
    <w:link w:val="Testocommento"/>
    <w:uiPriority w:val="98"/>
    <w:semiHidden/>
    <w:rsid w:val="00866ECC"/>
    <w:rPr>
      <w:sz w:val="20"/>
      <w:szCs w:val="20"/>
      <w:lang w:val="en-GB"/>
    </w:rPr>
  </w:style>
  <w:style w:type="paragraph" w:customStyle="1" w:styleId="DecHTitle">
    <w:name w:val="Dec_H_Title"/>
    <w:aliases w:val="_Title_1"/>
    <w:basedOn w:val="JuPara"/>
    <w:next w:val="JuPara"/>
    <w:uiPriority w:val="38"/>
    <w:qFormat/>
    <w:rsid w:val="00866EC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866EC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866ECC"/>
    <w:pPr>
      <w:keepNext/>
      <w:keepLines/>
      <w:spacing w:before="1320" w:after="280"/>
      <w:contextualSpacing/>
      <w:jc w:val="center"/>
    </w:pPr>
    <w:rPr>
      <w:b/>
    </w:rPr>
  </w:style>
  <w:style w:type="paragraph" w:customStyle="1" w:styleId="JuHeader">
    <w:name w:val="Ju_Header"/>
    <w:aliases w:val="_Header"/>
    <w:basedOn w:val="Intestazione"/>
    <w:uiPriority w:val="29"/>
    <w:qFormat/>
    <w:rsid w:val="00866ECC"/>
    <w:pPr>
      <w:tabs>
        <w:tab w:val="clear" w:pos="4536"/>
        <w:tab w:val="clear" w:pos="9072"/>
      </w:tabs>
      <w:jc w:val="center"/>
    </w:pPr>
    <w:rPr>
      <w:sz w:val="18"/>
    </w:rPr>
  </w:style>
  <w:style w:type="paragraph" w:styleId="Intestazione">
    <w:name w:val="header"/>
    <w:basedOn w:val="Normale"/>
    <w:link w:val="IntestazioneCarattere"/>
    <w:uiPriority w:val="98"/>
    <w:semiHidden/>
    <w:rsid w:val="00866EC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66ECC"/>
    <w:rPr>
      <w:sz w:val="24"/>
      <w:szCs w:val="24"/>
      <w:lang w:val="en-GB"/>
    </w:rPr>
  </w:style>
  <w:style w:type="paragraph" w:styleId="Testofumetto">
    <w:name w:val="Balloon Text"/>
    <w:basedOn w:val="Normale"/>
    <w:link w:val="TestofumettoCarattere"/>
    <w:uiPriority w:val="98"/>
    <w:semiHidden/>
    <w:rsid w:val="00866EC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66ECC"/>
    <w:rPr>
      <w:rFonts w:ascii="Tahoma" w:hAnsi="Tahoma" w:cs="Tahoma"/>
      <w:sz w:val="16"/>
      <w:szCs w:val="16"/>
      <w:lang w:val="en-GB"/>
    </w:rPr>
  </w:style>
  <w:style w:type="paragraph" w:customStyle="1" w:styleId="DummyStyle">
    <w:name w:val="Dummy_Style"/>
    <w:aliases w:val="_Dummy"/>
    <w:basedOn w:val="Normale"/>
    <w:semiHidden/>
    <w:qFormat/>
    <w:rsid w:val="00866ECC"/>
    <w:rPr>
      <w:color w:val="00B050"/>
      <w:sz w:val="22"/>
    </w:rPr>
  </w:style>
  <w:style w:type="paragraph" w:customStyle="1" w:styleId="NormalJustified">
    <w:name w:val="Normal_Justified"/>
    <w:basedOn w:val="Normale"/>
    <w:semiHidden/>
    <w:rsid w:val="00866ECC"/>
    <w:pPr>
      <w:jc w:val="both"/>
    </w:pPr>
  </w:style>
  <w:style w:type="paragraph" w:customStyle="1" w:styleId="JuQuot">
    <w:name w:val="Ju_Quot"/>
    <w:aliases w:val="_Quote"/>
    <w:basedOn w:val="NormalJustified"/>
    <w:uiPriority w:val="20"/>
    <w:qFormat/>
    <w:rsid w:val="00866EC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866ECC"/>
    <w:pPr>
      <w:keepNext/>
      <w:keepLines/>
      <w:tabs>
        <w:tab w:val="right" w:pos="7938"/>
      </w:tabs>
      <w:ind w:firstLine="0"/>
      <w:jc w:val="center"/>
    </w:pPr>
    <w:rPr>
      <w:i/>
    </w:rPr>
  </w:style>
  <w:style w:type="table" w:customStyle="1" w:styleId="ECHRDNTable">
    <w:name w:val="ECHR_DN_Table"/>
    <w:basedOn w:val="Tabellanormale"/>
    <w:uiPriority w:val="99"/>
    <w:rsid w:val="00866EC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866ECC"/>
    <w:pPr>
      <w:numPr>
        <w:numId w:val="15"/>
      </w:numPr>
    </w:pPr>
  </w:style>
  <w:style w:type="numbering" w:customStyle="1" w:styleId="ECHRA1StyleList">
    <w:name w:val="ECHR_A1_Style_List"/>
    <w:basedOn w:val="Nessunelenco"/>
    <w:uiPriority w:val="99"/>
    <w:rsid w:val="00866ECC"/>
    <w:pPr>
      <w:numPr>
        <w:numId w:val="16"/>
      </w:numPr>
    </w:pPr>
  </w:style>
  <w:style w:type="paragraph" w:customStyle="1" w:styleId="JuHArticle">
    <w:name w:val="Ju_H_Article"/>
    <w:aliases w:val="_Title_Quote"/>
    <w:basedOn w:val="Normale"/>
    <w:next w:val="JuQuot"/>
    <w:uiPriority w:val="19"/>
    <w:qFormat/>
    <w:rsid w:val="00866EC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866ECC"/>
    <w:pPr>
      <w:numPr>
        <w:numId w:val="17"/>
      </w:numPr>
    </w:pPr>
  </w:style>
  <w:style w:type="table" w:customStyle="1" w:styleId="ECHRHeaderTable">
    <w:name w:val="ECHR_Header_Table"/>
    <w:basedOn w:val="Tabellanormale"/>
    <w:uiPriority w:val="99"/>
    <w:rsid w:val="00866EC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866ECC"/>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866ECC"/>
    <w:pPr>
      <w:tabs>
        <w:tab w:val="center" w:pos="6407"/>
      </w:tabs>
      <w:spacing w:before="720"/>
      <w:jc w:val="right"/>
    </w:pPr>
  </w:style>
  <w:style w:type="table" w:customStyle="1" w:styleId="ECHRHeaderTableReduced">
    <w:name w:val="ECHR_Header_Table_Reduced"/>
    <w:basedOn w:val="Tabellanormale"/>
    <w:uiPriority w:val="99"/>
    <w:rsid w:val="00866EC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866ECC"/>
    <w:rPr>
      <w:caps w:val="0"/>
      <w:smallCaps/>
    </w:rPr>
  </w:style>
  <w:style w:type="character" w:customStyle="1" w:styleId="JuITMark">
    <w:name w:val="Ju_ITMark"/>
    <w:aliases w:val="_ITMark"/>
    <w:basedOn w:val="Carpredefinitoparagrafo"/>
    <w:uiPriority w:val="54"/>
    <w:qFormat/>
    <w:rsid w:val="00866EC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866EC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866EC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866ECC"/>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866EC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866ECC"/>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866EC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866ECC"/>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866EC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866ECC"/>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866EC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866ECC"/>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866EC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866ECC"/>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866EC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866ECC"/>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866EC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866ECC"/>
    <w:pPr>
      <w:keepNext/>
      <w:keepLines/>
      <w:spacing w:before="240" w:after="240"/>
      <w:ind w:firstLine="284"/>
    </w:pPr>
  </w:style>
  <w:style w:type="table" w:customStyle="1" w:styleId="ECHRTableBoxHeader">
    <w:name w:val="ECHR_Table_Box_Header"/>
    <w:basedOn w:val="Tabellanormale"/>
    <w:rsid w:val="00866EC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866ECC"/>
    <w:pPr>
      <w:tabs>
        <w:tab w:val="left" w:pos="567"/>
        <w:tab w:val="left" w:pos="1134"/>
      </w:tabs>
    </w:pPr>
  </w:style>
  <w:style w:type="paragraph" w:customStyle="1" w:styleId="JuList">
    <w:name w:val="Ju_List"/>
    <w:aliases w:val="_List_1"/>
    <w:basedOn w:val="NormalJustified"/>
    <w:uiPriority w:val="23"/>
    <w:qFormat/>
    <w:rsid w:val="00866ECC"/>
    <w:pPr>
      <w:numPr>
        <w:numId w:val="21"/>
      </w:numPr>
      <w:spacing w:before="280" w:after="60"/>
    </w:pPr>
  </w:style>
  <w:style w:type="paragraph" w:customStyle="1" w:styleId="JuLista">
    <w:name w:val="Ju_List_a"/>
    <w:aliases w:val="_List_2"/>
    <w:basedOn w:val="NormalJustified"/>
    <w:uiPriority w:val="23"/>
    <w:rsid w:val="00866ECC"/>
    <w:pPr>
      <w:numPr>
        <w:ilvl w:val="1"/>
        <w:numId w:val="21"/>
      </w:numPr>
    </w:pPr>
  </w:style>
  <w:style w:type="paragraph" w:customStyle="1" w:styleId="JuListi">
    <w:name w:val="Ju_List_i"/>
    <w:aliases w:val="_List_3"/>
    <w:basedOn w:val="NormalJustified"/>
    <w:uiPriority w:val="23"/>
    <w:rsid w:val="00866ECC"/>
    <w:pPr>
      <w:numPr>
        <w:ilvl w:val="2"/>
        <w:numId w:val="21"/>
      </w:numPr>
    </w:pPr>
  </w:style>
  <w:style w:type="table" w:customStyle="1" w:styleId="ECHRTableFax">
    <w:name w:val="ECHR_Table_Fax"/>
    <w:basedOn w:val="Tabellanormale"/>
    <w:uiPriority w:val="99"/>
    <w:rsid w:val="00866EC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866EC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866EC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866EC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66EC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866EC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66EC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866EC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66EC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866ECC"/>
    <w:rPr>
      <w:b/>
      <w:bCs/>
    </w:rPr>
  </w:style>
  <w:style w:type="character" w:styleId="Enfasicorsivo">
    <w:name w:val="Emphasis"/>
    <w:uiPriority w:val="98"/>
    <w:semiHidden/>
    <w:qFormat/>
    <w:rsid w:val="00866EC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866ECC"/>
  </w:style>
  <w:style w:type="character" w:customStyle="1" w:styleId="NessunaspaziaturaCarattere">
    <w:name w:val="Nessuna spaziatura Carattere"/>
    <w:basedOn w:val="Carpredefinitoparagrafo"/>
    <w:link w:val="Nessunaspaziatura"/>
    <w:uiPriority w:val="98"/>
    <w:semiHidden/>
    <w:rsid w:val="00866ECC"/>
    <w:rPr>
      <w:sz w:val="24"/>
      <w:szCs w:val="24"/>
      <w:lang w:val="en-GB"/>
    </w:rPr>
  </w:style>
  <w:style w:type="paragraph" w:styleId="Paragrafoelenco">
    <w:name w:val="List Paragraph"/>
    <w:basedOn w:val="Normale"/>
    <w:uiPriority w:val="98"/>
    <w:semiHidden/>
    <w:qFormat/>
    <w:rsid w:val="00866ECC"/>
    <w:pPr>
      <w:ind w:left="720"/>
      <w:contextualSpacing/>
    </w:pPr>
  </w:style>
  <w:style w:type="paragraph" w:styleId="Citazione">
    <w:name w:val="Quote"/>
    <w:basedOn w:val="Normale"/>
    <w:next w:val="Normale"/>
    <w:link w:val="CitazioneCarattere"/>
    <w:uiPriority w:val="98"/>
    <w:semiHidden/>
    <w:qFormat/>
    <w:rsid w:val="00866EC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66ECC"/>
    <w:rPr>
      <w:i/>
      <w:iCs/>
      <w:sz w:val="24"/>
      <w:szCs w:val="24"/>
      <w:lang w:val="en-GB" w:bidi="en-US"/>
    </w:rPr>
  </w:style>
  <w:style w:type="paragraph" w:styleId="Citazioneintensa">
    <w:name w:val="Intense Quote"/>
    <w:basedOn w:val="Normale"/>
    <w:next w:val="Normale"/>
    <w:link w:val="CitazioneintensaCarattere"/>
    <w:uiPriority w:val="98"/>
    <w:semiHidden/>
    <w:qFormat/>
    <w:rsid w:val="00866EC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66ECC"/>
    <w:rPr>
      <w:b/>
      <w:bCs/>
      <w:i/>
      <w:iCs/>
      <w:sz w:val="24"/>
      <w:szCs w:val="24"/>
      <w:lang w:val="en-GB" w:bidi="en-US"/>
    </w:rPr>
  </w:style>
  <w:style w:type="character" w:styleId="Enfasidelicata">
    <w:name w:val="Subtle Emphasis"/>
    <w:uiPriority w:val="98"/>
    <w:semiHidden/>
    <w:qFormat/>
    <w:rsid w:val="00866ECC"/>
    <w:rPr>
      <w:i/>
      <w:iCs/>
    </w:rPr>
  </w:style>
  <w:style w:type="character" w:styleId="Enfasiintensa">
    <w:name w:val="Intense Emphasis"/>
    <w:uiPriority w:val="98"/>
    <w:semiHidden/>
    <w:qFormat/>
    <w:rsid w:val="00866ECC"/>
    <w:rPr>
      <w:b/>
      <w:bCs/>
    </w:rPr>
  </w:style>
  <w:style w:type="character" w:styleId="Riferimentodelicato">
    <w:name w:val="Subtle Reference"/>
    <w:uiPriority w:val="98"/>
    <w:semiHidden/>
    <w:qFormat/>
    <w:rsid w:val="00866ECC"/>
    <w:rPr>
      <w:smallCaps/>
    </w:rPr>
  </w:style>
  <w:style w:type="character" w:styleId="Riferimentointenso">
    <w:name w:val="Intense Reference"/>
    <w:uiPriority w:val="98"/>
    <w:semiHidden/>
    <w:qFormat/>
    <w:rsid w:val="00866ECC"/>
    <w:rPr>
      <w:smallCaps/>
      <w:spacing w:val="5"/>
      <w:u w:val="single"/>
    </w:rPr>
  </w:style>
  <w:style w:type="character" w:styleId="Titolodellibro">
    <w:name w:val="Book Title"/>
    <w:uiPriority w:val="98"/>
    <w:semiHidden/>
    <w:qFormat/>
    <w:rsid w:val="00866ECC"/>
    <w:rPr>
      <w:i/>
      <w:iCs/>
      <w:smallCaps/>
      <w:spacing w:val="5"/>
    </w:rPr>
  </w:style>
  <w:style w:type="paragraph" w:styleId="Titolosommario">
    <w:name w:val="TOC Heading"/>
    <w:basedOn w:val="Normale"/>
    <w:next w:val="Normale"/>
    <w:uiPriority w:val="98"/>
    <w:semiHidden/>
    <w:qFormat/>
    <w:rsid w:val="00866EC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866ECC"/>
    <w:pPr>
      <w:numPr>
        <w:numId w:val="2"/>
      </w:numPr>
    </w:pPr>
  </w:style>
  <w:style w:type="numbering" w:styleId="1ai">
    <w:name w:val="Outline List 1"/>
    <w:basedOn w:val="Nessunelenco"/>
    <w:uiPriority w:val="99"/>
    <w:semiHidden/>
    <w:unhideWhenUsed/>
    <w:rsid w:val="00866ECC"/>
    <w:pPr>
      <w:numPr>
        <w:numId w:val="3"/>
      </w:numPr>
    </w:pPr>
  </w:style>
  <w:style w:type="numbering" w:styleId="ArticoloSezione">
    <w:name w:val="Outline List 3"/>
    <w:basedOn w:val="Nessunelenco"/>
    <w:uiPriority w:val="99"/>
    <w:semiHidden/>
    <w:unhideWhenUsed/>
    <w:rsid w:val="00866ECC"/>
    <w:pPr>
      <w:numPr>
        <w:numId w:val="4"/>
      </w:numPr>
    </w:pPr>
  </w:style>
  <w:style w:type="paragraph" w:styleId="Bibliografia">
    <w:name w:val="Bibliography"/>
    <w:basedOn w:val="Normale"/>
    <w:next w:val="Normale"/>
    <w:uiPriority w:val="98"/>
    <w:semiHidden/>
    <w:rsid w:val="00866ECC"/>
  </w:style>
  <w:style w:type="paragraph" w:styleId="Testodelblocco">
    <w:name w:val="Block Text"/>
    <w:basedOn w:val="Normale"/>
    <w:uiPriority w:val="98"/>
    <w:semiHidden/>
    <w:rsid w:val="00866EC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866ECC"/>
    <w:pPr>
      <w:spacing w:after="120"/>
    </w:pPr>
  </w:style>
  <w:style w:type="character" w:customStyle="1" w:styleId="CorpotestoCarattere">
    <w:name w:val="Corpo testo Carattere"/>
    <w:basedOn w:val="Carpredefinitoparagrafo"/>
    <w:link w:val="Corpotesto"/>
    <w:uiPriority w:val="98"/>
    <w:semiHidden/>
    <w:rsid w:val="00866ECC"/>
    <w:rPr>
      <w:sz w:val="24"/>
      <w:szCs w:val="24"/>
      <w:lang w:val="en-GB"/>
    </w:rPr>
  </w:style>
  <w:style w:type="paragraph" w:styleId="Corpodeltesto2">
    <w:name w:val="Body Text 2"/>
    <w:basedOn w:val="Normale"/>
    <w:link w:val="Corpodeltesto2Carattere"/>
    <w:uiPriority w:val="98"/>
    <w:semiHidden/>
    <w:rsid w:val="00866ECC"/>
    <w:pPr>
      <w:spacing w:after="120" w:line="480" w:lineRule="auto"/>
    </w:pPr>
  </w:style>
  <w:style w:type="character" w:customStyle="1" w:styleId="Corpodeltesto2Carattere">
    <w:name w:val="Corpo del testo 2 Carattere"/>
    <w:basedOn w:val="Carpredefinitoparagrafo"/>
    <w:link w:val="Corpodeltesto2"/>
    <w:uiPriority w:val="98"/>
    <w:semiHidden/>
    <w:rsid w:val="00866ECC"/>
    <w:rPr>
      <w:sz w:val="24"/>
      <w:szCs w:val="24"/>
      <w:lang w:val="en-GB"/>
    </w:rPr>
  </w:style>
  <w:style w:type="paragraph" w:styleId="Corpodeltesto3">
    <w:name w:val="Body Text 3"/>
    <w:basedOn w:val="Normale"/>
    <w:link w:val="Corpodeltesto3Carattere"/>
    <w:uiPriority w:val="98"/>
    <w:semiHidden/>
    <w:rsid w:val="00866EC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66ECC"/>
    <w:rPr>
      <w:sz w:val="16"/>
      <w:szCs w:val="16"/>
      <w:lang w:val="en-GB"/>
    </w:rPr>
  </w:style>
  <w:style w:type="paragraph" w:styleId="Primorientrocorpodeltesto">
    <w:name w:val="Body Text First Indent"/>
    <w:basedOn w:val="Corpotesto"/>
    <w:link w:val="PrimorientrocorpodeltestoCarattere"/>
    <w:uiPriority w:val="98"/>
    <w:semiHidden/>
    <w:rsid w:val="00866EC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66ECC"/>
    <w:rPr>
      <w:sz w:val="24"/>
      <w:szCs w:val="24"/>
      <w:lang w:val="en-GB"/>
    </w:rPr>
  </w:style>
  <w:style w:type="paragraph" w:styleId="Rientrocorpodeltesto">
    <w:name w:val="Body Text Indent"/>
    <w:basedOn w:val="Normale"/>
    <w:link w:val="RientrocorpodeltestoCarattere"/>
    <w:uiPriority w:val="98"/>
    <w:semiHidden/>
    <w:rsid w:val="00866EC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66ECC"/>
    <w:rPr>
      <w:sz w:val="24"/>
      <w:szCs w:val="24"/>
      <w:lang w:val="en-GB"/>
    </w:rPr>
  </w:style>
  <w:style w:type="paragraph" w:styleId="Primorientrocorpodeltesto2">
    <w:name w:val="Body Text First Indent 2"/>
    <w:basedOn w:val="Rientrocorpodeltesto"/>
    <w:link w:val="Primorientrocorpodeltesto2Carattere"/>
    <w:uiPriority w:val="98"/>
    <w:semiHidden/>
    <w:rsid w:val="00866EC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66ECC"/>
    <w:rPr>
      <w:sz w:val="24"/>
      <w:szCs w:val="24"/>
      <w:lang w:val="en-GB"/>
    </w:rPr>
  </w:style>
  <w:style w:type="paragraph" w:styleId="Rientrocorpodeltesto2">
    <w:name w:val="Body Text Indent 2"/>
    <w:basedOn w:val="Normale"/>
    <w:link w:val="Rientrocorpodeltesto2Carattere"/>
    <w:uiPriority w:val="98"/>
    <w:semiHidden/>
    <w:rsid w:val="00866EC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66ECC"/>
    <w:rPr>
      <w:sz w:val="24"/>
      <w:szCs w:val="24"/>
      <w:lang w:val="en-GB"/>
    </w:rPr>
  </w:style>
  <w:style w:type="paragraph" w:styleId="Rientrocorpodeltesto3">
    <w:name w:val="Body Text Indent 3"/>
    <w:basedOn w:val="Normale"/>
    <w:link w:val="Rientrocorpodeltesto3Carattere"/>
    <w:uiPriority w:val="98"/>
    <w:semiHidden/>
    <w:rsid w:val="00866EC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66ECC"/>
    <w:rPr>
      <w:sz w:val="16"/>
      <w:szCs w:val="16"/>
      <w:lang w:val="en-GB"/>
    </w:rPr>
  </w:style>
  <w:style w:type="paragraph" w:styleId="Didascalia">
    <w:name w:val="caption"/>
    <w:basedOn w:val="Normale"/>
    <w:next w:val="Normale"/>
    <w:uiPriority w:val="98"/>
    <w:semiHidden/>
    <w:qFormat/>
    <w:rsid w:val="00866EC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66ECC"/>
    <w:pPr>
      <w:ind w:left="4252"/>
    </w:pPr>
  </w:style>
  <w:style w:type="character" w:customStyle="1" w:styleId="FormuladichiusuraCarattere">
    <w:name w:val="Formula di chiusura Carattere"/>
    <w:basedOn w:val="Carpredefinitoparagrafo"/>
    <w:link w:val="Formuladichiusura"/>
    <w:uiPriority w:val="98"/>
    <w:semiHidden/>
    <w:rsid w:val="00866ECC"/>
    <w:rPr>
      <w:sz w:val="24"/>
      <w:szCs w:val="24"/>
      <w:lang w:val="en-GB"/>
    </w:rPr>
  </w:style>
  <w:style w:type="table" w:styleId="Grigliaacolori">
    <w:name w:val="Colorful Grid"/>
    <w:basedOn w:val="Tabellanormale"/>
    <w:uiPriority w:val="73"/>
    <w:semiHidden/>
    <w:rsid w:val="00866EC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66EC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66EC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66EC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66EC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66EC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66EC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66EC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66EC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66EC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66EC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66EC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66EC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66EC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66EC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66EC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66EC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66EC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66EC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66EC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66EC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66ECC"/>
    <w:rPr>
      <w:b/>
      <w:bCs/>
    </w:rPr>
  </w:style>
  <w:style w:type="character" w:customStyle="1" w:styleId="SoggettocommentoCarattere">
    <w:name w:val="Soggetto commento Carattere"/>
    <w:basedOn w:val="TestocommentoCarattere"/>
    <w:link w:val="Soggettocommento"/>
    <w:uiPriority w:val="98"/>
    <w:semiHidden/>
    <w:rsid w:val="00866ECC"/>
    <w:rPr>
      <w:b/>
      <w:bCs/>
      <w:sz w:val="20"/>
      <w:szCs w:val="20"/>
      <w:lang w:val="en-GB"/>
    </w:rPr>
  </w:style>
  <w:style w:type="table" w:styleId="Elencoscuro">
    <w:name w:val="Dark List"/>
    <w:basedOn w:val="Tabellanormale"/>
    <w:uiPriority w:val="70"/>
    <w:semiHidden/>
    <w:rsid w:val="00866EC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66EC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66EC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66EC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66EC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66EC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66EC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66ECC"/>
  </w:style>
  <w:style w:type="character" w:customStyle="1" w:styleId="DataCarattere">
    <w:name w:val="Data Carattere"/>
    <w:basedOn w:val="Carpredefinitoparagrafo"/>
    <w:link w:val="Data"/>
    <w:uiPriority w:val="98"/>
    <w:semiHidden/>
    <w:rsid w:val="00866ECC"/>
    <w:rPr>
      <w:sz w:val="24"/>
      <w:szCs w:val="24"/>
      <w:lang w:val="en-GB"/>
    </w:rPr>
  </w:style>
  <w:style w:type="paragraph" w:styleId="Mappadocumento">
    <w:name w:val="Document Map"/>
    <w:basedOn w:val="Normale"/>
    <w:link w:val="MappadocumentoCarattere"/>
    <w:uiPriority w:val="98"/>
    <w:semiHidden/>
    <w:rsid w:val="00866EC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66EC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866ECC"/>
  </w:style>
  <w:style w:type="character" w:customStyle="1" w:styleId="FirmadipostaelettronicaCarattere">
    <w:name w:val="Firma di posta elettronica Carattere"/>
    <w:basedOn w:val="Carpredefinitoparagrafo"/>
    <w:link w:val="Firmadipostaelettronica"/>
    <w:uiPriority w:val="98"/>
    <w:semiHidden/>
    <w:rsid w:val="00866ECC"/>
    <w:rPr>
      <w:sz w:val="24"/>
      <w:szCs w:val="24"/>
      <w:lang w:val="en-GB"/>
    </w:rPr>
  </w:style>
  <w:style w:type="character" w:styleId="Rimandonotadichiusura">
    <w:name w:val="endnote reference"/>
    <w:basedOn w:val="Carpredefinitoparagrafo"/>
    <w:uiPriority w:val="98"/>
    <w:semiHidden/>
    <w:rsid w:val="00866ECC"/>
    <w:rPr>
      <w:vertAlign w:val="superscript"/>
    </w:rPr>
  </w:style>
  <w:style w:type="paragraph" w:styleId="Testonotadichiusura">
    <w:name w:val="endnote text"/>
    <w:basedOn w:val="Normale"/>
    <w:link w:val="TestonotadichiusuraCarattere"/>
    <w:uiPriority w:val="98"/>
    <w:semiHidden/>
    <w:rsid w:val="00866ECC"/>
    <w:rPr>
      <w:sz w:val="20"/>
      <w:szCs w:val="20"/>
    </w:rPr>
  </w:style>
  <w:style w:type="character" w:customStyle="1" w:styleId="TestonotadichiusuraCarattere">
    <w:name w:val="Testo nota di chiusura Carattere"/>
    <w:basedOn w:val="Carpredefinitoparagrafo"/>
    <w:link w:val="Testonotadichiusura"/>
    <w:uiPriority w:val="98"/>
    <w:semiHidden/>
    <w:rsid w:val="00866ECC"/>
    <w:rPr>
      <w:sz w:val="20"/>
      <w:szCs w:val="20"/>
      <w:lang w:val="en-GB"/>
    </w:rPr>
  </w:style>
  <w:style w:type="paragraph" w:styleId="Indirizzodestinatario">
    <w:name w:val="envelope address"/>
    <w:basedOn w:val="Normale"/>
    <w:uiPriority w:val="98"/>
    <w:semiHidden/>
    <w:rsid w:val="00866EC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66EC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66ECC"/>
    <w:rPr>
      <w:color w:val="7030A0" w:themeColor="followedHyperlink"/>
      <w:u w:val="single"/>
    </w:rPr>
  </w:style>
  <w:style w:type="character" w:styleId="Rimandonotaapidipagina">
    <w:name w:val="footnote reference"/>
    <w:basedOn w:val="Carpredefinitoparagrafo"/>
    <w:uiPriority w:val="98"/>
    <w:semiHidden/>
    <w:rsid w:val="00866ECC"/>
    <w:rPr>
      <w:vertAlign w:val="superscript"/>
    </w:rPr>
  </w:style>
  <w:style w:type="paragraph" w:styleId="Testonotaapidipagina">
    <w:name w:val="footnote text"/>
    <w:basedOn w:val="NormalJustified"/>
    <w:link w:val="TestonotaapidipaginaCarattere"/>
    <w:uiPriority w:val="98"/>
    <w:semiHidden/>
    <w:rsid w:val="00866ECC"/>
    <w:rPr>
      <w:sz w:val="20"/>
      <w:szCs w:val="20"/>
    </w:rPr>
  </w:style>
  <w:style w:type="character" w:customStyle="1" w:styleId="TestonotaapidipaginaCarattere">
    <w:name w:val="Testo nota a piè di pagina Carattere"/>
    <w:basedOn w:val="Carpredefinitoparagrafo"/>
    <w:link w:val="Testonotaapidipagina"/>
    <w:uiPriority w:val="98"/>
    <w:semiHidden/>
    <w:rsid w:val="00866ECC"/>
    <w:rPr>
      <w:sz w:val="20"/>
      <w:szCs w:val="20"/>
      <w:lang w:val="en-GB"/>
    </w:rPr>
  </w:style>
  <w:style w:type="character" w:styleId="AcronimoHTML">
    <w:name w:val="HTML Acronym"/>
    <w:basedOn w:val="Carpredefinitoparagrafo"/>
    <w:uiPriority w:val="98"/>
    <w:semiHidden/>
    <w:rsid w:val="00866ECC"/>
  </w:style>
  <w:style w:type="paragraph" w:styleId="IndirizzoHTML">
    <w:name w:val="HTML Address"/>
    <w:basedOn w:val="Normale"/>
    <w:link w:val="IndirizzoHTMLCarattere"/>
    <w:uiPriority w:val="98"/>
    <w:semiHidden/>
    <w:rsid w:val="00866ECC"/>
    <w:rPr>
      <w:i/>
      <w:iCs/>
    </w:rPr>
  </w:style>
  <w:style w:type="character" w:customStyle="1" w:styleId="IndirizzoHTMLCarattere">
    <w:name w:val="Indirizzo HTML Carattere"/>
    <w:basedOn w:val="Carpredefinitoparagrafo"/>
    <w:link w:val="IndirizzoHTML"/>
    <w:uiPriority w:val="98"/>
    <w:semiHidden/>
    <w:rsid w:val="00866ECC"/>
    <w:rPr>
      <w:i/>
      <w:iCs/>
      <w:sz w:val="24"/>
      <w:szCs w:val="24"/>
      <w:lang w:val="en-GB"/>
    </w:rPr>
  </w:style>
  <w:style w:type="character" w:styleId="CitazioneHTML">
    <w:name w:val="HTML Cite"/>
    <w:basedOn w:val="Carpredefinitoparagrafo"/>
    <w:uiPriority w:val="98"/>
    <w:semiHidden/>
    <w:rsid w:val="00866ECC"/>
    <w:rPr>
      <w:i/>
      <w:iCs/>
    </w:rPr>
  </w:style>
  <w:style w:type="character" w:styleId="CodiceHTML">
    <w:name w:val="HTML Code"/>
    <w:basedOn w:val="Carpredefinitoparagrafo"/>
    <w:uiPriority w:val="98"/>
    <w:semiHidden/>
    <w:rsid w:val="00866ECC"/>
    <w:rPr>
      <w:rFonts w:ascii="Consolas" w:hAnsi="Consolas" w:cs="Consolas"/>
      <w:sz w:val="20"/>
      <w:szCs w:val="20"/>
    </w:rPr>
  </w:style>
  <w:style w:type="character" w:styleId="DefinizioneHTML">
    <w:name w:val="HTML Definition"/>
    <w:basedOn w:val="Carpredefinitoparagrafo"/>
    <w:uiPriority w:val="98"/>
    <w:semiHidden/>
    <w:rsid w:val="00866ECC"/>
    <w:rPr>
      <w:i/>
      <w:iCs/>
    </w:rPr>
  </w:style>
  <w:style w:type="character" w:styleId="TastieraHTML">
    <w:name w:val="HTML Keyboard"/>
    <w:basedOn w:val="Carpredefinitoparagrafo"/>
    <w:uiPriority w:val="98"/>
    <w:semiHidden/>
    <w:rsid w:val="00866ECC"/>
    <w:rPr>
      <w:rFonts w:ascii="Consolas" w:hAnsi="Consolas" w:cs="Consolas"/>
      <w:sz w:val="20"/>
      <w:szCs w:val="20"/>
    </w:rPr>
  </w:style>
  <w:style w:type="paragraph" w:styleId="PreformattatoHTML">
    <w:name w:val="HTML Preformatted"/>
    <w:basedOn w:val="Normale"/>
    <w:link w:val="PreformattatoHTMLCarattere"/>
    <w:uiPriority w:val="98"/>
    <w:semiHidden/>
    <w:rsid w:val="00866EC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66ECC"/>
    <w:rPr>
      <w:rFonts w:ascii="Consolas" w:hAnsi="Consolas" w:cs="Consolas"/>
      <w:sz w:val="20"/>
      <w:szCs w:val="20"/>
      <w:lang w:val="en-GB"/>
    </w:rPr>
  </w:style>
  <w:style w:type="character" w:styleId="EsempioHTML">
    <w:name w:val="HTML Sample"/>
    <w:basedOn w:val="Carpredefinitoparagrafo"/>
    <w:uiPriority w:val="98"/>
    <w:semiHidden/>
    <w:rsid w:val="00866ECC"/>
    <w:rPr>
      <w:rFonts w:ascii="Consolas" w:hAnsi="Consolas" w:cs="Consolas"/>
      <w:sz w:val="24"/>
      <w:szCs w:val="24"/>
    </w:rPr>
  </w:style>
  <w:style w:type="character" w:styleId="MacchinadascrivereHTML">
    <w:name w:val="HTML Typewriter"/>
    <w:basedOn w:val="Carpredefinitoparagrafo"/>
    <w:uiPriority w:val="98"/>
    <w:semiHidden/>
    <w:rsid w:val="00866ECC"/>
    <w:rPr>
      <w:rFonts w:ascii="Consolas" w:hAnsi="Consolas" w:cs="Consolas"/>
      <w:sz w:val="20"/>
      <w:szCs w:val="20"/>
    </w:rPr>
  </w:style>
  <w:style w:type="character" w:styleId="VariabileHTML">
    <w:name w:val="HTML Variable"/>
    <w:basedOn w:val="Carpredefinitoparagrafo"/>
    <w:uiPriority w:val="98"/>
    <w:semiHidden/>
    <w:rsid w:val="00866ECC"/>
    <w:rPr>
      <w:i/>
      <w:iCs/>
    </w:rPr>
  </w:style>
  <w:style w:type="character" w:styleId="Collegamentoipertestuale">
    <w:name w:val="Hyperlink"/>
    <w:basedOn w:val="Carpredefinitoparagrafo"/>
    <w:uiPriority w:val="98"/>
    <w:semiHidden/>
    <w:rsid w:val="00866ECC"/>
    <w:rPr>
      <w:color w:val="0072BC" w:themeColor="hyperlink"/>
      <w:u w:val="single"/>
    </w:rPr>
  </w:style>
  <w:style w:type="paragraph" w:styleId="Indice1">
    <w:name w:val="index 1"/>
    <w:basedOn w:val="Normale"/>
    <w:next w:val="Normale"/>
    <w:autoRedefine/>
    <w:uiPriority w:val="98"/>
    <w:semiHidden/>
    <w:rsid w:val="00866ECC"/>
    <w:pPr>
      <w:ind w:left="240" w:hanging="240"/>
    </w:pPr>
  </w:style>
  <w:style w:type="paragraph" w:styleId="Indice2">
    <w:name w:val="index 2"/>
    <w:basedOn w:val="Normale"/>
    <w:next w:val="Normale"/>
    <w:autoRedefine/>
    <w:uiPriority w:val="98"/>
    <w:semiHidden/>
    <w:rsid w:val="00866ECC"/>
    <w:pPr>
      <w:ind w:left="480" w:hanging="240"/>
    </w:pPr>
  </w:style>
  <w:style w:type="paragraph" w:styleId="Indice3">
    <w:name w:val="index 3"/>
    <w:basedOn w:val="Normale"/>
    <w:next w:val="Normale"/>
    <w:autoRedefine/>
    <w:uiPriority w:val="98"/>
    <w:semiHidden/>
    <w:rsid w:val="00866ECC"/>
    <w:pPr>
      <w:ind w:left="720" w:hanging="240"/>
    </w:pPr>
  </w:style>
  <w:style w:type="paragraph" w:styleId="Indice4">
    <w:name w:val="index 4"/>
    <w:basedOn w:val="Normale"/>
    <w:next w:val="Normale"/>
    <w:autoRedefine/>
    <w:uiPriority w:val="98"/>
    <w:semiHidden/>
    <w:rsid w:val="00866ECC"/>
    <w:pPr>
      <w:ind w:left="960" w:hanging="240"/>
    </w:pPr>
  </w:style>
  <w:style w:type="paragraph" w:styleId="Indice5">
    <w:name w:val="index 5"/>
    <w:basedOn w:val="Normale"/>
    <w:next w:val="Normale"/>
    <w:autoRedefine/>
    <w:uiPriority w:val="98"/>
    <w:semiHidden/>
    <w:rsid w:val="00866ECC"/>
    <w:pPr>
      <w:ind w:left="1200" w:hanging="240"/>
    </w:pPr>
  </w:style>
  <w:style w:type="paragraph" w:styleId="Indice6">
    <w:name w:val="index 6"/>
    <w:basedOn w:val="Normale"/>
    <w:next w:val="Normale"/>
    <w:autoRedefine/>
    <w:uiPriority w:val="98"/>
    <w:semiHidden/>
    <w:rsid w:val="00866ECC"/>
    <w:pPr>
      <w:ind w:left="1440" w:hanging="240"/>
    </w:pPr>
  </w:style>
  <w:style w:type="paragraph" w:styleId="Indice7">
    <w:name w:val="index 7"/>
    <w:basedOn w:val="Normale"/>
    <w:next w:val="Normale"/>
    <w:autoRedefine/>
    <w:uiPriority w:val="98"/>
    <w:semiHidden/>
    <w:rsid w:val="00866ECC"/>
    <w:pPr>
      <w:ind w:left="1680" w:hanging="240"/>
    </w:pPr>
  </w:style>
  <w:style w:type="paragraph" w:styleId="Indice8">
    <w:name w:val="index 8"/>
    <w:basedOn w:val="Normale"/>
    <w:next w:val="Normale"/>
    <w:autoRedefine/>
    <w:uiPriority w:val="98"/>
    <w:semiHidden/>
    <w:rsid w:val="00866ECC"/>
    <w:pPr>
      <w:ind w:left="1920" w:hanging="240"/>
    </w:pPr>
  </w:style>
  <w:style w:type="paragraph" w:styleId="Indice9">
    <w:name w:val="index 9"/>
    <w:basedOn w:val="Normale"/>
    <w:next w:val="Normale"/>
    <w:autoRedefine/>
    <w:uiPriority w:val="98"/>
    <w:semiHidden/>
    <w:rsid w:val="00866ECC"/>
    <w:pPr>
      <w:ind w:left="2160" w:hanging="240"/>
    </w:pPr>
  </w:style>
  <w:style w:type="paragraph" w:styleId="Titoloindice">
    <w:name w:val="index heading"/>
    <w:basedOn w:val="Normale"/>
    <w:next w:val="Indice1"/>
    <w:uiPriority w:val="98"/>
    <w:semiHidden/>
    <w:rsid w:val="00866ECC"/>
    <w:rPr>
      <w:rFonts w:asciiTheme="majorHAnsi" w:eastAsiaTheme="majorEastAsia" w:hAnsiTheme="majorHAnsi" w:cstheme="majorBidi"/>
      <w:b/>
      <w:bCs/>
    </w:rPr>
  </w:style>
  <w:style w:type="table" w:styleId="Grigliachiara">
    <w:name w:val="Light Grid"/>
    <w:basedOn w:val="Tabellanormale"/>
    <w:uiPriority w:val="62"/>
    <w:semiHidden/>
    <w:rsid w:val="00866EC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66EC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66EC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66EC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66EC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66EC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66EC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66EC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66EC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66EC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66EC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66EC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66EC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66EC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66EC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66EC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66EC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66EC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66EC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66EC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66EC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66ECC"/>
  </w:style>
  <w:style w:type="paragraph" w:styleId="Elenco">
    <w:name w:val="List"/>
    <w:basedOn w:val="Normale"/>
    <w:uiPriority w:val="98"/>
    <w:semiHidden/>
    <w:rsid w:val="00866ECC"/>
    <w:pPr>
      <w:ind w:left="283" w:hanging="283"/>
      <w:contextualSpacing/>
    </w:pPr>
  </w:style>
  <w:style w:type="paragraph" w:styleId="Elenco2">
    <w:name w:val="List 2"/>
    <w:basedOn w:val="Normale"/>
    <w:uiPriority w:val="98"/>
    <w:semiHidden/>
    <w:rsid w:val="00866ECC"/>
    <w:pPr>
      <w:ind w:left="566" w:hanging="283"/>
      <w:contextualSpacing/>
    </w:pPr>
  </w:style>
  <w:style w:type="paragraph" w:styleId="Elenco3">
    <w:name w:val="List 3"/>
    <w:basedOn w:val="Normale"/>
    <w:uiPriority w:val="98"/>
    <w:semiHidden/>
    <w:rsid w:val="00866ECC"/>
    <w:pPr>
      <w:ind w:left="849" w:hanging="283"/>
      <w:contextualSpacing/>
    </w:pPr>
  </w:style>
  <w:style w:type="paragraph" w:styleId="Elenco4">
    <w:name w:val="List 4"/>
    <w:basedOn w:val="Normale"/>
    <w:uiPriority w:val="98"/>
    <w:semiHidden/>
    <w:rsid w:val="00866ECC"/>
    <w:pPr>
      <w:ind w:left="1132" w:hanging="283"/>
      <w:contextualSpacing/>
    </w:pPr>
  </w:style>
  <w:style w:type="paragraph" w:styleId="Elenco5">
    <w:name w:val="List 5"/>
    <w:basedOn w:val="Normale"/>
    <w:uiPriority w:val="98"/>
    <w:semiHidden/>
    <w:rsid w:val="00866ECC"/>
    <w:pPr>
      <w:ind w:left="1415" w:hanging="283"/>
      <w:contextualSpacing/>
    </w:pPr>
  </w:style>
  <w:style w:type="paragraph" w:styleId="Puntoelenco">
    <w:name w:val="List Bullet"/>
    <w:basedOn w:val="Normale"/>
    <w:uiPriority w:val="98"/>
    <w:semiHidden/>
    <w:rsid w:val="00866ECC"/>
    <w:pPr>
      <w:numPr>
        <w:numId w:val="5"/>
      </w:numPr>
    </w:pPr>
  </w:style>
  <w:style w:type="paragraph" w:styleId="Puntoelenco2">
    <w:name w:val="List Bullet 2"/>
    <w:basedOn w:val="Normale"/>
    <w:uiPriority w:val="98"/>
    <w:semiHidden/>
    <w:rsid w:val="00866ECC"/>
    <w:pPr>
      <w:numPr>
        <w:numId w:val="6"/>
      </w:numPr>
      <w:contextualSpacing/>
    </w:pPr>
  </w:style>
  <w:style w:type="paragraph" w:styleId="Puntoelenco3">
    <w:name w:val="List Bullet 3"/>
    <w:basedOn w:val="Normale"/>
    <w:uiPriority w:val="98"/>
    <w:semiHidden/>
    <w:rsid w:val="00866ECC"/>
    <w:pPr>
      <w:numPr>
        <w:numId w:val="7"/>
      </w:numPr>
      <w:contextualSpacing/>
    </w:pPr>
  </w:style>
  <w:style w:type="paragraph" w:styleId="Puntoelenco4">
    <w:name w:val="List Bullet 4"/>
    <w:basedOn w:val="Normale"/>
    <w:uiPriority w:val="98"/>
    <w:semiHidden/>
    <w:rsid w:val="00866ECC"/>
    <w:pPr>
      <w:numPr>
        <w:numId w:val="8"/>
      </w:numPr>
      <w:contextualSpacing/>
    </w:pPr>
  </w:style>
  <w:style w:type="paragraph" w:styleId="Puntoelenco5">
    <w:name w:val="List Bullet 5"/>
    <w:basedOn w:val="Normale"/>
    <w:uiPriority w:val="98"/>
    <w:semiHidden/>
    <w:rsid w:val="00866ECC"/>
    <w:pPr>
      <w:numPr>
        <w:numId w:val="9"/>
      </w:numPr>
      <w:contextualSpacing/>
    </w:pPr>
  </w:style>
  <w:style w:type="paragraph" w:styleId="Elencocontinua">
    <w:name w:val="List Continue"/>
    <w:basedOn w:val="Normale"/>
    <w:uiPriority w:val="98"/>
    <w:semiHidden/>
    <w:rsid w:val="00866ECC"/>
    <w:pPr>
      <w:spacing w:after="120"/>
      <w:ind w:left="283"/>
      <w:contextualSpacing/>
    </w:pPr>
  </w:style>
  <w:style w:type="paragraph" w:styleId="Elencocontinua2">
    <w:name w:val="List Continue 2"/>
    <w:basedOn w:val="Normale"/>
    <w:uiPriority w:val="98"/>
    <w:semiHidden/>
    <w:rsid w:val="00866ECC"/>
    <w:pPr>
      <w:spacing w:after="120"/>
      <w:ind w:left="566"/>
      <w:contextualSpacing/>
    </w:pPr>
  </w:style>
  <w:style w:type="paragraph" w:styleId="Elencocontinua3">
    <w:name w:val="List Continue 3"/>
    <w:basedOn w:val="Normale"/>
    <w:uiPriority w:val="98"/>
    <w:semiHidden/>
    <w:rsid w:val="00866ECC"/>
    <w:pPr>
      <w:spacing w:after="120"/>
      <w:ind w:left="849"/>
      <w:contextualSpacing/>
    </w:pPr>
  </w:style>
  <w:style w:type="paragraph" w:styleId="Elencocontinua4">
    <w:name w:val="List Continue 4"/>
    <w:basedOn w:val="Normale"/>
    <w:uiPriority w:val="98"/>
    <w:semiHidden/>
    <w:rsid w:val="00866ECC"/>
    <w:pPr>
      <w:spacing w:after="120"/>
      <w:ind w:left="1132"/>
      <w:contextualSpacing/>
    </w:pPr>
  </w:style>
  <w:style w:type="paragraph" w:styleId="Elencocontinua5">
    <w:name w:val="List Continue 5"/>
    <w:basedOn w:val="Normale"/>
    <w:uiPriority w:val="98"/>
    <w:semiHidden/>
    <w:rsid w:val="00866ECC"/>
    <w:pPr>
      <w:spacing w:after="120"/>
      <w:ind w:left="1415"/>
      <w:contextualSpacing/>
    </w:pPr>
  </w:style>
  <w:style w:type="paragraph" w:styleId="Numeroelenco">
    <w:name w:val="List Number"/>
    <w:basedOn w:val="Normale"/>
    <w:uiPriority w:val="98"/>
    <w:semiHidden/>
    <w:rsid w:val="00866ECC"/>
    <w:pPr>
      <w:numPr>
        <w:numId w:val="10"/>
      </w:numPr>
      <w:contextualSpacing/>
    </w:pPr>
  </w:style>
  <w:style w:type="paragraph" w:styleId="Numeroelenco2">
    <w:name w:val="List Number 2"/>
    <w:basedOn w:val="Normale"/>
    <w:uiPriority w:val="98"/>
    <w:semiHidden/>
    <w:rsid w:val="00866ECC"/>
    <w:pPr>
      <w:numPr>
        <w:numId w:val="11"/>
      </w:numPr>
      <w:contextualSpacing/>
    </w:pPr>
  </w:style>
  <w:style w:type="paragraph" w:styleId="Numeroelenco3">
    <w:name w:val="List Number 3"/>
    <w:basedOn w:val="Normale"/>
    <w:uiPriority w:val="98"/>
    <w:semiHidden/>
    <w:rsid w:val="00866ECC"/>
    <w:pPr>
      <w:numPr>
        <w:numId w:val="12"/>
      </w:numPr>
      <w:contextualSpacing/>
    </w:pPr>
  </w:style>
  <w:style w:type="paragraph" w:styleId="Numeroelenco4">
    <w:name w:val="List Number 4"/>
    <w:basedOn w:val="Normale"/>
    <w:uiPriority w:val="98"/>
    <w:semiHidden/>
    <w:rsid w:val="00866ECC"/>
    <w:pPr>
      <w:numPr>
        <w:numId w:val="13"/>
      </w:numPr>
      <w:contextualSpacing/>
    </w:pPr>
  </w:style>
  <w:style w:type="paragraph" w:styleId="Numeroelenco5">
    <w:name w:val="List Number 5"/>
    <w:basedOn w:val="Normale"/>
    <w:uiPriority w:val="98"/>
    <w:semiHidden/>
    <w:rsid w:val="00866ECC"/>
    <w:pPr>
      <w:numPr>
        <w:numId w:val="14"/>
      </w:numPr>
      <w:contextualSpacing/>
    </w:pPr>
  </w:style>
  <w:style w:type="paragraph" w:styleId="Testomacro">
    <w:name w:val="macro"/>
    <w:link w:val="TestomacroCarattere"/>
    <w:uiPriority w:val="98"/>
    <w:semiHidden/>
    <w:rsid w:val="00866EC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66ECC"/>
    <w:rPr>
      <w:rFonts w:ascii="Consolas" w:eastAsiaTheme="minorEastAsia" w:hAnsi="Consolas" w:cs="Consolas"/>
      <w:sz w:val="20"/>
      <w:szCs w:val="20"/>
    </w:rPr>
  </w:style>
  <w:style w:type="table" w:styleId="Grigliamedia1">
    <w:name w:val="Medium Grid 1"/>
    <w:basedOn w:val="Tabellanormale"/>
    <w:uiPriority w:val="67"/>
    <w:semiHidden/>
    <w:rsid w:val="00866EC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66EC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66EC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66EC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66EC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66EC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66EC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66E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66E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66E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66E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66E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66E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66E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66EC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66EC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66EC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66EC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66EC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66EC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66EC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66EC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66EC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66EC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66EC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66EC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66EC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66EC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66EC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66E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66E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66E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66E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66E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66E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66E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66E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66EC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866ECC"/>
    <w:rPr>
      <w:rFonts w:ascii="Times New Roman" w:hAnsi="Times New Roman" w:cs="Times New Roman"/>
    </w:rPr>
  </w:style>
  <w:style w:type="paragraph" w:styleId="Rientronormale">
    <w:name w:val="Normal Indent"/>
    <w:basedOn w:val="Normale"/>
    <w:uiPriority w:val="98"/>
    <w:semiHidden/>
    <w:rsid w:val="00866ECC"/>
    <w:pPr>
      <w:ind w:left="720"/>
    </w:pPr>
  </w:style>
  <w:style w:type="table" w:customStyle="1" w:styleId="ECHRTableNoLines">
    <w:name w:val="ECHR_Table_No_Lines"/>
    <w:basedOn w:val="Tabellanormale"/>
    <w:uiPriority w:val="99"/>
    <w:rsid w:val="00866EC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866EC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866EC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66EC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66EC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866ECC"/>
  </w:style>
  <w:style w:type="character" w:customStyle="1" w:styleId="FormuladiaperturaCarattere">
    <w:name w:val="Formula di apertura Carattere"/>
    <w:basedOn w:val="Carpredefinitoparagrafo"/>
    <w:link w:val="Formuladiapertura"/>
    <w:uiPriority w:val="98"/>
    <w:semiHidden/>
    <w:rsid w:val="00866ECC"/>
    <w:rPr>
      <w:sz w:val="24"/>
      <w:szCs w:val="24"/>
      <w:lang w:val="en-GB"/>
    </w:rPr>
  </w:style>
  <w:style w:type="paragraph" w:styleId="Firma">
    <w:name w:val="Signature"/>
    <w:basedOn w:val="Normale"/>
    <w:link w:val="FirmaCarattere"/>
    <w:uiPriority w:val="98"/>
    <w:semiHidden/>
    <w:rsid w:val="00866ECC"/>
    <w:pPr>
      <w:ind w:left="4252"/>
    </w:pPr>
  </w:style>
  <w:style w:type="character" w:customStyle="1" w:styleId="FirmaCarattere">
    <w:name w:val="Firma Carattere"/>
    <w:basedOn w:val="Carpredefinitoparagrafo"/>
    <w:link w:val="Firma"/>
    <w:uiPriority w:val="98"/>
    <w:semiHidden/>
    <w:rsid w:val="00866ECC"/>
    <w:rPr>
      <w:sz w:val="24"/>
      <w:szCs w:val="24"/>
      <w:lang w:val="en-GB"/>
    </w:rPr>
  </w:style>
  <w:style w:type="table" w:styleId="Tabellaeffetti3D1">
    <w:name w:val="Table 3D effects 1"/>
    <w:basedOn w:val="Tabellanormale"/>
    <w:uiPriority w:val="99"/>
    <w:semiHidden/>
    <w:unhideWhenUsed/>
    <w:rsid w:val="00866EC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66EC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66EC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66EC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66EC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66EC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66EC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66EC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66EC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66EC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66EC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66EC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66EC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66EC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66EC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66EC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66EC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866EC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866EC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66EC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66EC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66EC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66EC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66EC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66EC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66EC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66EC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66EC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66EC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66EC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66EC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66EC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66EC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66EC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66ECC"/>
    <w:pPr>
      <w:ind w:left="240" w:hanging="240"/>
    </w:pPr>
  </w:style>
  <w:style w:type="paragraph" w:styleId="Indicedellefigure">
    <w:name w:val="table of figures"/>
    <w:basedOn w:val="Normale"/>
    <w:next w:val="Normale"/>
    <w:uiPriority w:val="98"/>
    <w:semiHidden/>
    <w:rsid w:val="00866ECC"/>
  </w:style>
  <w:style w:type="table" w:styleId="Tabellaprofessionale">
    <w:name w:val="Table Professional"/>
    <w:basedOn w:val="Tabellanormale"/>
    <w:uiPriority w:val="99"/>
    <w:semiHidden/>
    <w:unhideWhenUsed/>
    <w:rsid w:val="00866EC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66EC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66EC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66EC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66EC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66EC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66EC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66EC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66EC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66EC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866EC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866EC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66EC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66EC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66EC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66EC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866EC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66EC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66ECC"/>
    <w:pPr>
      <w:spacing w:after="100"/>
      <w:ind w:left="1680"/>
    </w:pPr>
  </w:style>
  <w:style w:type="paragraph" w:styleId="Sommario9">
    <w:name w:val="toc 9"/>
    <w:basedOn w:val="Normale"/>
    <w:next w:val="Normale"/>
    <w:autoRedefine/>
    <w:uiPriority w:val="98"/>
    <w:semiHidden/>
    <w:rsid w:val="00866EC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866EC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66ECC"/>
    <w:rPr>
      <w:sz w:val="24"/>
      <w:szCs w:val="24"/>
      <w:lang w:val="en-GB"/>
    </w:rPr>
  </w:style>
  <w:style w:type="paragraph" w:customStyle="1" w:styleId="ECHRFooterLine">
    <w:name w:val="ECHR_Footer_Line"/>
    <w:aliases w:val="_Footer_Line"/>
    <w:basedOn w:val="Normale"/>
    <w:next w:val="Normale"/>
    <w:uiPriority w:val="30"/>
    <w:semiHidden/>
    <w:rsid w:val="00866EC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866EC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866ECC"/>
    <w:pPr>
      <w:ind w:firstLine="284"/>
    </w:pPr>
    <w:rPr>
      <w:b/>
    </w:rPr>
  </w:style>
  <w:style w:type="paragraph" w:styleId="Intestazionenota">
    <w:name w:val="Note Heading"/>
    <w:basedOn w:val="Normale"/>
    <w:next w:val="Normale"/>
    <w:link w:val="IntestazionenotaCarattere"/>
    <w:uiPriority w:val="98"/>
    <w:semiHidden/>
    <w:rsid w:val="00866ECC"/>
  </w:style>
  <w:style w:type="character" w:customStyle="1" w:styleId="IntestazionenotaCarattere">
    <w:name w:val="Intestazione nota Carattere"/>
    <w:basedOn w:val="Carpredefinitoparagrafo"/>
    <w:link w:val="Intestazionenota"/>
    <w:uiPriority w:val="98"/>
    <w:semiHidden/>
    <w:rsid w:val="00866ECC"/>
    <w:rPr>
      <w:sz w:val="24"/>
      <w:szCs w:val="24"/>
      <w:lang w:val="en-GB"/>
    </w:rPr>
  </w:style>
  <w:style w:type="paragraph" w:customStyle="1" w:styleId="ECHRHeaderLandscape">
    <w:name w:val="ECHR_Header_Landscape"/>
    <w:aliases w:val="_Header_Landscape"/>
    <w:basedOn w:val="JuHeader"/>
    <w:uiPriority w:val="29"/>
    <w:semiHidden/>
    <w:rsid w:val="00866EC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66ECC"/>
    <w:pPr>
      <w:numPr>
        <w:numId w:val="18"/>
      </w:numPr>
      <w:spacing w:before="60" w:after="60"/>
    </w:pPr>
  </w:style>
  <w:style w:type="paragraph" w:customStyle="1" w:styleId="ECHRBullet2">
    <w:name w:val="ECHR_Bullet_2"/>
    <w:aliases w:val="_Bul_2"/>
    <w:basedOn w:val="ECHRBullet1"/>
    <w:uiPriority w:val="23"/>
    <w:semiHidden/>
    <w:rsid w:val="00866ECC"/>
    <w:pPr>
      <w:numPr>
        <w:ilvl w:val="1"/>
      </w:numPr>
    </w:pPr>
  </w:style>
  <w:style w:type="paragraph" w:customStyle="1" w:styleId="ECHRBullet3">
    <w:name w:val="ECHR_Bullet_3"/>
    <w:aliases w:val="_Bul_3"/>
    <w:basedOn w:val="ECHRBullet2"/>
    <w:uiPriority w:val="23"/>
    <w:semiHidden/>
    <w:rsid w:val="00866ECC"/>
    <w:pPr>
      <w:numPr>
        <w:ilvl w:val="2"/>
      </w:numPr>
    </w:pPr>
  </w:style>
  <w:style w:type="paragraph" w:customStyle="1" w:styleId="ECHRBullet4">
    <w:name w:val="ECHR_Bullet_4"/>
    <w:aliases w:val="_Bul_4"/>
    <w:basedOn w:val="ECHRBullet3"/>
    <w:uiPriority w:val="23"/>
    <w:semiHidden/>
    <w:rsid w:val="00866ECC"/>
    <w:pPr>
      <w:numPr>
        <w:ilvl w:val="3"/>
      </w:numPr>
    </w:pPr>
  </w:style>
  <w:style w:type="paragraph" w:customStyle="1" w:styleId="ECHRConfidential">
    <w:name w:val="ECHR_Confidential"/>
    <w:aliases w:val="_Confidential"/>
    <w:basedOn w:val="Normale"/>
    <w:next w:val="Normale"/>
    <w:uiPriority w:val="42"/>
    <w:semiHidden/>
    <w:qFormat/>
    <w:rsid w:val="00866ECC"/>
    <w:pPr>
      <w:jc w:val="right"/>
    </w:pPr>
    <w:rPr>
      <w:color w:val="C00000"/>
      <w:sz w:val="20"/>
    </w:rPr>
  </w:style>
  <w:style w:type="paragraph" w:customStyle="1" w:styleId="ECHRDecisionBody">
    <w:name w:val="ECHR_Decision_Body"/>
    <w:aliases w:val="_Decision_Body"/>
    <w:basedOn w:val="NormalJustified"/>
    <w:uiPriority w:val="54"/>
    <w:semiHidden/>
    <w:rsid w:val="00866EC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66EC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66EC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866EC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866ECC"/>
    <w:pPr>
      <w:jc w:val="right"/>
    </w:pPr>
    <w:rPr>
      <w:sz w:val="20"/>
    </w:rPr>
  </w:style>
  <w:style w:type="paragraph" w:customStyle="1" w:styleId="ECHRHeaderRefIt">
    <w:name w:val="ECHR_Header_Ref_It"/>
    <w:aliases w:val="_Ref_Ital"/>
    <w:basedOn w:val="Normale"/>
    <w:next w:val="ECHRHeaderDate"/>
    <w:uiPriority w:val="43"/>
    <w:semiHidden/>
    <w:qFormat/>
    <w:rsid w:val="00866ECC"/>
    <w:pPr>
      <w:jc w:val="right"/>
    </w:pPr>
    <w:rPr>
      <w:i/>
      <w:sz w:val="20"/>
    </w:rPr>
  </w:style>
  <w:style w:type="paragraph" w:customStyle="1" w:styleId="ECHRHeading9">
    <w:name w:val="ECHR_Heading_9"/>
    <w:aliases w:val="_Head_9"/>
    <w:basedOn w:val="Titolo9"/>
    <w:uiPriority w:val="17"/>
    <w:semiHidden/>
    <w:rsid w:val="00866ECC"/>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866EC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866ECC"/>
    <w:pPr>
      <w:numPr>
        <w:numId w:val="19"/>
      </w:numPr>
      <w:spacing w:before="60" w:after="60"/>
    </w:pPr>
  </w:style>
  <w:style w:type="paragraph" w:customStyle="1" w:styleId="ECHRNumberedList2">
    <w:name w:val="ECHR_Numbered_List_2"/>
    <w:aliases w:val="_Num_2"/>
    <w:basedOn w:val="ECHRNumberedList1"/>
    <w:uiPriority w:val="23"/>
    <w:semiHidden/>
    <w:rsid w:val="00866ECC"/>
    <w:pPr>
      <w:numPr>
        <w:ilvl w:val="1"/>
      </w:numPr>
    </w:pPr>
  </w:style>
  <w:style w:type="paragraph" w:customStyle="1" w:styleId="ECHRNumberedList3">
    <w:name w:val="ECHR_Numbered_List_3"/>
    <w:aliases w:val="_Num_3"/>
    <w:basedOn w:val="ECHRNumberedList2"/>
    <w:uiPriority w:val="23"/>
    <w:semiHidden/>
    <w:rsid w:val="00866ECC"/>
    <w:pPr>
      <w:numPr>
        <w:ilvl w:val="2"/>
      </w:numPr>
    </w:pPr>
  </w:style>
  <w:style w:type="paragraph" w:customStyle="1" w:styleId="ECHRParaHanging">
    <w:name w:val="ECHR_Para_Hanging"/>
    <w:aliases w:val="_Hanging"/>
    <w:basedOn w:val="NormalJustified"/>
    <w:uiPriority w:val="8"/>
    <w:semiHidden/>
    <w:qFormat/>
    <w:rsid w:val="00866ECC"/>
    <w:pPr>
      <w:ind w:left="567" w:hanging="567"/>
    </w:pPr>
  </w:style>
  <w:style w:type="paragraph" w:customStyle="1" w:styleId="ECHRParaIndent">
    <w:name w:val="ECHR_Para_Indent"/>
    <w:aliases w:val="_Indent"/>
    <w:basedOn w:val="NormalJustified"/>
    <w:uiPriority w:val="7"/>
    <w:semiHidden/>
    <w:qFormat/>
    <w:rsid w:val="00866ECC"/>
    <w:pPr>
      <w:spacing w:before="120" w:after="120"/>
      <w:ind w:left="284"/>
    </w:pPr>
  </w:style>
  <w:style w:type="character" w:customStyle="1" w:styleId="ECHRRed">
    <w:name w:val="ECHR_Red"/>
    <w:aliases w:val="_Red"/>
    <w:basedOn w:val="Carpredefinitoparagrafo"/>
    <w:uiPriority w:val="15"/>
    <w:semiHidden/>
    <w:qFormat/>
    <w:rsid w:val="00866ECC"/>
    <w:rPr>
      <w:color w:val="C00000" w:themeColor="accent2"/>
    </w:rPr>
  </w:style>
  <w:style w:type="paragraph" w:customStyle="1" w:styleId="DecList">
    <w:name w:val="Dec_List"/>
    <w:aliases w:val="_List"/>
    <w:basedOn w:val="JuList"/>
    <w:uiPriority w:val="22"/>
    <w:rsid w:val="00866ECC"/>
    <w:pPr>
      <w:numPr>
        <w:numId w:val="0"/>
      </w:numPr>
      <w:ind w:left="284"/>
    </w:pPr>
  </w:style>
  <w:style w:type="table" w:customStyle="1" w:styleId="ECHRTable">
    <w:name w:val="ECHR_Table"/>
    <w:basedOn w:val="Tabellanormale"/>
    <w:rsid w:val="00866EC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866EC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66EC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866EC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66EC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66EC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866EC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66EC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66EC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66ECC"/>
    <w:pPr>
      <w:outlineLvl w:val="0"/>
    </w:pPr>
  </w:style>
  <w:style w:type="paragraph" w:customStyle="1" w:styleId="ECHRTitleTOC1">
    <w:name w:val="ECHR_Title_TOC_1"/>
    <w:aliases w:val="_Title_L_TOC"/>
    <w:basedOn w:val="ECHRTitle1"/>
    <w:next w:val="Normale"/>
    <w:uiPriority w:val="27"/>
    <w:semiHidden/>
    <w:qFormat/>
    <w:rsid w:val="00866ECC"/>
    <w:pPr>
      <w:outlineLvl w:val="0"/>
    </w:pPr>
  </w:style>
  <w:style w:type="table" w:customStyle="1" w:styleId="LtrTableAddress">
    <w:name w:val="Ltr_Table_Address"/>
    <w:aliases w:val="ECHR_Ltr_Table_Address"/>
    <w:basedOn w:val="Tabellanormale"/>
    <w:uiPriority w:val="99"/>
    <w:rsid w:val="00866ECC"/>
    <w:rPr>
      <w:sz w:val="24"/>
      <w:szCs w:val="24"/>
    </w:rPr>
    <w:tblPr>
      <w:tblInd w:w="5103" w:type="dxa"/>
    </w:tblPr>
  </w:style>
  <w:style w:type="table" w:customStyle="1" w:styleId="PCFTableStyle">
    <w:name w:val="PCF_Table_Style"/>
    <w:aliases w:val="ECHR_PCF_Table_Style"/>
    <w:basedOn w:val="Tabellanormale"/>
    <w:uiPriority w:val="99"/>
    <w:rsid w:val="00866EC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866EC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66EC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866ECC"/>
    <w:rPr>
      <w:color w:val="FFFFFF"/>
    </w:rPr>
  </w:style>
  <w:style w:type="paragraph" w:customStyle="1" w:styleId="ECHRSpacer">
    <w:name w:val="ECHR_Spacer"/>
    <w:aliases w:val="_Spacer"/>
    <w:basedOn w:val="Normale"/>
    <w:uiPriority w:val="45"/>
    <w:semiHidden/>
    <w:rsid w:val="00866ECC"/>
    <w:rPr>
      <w:sz w:val="4"/>
    </w:rPr>
  </w:style>
  <w:style w:type="table" w:customStyle="1" w:styleId="ECHRTableGrey">
    <w:name w:val="ECHR_Table_Grey"/>
    <w:basedOn w:val="Tabellanormale"/>
    <w:uiPriority w:val="99"/>
    <w:rsid w:val="00866EC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866EC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866ECC"/>
    <w:rPr>
      <w:color w:val="605E5C"/>
      <w:shd w:val="clear" w:color="auto" w:fill="E1DFDD"/>
    </w:rPr>
  </w:style>
  <w:style w:type="character" w:customStyle="1" w:styleId="JuParaChar">
    <w:name w:val="Ju_Para Char"/>
    <w:aliases w:val="_Para Char"/>
    <w:link w:val="JuPara"/>
    <w:uiPriority w:val="4"/>
    <w:rsid w:val="006017FD"/>
    <w:rPr>
      <w:sz w:val="24"/>
      <w:szCs w:val="24"/>
      <w:lang w:val="en-GB"/>
    </w:rPr>
  </w:style>
  <w:style w:type="table" w:styleId="Tabellagriglia1chiara">
    <w:name w:val="Grid Table 1 Light"/>
    <w:basedOn w:val="Tabellanormale"/>
    <w:uiPriority w:val="46"/>
    <w:semiHidden/>
    <w:rsid w:val="00866E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66EC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66EC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66EC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66EC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66EC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66EC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66EC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66EC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66EC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66EC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66EC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66EC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66EC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66E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66EC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66EC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66EC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66EC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66EC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66EC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66E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66EC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66EC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66EC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66EC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66EC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66EC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66E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66E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66E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66E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66E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66E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66EC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66E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66EC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66EC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66EC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66EC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66EC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66EC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66E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66EC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66EC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66EC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66EC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66EC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66EC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66ECC"/>
    <w:rPr>
      <w:color w:val="2B579A"/>
      <w:shd w:val="clear" w:color="auto" w:fill="E1DFDD"/>
    </w:rPr>
  </w:style>
  <w:style w:type="table" w:styleId="Tabellaelenco1chiara">
    <w:name w:val="List Table 1 Light"/>
    <w:basedOn w:val="Tabellanormale"/>
    <w:uiPriority w:val="46"/>
    <w:semiHidden/>
    <w:rsid w:val="00866EC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66EC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66EC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66EC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66EC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66EC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66EC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66EC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66EC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66EC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66EC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66EC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66EC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66EC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66EC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66EC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66EC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66EC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66EC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66EC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66EC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66E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66EC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66EC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66EC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66EC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66EC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66EC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66EC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66EC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66EC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66EC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66EC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66EC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66EC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66EC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66EC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66EC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66EC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66EC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66EC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66EC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66EC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66EC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66EC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66EC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66EC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66EC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66EC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66ECC"/>
    <w:rPr>
      <w:color w:val="2B579A"/>
      <w:shd w:val="clear" w:color="auto" w:fill="E1DFDD"/>
    </w:rPr>
  </w:style>
  <w:style w:type="table" w:styleId="Tabellasemplice-1">
    <w:name w:val="Plain Table 1"/>
    <w:basedOn w:val="Tabellanormale"/>
    <w:uiPriority w:val="41"/>
    <w:semiHidden/>
    <w:rsid w:val="00866EC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66E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66E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66E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66E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66ECC"/>
    <w:rPr>
      <w:u w:val="dotted"/>
    </w:rPr>
  </w:style>
  <w:style w:type="character" w:styleId="SmartLink">
    <w:name w:val="Smart Link"/>
    <w:basedOn w:val="Carpredefinitoparagrafo"/>
    <w:uiPriority w:val="99"/>
    <w:semiHidden/>
    <w:unhideWhenUsed/>
    <w:rsid w:val="00866ECC"/>
    <w:rPr>
      <w:color w:val="0000FF"/>
      <w:u w:val="single"/>
      <w:shd w:val="clear" w:color="auto" w:fill="F3F2F1"/>
    </w:rPr>
  </w:style>
  <w:style w:type="table" w:styleId="Grigliatabellachiara">
    <w:name w:val="Grid Table Light"/>
    <w:basedOn w:val="Tabellanormale"/>
    <w:uiPriority w:val="40"/>
    <w:semiHidden/>
    <w:rsid w:val="00866EC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2023-11-02T12:54:00Z</dcterms:created>
  <dcterms:modified xsi:type="dcterms:W3CDTF">2023-11-02T12:54:00Z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458240</vt:lpwstr>
  </property>
  <property fmtid="{D5CDD505-2E9C-101B-9397-08002B2CF9AE}" pid="3" name="cstLanguage">
    <vt:i4>2057</vt:i4>
  </property>
  <property fmtid="{D5CDD505-2E9C-101B-9397-08002B2CF9AE}" pid="4" name="RegisteredNo">
    <vt:lpwstr>30747/07</vt:lpwstr>
  </property>
  <property fmtid="{D5CDD505-2E9C-101B-9397-08002B2CF9AE}" pid="5" name="MSIP_Label_5097a60d-5525-435b-8989-8eb48ac0c8cd_Enabled">
    <vt:lpwstr>true</vt:lpwstr>
  </property>
  <property fmtid="{D5CDD505-2E9C-101B-9397-08002B2CF9AE}" pid="6" name="MSIP_Label_5097a60d-5525-435b-8989-8eb48ac0c8cd_SetDate">
    <vt:lpwstr>2023-11-02T12:54:12Z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d8903220-bcf4-46aa-9f67-ffdfdfb1d496</vt:lpwstr>
  </property>
  <property fmtid="{D5CDD505-2E9C-101B-9397-08002B2CF9AE}" pid="11" name="MSIP_Label_5097a60d-5525-435b-8989-8eb48ac0c8cd_ContentBits">
    <vt:lpwstr>0</vt:lpwstr>
  </property>
</Properties>
</file>