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38D8" w14:textId="77777777" w:rsidR="00115035" w:rsidRPr="00900B48" w:rsidRDefault="00115035" w:rsidP="00900B48">
      <w:pPr>
        <w:jc w:val="center"/>
      </w:pPr>
    </w:p>
    <w:p w14:paraId="67A06FA3" w14:textId="77777777" w:rsidR="00E93FC7" w:rsidRPr="00900B48" w:rsidRDefault="00000000" w:rsidP="00900B48">
      <w:pPr>
        <w:pStyle w:val="DecHTitle"/>
      </w:pPr>
      <w:r w:rsidRPr="00900B48">
        <w:t>FIRST SECTION</w:t>
      </w:r>
    </w:p>
    <w:p w14:paraId="10E7B0C3" w14:textId="77777777" w:rsidR="00E93FC7" w:rsidRPr="00900B48" w:rsidRDefault="00000000" w:rsidP="00900B48">
      <w:pPr>
        <w:pStyle w:val="DecHTitle"/>
      </w:pPr>
      <w:r w:rsidRPr="00900B48">
        <w:t>DECISION</w:t>
      </w:r>
    </w:p>
    <w:p w14:paraId="2374D593" w14:textId="77777777" w:rsidR="00EE3667" w:rsidRPr="00900B48" w:rsidRDefault="00000000" w:rsidP="00900B48">
      <w:pPr>
        <w:pStyle w:val="DecHCase"/>
        <w:rPr>
          <w:i/>
        </w:rPr>
      </w:pPr>
      <w:r w:rsidRPr="00900B48">
        <w:rPr>
          <w:noProof/>
        </w:rPr>
        <w:t>Application no.</w:t>
      </w:r>
      <w:r w:rsidR="006267D3" w:rsidRPr="00900B48">
        <w:t xml:space="preserve"> </w:t>
      </w:r>
      <w:r w:rsidRPr="00900B48">
        <w:t>22433/06</w:t>
      </w:r>
      <w:r w:rsidR="006267D3" w:rsidRPr="00900B48">
        <w:br/>
      </w:r>
      <w:r w:rsidRPr="00900B48">
        <w:rPr>
          <w:noProof/>
        </w:rPr>
        <w:t xml:space="preserve">Stefano GUISO GALLISAI and </w:t>
      </w:r>
      <w:r w:rsidR="00262831" w:rsidRPr="00900B48">
        <w:rPr>
          <w:noProof/>
        </w:rPr>
        <w:t>O</w:t>
      </w:r>
      <w:r w:rsidRPr="00900B48">
        <w:rPr>
          <w:noProof/>
        </w:rPr>
        <w:t>thers</w:t>
      </w:r>
      <w:r w:rsidRPr="00900B48">
        <w:rPr>
          <w:noProof/>
        </w:rPr>
        <w:br/>
      </w:r>
      <w:r w:rsidR="006267D3" w:rsidRPr="00900B48">
        <w:t xml:space="preserve">against </w:t>
      </w:r>
      <w:r w:rsidRPr="00900B48">
        <w:t>Italy</w:t>
      </w:r>
    </w:p>
    <w:p w14:paraId="54322CBC" w14:textId="77777777" w:rsidR="00E93FC7" w:rsidRPr="00900B48" w:rsidRDefault="00E93FC7" w:rsidP="00900B48">
      <w:pPr>
        <w:rPr>
          <w:sz w:val="2"/>
          <w:szCs w:val="2"/>
        </w:rPr>
      </w:pPr>
    </w:p>
    <w:p w14:paraId="23EB1B50" w14:textId="77777777" w:rsidR="00055792" w:rsidRPr="00900B48" w:rsidRDefault="00000000" w:rsidP="00900B48">
      <w:pPr>
        <w:pStyle w:val="JuPara"/>
      </w:pPr>
      <w:r w:rsidRPr="00900B48">
        <w:t xml:space="preserve">The European Court of Human Rights (First Section), sitting on </w:t>
      </w:r>
      <w:r w:rsidR="00843376" w:rsidRPr="00900B48">
        <w:t>4 July 2023</w:t>
      </w:r>
      <w:r w:rsidRPr="00900B48">
        <w:t xml:space="preserve"> as a Committee composed of:</w:t>
      </w:r>
    </w:p>
    <w:p w14:paraId="0D839EF0" w14:textId="77777777" w:rsidR="00055792" w:rsidRPr="00900B48" w:rsidRDefault="00000000" w:rsidP="00900B48">
      <w:pPr>
        <w:pStyle w:val="JuJudges"/>
        <w:rPr>
          <w:iCs/>
        </w:rPr>
      </w:pPr>
      <w:r w:rsidRPr="00900B48">
        <w:tab/>
        <w:t>Péter Paczolay</w:t>
      </w:r>
      <w:r w:rsidRPr="00900B48">
        <w:rPr>
          <w:i/>
        </w:rPr>
        <w:t>, President</w:t>
      </w:r>
      <w:r w:rsidRPr="00900B48">
        <w:t>,</w:t>
      </w:r>
      <w:r w:rsidRPr="00900B48">
        <w:br/>
      </w:r>
      <w:r w:rsidRPr="00900B48">
        <w:tab/>
        <w:t>Gilberto Felici,</w:t>
      </w:r>
      <w:r w:rsidRPr="00900B48">
        <w:br/>
      </w:r>
      <w:r w:rsidRPr="00900B48">
        <w:tab/>
        <w:t>Raffaele Sabato</w:t>
      </w:r>
      <w:r w:rsidRPr="00900B48">
        <w:rPr>
          <w:i/>
        </w:rPr>
        <w:t>, judges</w:t>
      </w:r>
      <w:r w:rsidRPr="00900B48">
        <w:t>,</w:t>
      </w:r>
      <w:r w:rsidRPr="00900B48">
        <w:br/>
        <w:t xml:space="preserve">and Liv Tigerstedt, </w:t>
      </w:r>
      <w:r w:rsidRPr="00900B48">
        <w:rPr>
          <w:i/>
        </w:rPr>
        <w:t>Deputy</w:t>
      </w:r>
      <w:r w:rsidRPr="00900B48">
        <w:t xml:space="preserve"> </w:t>
      </w:r>
      <w:r w:rsidRPr="00900B48">
        <w:rPr>
          <w:i/>
          <w:iCs/>
        </w:rPr>
        <w:t>Section Registrar</w:t>
      </w:r>
      <w:r w:rsidRPr="00900B48">
        <w:rPr>
          <w:i/>
        </w:rPr>
        <w:t>,</w:t>
      </w:r>
    </w:p>
    <w:p w14:paraId="0D750C9F" w14:textId="77777777" w:rsidR="00055792" w:rsidRPr="00900B48" w:rsidRDefault="00000000" w:rsidP="00900B48">
      <w:pPr>
        <w:pStyle w:val="JuPara"/>
      </w:pPr>
      <w:r w:rsidRPr="00900B48">
        <w:t>Having regard to:</w:t>
      </w:r>
    </w:p>
    <w:p w14:paraId="5E71E269" w14:textId="77777777" w:rsidR="00055792" w:rsidRPr="00900B48" w:rsidRDefault="00000000" w:rsidP="00900B48">
      <w:pPr>
        <w:pStyle w:val="JuPara"/>
      </w:pPr>
      <w:r w:rsidRPr="00900B48">
        <w:t>the application (no. 22433/06) against the Italian Republic lodged with the Court under Article 34 of the Convention for the Protection of Human Rights and Fundamental Freedoms (“the Convention”) on 31 May 2006 by the three Italian nationals listed in the appended table (“the applicants”) who were represented by Mr S. Guiso Gallisai, a lawyer practising in Milan;</w:t>
      </w:r>
    </w:p>
    <w:p w14:paraId="5207CE41" w14:textId="77777777" w:rsidR="00055792" w:rsidRPr="00900B48" w:rsidRDefault="00000000" w:rsidP="00900B48">
      <w:pPr>
        <w:pStyle w:val="JuPara"/>
      </w:pPr>
      <w:r w:rsidRPr="00900B48">
        <w:t>the decision to give notice of the application</w:t>
      </w:r>
      <w:r w:rsidRPr="00900B48">
        <w:rPr>
          <w:color w:val="0072BC" w:themeColor="background1"/>
        </w:rPr>
        <w:t xml:space="preserve"> </w:t>
      </w:r>
      <w:r w:rsidRPr="00900B48">
        <w:t>to the Italian Government (“the Government”), represented by their former co-Agent, Mr Crisafulli;</w:t>
      </w:r>
    </w:p>
    <w:p w14:paraId="108073F9" w14:textId="77777777" w:rsidR="00055792" w:rsidRPr="00900B48" w:rsidRDefault="00000000" w:rsidP="00900B48">
      <w:pPr>
        <w:pStyle w:val="JuPara"/>
      </w:pPr>
      <w:r w:rsidRPr="00900B48">
        <w:t>the parties</w:t>
      </w:r>
      <w:r w:rsidR="008B1A53" w:rsidRPr="00900B48">
        <w:t>’</w:t>
      </w:r>
      <w:r w:rsidRPr="00900B48">
        <w:t xml:space="preserve"> observations;</w:t>
      </w:r>
    </w:p>
    <w:p w14:paraId="2AEDE190" w14:textId="77777777" w:rsidR="00055792" w:rsidRPr="00900B48" w:rsidRDefault="00000000" w:rsidP="00900B48">
      <w:pPr>
        <w:pStyle w:val="JuPara"/>
      </w:pPr>
      <w:r w:rsidRPr="00900B48">
        <w:t>Having deliberated, decides as follows:</w:t>
      </w:r>
    </w:p>
    <w:p w14:paraId="02F31D72" w14:textId="77777777" w:rsidR="00055792" w:rsidRPr="00900B48" w:rsidRDefault="00000000" w:rsidP="00900B48">
      <w:pPr>
        <w:pStyle w:val="JuHHead"/>
        <w:numPr>
          <w:ilvl w:val="0"/>
          <w:numId w:val="0"/>
        </w:numPr>
      </w:pPr>
      <w:r w:rsidRPr="00900B48">
        <w:t>SUBJECT MATTER OF THE CASE</w:t>
      </w:r>
    </w:p>
    <w:p w14:paraId="43BD4082" w14:textId="77777777" w:rsidR="00055792" w:rsidRPr="00900B48" w:rsidRDefault="00000000" w:rsidP="00900B48">
      <w:pPr>
        <w:pStyle w:val="JuPara"/>
      </w:pPr>
      <w:r w:rsidRPr="00900B48">
        <w:fldChar w:fldCharType="begin"/>
      </w:r>
      <w:r w:rsidRPr="00900B48">
        <w:instrText xml:space="preserve"> SEQ level0 \*arabic </w:instrText>
      </w:r>
      <w:r w:rsidRPr="00900B48">
        <w:fldChar w:fldCharType="separate"/>
      </w:r>
      <w:r w:rsidR="00900B48" w:rsidRPr="00900B48">
        <w:rPr>
          <w:noProof/>
        </w:rPr>
        <w:t>1</w:t>
      </w:r>
      <w:r w:rsidRPr="00900B48">
        <w:fldChar w:fldCharType="end"/>
      </w:r>
      <w:r w:rsidRPr="00900B48">
        <w:t>.  The case concerns the applicants</w:t>
      </w:r>
      <w:r w:rsidR="008B1A53" w:rsidRPr="00900B48">
        <w:t>’</w:t>
      </w:r>
      <w:r w:rsidRPr="00900B48">
        <w:t xml:space="preserve"> complaint that they were deprived of their land through the application by the domestic courts of the constructive-expropriation rule (</w:t>
      </w:r>
      <w:r w:rsidRPr="00900B48">
        <w:rPr>
          <w:i/>
        </w:rPr>
        <w:t>accessione invertita</w:t>
      </w:r>
      <w:r w:rsidRPr="00900B48">
        <w:t xml:space="preserve"> or </w:t>
      </w:r>
      <w:r w:rsidRPr="00900B48">
        <w:rPr>
          <w:i/>
        </w:rPr>
        <w:t>occupazione acquisitiva</w:t>
      </w:r>
      <w:r w:rsidRPr="00900B48">
        <w:t>).</w:t>
      </w:r>
    </w:p>
    <w:bookmarkStart w:id="0" w:name="paragraph00002"/>
    <w:p w14:paraId="4E608781"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2</w:t>
      </w:r>
      <w:r w:rsidRPr="00900B48">
        <w:fldChar w:fldCharType="end"/>
      </w:r>
      <w:bookmarkEnd w:id="0"/>
      <w:r w:rsidRPr="00900B48">
        <w:t>.  The applicants were co-owners – with a share of 29/360 each – of a plot of land located in the municipality of Nuoro and recorded in the land register as folio no. 43, parcel no. 11.</w:t>
      </w:r>
    </w:p>
    <w:bookmarkStart w:id="1" w:name="paragraph00003"/>
    <w:p w14:paraId="683B4D42"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3</w:t>
      </w:r>
      <w:r w:rsidRPr="00900B48">
        <w:fldChar w:fldCharType="end"/>
      </w:r>
      <w:bookmarkEnd w:id="1"/>
      <w:r w:rsidRPr="00900B48">
        <w:t>.  According to the 1974 general land-use plan (</w:t>
      </w:r>
      <w:r w:rsidRPr="00900B48">
        <w:rPr>
          <w:i/>
          <w:iCs/>
        </w:rPr>
        <w:t>piano regolatore generale</w:t>
      </w:r>
      <w:r w:rsidRPr="00900B48">
        <w:t>), the applicants</w:t>
      </w:r>
      <w:r w:rsidR="008B1A53" w:rsidRPr="00900B48">
        <w:t>’</w:t>
      </w:r>
      <w:r w:rsidRPr="00900B48">
        <w:t xml:space="preserve"> land was designated as a public green area (</w:t>
      </w:r>
      <w:r w:rsidRPr="00900B48">
        <w:rPr>
          <w:i/>
          <w:iCs/>
        </w:rPr>
        <w:t>verde pubblico</w:t>
      </w:r>
      <w:r w:rsidRPr="00900B48">
        <w:t>). On 26 June 1977, the municipality amended the plan to authorise the construction of a church.</w:t>
      </w:r>
    </w:p>
    <w:p w14:paraId="460FBE4F" w14:textId="77777777" w:rsidR="00055792" w:rsidRPr="00900B48" w:rsidRDefault="00000000" w:rsidP="00900B48">
      <w:pPr>
        <w:pStyle w:val="JuPara"/>
      </w:pPr>
      <w:r w:rsidRPr="00900B48">
        <w:lastRenderedPageBreak/>
        <w:fldChar w:fldCharType="begin"/>
      </w:r>
      <w:r>
        <w:instrText xml:space="preserve"> SEQ level0 \*arabic \* MERGEFORMAT </w:instrText>
      </w:r>
      <w:r w:rsidRPr="00900B48">
        <w:fldChar w:fldCharType="separate"/>
      </w:r>
      <w:r w:rsidRPr="00900B48">
        <w:rPr>
          <w:noProof/>
        </w:rPr>
        <w:t>4</w:t>
      </w:r>
      <w:r w:rsidRPr="00900B48">
        <w:rPr>
          <w:noProof/>
        </w:rPr>
        <w:fldChar w:fldCharType="end"/>
      </w:r>
      <w:r w:rsidRPr="00900B48">
        <w:t>.  By an order of 29 December 1978, subsequently re-issued on 31 March 1980, the public administration approved a project for the construction of a church. On 15 May 1980, the Nuoro Municipality was authorised to occupy the applicant</w:t>
      </w:r>
      <w:r w:rsidR="008B1A53" w:rsidRPr="00900B48">
        <w:t>’</w:t>
      </w:r>
      <w:r w:rsidRPr="00900B48">
        <w:t>s land with a view to its subsequent expropriation and, on 26 June 1980, it took physical possession of a part of the land measuring 15,130 square metres. By 1989 at the latest, the land had been irreversibly altered by the construction works but the administration had not issued a formal expropriation order.</w:t>
      </w:r>
    </w:p>
    <w:p w14:paraId="6504B4AA"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5</w:t>
      </w:r>
      <w:r w:rsidRPr="00900B48">
        <w:rPr>
          <w:noProof/>
        </w:rPr>
        <w:fldChar w:fldCharType="end"/>
      </w:r>
      <w:r w:rsidRPr="00900B48">
        <w:t>.  The applicants brought an action for damages before the Nuoro District Court, arguing that the occupation of the land had been unlawful and seeking compensation.</w:t>
      </w:r>
    </w:p>
    <w:bookmarkStart w:id="2" w:name="paragraph00006"/>
    <w:p w14:paraId="0093C10B"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6</w:t>
      </w:r>
      <w:r w:rsidRPr="00900B48">
        <w:fldChar w:fldCharType="end"/>
      </w:r>
      <w:bookmarkEnd w:id="2"/>
      <w:r w:rsidRPr="00900B48">
        <w:t>.  By a judgment of 19 April 1994, the Nuoro District Court found that the occupation of the applicants</w:t>
      </w:r>
      <w:r w:rsidR="008B1A53" w:rsidRPr="00900B48">
        <w:t>’</w:t>
      </w:r>
      <w:r w:rsidRPr="00900B48">
        <w:t xml:space="preserve"> land had been unlawful, but that the land had been irreversibly altered following the completion of the public works in May 1989. As a consequence, pursuant to the constructive-expropriation rule, the applicants were no longer the owners of the land.</w:t>
      </w:r>
    </w:p>
    <w:bookmarkStart w:id="3" w:name="paragraph00007"/>
    <w:p w14:paraId="3F6169F6"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7</w:t>
      </w:r>
      <w:r w:rsidRPr="00900B48">
        <w:fldChar w:fldCharType="end"/>
      </w:r>
      <w:bookmarkEnd w:id="3"/>
      <w:r w:rsidRPr="00900B48">
        <w:t>.  The District Court further accepted that the applicants were entitled to damages for the loss of their property and ordered an independent expert valuation of the land. Based on that valuation, which considered the land as constructible, the Nuoro District Court awarded the applicants, jointly with the other co-owners, 1,051,064,000 Italian lire (ITL), corresponding to 542,829 euros (EUR), as expropriation compensation. It further awarded ITL 472,979,000 (EUR 244,273) as compensation for the unavailability of the land during the period of lawful occupation.</w:t>
      </w:r>
    </w:p>
    <w:p w14:paraId="172AC73B"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8</w:t>
      </w:r>
      <w:r w:rsidRPr="00900B48">
        <w:rPr>
          <w:noProof/>
        </w:rPr>
        <w:fldChar w:fldCharType="end"/>
      </w:r>
      <w:r w:rsidRPr="00900B48">
        <w:t>.  The Nuoro municipality lodged an appeal against this judgment, contesting the valuation of the land.</w:t>
      </w:r>
    </w:p>
    <w:p w14:paraId="5F29DE99"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9</w:t>
      </w:r>
      <w:r w:rsidRPr="00900B48">
        <w:rPr>
          <w:noProof/>
        </w:rPr>
        <w:fldChar w:fldCharType="end"/>
      </w:r>
      <w:r w:rsidRPr="00900B48">
        <w:t>.  The Sassari Court of Appeal ordered a new expert valuation in order to take into account the legal designation of the land. The expert proposed two alternative valuations: one based on the designation for the construction of a church and amounting to ITL 412,000,000 (EUR 212,780); the second assuming the absence of any building restraint and amounting to ITL 1,231,000,000 (EUR 635,758).</w:t>
      </w:r>
    </w:p>
    <w:bookmarkStart w:id="4" w:name="paragraph00010"/>
    <w:p w14:paraId="644D8E50"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10</w:t>
      </w:r>
      <w:r w:rsidRPr="00900B48">
        <w:fldChar w:fldCharType="end"/>
      </w:r>
      <w:bookmarkEnd w:id="4"/>
      <w:r w:rsidRPr="00900B48">
        <w:t>.  By a judgment of 12 October 2007, the Sassari Court of Appeal reiterated that the applicants were entitled to damages but, as to their amount, it did not rely on the expertise. The Court of Appeal considered that, since 1974, the land had been designated as public green area and such designation, which was unrelated to the subsequent expropriation, entailed a building restraint (</w:t>
      </w:r>
      <w:r w:rsidRPr="00900B48">
        <w:rPr>
          <w:i/>
          <w:iCs/>
        </w:rPr>
        <w:t>vincolo conformativo</w:t>
      </w:r>
      <w:r w:rsidRPr="00900B48">
        <w:t>). Moreover, the subsequent designation for the construction of a church entailed a restraint that was expropriation-aimed (</w:t>
      </w:r>
      <w:r w:rsidRPr="00900B48">
        <w:rPr>
          <w:i/>
          <w:iCs/>
        </w:rPr>
        <w:t>vincolo espropriativo</w:t>
      </w:r>
      <w:r w:rsidRPr="00900B48">
        <w:t>). As a consequence, the Court of Appeal based its valuation on the land</w:t>
      </w:r>
      <w:r w:rsidR="008B1A53" w:rsidRPr="00900B48">
        <w:t>’</w:t>
      </w:r>
      <w:r w:rsidRPr="00900B48">
        <w:t>s designation as of 1974, disregarding the subsequent expropriation-aimed restraint.</w:t>
      </w:r>
    </w:p>
    <w:p w14:paraId="0E598123" w14:textId="77777777" w:rsidR="00055792" w:rsidRPr="00900B48" w:rsidRDefault="00000000" w:rsidP="00900B48">
      <w:pPr>
        <w:pStyle w:val="JuPara"/>
        <w:keepNext/>
        <w:keepLines/>
      </w:pPr>
      <w:fldSimple w:instr=" SEQ level0 \*arabic \* MERGEFORMAT ">
        <w:bookmarkStart w:id="5" w:name="paragraph00011"/>
        <w:r w:rsidRPr="00900B48">
          <w:rPr>
            <w:noProof/>
          </w:rPr>
          <w:t>11</w:t>
        </w:r>
        <w:bookmarkEnd w:id="5"/>
      </w:fldSimple>
      <w:r w:rsidRPr="00900B48">
        <w:t>.  Therefore, the Court of Appeal considered the land as non-constructible and, in the absence of any evidence on the value of similar land, determined its value on an equitable basis at ITL 5,000 (EUR 2.58) per square metre. It therefore awarded the applicants, jointly with other co-owners, EUR 39,069.96 as expropriation compensation and EUR 13,208.86 as compensation for the unavailability of the land during the period of lawful occupation, plus inflation adjustment and statutory interest.</w:t>
      </w:r>
    </w:p>
    <w:bookmarkStart w:id="6" w:name="paragraph00012"/>
    <w:p w14:paraId="1ABBC8AD"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12</w:t>
      </w:r>
      <w:r w:rsidRPr="00900B48">
        <w:fldChar w:fldCharType="end"/>
      </w:r>
      <w:bookmarkEnd w:id="6"/>
      <w:r w:rsidRPr="00900B48">
        <w:t>.  This award was subsequently confirmed by the Court of Cassation on 30</w:t>
      </w:r>
      <w:r w:rsidR="00A41074" w:rsidRPr="00900B48">
        <w:t> </w:t>
      </w:r>
      <w:r w:rsidRPr="00900B48">
        <w:t>April 2014.</w:t>
      </w:r>
    </w:p>
    <w:p w14:paraId="310E47BA"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13</w:t>
      </w:r>
      <w:r w:rsidRPr="00900B48">
        <w:rPr>
          <w:noProof/>
        </w:rPr>
        <w:fldChar w:fldCharType="end"/>
      </w:r>
      <w:r w:rsidRPr="00900B48">
        <w:t>.  The applicants complained that they had been unlawfully deprived of their land on account of the application by the domestic courts of the constructive-expropriation rule and in the absence of sufficient compensation, in breach of their rights under Article 1 of Protocol No. 1 to the Convention.</w:t>
      </w:r>
    </w:p>
    <w:p w14:paraId="0BE26ADD"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14</w:t>
      </w:r>
      <w:r w:rsidRPr="00900B48">
        <w:rPr>
          <w:noProof/>
        </w:rPr>
        <w:fldChar w:fldCharType="end"/>
      </w:r>
      <w:r w:rsidRPr="00900B48">
        <w:t>.  They also complained, under Articles 6 and 14 of the Convention, of the retrospective application of section 5 </w:t>
      </w:r>
      <w:r w:rsidRPr="00900B48">
        <w:rPr>
          <w:i/>
          <w:iCs/>
        </w:rPr>
        <w:t>bis</w:t>
      </w:r>
      <w:r w:rsidR="00A41074" w:rsidRPr="00900B48">
        <w:t xml:space="preserve"> </w:t>
      </w:r>
      <w:r w:rsidRPr="00900B48">
        <w:t>of Legislative Decree no. 333 of 11 July 1992, as amended by Law no. 662 of 1996.</w:t>
      </w:r>
    </w:p>
    <w:p w14:paraId="082A4DEC" w14:textId="77777777" w:rsidR="00055792" w:rsidRPr="00900B48" w:rsidRDefault="00000000" w:rsidP="00900B48">
      <w:pPr>
        <w:pStyle w:val="JuHHead"/>
        <w:keepNext w:val="0"/>
        <w:keepLines w:val="0"/>
        <w:numPr>
          <w:ilvl w:val="0"/>
          <w:numId w:val="1"/>
        </w:numPr>
        <w:ind w:left="360" w:hanging="360"/>
      </w:pPr>
      <w:r w:rsidRPr="00900B48">
        <w:t>THE COURT</w:t>
      </w:r>
      <w:r w:rsidR="008B1A53" w:rsidRPr="00900B48">
        <w:t>’</w:t>
      </w:r>
      <w:r w:rsidRPr="00900B48">
        <w:t>S ASSESSMENT</w:t>
      </w:r>
    </w:p>
    <w:p w14:paraId="59FBFB99" w14:textId="77777777" w:rsidR="00055792" w:rsidRPr="00900B48" w:rsidRDefault="00000000" w:rsidP="00900B48">
      <w:pPr>
        <w:pStyle w:val="JuPara"/>
        <w:rPr>
          <w:rFonts w:cstheme="minorHAnsi"/>
          <w:color w:val="000000"/>
        </w:rPr>
      </w:pPr>
      <w:r w:rsidRPr="00900B48">
        <w:rPr>
          <w:rFonts w:cstheme="minorHAnsi"/>
          <w:color w:val="000000"/>
        </w:rPr>
        <w:fldChar w:fldCharType="begin"/>
      </w:r>
      <w:r w:rsidRPr="00900B48">
        <w:rPr>
          <w:rFonts w:cstheme="minorHAnsi"/>
          <w:color w:val="000000"/>
        </w:rPr>
        <w:instrText xml:space="preserve"> SEQ level0 \*arabic \* MERGEFORMAT </w:instrText>
      </w:r>
      <w:r w:rsidRPr="00900B48">
        <w:rPr>
          <w:rFonts w:cstheme="minorHAnsi"/>
          <w:color w:val="000000"/>
        </w:rPr>
        <w:fldChar w:fldCharType="separate"/>
      </w:r>
      <w:r w:rsidR="00900B48" w:rsidRPr="00900B48">
        <w:rPr>
          <w:rFonts w:cstheme="minorHAnsi"/>
          <w:noProof/>
          <w:color w:val="000000"/>
        </w:rPr>
        <w:t>15</w:t>
      </w:r>
      <w:r w:rsidRPr="00900B48">
        <w:rPr>
          <w:rFonts w:cstheme="minorHAnsi"/>
          <w:color w:val="000000"/>
        </w:rPr>
        <w:fldChar w:fldCharType="end"/>
      </w:r>
      <w:r w:rsidRPr="00900B48">
        <w:rPr>
          <w:rFonts w:cstheme="minorHAnsi"/>
          <w:color w:val="000000"/>
        </w:rPr>
        <w:t xml:space="preserve">.  The relevant domestic law and practice concerning constructive expropriation is to be found in </w:t>
      </w:r>
      <w:r w:rsidRPr="00900B48">
        <w:rPr>
          <w:rFonts w:cstheme="minorHAnsi"/>
          <w:i/>
          <w:iCs/>
          <w:color w:val="000000"/>
        </w:rPr>
        <w:t xml:space="preserve">Guiso-Gallisay </w:t>
      </w:r>
      <w:r w:rsidRPr="00900B48">
        <w:rPr>
          <w:i/>
          <w:iCs/>
        </w:rPr>
        <w:t>v. Italy</w:t>
      </w:r>
      <w:r w:rsidRPr="00900B48">
        <w:t> </w:t>
      </w:r>
      <w:r w:rsidRPr="00900B48">
        <w:rPr>
          <w:rFonts w:cstheme="minorHAnsi"/>
          <w:color w:val="000000"/>
        </w:rPr>
        <w:t>((just satisfaction) [GC], no. 58858/00, §§ 18-48, 22 December 2009).</w:t>
      </w:r>
    </w:p>
    <w:p w14:paraId="32F00482" w14:textId="77777777" w:rsidR="00055792" w:rsidRPr="00900B48" w:rsidRDefault="00000000" w:rsidP="00900B48">
      <w:pPr>
        <w:pStyle w:val="JuPara"/>
      </w:pPr>
      <w:r w:rsidRPr="00900B48">
        <w:rPr>
          <w:rFonts w:cstheme="minorHAnsi"/>
          <w:color w:val="000000"/>
        </w:rPr>
        <w:fldChar w:fldCharType="begin"/>
      </w:r>
      <w:r w:rsidRPr="00900B48">
        <w:rPr>
          <w:rFonts w:cstheme="minorHAnsi"/>
          <w:color w:val="000000"/>
        </w:rPr>
        <w:instrText xml:space="preserve"> SEQ level0 \*arabic \* MERGEFORMAT </w:instrText>
      </w:r>
      <w:r w:rsidRPr="00900B48">
        <w:rPr>
          <w:rFonts w:cstheme="minorHAnsi"/>
          <w:color w:val="000000"/>
        </w:rPr>
        <w:fldChar w:fldCharType="separate"/>
      </w:r>
      <w:r w:rsidR="00900B48" w:rsidRPr="00900B48">
        <w:rPr>
          <w:rFonts w:cstheme="minorHAnsi"/>
          <w:noProof/>
          <w:color w:val="000000"/>
        </w:rPr>
        <w:t>16</w:t>
      </w:r>
      <w:r w:rsidRPr="00900B48">
        <w:rPr>
          <w:rFonts w:cstheme="minorHAnsi"/>
          <w:color w:val="000000"/>
        </w:rPr>
        <w:fldChar w:fldCharType="end"/>
      </w:r>
      <w:r w:rsidRPr="00900B48">
        <w:rPr>
          <w:rFonts w:cstheme="minorHAnsi"/>
          <w:color w:val="000000"/>
        </w:rPr>
        <w:t>.  The Government objected to the admissibility of the application on the ground of non-</w:t>
      </w:r>
      <w:r w:rsidR="00533D12" w:rsidRPr="00900B48">
        <w:rPr>
          <w:rFonts w:cstheme="minorHAnsi"/>
          <w:color w:val="000000"/>
        </w:rPr>
        <w:t>exhaustion</w:t>
      </w:r>
      <w:r w:rsidRPr="00900B48">
        <w:rPr>
          <w:rFonts w:cstheme="minorHAnsi"/>
          <w:color w:val="000000"/>
        </w:rPr>
        <w:t xml:space="preserve"> of domestic remedies as well as on the ground that the applicants were no longer victims of the violation complained of since they had obtained reparation at the national level.</w:t>
      </w:r>
    </w:p>
    <w:p w14:paraId="3CE9C698" w14:textId="77777777" w:rsidR="00055792" w:rsidRPr="00900B48" w:rsidRDefault="00000000" w:rsidP="00900B48">
      <w:pPr>
        <w:pStyle w:val="JuPara"/>
        <w:rPr>
          <w:rFonts w:cstheme="minorHAnsi"/>
        </w:rPr>
      </w:pPr>
      <w:r w:rsidRPr="00900B48">
        <w:fldChar w:fldCharType="begin"/>
      </w:r>
      <w:r>
        <w:instrText xml:space="preserve"> SEQ level0 \*arabic \* MERGEFORMAT </w:instrText>
      </w:r>
      <w:r w:rsidRPr="00900B48">
        <w:fldChar w:fldCharType="separate"/>
      </w:r>
      <w:r w:rsidRPr="00900B48">
        <w:rPr>
          <w:noProof/>
        </w:rPr>
        <w:t>17</w:t>
      </w:r>
      <w:r w:rsidRPr="00900B48">
        <w:rPr>
          <w:noProof/>
        </w:rPr>
        <w:fldChar w:fldCharType="end"/>
      </w:r>
      <w:r w:rsidRPr="00900B48">
        <w:t>.  </w:t>
      </w:r>
      <w:r w:rsidRPr="00900B48">
        <w:rPr>
          <w:rFonts w:cstheme="minorHAnsi"/>
        </w:rPr>
        <w:t>The Court finds that it does not have to decide on the Government</w:t>
      </w:r>
      <w:r w:rsidR="008B1A53" w:rsidRPr="00900B48">
        <w:rPr>
          <w:rFonts w:cstheme="minorHAnsi"/>
        </w:rPr>
        <w:t>’</w:t>
      </w:r>
      <w:r w:rsidRPr="00900B48">
        <w:rPr>
          <w:rFonts w:cstheme="minorHAnsi"/>
        </w:rPr>
        <w:t>s objection concerning non-exhaustion of domestic remedies, since the application is inadmissible in any event on the following grounds.</w:t>
      </w:r>
    </w:p>
    <w:p w14:paraId="6F74871D" w14:textId="77777777" w:rsidR="00055792" w:rsidRPr="00900B48" w:rsidRDefault="00000000" w:rsidP="00900B48">
      <w:pPr>
        <w:pStyle w:val="JuPara"/>
      </w:pPr>
      <w:fldSimple w:instr=" SEQ level0 \*arabic \* MERGEFORMAT ">
        <w:bookmarkStart w:id="7" w:name="paragraph00019"/>
        <w:r w:rsidRPr="00900B48">
          <w:rPr>
            <w:noProof/>
          </w:rPr>
          <w:t>18</w:t>
        </w:r>
        <w:bookmarkEnd w:id="7"/>
      </w:fldSimple>
      <w:r w:rsidRPr="00900B48">
        <w:t>.  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Pr="00900B48">
        <w:rPr>
          <w:i/>
          <w:iCs/>
        </w:rPr>
        <w:t>Carbonara and Ventura v. Italy</w:t>
      </w:r>
      <w:r w:rsidRPr="00900B48">
        <w:t>, no. 24638/94, §§ 63-73, ECHR 2000</w:t>
      </w:r>
      <w:r w:rsidRPr="00900B48">
        <w:noBreakHyphen/>
        <w:t>VI, and, as a more recent authority, </w:t>
      </w:r>
      <w:r w:rsidRPr="00900B48">
        <w:rPr>
          <w:i/>
          <w:iCs/>
        </w:rPr>
        <w:t>Messana v. Italy</w:t>
      </w:r>
      <w:r w:rsidRPr="00900B48">
        <w:t>, no. 26128/04, §§ 38-43, 9 February 2017).</w:t>
      </w:r>
    </w:p>
    <w:p w14:paraId="647051D4" w14:textId="77777777" w:rsidR="00055792" w:rsidRPr="00900B48" w:rsidRDefault="00000000" w:rsidP="00900B48">
      <w:pPr>
        <w:pStyle w:val="JuPara"/>
        <w:rPr>
          <w:rFonts w:cstheme="minorHAnsi"/>
        </w:rPr>
      </w:pPr>
      <w:r w:rsidRPr="00900B48">
        <w:rPr>
          <w:rFonts w:cstheme="minorHAnsi"/>
        </w:rPr>
        <w:fldChar w:fldCharType="begin"/>
      </w:r>
      <w:r w:rsidRPr="00900B48">
        <w:rPr>
          <w:rFonts w:cstheme="minorHAnsi"/>
        </w:rPr>
        <w:instrText xml:space="preserve"> SEQ level0 \*arabic \* MERGEFORMAT </w:instrText>
      </w:r>
      <w:r w:rsidRPr="00900B48">
        <w:rPr>
          <w:rFonts w:cstheme="minorHAnsi"/>
        </w:rPr>
        <w:fldChar w:fldCharType="separate"/>
      </w:r>
      <w:r w:rsidR="00900B48" w:rsidRPr="00900B48">
        <w:rPr>
          <w:rFonts w:cstheme="minorHAnsi"/>
          <w:noProof/>
        </w:rPr>
        <w:t>19</w:t>
      </w:r>
      <w:r w:rsidRPr="00900B48">
        <w:rPr>
          <w:rFonts w:cstheme="minorHAnsi"/>
        </w:rPr>
        <w:fldChar w:fldCharType="end"/>
      </w:r>
      <w:r w:rsidRPr="00900B48">
        <w:rPr>
          <w:rFonts w:cstheme="minorHAnsi"/>
        </w:rPr>
        <w:t>.  The Court further observes that the national courts acknowledged that the deprivation of property had been unlawful and held that the applicants were entitled to compensation.</w:t>
      </w:r>
    </w:p>
    <w:p w14:paraId="44001A3E" w14:textId="77777777" w:rsidR="00055792" w:rsidRPr="00900B48" w:rsidRDefault="00000000" w:rsidP="00900B48">
      <w:pPr>
        <w:pStyle w:val="JuPara"/>
        <w:rPr>
          <w:rFonts w:cstheme="minorHAnsi"/>
        </w:rPr>
      </w:pPr>
      <w:r w:rsidRPr="00900B48">
        <w:rPr>
          <w:rFonts w:cstheme="minorHAnsi"/>
        </w:rPr>
        <w:fldChar w:fldCharType="begin"/>
      </w:r>
      <w:r w:rsidRPr="00900B48">
        <w:rPr>
          <w:rFonts w:cstheme="minorHAnsi"/>
        </w:rPr>
        <w:instrText xml:space="preserve"> SEQ level0 \*arabic \* MERGEFORMAT </w:instrText>
      </w:r>
      <w:r w:rsidRPr="00900B48">
        <w:rPr>
          <w:rFonts w:cstheme="minorHAnsi"/>
        </w:rPr>
        <w:fldChar w:fldCharType="separate"/>
      </w:r>
      <w:r w:rsidR="00900B48" w:rsidRPr="00900B48">
        <w:rPr>
          <w:rFonts w:cstheme="minorHAnsi"/>
          <w:noProof/>
        </w:rPr>
        <w:t>20</w:t>
      </w:r>
      <w:r w:rsidRPr="00900B48">
        <w:rPr>
          <w:rFonts w:cstheme="minorHAnsi"/>
        </w:rPr>
        <w:fldChar w:fldCharType="end"/>
      </w:r>
      <w:r w:rsidRPr="00900B48">
        <w:rPr>
          <w:rFonts w:cstheme="minorHAnsi"/>
        </w:rPr>
        <w:t>.  F</w:t>
      </w:r>
      <w:r w:rsidRPr="00900B48">
        <w:t xml:space="preserve">ollowing that determination, the Sassari Court of Appeal awarded compensation for the </w:t>
      </w:r>
      <w:r w:rsidRPr="00900B48">
        <w:rPr>
          <w:rFonts w:cstheme="minorHAnsi"/>
        </w:rPr>
        <w:t xml:space="preserve">expropriation of the land, as well as compensation for the period of lawful occupation (see paragraph </w:t>
      </w:r>
      <w:r w:rsidRPr="00900B48">
        <w:rPr>
          <w:rFonts w:cstheme="minorHAnsi"/>
        </w:rPr>
        <w:fldChar w:fldCharType="begin"/>
      </w:r>
      <w:r w:rsidRPr="00900B48">
        <w:rPr>
          <w:rFonts w:cstheme="minorHAnsi"/>
        </w:rPr>
        <w:instrText xml:space="preserve"> REF paragraph00011 \h  \* CharFormat  \* MERGEFORMAT </w:instrText>
      </w:r>
      <w:r w:rsidRPr="00900B48">
        <w:rPr>
          <w:rFonts w:cstheme="minorHAnsi"/>
        </w:rPr>
      </w:r>
      <w:r w:rsidRPr="00900B48">
        <w:rPr>
          <w:rFonts w:cstheme="minorHAnsi"/>
        </w:rPr>
        <w:fldChar w:fldCharType="separate"/>
      </w:r>
      <w:r w:rsidR="00900B48" w:rsidRPr="00900B48">
        <w:rPr>
          <w:rFonts w:cstheme="minorHAnsi"/>
        </w:rPr>
        <w:t>11</w:t>
      </w:r>
      <w:r w:rsidRPr="00900B48">
        <w:rPr>
          <w:rFonts w:cstheme="minorHAnsi"/>
        </w:rPr>
        <w:fldChar w:fldCharType="end"/>
      </w:r>
      <w:r w:rsidRPr="00900B48">
        <w:rPr>
          <w:rFonts w:cstheme="minorHAnsi"/>
        </w:rPr>
        <w:t xml:space="preserve"> above).</w:t>
      </w:r>
    </w:p>
    <w:p w14:paraId="52FB8966" w14:textId="77777777" w:rsidR="00055792" w:rsidRPr="00900B48" w:rsidRDefault="00000000" w:rsidP="00900B48">
      <w:pPr>
        <w:pStyle w:val="JuPara"/>
      </w:pPr>
      <w:r w:rsidRPr="00900B48">
        <w:rPr>
          <w:rFonts w:cstheme="minorHAnsi"/>
        </w:rPr>
        <w:lastRenderedPageBreak/>
        <w:fldChar w:fldCharType="begin"/>
      </w:r>
      <w:r w:rsidRPr="00900B48">
        <w:rPr>
          <w:rFonts w:cstheme="minorHAnsi"/>
        </w:rPr>
        <w:instrText xml:space="preserve"> SEQ level0 \*arabic \* MERGEFORMAT </w:instrText>
      </w:r>
      <w:r w:rsidRPr="00900B48">
        <w:rPr>
          <w:rFonts w:cstheme="minorHAnsi"/>
        </w:rPr>
        <w:fldChar w:fldCharType="separate"/>
      </w:r>
      <w:r w:rsidR="00900B48" w:rsidRPr="00900B48">
        <w:rPr>
          <w:rFonts w:cstheme="minorHAnsi"/>
          <w:noProof/>
        </w:rPr>
        <w:t>21</w:t>
      </w:r>
      <w:r w:rsidRPr="00900B48">
        <w:rPr>
          <w:rFonts w:cstheme="minorHAnsi"/>
        </w:rPr>
        <w:fldChar w:fldCharType="end"/>
      </w:r>
      <w:r w:rsidRPr="00900B48">
        <w:rPr>
          <w:rFonts w:cstheme="minorHAnsi"/>
        </w:rPr>
        <w:t xml:space="preserve">.  The applicants argued that the sum awarded by the national courts did not constitute a sufficient redress, </w:t>
      </w:r>
      <w:r w:rsidRPr="00900B48">
        <w:t>as compensation should have been based on the land</w:t>
      </w:r>
      <w:r w:rsidR="008B1A53" w:rsidRPr="00900B48">
        <w:t>’</w:t>
      </w:r>
      <w:r w:rsidRPr="00900B48">
        <w:t>s constructible character in light of its designation and use for the construction of a church.</w:t>
      </w:r>
    </w:p>
    <w:p w14:paraId="16D2F5D5" w14:textId="77777777" w:rsidR="00055792" w:rsidRPr="00900B48" w:rsidRDefault="00000000" w:rsidP="00900B48">
      <w:pPr>
        <w:pStyle w:val="JuPara"/>
      </w:pPr>
      <w:fldSimple w:instr=" SEQ level0 \*arabic \* MERGEFORMAT ">
        <w:bookmarkStart w:id="8" w:name="paragraph00018"/>
        <w:r w:rsidRPr="00900B48">
          <w:rPr>
            <w:noProof/>
          </w:rPr>
          <w:t>22</w:t>
        </w:r>
        <w:bookmarkEnd w:id="8"/>
      </w:fldSimple>
      <w:r w:rsidRPr="00900B48">
        <w:t xml:space="preserve">.  The relevant criteria for the calculation of pecuniary damage in constructive expropriation cases have been set forth in </w:t>
      </w:r>
      <w:r w:rsidRPr="00900B48">
        <w:rPr>
          <w:i/>
          <w:iCs/>
        </w:rPr>
        <w:t xml:space="preserve">Guiso-Gallisay </w:t>
      </w:r>
      <w:r w:rsidRPr="00900B48">
        <w:t>(cited above, §§ 105-06). In that case, the Court relied on the market value of the property at the time of the expropriation as stated in the court-ordered expert reports drawn up during the domestic proceedings.</w:t>
      </w:r>
    </w:p>
    <w:p w14:paraId="362DB5CF" w14:textId="77777777" w:rsidR="00055792" w:rsidRPr="00900B48" w:rsidRDefault="00000000" w:rsidP="00900B48">
      <w:pPr>
        <w:pStyle w:val="JuPara"/>
      </w:pPr>
      <w:r w:rsidRPr="00900B48">
        <w:rPr>
          <w:rFonts w:cstheme="minorHAnsi"/>
          <w:color w:val="000000"/>
        </w:rPr>
        <w:fldChar w:fldCharType="begin"/>
      </w:r>
      <w:r w:rsidRPr="00900B48">
        <w:rPr>
          <w:rFonts w:cstheme="minorHAnsi"/>
          <w:color w:val="000000"/>
        </w:rPr>
        <w:instrText xml:space="preserve"> SEQ level0 \*arabic \* MERGEFORMAT </w:instrText>
      </w:r>
      <w:r w:rsidRPr="00900B48">
        <w:rPr>
          <w:rFonts w:cstheme="minorHAnsi"/>
          <w:color w:val="000000"/>
        </w:rPr>
        <w:fldChar w:fldCharType="separate"/>
      </w:r>
      <w:r w:rsidR="00900B48" w:rsidRPr="00900B48">
        <w:rPr>
          <w:rFonts w:cstheme="minorHAnsi"/>
          <w:noProof/>
          <w:color w:val="000000"/>
        </w:rPr>
        <w:t>23</w:t>
      </w:r>
      <w:r w:rsidRPr="00900B48">
        <w:rPr>
          <w:rFonts w:cstheme="minorHAnsi"/>
          <w:color w:val="000000"/>
        </w:rPr>
        <w:fldChar w:fldCharType="end"/>
      </w:r>
      <w:r w:rsidRPr="00900B48">
        <w:rPr>
          <w:rFonts w:cstheme="minorHAnsi"/>
          <w:color w:val="000000"/>
        </w:rPr>
        <w:t xml:space="preserve">.  In the present case, the Sassari Court of Appeal did not rely on the </w:t>
      </w:r>
      <w:r w:rsidRPr="00900B48">
        <w:t>court-ordered expert report in order to assess the market value</w:t>
      </w:r>
      <w:r w:rsidRPr="00900B48">
        <w:rPr>
          <w:rFonts w:cstheme="minorHAnsi"/>
          <w:color w:val="000000"/>
        </w:rPr>
        <w:t xml:space="preserve">, </w:t>
      </w:r>
      <w:r w:rsidRPr="00900B48">
        <w:t xml:space="preserve">providing specific reasoning why it chose not to do so (see, in contrast, </w:t>
      </w:r>
      <w:r w:rsidRPr="00900B48">
        <w:rPr>
          <w:i/>
          <w:iCs/>
        </w:rPr>
        <w:t>Kutlu and Others v. Turkey</w:t>
      </w:r>
      <w:r w:rsidRPr="00900B48">
        <w:t>, no. 51861/11, §§ 72-74, 13 December 2016). Indeed, the Sassari Court of Appeal disagreed with the expert</w:t>
      </w:r>
      <w:r w:rsidR="008B1A53" w:rsidRPr="00900B48">
        <w:t>’</w:t>
      </w:r>
      <w:r w:rsidRPr="00900B48">
        <w:t>s premise that the land had to be valuated as constructible.</w:t>
      </w:r>
    </w:p>
    <w:bookmarkStart w:id="9" w:name="paragraph00022"/>
    <w:p w14:paraId="12A4A057" w14:textId="77777777" w:rsidR="00055792" w:rsidRPr="00900B48" w:rsidRDefault="00000000" w:rsidP="00900B48">
      <w:pPr>
        <w:pStyle w:val="JuPara"/>
        <w:rPr>
          <w:iCs/>
        </w:rPr>
      </w:pPr>
      <w:r w:rsidRPr="00900B48">
        <w:rPr>
          <w:rFonts w:cstheme="minorHAnsi"/>
          <w:color w:val="000000"/>
        </w:rPr>
        <w:fldChar w:fldCharType="begin"/>
      </w:r>
      <w:r w:rsidRPr="00900B48">
        <w:rPr>
          <w:rFonts w:cstheme="minorHAnsi"/>
          <w:color w:val="000000"/>
        </w:rPr>
        <w:instrText xml:space="preserve"> SEQ level0 \*arabic \* MERGEFORMAT </w:instrText>
      </w:r>
      <w:r w:rsidRPr="00900B48">
        <w:rPr>
          <w:rFonts w:cstheme="minorHAnsi"/>
          <w:color w:val="000000"/>
        </w:rPr>
        <w:fldChar w:fldCharType="separate"/>
      </w:r>
      <w:r w:rsidR="00900B48" w:rsidRPr="00900B48">
        <w:rPr>
          <w:rFonts w:cstheme="minorHAnsi"/>
          <w:noProof/>
          <w:color w:val="000000"/>
        </w:rPr>
        <w:t>24</w:t>
      </w:r>
      <w:r w:rsidRPr="00900B48">
        <w:rPr>
          <w:rFonts w:cstheme="minorHAnsi"/>
          <w:color w:val="000000"/>
        </w:rPr>
        <w:fldChar w:fldCharType="end"/>
      </w:r>
      <w:bookmarkEnd w:id="9"/>
      <w:r w:rsidRPr="00900B48">
        <w:rPr>
          <w:rFonts w:cstheme="minorHAnsi"/>
          <w:color w:val="000000"/>
        </w:rPr>
        <w:t xml:space="preserve">.  In this respect, </w:t>
      </w:r>
      <w:r w:rsidRPr="00900B48">
        <w:t>the Court recalls that compensation must be calculated based on the property</w:t>
      </w:r>
      <w:r w:rsidR="008B1A53" w:rsidRPr="00900B48">
        <w:t>’</w:t>
      </w:r>
      <w:r w:rsidRPr="00900B48">
        <w:t>s value on the date on which ownership thereof was lost, which is intrinsically linked to the designation of the land at that time, and not on the basis of its later designation, attributed to it by State action. Indeed, awarding compensation depending on the nature of the project undertaken by the authorities, something which is not necessarily related to the land</w:t>
      </w:r>
      <w:r w:rsidR="008B1A53" w:rsidRPr="00900B48">
        <w:t>’</w:t>
      </w:r>
      <w:r w:rsidRPr="00900B48">
        <w:t>s potential, could lead to disparities in treatment of persons (see </w:t>
      </w:r>
      <w:r w:rsidRPr="00900B48">
        <w:rPr>
          <w:i/>
        </w:rPr>
        <w:t>Maria Azzopardi v. Malta</w:t>
      </w:r>
      <w:r w:rsidRPr="00900B48">
        <w:t xml:space="preserve">, no. 22008/20, §§ 62-63, 9 June 2022, and </w:t>
      </w:r>
      <w:r w:rsidRPr="00900B48">
        <w:rPr>
          <w:i/>
        </w:rPr>
        <w:t>Guiso-Gallisay</w:t>
      </w:r>
      <w:r w:rsidRPr="00900B48">
        <w:rPr>
          <w:iCs/>
        </w:rPr>
        <w:t>,</w:t>
      </w:r>
      <w:r w:rsidRPr="00900B48">
        <w:rPr>
          <w:i/>
        </w:rPr>
        <w:t xml:space="preserve"> </w:t>
      </w:r>
      <w:r w:rsidRPr="00900B48">
        <w:rPr>
          <w:iCs/>
        </w:rPr>
        <w:t>cited above, § 103).</w:t>
      </w:r>
    </w:p>
    <w:p w14:paraId="50A7F0C9" w14:textId="77777777" w:rsidR="00055792" w:rsidRPr="00900B48" w:rsidRDefault="00000000" w:rsidP="00900B48">
      <w:pPr>
        <w:pStyle w:val="JuPara"/>
      </w:pPr>
      <w:r w:rsidRPr="00900B48">
        <w:rPr>
          <w:iCs/>
        </w:rPr>
        <w:fldChar w:fldCharType="begin"/>
      </w:r>
      <w:r w:rsidRPr="00900B48">
        <w:rPr>
          <w:iCs/>
        </w:rPr>
        <w:instrText xml:space="preserve"> SEQ level0 \*arabic \* MERGEFORMAT </w:instrText>
      </w:r>
      <w:r w:rsidRPr="00900B48">
        <w:rPr>
          <w:iCs/>
        </w:rPr>
        <w:fldChar w:fldCharType="separate"/>
      </w:r>
      <w:r w:rsidR="00900B48" w:rsidRPr="00900B48">
        <w:rPr>
          <w:iCs/>
          <w:noProof/>
        </w:rPr>
        <w:t>25</w:t>
      </w:r>
      <w:r w:rsidRPr="00900B48">
        <w:rPr>
          <w:iCs/>
        </w:rPr>
        <w:fldChar w:fldCharType="end"/>
      </w:r>
      <w:r w:rsidRPr="00900B48">
        <w:rPr>
          <w:iCs/>
        </w:rPr>
        <w:t xml:space="preserve">.  In the present case, before the expropriation procedure was initiated, the land was designated </w:t>
      </w:r>
      <w:r w:rsidRPr="00900B48">
        <w:t>as a public green area, which entailed a building restraint (</w:t>
      </w:r>
      <w:r w:rsidRPr="00900B48">
        <w:rPr>
          <w:i/>
          <w:iCs/>
        </w:rPr>
        <w:t>vincolo conformativo</w:t>
      </w:r>
      <w:r w:rsidRPr="00900B48">
        <w:t>). As to the subsequent designation for the construction of a church, it was considered by the Sassari Court of Appeal as an expropriation-aimed restraint (</w:t>
      </w:r>
      <w:r w:rsidRPr="00900B48">
        <w:rPr>
          <w:i/>
          <w:iCs/>
        </w:rPr>
        <w:t>vincolo espropriativo</w:t>
      </w:r>
      <w:r w:rsidRPr="00900B48">
        <w:t xml:space="preserve">) and thus disregarded for the purposes of the valuation of the land (see paragraph </w:t>
      </w:r>
      <w:r w:rsidRPr="00900B48">
        <w:fldChar w:fldCharType="begin"/>
      </w:r>
      <w:r w:rsidRPr="00900B48">
        <w:instrText xml:space="preserve"> REF paragraph00010 \h  \* CharFormat </w:instrText>
      </w:r>
      <w:r w:rsidRPr="00900B48">
        <w:fldChar w:fldCharType="separate"/>
      </w:r>
      <w:r w:rsidR="00900B48" w:rsidRPr="00900B48">
        <w:t>10</w:t>
      </w:r>
      <w:r w:rsidRPr="00900B48">
        <w:fldChar w:fldCharType="end"/>
      </w:r>
      <w:r w:rsidRPr="00900B48">
        <w:t xml:space="preserve"> above).</w:t>
      </w:r>
    </w:p>
    <w:p w14:paraId="55CD3E49"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26</w:t>
      </w:r>
      <w:r w:rsidRPr="00900B48">
        <w:rPr>
          <w:noProof/>
        </w:rPr>
        <w:fldChar w:fldCharType="end"/>
      </w:r>
      <w:r w:rsidRPr="00900B48">
        <w:t xml:space="preserve">.  The Court considers that it is not its task to determine the qualification of the building restraints under national law (see </w:t>
      </w:r>
      <w:r w:rsidRPr="00900B48">
        <w:rPr>
          <w:i/>
          <w:iCs/>
        </w:rPr>
        <w:t>Campanile and Others v. Italy</w:t>
      </w:r>
      <w:r w:rsidRPr="00900B48">
        <w:t xml:space="preserve"> (dec.), no. 32635/05, § 29, 15 January 2013). Furthermore, the Court notes that the designation for the construction of a church, though adopted before the beginning of the expropriation procedure, had a clear link with the project subsequently undertaken by the authorities. Therefore, disregarding such designation and valuating the land as non-constructible </w:t>
      </w:r>
      <w:proofErr w:type="gramStart"/>
      <w:r w:rsidRPr="00900B48">
        <w:t>was in compliance with</w:t>
      </w:r>
      <w:proofErr w:type="gramEnd"/>
      <w:r w:rsidRPr="00900B48">
        <w:t xml:space="preserve"> the principles set forth above (see paragraph </w:t>
      </w:r>
      <w:r w:rsidRPr="00900B48">
        <w:fldChar w:fldCharType="begin"/>
      </w:r>
      <w:r w:rsidRPr="00900B48">
        <w:instrText xml:space="preserve">REF paragraph00022 \h \* CharFormat </w:instrText>
      </w:r>
      <w:r w:rsidRPr="00900B48">
        <w:fldChar w:fldCharType="separate"/>
      </w:r>
      <w:r w:rsidRPr="00900B48">
        <w:t>24</w:t>
      </w:r>
      <w:r w:rsidRPr="00900B48">
        <w:fldChar w:fldCharType="end"/>
      </w:r>
      <w:r w:rsidRPr="00900B48">
        <w:t>).</w:t>
      </w:r>
    </w:p>
    <w:p w14:paraId="3DDB6C9B"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27</w:t>
      </w:r>
      <w:r w:rsidRPr="00900B48">
        <w:rPr>
          <w:noProof/>
        </w:rPr>
        <w:fldChar w:fldCharType="end"/>
      </w:r>
      <w:r w:rsidRPr="00900B48">
        <w:t>.  Finally, the Court is not convinced by the applicants</w:t>
      </w:r>
      <w:r w:rsidR="008B1A53" w:rsidRPr="00900B48">
        <w:t>’</w:t>
      </w:r>
      <w:r w:rsidRPr="00900B48">
        <w:t xml:space="preserve"> further arguments in support of a valuation of the land as constructible. As to the ownership of the church by a religious entity, such matter relates to the subsequent use of the land which, as stated above, may not affect the land</w:t>
      </w:r>
      <w:r w:rsidR="008B1A53" w:rsidRPr="00900B48">
        <w:t>’</w:t>
      </w:r>
      <w:r w:rsidRPr="00900B48">
        <w:t xml:space="preserve">s valuation. As to the alleged recognition, by the public administration, of the constructible character of the land for taxation purposes, according to the </w:t>
      </w:r>
      <w:r w:rsidRPr="00900B48">
        <w:lastRenderedPageBreak/>
        <w:t>available documents, the public administration merely stated that the land fell within a larger constructible area, while always maintaining that the specific plot of land was non-constructible.</w:t>
      </w:r>
    </w:p>
    <w:bookmarkStart w:id="10" w:name="paragraph00027"/>
    <w:p w14:paraId="25E25A57" w14:textId="77777777" w:rsidR="00055792" w:rsidRPr="00900B48" w:rsidRDefault="00000000" w:rsidP="00900B48">
      <w:pPr>
        <w:pStyle w:val="JuPara"/>
      </w:pPr>
      <w:r w:rsidRPr="00900B48">
        <w:fldChar w:fldCharType="begin"/>
      </w:r>
      <w:r w:rsidRPr="00900B48">
        <w:instrText xml:space="preserve"> SEQ level0 \*arabic \* MERGEFORMAT </w:instrText>
      </w:r>
      <w:r w:rsidRPr="00900B48">
        <w:fldChar w:fldCharType="separate"/>
      </w:r>
      <w:r w:rsidR="00900B48" w:rsidRPr="00900B48">
        <w:rPr>
          <w:noProof/>
        </w:rPr>
        <w:t>28</w:t>
      </w:r>
      <w:r w:rsidRPr="00900B48">
        <w:fldChar w:fldCharType="end"/>
      </w:r>
      <w:bookmarkEnd w:id="10"/>
      <w:r w:rsidRPr="00900B48">
        <w:t>.  In light of these considerations, the Court accepts that the Court of Appeal</w:t>
      </w:r>
      <w:r w:rsidR="008B1A53" w:rsidRPr="00900B48">
        <w:t>’</w:t>
      </w:r>
      <w:r w:rsidRPr="00900B48">
        <w:t>s decision to disregard the expert report and valuate the land as non</w:t>
      </w:r>
      <w:r w:rsidRPr="00900B48">
        <w:noBreakHyphen/>
        <w:t>constructible was not without a reasonable foundation.</w:t>
      </w:r>
    </w:p>
    <w:p w14:paraId="77B081E3" w14:textId="77777777" w:rsidR="00055792" w:rsidRPr="00900B48" w:rsidRDefault="00000000" w:rsidP="00900B48">
      <w:pPr>
        <w:pStyle w:val="JuPara"/>
      </w:pPr>
      <w:r w:rsidRPr="00900B48">
        <w:rPr>
          <w:rFonts w:asciiTheme="majorHAnsi" w:hAnsiTheme="majorHAnsi" w:cstheme="majorHAnsi"/>
        </w:rPr>
        <w:fldChar w:fldCharType="begin"/>
      </w:r>
      <w:r w:rsidRPr="00900B48">
        <w:rPr>
          <w:rFonts w:asciiTheme="majorHAnsi" w:hAnsiTheme="majorHAnsi" w:cstheme="majorHAnsi"/>
        </w:rPr>
        <w:instrText xml:space="preserve"> SEQ level0 \*arabic \* MERGEFORMAT </w:instrText>
      </w:r>
      <w:r w:rsidRPr="00900B48">
        <w:rPr>
          <w:rFonts w:asciiTheme="majorHAnsi" w:hAnsiTheme="majorHAnsi" w:cstheme="majorHAnsi"/>
        </w:rPr>
        <w:fldChar w:fldCharType="separate"/>
      </w:r>
      <w:r w:rsidR="00900B48" w:rsidRPr="00900B48">
        <w:rPr>
          <w:rFonts w:asciiTheme="majorHAnsi" w:hAnsiTheme="majorHAnsi" w:cstheme="majorHAnsi"/>
          <w:noProof/>
        </w:rPr>
        <w:t>29</w:t>
      </w:r>
      <w:r w:rsidRPr="00900B48">
        <w:rPr>
          <w:rFonts w:asciiTheme="majorHAnsi" w:hAnsiTheme="majorHAnsi" w:cstheme="majorHAnsi"/>
        </w:rPr>
        <w:fldChar w:fldCharType="end"/>
      </w:r>
      <w:r w:rsidRPr="00900B48">
        <w:rPr>
          <w:rFonts w:asciiTheme="majorHAnsi" w:hAnsiTheme="majorHAnsi" w:cstheme="majorHAnsi"/>
        </w:rPr>
        <w:t>.  The Court further</w:t>
      </w:r>
      <w:r w:rsidRPr="00900B48">
        <w:rPr>
          <w:color w:val="000000"/>
        </w:rPr>
        <w:t xml:space="preserve"> notes that </w:t>
      </w:r>
      <w:r w:rsidRPr="00900B48">
        <w:t xml:space="preserve">the Sassari Court of Appeal determined the value of the land on an equitable basis, due to the fact that it did not dispose of any evidence on the value of similar land (see paragraph </w:t>
      </w:r>
      <w:r w:rsidRPr="00900B48">
        <w:fldChar w:fldCharType="begin"/>
      </w:r>
      <w:r w:rsidRPr="00900B48">
        <w:instrText xml:space="preserve"> REF paragraph00011 \h  \* CharFormat  \* MERGEFORMAT </w:instrText>
      </w:r>
      <w:r w:rsidRPr="00900B48">
        <w:fldChar w:fldCharType="separate"/>
      </w:r>
      <w:r w:rsidR="00900B48" w:rsidRPr="00900B48">
        <w:t>11</w:t>
      </w:r>
      <w:r w:rsidRPr="00900B48">
        <w:fldChar w:fldCharType="end"/>
      </w:r>
      <w:r w:rsidRPr="00900B48">
        <w:t xml:space="preserve"> above).</w:t>
      </w:r>
    </w:p>
    <w:p w14:paraId="4973C9D7"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30</w:t>
      </w:r>
      <w:r w:rsidRPr="00900B48">
        <w:rPr>
          <w:noProof/>
        </w:rPr>
        <w:fldChar w:fldCharType="end"/>
      </w:r>
      <w:r w:rsidRPr="00900B48">
        <w:t xml:space="preserve">.  The Court recognises that, in principle, the valuation of the land should take into account its specific characteristics (see, </w:t>
      </w:r>
      <w:r w:rsidRPr="00900B48">
        <w:rPr>
          <w:i/>
          <w:iCs/>
        </w:rPr>
        <w:t>mutatis mutandis</w:t>
      </w:r>
      <w:r w:rsidRPr="00900B48">
        <w:t xml:space="preserve">, </w:t>
      </w:r>
      <w:bookmarkStart w:id="11" w:name="_cl34492"/>
      <w:r w:rsidRPr="00900B48">
        <w:rPr>
          <w:i/>
          <w:iCs/>
        </w:rPr>
        <w:t>Preite v. Italy</w:t>
      </w:r>
      <w:bookmarkEnd w:id="11"/>
      <w:r w:rsidRPr="00900B48">
        <w:t xml:space="preserve">, no. 28976/05, §§ 50-51, 17 November 2015). However, in the present case, the applicants merely stated that their compensation ought to be determined on the basis of the constructible character of the land, as established by the court-appointed expert. They have not </w:t>
      </w:r>
      <w:r w:rsidRPr="00900B48">
        <w:rPr>
          <w:rFonts w:asciiTheme="majorHAnsi" w:hAnsiTheme="majorHAnsi" w:cstheme="majorHAnsi"/>
        </w:rPr>
        <w:t xml:space="preserve">submitted any relevant information or document concerning the value of the land, assuming its non-constructible character. As a consequence, the Court does not have any basis on which to conclude that the compensation determined by the Court of Appeal was inadequate. Therefore, the Court considers that the applicants have failed to discharge their burden of showing that the expropriation compensation did not bear a reasonable relationship to the value of the property (see, </w:t>
      </w:r>
      <w:r w:rsidRPr="00900B48">
        <w:rPr>
          <w:rFonts w:asciiTheme="majorHAnsi" w:hAnsiTheme="majorHAnsi" w:cstheme="majorHAnsi"/>
          <w:i/>
          <w:iCs/>
        </w:rPr>
        <w:t>a contrario</w:t>
      </w:r>
      <w:r w:rsidRPr="00900B48">
        <w:rPr>
          <w:rFonts w:asciiTheme="majorHAnsi" w:hAnsiTheme="majorHAnsi" w:cstheme="majorHAnsi"/>
        </w:rPr>
        <w:t xml:space="preserve">, </w:t>
      </w:r>
      <w:bookmarkStart w:id="12" w:name="_cl34263"/>
      <w:r w:rsidRPr="00900B48">
        <w:rPr>
          <w:rFonts w:asciiTheme="majorHAnsi" w:hAnsiTheme="majorHAnsi" w:cstheme="majorHAnsi"/>
          <w:i/>
          <w:iCs/>
        </w:rPr>
        <w:t>Platakou v. Greece</w:t>
      </w:r>
      <w:bookmarkEnd w:id="12"/>
      <w:r w:rsidRPr="00900B48">
        <w:rPr>
          <w:rFonts w:asciiTheme="majorHAnsi" w:hAnsiTheme="majorHAnsi" w:cstheme="majorHAnsi"/>
        </w:rPr>
        <w:t>, no. 38460/97, §§</w:t>
      </w:r>
      <w:r w:rsidR="00843376" w:rsidRPr="00900B48">
        <w:rPr>
          <w:rFonts w:asciiTheme="majorHAnsi" w:hAnsiTheme="majorHAnsi" w:cstheme="majorHAnsi"/>
        </w:rPr>
        <w:t> </w:t>
      </w:r>
      <w:r w:rsidRPr="00900B48">
        <w:rPr>
          <w:rFonts w:asciiTheme="majorHAnsi" w:hAnsiTheme="majorHAnsi" w:cstheme="majorHAnsi"/>
        </w:rPr>
        <w:t>56-57, ECHR 2001-I)</w:t>
      </w:r>
      <w:r w:rsidRPr="00900B48">
        <w:t>.</w:t>
      </w:r>
    </w:p>
    <w:p w14:paraId="7A1317FE"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31</w:t>
      </w:r>
      <w:r w:rsidRPr="00900B48">
        <w:rPr>
          <w:noProof/>
        </w:rPr>
        <w:fldChar w:fldCharType="end"/>
      </w:r>
      <w:r w:rsidRPr="00900B48">
        <w:t xml:space="preserve">.  In a case similar to the one under scrutiny, the Court found that an award comparable to the one issued by the Sassari Court of Appeal had constituted appropriate and sufficient redress for the breach of Article 1 of Protocol No. 1 suffered by the applicant, who had been unlawfully dispossessed of his property, and concluded that the applicant could no longer be considered a victim of the violation complained of (see </w:t>
      </w:r>
      <w:r w:rsidRPr="00900B48">
        <w:rPr>
          <w:i/>
        </w:rPr>
        <w:t>Armando Iannelli v. Italy</w:t>
      </w:r>
      <w:r w:rsidRPr="00900B48">
        <w:t>, no. 24818/03, §§ 35-37, 12 February 2013).</w:t>
      </w:r>
    </w:p>
    <w:p w14:paraId="498C51C6"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32</w:t>
      </w:r>
      <w:r w:rsidRPr="00900B48">
        <w:rPr>
          <w:noProof/>
        </w:rPr>
        <w:fldChar w:fldCharType="end"/>
      </w:r>
      <w:r w:rsidRPr="00900B48">
        <w:t>.  In the light of the foregoing considerations, the Court is satisfied that the applicants can no longer be considered victims of the violation complained of.</w:t>
      </w:r>
    </w:p>
    <w:p w14:paraId="272A055A"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33</w:t>
      </w:r>
      <w:r w:rsidRPr="00900B48">
        <w:rPr>
          <w:noProof/>
        </w:rPr>
        <w:fldChar w:fldCharType="end"/>
      </w:r>
      <w:r w:rsidRPr="00900B48">
        <w:t xml:space="preserve">.  The applicants also complained, under Article 6 of the Convention, of the application of the method of calculation of damages set forth in </w:t>
      </w:r>
      <w:r w:rsidRPr="00900B48">
        <w:rPr>
          <w:rFonts w:cstheme="minorHAnsi"/>
        </w:rPr>
        <w:t>section 5</w:t>
      </w:r>
      <w:r w:rsidR="00941D21" w:rsidRPr="00900B48">
        <w:rPr>
          <w:rFonts w:cstheme="minorHAnsi"/>
        </w:rPr>
        <w:t> </w:t>
      </w:r>
      <w:r w:rsidRPr="00900B48">
        <w:rPr>
          <w:rFonts w:cstheme="minorHAnsi"/>
          <w:i/>
          <w:iCs/>
        </w:rPr>
        <w:t xml:space="preserve">bis </w:t>
      </w:r>
      <w:r w:rsidRPr="00900B48">
        <w:rPr>
          <w:rFonts w:cstheme="minorHAnsi"/>
        </w:rPr>
        <w:t xml:space="preserve">of </w:t>
      </w:r>
      <w:r w:rsidRPr="00900B48">
        <w:t>Legislative Decree no. 333 of 1992</w:t>
      </w:r>
      <w:r w:rsidRPr="00900B48">
        <w:rPr>
          <w:rFonts w:cstheme="minorHAnsi"/>
        </w:rPr>
        <w:t xml:space="preserve">. The Court notes that, as recognised also by the applicants, the Sassari Court of Appeal did not apply that method (see paragraph </w:t>
      </w:r>
      <w:r w:rsidRPr="00900B48">
        <w:rPr>
          <w:rFonts w:cstheme="minorHAnsi"/>
        </w:rPr>
        <w:fldChar w:fldCharType="begin"/>
      </w:r>
      <w:r w:rsidRPr="00900B48">
        <w:rPr>
          <w:rFonts w:cstheme="minorHAnsi"/>
        </w:rPr>
        <w:instrText xml:space="preserve"> REF paragraph00010 \h  \* CharFormat  \* MERGEFORMAT </w:instrText>
      </w:r>
      <w:r w:rsidRPr="00900B48">
        <w:rPr>
          <w:rFonts w:cstheme="minorHAnsi"/>
        </w:rPr>
      </w:r>
      <w:r w:rsidRPr="00900B48">
        <w:rPr>
          <w:rFonts w:cstheme="minorHAnsi"/>
        </w:rPr>
        <w:fldChar w:fldCharType="separate"/>
      </w:r>
      <w:r w:rsidRPr="00900B48">
        <w:rPr>
          <w:rFonts w:cstheme="minorHAnsi"/>
        </w:rPr>
        <w:t>10</w:t>
      </w:r>
      <w:r w:rsidRPr="00900B48">
        <w:rPr>
          <w:rFonts w:cstheme="minorHAnsi"/>
        </w:rPr>
        <w:fldChar w:fldCharType="end"/>
      </w:r>
      <w:r w:rsidRPr="00900B48">
        <w:rPr>
          <w:rFonts w:cstheme="minorHAnsi"/>
        </w:rPr>
        <w:t xml:space="preserve"> above). </w:t>
      </w:r>
      <w:r w:rsidRPr="00900B48">
        <w:t>Therefore, the applicants cannot be considered victims of the violation complained of under this provision.</w:t>
      </w:r>
    </w:p>
    <w:p w14:paraId="121C212B" w14:textId="77777777" w:rsidR="00055792" w:rsidRPr="00900B48" w:rsidRDefault="00000000" w:rsidP="00900B48">
      <w:pPr>
        <w:pStyle w:val="JuPara"/>
      </w:pPr>
      <w:r w:rsidRPr="00900B48">
        <w:fldChar w:fldCharType="begin"/>
      </w:r>
      <w:r>
        <w:instrText xml:space="preserve"> SEQ level0 \*arabic \* MERGEFORMAT </w:instrText>
      </w:r>
      <w:r w:rsidRPr="00900B48">
        <w:fldChar w:fldCharType="separate"/>
      </w:r>
      <w:r w:rsidRPr="00900B48">
        <w:rPr>
          <w:noProof/>
        </w:rPr>
        <w:t>34</w:t>
      </w:r>
      <w:r w:rsidRPr="00900B48">
        <w:rPr>
          <w:noProof/>
        </w:rPr>
        <w:fldChar w:fldCharType="end"/>
      </w:r>
      <w:r w:rsidRPr="00900B48">
        <w:t xml:space="preserve">.  It follows that the application is incompatible </w:t>
      </w:r>
      <w:r w:rsidRPr="00900B48">
        <w:rPr>
          <w:i/>
          <w:iCs/>
        </w:rPr>
        <w:t>ratione personae</w:t>
      </w:r>
      <w:r w:rsidRPr="00900B48">
        <w:t xml:space="preserve"> with the provisions of the Convention within the meaning of Article 35 § 3 (a) and must be declared inadmissible in accordance with Article 35 § 4.</w:t>
      </w:r>
    </w:p>
    <w:p w14:paraId="5C312F6F" w14:textId="77777777" w:rsidR="00055792" w:rsidRPr="00900B48" w:rsidRDefault="00000000" w:rsidP="00900B48">
      <w:pPr>
        <w:pStyle w:val="JuParaLast"/>
      </w:pPr>
      <w:r w:rsidRPr="00900B48">
        <w:lastRenderedPageBreak/>
        <w:t>For these reasons, the Court, unanimously,</w:t>
      </w:r>
    </w:p>
    <w:p w14:paraId="65F593BB" w14:textId="77777777" w:rsidR="00055792" w:rsidRPr="00900B48" w:rsidRDefault="00000000" w:rsidP="00900B48">
      <w:pPr>
        <w:pStyle w:val="DecList"/>
      </w:pPr>
      <w:r w:rsidRPr="00900B48">
        <w:rPr>
          <w:i/>
        </w:rPr>
        <w:t>Declares</w:t>
      </w:r>
      <w:r w:rsidRPr="00900B48">
        <w:t xml:space="preserve"> the application inadmissible.</w:t>
      </w:r>
    </w:p>
    <w:p w14:paraId="1931680B" w14:textId="77777777" w:rsidR="00BD1692" w:rsidRPr="00900B48" w:rsidRDefault="00000000" w:rsidP="00900B48">
      <w:pPr>
        <w:pStyle w:val="JuParaLast"/>
        <w:rPr>
          <w:sz w:val="14"/>
        </w:rPr>
      </w:pPr>
      <w:r w:rsidRPr="00900B48">
        <w:t xml:space="preserve">Done in English and notified in writing on </w:t>
      </w:r>
      <w:r w:rsidR="00055792" w:rsidRPr="00900B48">
        <w:rPr>
          <w:noProof/>
        </w:rPr>
        <w:t>7 September 2023</w:t>
      </w:r>
      <w:r w:rsidRPr="00900B48">
        <w:t>.</w:t>
      </w:r>
    </w:p>
    <w:p w14:paraId="1771322F" w14:textId="77777777" w:rsidR="00BD1692" w:rsidRPr="00900B48" w:rsidRDefault="00000000" w:rsidP="00900B48">
      <w:pPr>
        <w:pStyle w:val="ECHRPlaceholder"/>
      </w:pPr>
      <w:r w:rsidRPr="00900B48">
        <w:tab/>
      </w:r>
    </w:p>
    <w:p w14:paraId="6C9EF3C9" w14:textId="77777777" w:rsidR="002B6368" w:rsidRPr="00900B48" w:rsidRDefault="00000000" w:rsidP="00900B48">
      <w:pPr>
        <w:pStyle w:val="JuSigned"/>
      </w:pPr>
      <w:r w:rsidRPr="00900B48">
        <w:tab/>
      </w:r>
      <w:r w:rsidR="00055792" w:rsidRPr="00900B48">
        <w:rPr>
          <w:rFonts w:eastAsia="PMingLiU"/>
          <w:noProof/>
        </w:rPr>
        <w:t>Liv Tigerstedt</w:t>
      </w:r>
      <w:r w:rsidR="001D1233" w:rsidRPr="00900B48">
        <w:tab/>
      </w:r>
      <w:r w:rsidR="00055792" w:rsidRPr="00900B48">
        <w:rPr>
          <w:noProof/>
        </w:rPr>
        <w:t>Péter Paczolay</w:t>
      </w:r>
      <w:r w:rsidR="001D1233" w:rsidRPr="00900B48">
        <w:br/>
      </w:r>
      <w:r w:rsidR="001D1233" w:rsidRPr="00900B48">
        <w:tab/>
      </w:r>
      <w:r w:rsidR="00055792" w:rsidRPr="00900B48">
        <w:rPr>
          <w:noProof/>
        </w:rPr>
        <w:t>Deputy Registrar</w:t>
      </w:r>
      <w:r w:rsidR="006267D3" w:rsidRPr="00900B48">
        <w:tab/>
        <w:t>President</w:t>
      </w:r>
    </w:p>
    <w:p w14:paraId="28FB677F" w14:textId="77777777" w:rsidR="00055792" w:rsidRPr="00900B48" w:rsidRDefault="00000000" w:rsidP="00900B48">
      <w:pPr>
        <w:pStyle w:val="JuPara"/>
        <w:rPr>
          <w:noProof/>
        </w:rPr>
      </w:pPr>
      <w:r w:rsidRPr="00900B48">
        <w:rPr>
          <w:noProof/>
        </w:rPr>
        <w:br w:type="page"/>
      </w:r>
    </w:p>
    <w:p w14:paraId="4FBE482E" w14:textId="77777777" w:rsidR="00055792" w:rsidRPr="00900B48" w:rsidRDefault="00000000" w:rsidP="00900B48">
      <w:pPr>
        <w:pStyle w:val="DecHTitle"/>
      </w:pPr>
      <w:r w:rsidRPr="00900B48">
        <w:rPr>
          <w:noProof/>
        </w:rPr>
        <w:lastRenderedPageBreak/>
        <w:t>Appendix</w:t>
      </w:r>
    </w:p>
    <w:tbl>
      <w:tblPr>
        <w:tblStyle w:val="ECHRListTable"/>
        <w:tblW w:w="4916" w:type="pct"/>
        <w:tblLook w:val="0420" w:firstRow="1" w:lastRow="0" w:firstColumn="0" w:lastColumn="0" w:noHBand="0" w:noVBand="1"/>
      </w:tblPr>
      <w:tblGrid>
        <w:gridCol w:w="570"/>
        <w:gridCol w:w="3678"/>
        <w:gridCol w:w="1559"/>
        <w:gridCol w:w="1418"/>
      </w:tblGrid>
      <w:tr w:rsidR="009C1E57" w14:paraId="236C1671" w14:textId="77777777" w:rsidTr="009C1E57">
        <w:trPr>
          <w:cnfStyle w:val="100000000000" w:firstRow="1" w:lastRow="0" w:firstColumn="0" w:lastColumn="0" w:oddVBand="0" w:evenVBand="0" w:oddHBand="0" w:evenHBand="0" w:firstRowFirstColumn="0" w:firstRowLastColumn="0" w:lastRowFirstColumn="0" w:lastRowLastColumn="0"/>
        </w:trPr>
        <w:tc>
          <w:tcPr>
            <w:tcW w:w="395" w:type="pct"/>
          </w:tcPr>
          <w:p w14:paraId="51E3ECC5" w14:textId="77777777" w:rsidR="00055792" w:rsidRPr="00900B48" w:rsidRDefault="00000000" w:rsidP="00900B48">
            <w:pPr>
              <w:rPr>
                <w:rFonts w:eastAsia="Times New Roman"/>
              </w:rPr>
            </w:pPr>
            <w:r w:rsidRPr="00900B48">
              <w:rPr>
                <w:rFonts w:eastAsia="Times New Roman"/>
              </w:rPr>
              <w:t>No.</w:t>
            </w:r>
          </w:p>
        </w:tc>
        <w:tc>
          <w:tcPr>
            <w:tcW w:w="2545" w:type="pct"/>
          </w:tcPr>
          <w:p w14:paraId="2FFF1629" w14:textId="77777777" w:rsidR="00055792" w:rsidRPr="00900B48" w:rsidRDefault="00000000" w:rsidP="00900B48">
            <w:pPr>
              <w:rPr>
                <w:rFonts w:eastAsia="Times New Roman"/>
              </w:rPr>
            </w:pPr>
            <w:r w:rsidRPr="00900B48">
              <w:rPr>
                <w:rFonts w:eastAsia="Times New Roman"/>
              </w:rPr>
              <w:t>Applicant</w:t>
            </w:r>
            <w:r w:rsidR="008B1A53" w:rsidRPr="00900B48">
              <w:rPr>
                <w:rFonts w:eastAsia="Times New Roman"/>
              </w:rPr>
              <w:t>’</w:t>
            </w:r>
            <w:r w:rsidRPr="00900B48">
              <w:rPr>
                <w:rFonts w:eastAsia="Times New Roman"/>
              </w:rPr>
              <w:t>s Name</w:t>
            </w:r>
          </w:p>
        </w:tc>
        <w:tc>
          <w:tcPr>
            <w:tcW w:w="1079" w:type="pct"/>
          </w:tcPr>
          <w:p w14:paraId="6801FF81" w14:textId="77777777" w:rsidR="00055792" w:rsidRPr="00900B48" w:rsidRDefault="00000000" w:rsidP="00900B48">
            <w:pPr>
              <w:rPr>
                <w:rFonts w:eastAsia="Times New Roman"/>
              </w:rPr>
            </w:pPr>
            <w:r w:rsidRPr="00900B48">
              <w:rPr>
                <w:rFonts w:eastAsia="Times New Roman"/>
              </w:rPr>
              <w:t>Year of birth</w:t>
            </w:r>
          </w:p>
        </w:tc>
        <w:tc>
          <w:tcPr>
            <w:tcW w:w="981" w:type="pct"/>
          </w:tcPr>
          <w:p w14:paraId="2FB3E52F" w14:textId="77777777" w:rsidR="00055792" w:rsidRPr="00900B48" w:rsidRDefault="00000000" w:rsidP="00900B48">
            <w:pPr>
              <w:rPr>
                <w:rFonts w:eastAsia="Times New Roman"/>
              </w:rPr>
            </w:pPr>
            <w:r w:rsidRPr="00900B48">
              <w:rPr>
                <w:rFonts w:eastAsia="Times New Roman"/>
              </w:rPr>
              <w:t>Place of residence</w:t>
            </w:r>
          </w:p>
        </w:tc>
      </w:tr>
      <w:tr w:rsidR="009C1E57" w14:paraId="525BEAFB" w14:textId="77777777" w:rsidTr="009C1E57">
        <w:tc>
          <w:tcPr>
            <w:tcW w:w="395" w:type="pct"/>
          </w:tcPr>
          <w:p w14:paraId="04A5A2C7" w14:textId="77777777" w:rsidR="00055792" w:rsidRPr="00900B48" w:rsidRDefault="00000000" w:rsidP="00900B48">
            <w:pPr>
              <w:rPr>
                <w:rFonts w:eastAsia="Times New Roman"/>
              </w:rPr>
            </w:pPr>
            <w:r w:rsidRPr="00900B48">
              <w:rPr>
                <w:rFonts w:eastAsia="Times New Roman"/>
              </w:rPr>
              <w:t>1.</w:t>
            </w:r>
          </w:p>
        </w:tc>
        <w:tc>
          <w:tcPr>
            <w:tcW w:w="2545" w:type="pct"/>
          </w:tcPr>
          <w:p w14:paraId="616268D5" w14:textId="77777777" w:rsidR="00055792" w:rsidRPr="00900B48" w:rsidRDefault="00000000" w:rsidP="00900B48">
            <w:pPr>
              <w:rPr>
                <w:rFonts w:eastAsia="Times New Roman"/>
              </w:rPr>
            </w:pPr>
            <w:r w:rsidRPr="00900B48">
              <w:rPr>
                <w:rFonts w:eastAsia="Times New Roman"/>
              </w:rPr>
              <w:t>Stefano GUISO GALLISAI</w:t>
            </w:r>
          </w:p>
        </w:tc>
        <w:tc>
          <w:tcPr>
            <w:tcW w:w="1079" w:type="pct"/>
          </w:tcPr>
          <w:p w14:paraId="175CAA98" w14:textId="77777777" w:rsidR="00055792" w:rsidRPr="00900B48" w:rsidRDefault="00000000" w:rsidP="00900B48">
            <w:pPr>
              <w:rPr>
                <w:rFonts w:eastAsia="Times New Roman"/>
              </w:rPr>
            </w:pPr>
            <w:r w:rsidRPr="00900B48">
              <w:rPr>
                <w:rFonts w:eastAsia="Times New Roman"/>
              </w:rPr>
              <w:t>1959</w:t>
            </w:r>
          </w:p>
        </w:tc>
        <w:tc>
          <w:tcPr>
            <w:tcW w:w="981" w:type="pct"/>
          </w:tcPr>
          <w:p w14:paraId="59093C52" w14:textId="77777777" w:rsidR="00055792" w:rsidRPr="00900B48" w:rsidRDefault="00000000" w:rsidP="00900B48">
            <w:pPr>
              <w:rPr>
                <w:rFonts w:eastAsia="Times New Roman"/>
              </w:rPr>
            </w:pPr>
            <w:r w:rsidRPr="00900B48">
              <w:rPr>
                <w:rFonts w:eastAsia="Times New Roman"/>
              </w:rPr>
              <w:t>Milan</w:t>
            </w:r>
          </w:p>
        </w:tc>
      </w:tr>
      <w:tr w:rsidR="009C1E57" w14:paraId="581CD4DB" w14:textId="77777777" w:rsidTr="009C1E57">
        <w:tc>
          <w:tcPr>
            <w:tcW w:w="395" w:type="pct"/>
          </w:tcPr>
          <w:p w14:paraId="2B528D2E" w14:textId="77777777" w:rsidR="00055792" w:rsidRPr="00900B48" w:rsidRDefault="00000000" w:rsidP="00900B48">
            <w:pPr>
              <w:rPr>
                <w:rFonts w:eastAsia="Times New Roman"/>
              </w:rPr>
            </w:pPr>
            <w:r w:rsidRPr="00900B48">
              <w:rPr>
                <w:rFonts w:eastAsia="Times New Roman"/>
              </w:rPr>
              <w:t>2.</w:t>
            </w:r>
          </w:p>
        </w:tc>
        <w:tc>
          <w:tcPr>
            <w:tcW w:w="2545" w:type="pct"/>
          </w:tcPr>
          <w:p w14:paraId="18FEEA11" w14:textId="77777777" w:rsidR="00055792" w:rsidRPr="00900B48" w:rsidRDefault="00000000" w:rsidP="00900B48">
            <w:pPr>
              <w:rPr>
                <w:rFonts w:eastAsia="Times New Roman"/>
              </w:rPr>
            </w:pPr>
            <w:r w:rsidRPr="00900B48">
              <w:rPr>
                <w:rFonts w:eastAsia="Times New Roman"/>
              </w:rPr>
              <w:t>Antonia GUISO GALLISAI</w:t>
            </w:r>
          </w:p>
        </w:tc>
        <w:tc>
          <w:tcPr>
            <w:tcW w:w="1079" w:type="pct"/>
          </w:tcPr>
          <w:p w14:paraId="0666452D" w14:textId="77777777" w:rsidR="00055792" w:rsidRPr="00900B48" w:rsidRDefault="00000000" w:rsidP="00900B48">
            <w:pPr>
              <w:rPr>
                <w:rFonts w:eastAsia="Times New Roman"/>
              </w:rPr>
            </w:pPr>
            <w:r w:rsidRPr="00900B48">
              <w:rPr>
                <w:rFonts w:eastAsia="Times New Roman"/>
              </w:rPr>
              <w:t>1952</w:t>
            </w:r>
          </w:p>
        </w:tc>
        <w:tc>
          <w:tcPr>
            <w:tcW w:w="981" w:type="pct"/>
          </w:tcPr>
          <w:p w14:paraId="1C788F44" w14:textId="77777777" w:rsidR="00055792" w:rsidRPr="00900B48" w:rsidRDefault="00000000" w:rsidP="00900B48">
            <w:pPr>
              <w:rPr>
                <w:rFonts w:eastAsia="Times New Roman"/>
              </w:rPr>
            </w:pPr>
            <w:r w:rsidRPr="00900B48">
              <w:rPr>
                <w:rFonts w:eastAsia="Times New Roman"/>
              </w:rPr>
              <w:t>Rome</w:t>
            </w:r>
          </w:p>
        </w:tc>
      </w:tr>
      <w:tr w:rsidR="009C1E57" w14:paraId="48F6D87E" w14:textId="77777777" w:rsidTr="009C1E57">
        <w:tc>
          <w:tcPr>
            <w:tcW w:w="395" w:type="pct"/>
          </w:tcPr>
          <w:p w14:paraId="651EB564" w14:textId="77777777" w:rsidR="00055792" w:rsidRPr="00900B48" w:rsidRDefault="00000000" w:rsidP="00900B48">
            <w:pPr>
              <w:rPr>
                <w:rFonts w:eastAsia="Times New Roman"/>
              </w:rPr>
            </w:pPr>
            <w:r w:rsidRPr="00900B48">
              <w:rPr>
                <w:rFonts w:eastAsia="Times New Roman"/>
              </w:rPr>
              <w:t>3.</w:t>
            </w:r>
          </w:p>
        </w:tc>
        <w:tc>
          <w:tcPr>
            <w:tcW w:w="2545" w:type="pct"/>
          </w:tcPr>
          <w:p w14:paraId="6621A361" w14:textId="77777777" w:rsidR="00055792" w:rsidRPr="00900B48" w:rsidRDefault="00000000" w:rsidP="00900B48">
            <w:pPr>
              <w:rPr>
                <w:rFonts w:eastAsia="Times New Roman"/>
              </w:rPr>
            </w:pPr>
            <w:r w:rsidRPr="00900B48">
              <w:rPr>
                <w:rFonts w:eastAsia="Times New Roman"/>
              </w:rPr>
              <w:t>Gianfrancesco GUISO GALLISAI</w:t>
            </w:r>
          </w:p>
        </w:tc>
        <w:tc>
          <w:tcPr>
            <w:tcW w:w="1079" w:type="pct"/>
          </w:tcPr>
          <w:p w14:paraId="3385A937" w14:textId="77777777" w:rsidR="00055792" w:rsidRPr="00900B48" w:rsidRDefault="00000000" w:rsidP="00900B48">
            <w:pPr>
              <w:rPr>
                <w:rFonts w:eastAsia="Times New Roman"/>
              </w:rPr>
            </w:pPr>
            <w:r w:rsidRPr="00900B48">
              <w:rPr>
                <w:rFonts w:eastAsia="Times New Roman"/>
              </w:rPr>
              <w:t>1948</w:t>
            </w:r>
          </w:p>
        </w:tc>
        <w:tc>
          <w:tcPr>
            <w:tcW w:w="981" w:type="pct"/>
          </w:tcPr>
          <w:p w14:paraId="29B968D1" w14:textId="77777777" w:rsidR="00055792" w:rsidRPr="00900B48" w:rsidRDefault="00000000" w:rsidP="00900B48">
            <w:pPr>
              <w:rPr>
                <w:rFonts w:eastAsia="Times New Roman"/>
              </w:rPr>
            </w:pPr>
            <w:r w:rsidRPr="00900B48">
              <w:rPr>
                <w:rFonts w:eastAsia="Times New Roman"/>
              </w:rPr>
              <w:t>Rome</w:t>
            </w:r>
          </w:p>
        </w:tc>
      </w:tr>
    </w:tbl>
    <w:p w14:paraId="40DC26F3" w14:textId="77777777" w:rsidR="00055792" w:rsidRPr="00900B48" w:rsidRDefault="00055792" w:rsidP="00900B48">
      <w:pPr>
        <w:pStyle w:val="JuParaLast"/>
      </w:pPr>
    </w:p>
    <w:p w14:paraId="58CF1590" w14:textId="77777777" w:rsidR="00CB3BD9" w:rsidRPr="00900B48" w:rsidRDefault="00CB3BD9" w:rsidP="00900B48">
      <w:pPr>
        <w:jc w:val="center"/>
      </w:pPr>
    </w:p>
    <w:sectPr w:rsidR="00CB3BD9" w:rsidRPr="00900B48"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8583" w14:textId="77777777" w:rsidR="00B11A58" w:rsidRDefault="00B11A58">
      <w:r>
        <w:separator/>
      </w:r>
    </w:p>
  </w:endnote>
  <w:endnote w:type="continuationSeparator" w:id="0">
    <w:p w14:paraId="0D7A687D" w14:textId="77777777" w:rsidR="00B11A58" w:rsidRDefault="00B1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9644" w14:textId="77777777" w:rsidR="001818B5" w:rsidRPr="00055792"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2E5" w14:textId="77777777" w:rsidR="001818B5" w:rsidRPr="00055792"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21F3" w14:textId="77777777" w:rsidR="00055792" w:rsidRPr="00150BFA" w:rsidRDefault="00000000" w:rsidP="0020718E">
    <w:pPr>
      <w:jc w:val="center"/>
    </w:pPr>
    <w:r w:rsidRPr="00055792">
      <w:rPr>
        <w:noProof/>
      </w:rPr>
      <w:drawing>
        <wp:inline distT="0" distB="0" distL="0" distR="0" wp14:anchorId="768DA9C1" wp14:editId="33B63C43">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248B6FA6" w14:textId="77777777" w:rsidR="00F05C7B" w:rsidRPr="00055792"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DA94" w14:textId="77777777" w:rsidR="00B11A58" w:rsidRDefault="00B11A58">
      <w:r>
        <w:separator/>
      </w:r>
    </w:p>
  </w:footnote>
  <w:footnote w:type="continuationSeparator" w:id="0">
    <w:p w14:paraId="53DEE12A" w14:textId="77777777" w:rsidR="00B11A58" w:rsidRDefault="00B1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BB31" w14:textId="77777777" w:rsidR="00F05C7B" w:rsidRPr="00055792" w:rsidRDefault="00000000" w:rsidP="0076040F">
    <w:pPr>
      <w:pStyle w:val="JuHeader"/>
    </w:pPr>
    <w:r>
      <w:t>GUISO GALLISAI AND OTHERS v. ITALY</w:t>
    </w:r>
    <w:r w:rsidR="006267D3" w:rsidRPr="00055792">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E85A" w14:textId="77777777" w:rsidR="00F05C7B" w:rsidRPr="00055792" w:rsidRDefault="00000000" w:rsidP="000D61E7">
    <w:pPr>
      <w:pStyle w:val="JuHeader"/>
    </w:pPr>
    <w:r>
      <w:t>GUISO GALLISAI AND OTHERS v. ITALY</w:t>
    </w:r>
    <w:r w:rsidR="006267D3" w:rsidRPr="00055792">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84BB" w14:textId="77777777" w:rsidR="00055792" w:rsidRPr="00A45145" w:rsidRDefault="00000000" w:rsidP="00A45145">
    <w:pPr>
      <w:jc w:val="center"/>
    </w:pPr>
    <w:r>
      <w:rPr>
        <w:noProof/>
        <w:lang w:val="en-US"/>
      </w:rPr>
      <w:drawing>
        <wp:inline distT="0" distB="0" distL="0" distR="0" wp14:anchorId="6B9D7F1A" wp14:editId="1421FA5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1A01C863" w14:textId="77777777" w:rsidR="00F05C7B" w:rsidRPr="00055792"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865E6332">
      <w:start w:val="1"/>
      <w:numFmt w:val="bullet"/>
      <w:pStyle w:val="Puntoelenco"/>
      <w:lvlText w:val=""/>
      <w:lvlJc w:val="left"/>
      <w:pPr>
        <w:tabs>
          <w:tab w:val="num" w:pos="851"/>
        </w:tabs>
        <w:ind w:left="568" w:firstLine="0"/>
      </w:pPr>
      <w:rPr>
        <w:rFonts w:ascii="Wingdings" w:hAnsi="Wingdings" w:hint="default"/>
        <w:color w:val="808080"/>
        <w:sz w:val="16"/>
      </w:rPr>
    </w:lvl>
    <w:lvl w:ilvl="1" w:tplc="CAD6FECE" w:tentative="1">
      <w:start w:val="1"/>
      <w:numFmt w:val="bullet"/>
      <w:lvlText w:val="o"/>
      <w:lvlJc w:val="left"/>
      <w:pPr>
        <w:tabs>
          <w:tab w:val="num" w:pos="1724"/>
        </w:tabs>
        <w:ind w:left="1724" w:hanging="360"/>
      </w:pPr>
      <w:rPr>
        <w:rFonts w:ascii="Courier New" w:hAnsi="Courier New" w:cs="Courier New" w:hint="default"/>
      </w:rPr>
    </w:lvl>
    <w:lvl w:ilvl="2" w:tplc="ADC0124A" w:tentative="1">
      <w:start w:val="1"/>
      <w:numFmt w:val="bullet"/>
      <w:lvlText w:val=""/>
      <w:lvlJc w:val="left"/>
      <w:pPr>
        <w:tabs>
          <w:tab w:val="num" w:pos="2444"/>
        </w:tabs>
        <w:ind w:left="2444" w:hanging="360"/>
      </w:pPr>
      <w:rPr>
        <w:rFonts w:ascii="Wingdings" w:hAnsi="Wingdings" w:hint="default"/>
      </w:rPr>
    </w:lvl>
    <w:lvl w:ilvl="3" w:tplc="01987B16" w:tentative="1">
      <w:start w:val="1"/>
      <w:numFmt w:val="bullet"/>
      <w:lvlText w:val=""/>
      <w:lvlJc w:val="left"/>
      <w:pPr>
        <w:tabs>
          <w:tab w:val="num" w:pos="3164"/>
        </w:tabs>
        <w:ind w:left="3164" w:hanging="360"/>
      </w:pPr>
      <w:rPr>
        <w:rFonts w:ascii="Symbol" w:hAnsi="Symbol" w:hint="default"/>
      </w:rPr>
    </w:lvl>
    <w:lvl w:ilvl="4" w:tplc="77D81836" w:tentative="1">
      <w:start w:val="1"/>
      <w:numFmt w:val="bullet"/>
      <w:lvlText w:val="o"/>
      <w:lvlJc w:val="left"/>
      <w:pPr>
        <w:tabs>
          <w:tab w:val="num" w:pos="3884"/>
        </w:tabs>
        <w:ind w:left="3884" w:hanging="360"/>
      </w:pPr>
      <w:rPr>
        <w:rFonts w:ascii="Courier New" w:hAnsi="Courier New" w:cs="Courier New" w:hint="default"/>
      </w:rPr>
    </w:lvl>
    <w:lvl w:ilvl="5" w:tplc="41F0E380" w:tentative="1">
      <w:start w:val="1"/>
      <w:numFmt w:val="bullet"/>
      <w:lvlText w:val=""/>
      <w:lvlJc w:val="left"/>
      <w:pPr>
        <w:tabs>
          <w:tab w:val="num" w:pos="4604"/>
        </w:tabs>
        <w:ind w:left="4604" w:hanging="360"/>
      </w:pPr>
      <w:rPr>
        <w:rFonts w:ascii="Wingdings" w:hAnsi="Wingdings" w:hint="default"/>
      </w:rPr>
    </w:lvl>
    <w:lvl w:ilvl="6" w:tplc="5454AF5E" w:tentative="1">
      <w:start w:val="1"/>
      <w:numFmt w:val="bullet"/>
      <w:lvlText w:val=""/>
      <w:lvlJc w:val="left"/>
      <w:pPr>
        <w:tabs>
          <w:tab w:val="num" w:pos="5324"/>
        </w:tabs>
        <w:ind w:left="5324" w:hanging="360"/>
      </w:pPr>
      <w:rPr>
        <w:rFonts w:ascii="Symbol" w:hAnsi="Symbol" w:hint="default"/>
      </w:rPr>
    </w:lvl>
    <w:lvl w:ilvl="7" w:tplc="264A5F88" w:tentative="1">
      <w:start w:val="1"/>
      <w:numFmt w:val="bullet"/>
      <w:lvlText w:val="o"/>
      <w:lvlJc w:val="left"/>
      <w:pPr>
        <w:tabs>
          <w:tab w:val="num" w:pos="6044"/>
        </w:tabs>
        <w:ind w:left="6044" w:hanging="360"/>
      </w:pPr>
      <w:rPr>
        <w:rFonts w:ascii="Courier New" w:hAnsi="Courier New" w:cs="Courier New" w:hint="default"/>
      </w:rPr>
    </w:lvl>
    <w:lvl w:ilvl="8" w:tplc="64F44556" w:tentative="1">
      <w:start w:val="1"/>
      <w:numFmt w:val="bullet"/>
      <w:lvlText w:val=""/>
      <w:lvlJc w:val="left"/>
      <w:pPr>
        <w:tabs>
          <w:tab w:val="num" w:pos="6764"/>
        </w:tabs>
        <w:ind w:left="6764" w:hanging="360"/>
      </w:pPr>
      <w:rPr>
        <w:rFonts w:ascii="Wingdings" w:hAnsi="Wingdings" w:hint="default"/>
      </w:rPr>
    </w:lvl>
  </w:abstractNum>
  <w:num w:numId="1" w16cid:durableId="251083830">
    <w:abstractNumId w:val="17"/>
  </w:num>
  <w:num w:numId="2" w16cid:durableId="1046492736">
    <w:abstractNumId w:val="14"/>
  </w:num>
  <w:num w:numId="3" w16cid:durableId="91509718">
    <w:abstractNumId w:val="12"/>
  </w:num>
  <w:num w:numId="4" w16cid:durableId="442697703">
    <w:abstractNumId w:val="11"/>
  </w:num>
  <w:num w:numId="5" w16cid:durableId="1138260109">
    <w:abstractNumId w:val="18"/>
  </w:num>
  <w:num w:numId="6" w16cid:durableId="279456524">
    <w:abstractNumId w:val="7"/>
  </w:num>
  <w:num w:numId="7" w16cid:durableId="2042633961">
    <w:abstractNumId w:val="6"/>
  </w:num>
  <w:num w:numId="8" w16cid:durableId="751319071">
    <w:abstractNumId w:val="5"/>
  </w:num>
  <w:num w:numId="9" w16cid:durableId="1737777710">
    <w:abstractNumId w:val="4"/>
  </w:num>
  <w:num w:numId="10" w16cid:durableId="14354698">
    <w:abstractNumId w:val="8"/>
  </w:num>
  <w:num w:numId="11" w16cid:durableId="915821036">
    <w:abstractNumId w:val="3"/>
  </w:num>
  <w:num w:numId="12" w16cid:durableId="549998015">
    <w:abstractNumId w:val="2"/>
  </w:num>
  <w:num w:numId="13" w16cid:durableId="679232624">
    <w:abstractNumId w:val="1"/>
  </w:num>
  <w:num w:numId="14" w16cid:durableId="2049258034">
    <w:abstractNumId w:val="0"/>
  </w:num>
  <w:num w:numId="15" w16cid:durableId="1095631641">
    <w:abstractNumId w:val="15"/>
  </w:num>
  <w:num w:numId="16" w16cid:durableId="342437047">
    <w:abstractNumId w:val="13"/>
  </w:num>
  <w:num w:numId="17" w16cid:durableId="45036993">
    <w:abstractNumId w:val="16"/>
  </w:num>
  <w:num w:numId="18" w16cid:durableId="1198466188">
    <w:abstractNumId w:val="15"/>
  </w:num>
  <w:num w:numId="19" w16cid:durableId="571236053">
    <w:abstractNumId w:val="16"/>
  </w:num>
  <w:num w:numId="20" w16cid:durableId="1844976552">
    <w:abstractNumId w:val="10"/>
  </w:num>
  <w:num w:numId="21" w16cid:durableId="10060527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055792"/>
    <w:rsid w:val="00037400"/>
    <w:rsid w:val="00055792"/>
    <w:rsid w:val="00095FD8"/>
    <w:rsid w:val="000B1FA9"/>
    <w:rsid w:val="000D61E7"/>
    <w:rsid w:val="000E3A89"/>
    <w:rsid w:val="00115035"/>
    <w:rsid w:val="00132029"/>
    <w:rsid w:val="00144EBC"/>
    <w:rsid w:val="00150BFA"/>
    <w:rsid w:val="001818B5"/>
    <w:rsid w:val="001D1233"/>
    <w:rsid w:val="0020718E"/>
    <w:rsid w:val="00223591"/>
    <w:rsid w:val="00262831"/>
    <w:rsid w:val="002779BB"/>
    <w:rsid w:val="002A7443"/>
    <w:rsid w:val="002B6368"/>
    <w:rsid w:val="002E2C77"/>
    <w:rsid w:val="003B50D7"/>
    <w:rsid w:val="003E3C60"/>
    <w:rsid w:val="00452087"/>
    <w:rsid w:val="00464268"/>
    <w:rsid w:val="004A4C71"/>
    <w:rsid w:val="004B4E73"/>
    <w:rsid w:val="00533D12"/>
    <w:rsid w:val="005E56C2"/>
    <w:rsid w:val="005F11CB"/>
    <w:rsid w:val="006262FA"/>
    <w:rsid w:val="006267D3"/>
    <w:rsid w:val="006300E9"/>
    <w:rsid w:val="00653EF4"/>
    <w:rsid w:val="00656B81"/>
    <w:rsid w:val="006D4D63"/>
    <w:rsid w:val="006E123B"/>
    <w:rsid w:val="0076040F"/>
    <w:rsid w:val="007907C0"/>
    <w:rsid w:val="007A74FC"/>
    <w:rsid w:val="007B2364"/>
    <w:rsid w:val="00812D10"/>
    <w:rsid w:val="00843376"/>
    <w:rsid w:val="008B1A53"/>
    <w:rsid w:val="008D10E4"/>
    <w:rsid w:val="008F0A92"/>
    <w:rsid w:val="008F7189"/>
    <w:rsid w:val="00900B48"/>
    <w:rsid w:val="00941D21"/>
    <w:rsid w:val="00956B2A"/>
    <w:rsid w:val="00956F02"/>
    <w:rsid w:val="0096293E"/>
    <w:rsid w:val="009656DE"/>
    <w:rsid w:val="00971225"/>
    <w:rsid w:val="009B6F49"/>
    <w:rsid w:val="009C1E57"/>
    <w:rsid w:val="009C21E8"/>
    <w:rsid w:val="009E01FB"/>
    <w:rsid w:val="00A41074"/>
    <w:rsid w:val="00A45145"/>
    <w:rsid w:val="00AA5AEE"/>
    <w:rsid w:val="00AC58E5"/>
    <w:rsid w:val="00B11A58"/>
    <w:rsid w:val="00B140D3"/>
    <w:rsid w:val="00BD1692"/>
    <w:rsid w:val="00C42C12"/>
    <w:rsid w:val="00C8038F"/>
    <w:rsid w:val="00CB3BD9"/>
    <w:rsid w:val="00D415D6"/>
    <w:rsid w:val="00DB6354"/>
    <w:rsid w:val="00E00E80"/>
    <w:rsid w:val="00E5464B"/>
    <w:rsid w:val="00E93FC7"/>
    <w:rsid w:val="00EA1004"/>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900B48"/>
    <w:rPr>
      <w:sz w:val="24"/>
      <w:szCs w:val="24"/>
      <w:lang w:val="en-GB"/>
    </w:rPr>
  </w:style>
  <w:style w:type="paragraph" w:styleId="Titolo1">
    <w:name w:val="heading 1"/>
    <w:basedOn w:val="Normale"/>
    <w:next w:val="Normale"/>
    <w:link w:val="Titolo1Carattere"/>
    <w:uiPriority w:val="98"/>
    <w:semiHidden/>
    <w:rsid w:val="00900B4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00B4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00B4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00B4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00B4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00B4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00B4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00B4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00B4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900B48"/>
    <w:pPr>
      <w:tabs>
        <w:tab w:val="center" w:pos="1418"/>
        <w:tab w:val="center" w:pos="5954"/>
      </w:tabs>
      <w:spacing w:before="720"/>
    </w:pPr>
  </w:style>
  <w:style w:type="paragraph" w:customStyle="1" w:styleId="JuPara">
    <w:name w:val="Ju_Para"/>
    <w:aliases w:val="_Para"/>
    <w:basedOn w:val="NormalJustified"/>
    <w:link w:val="JuParaChar"/>
    <w:uiPriority w:val="4"/>
    <w:qFormat/>
    <w:rsid w:val="00900B48"/>
    <w:pPr>
      <w:ind w:firstLine="284"/>
    </w:pPr>
  </w:style>
  <w:style w:type="character" w:styleId="Numeropagina">
    <w:name w:val="page number"/>
    <w:uiPriority w:val="98"/>
    <w:semiHidden/>
    <w:rsid w:val="00900B48"/>
    <w:rPr>
      <w:sz w:val="18"/>
    </w:rPr>
  </w:style>
  <w:style w:type="character" w:styleId="Rimandocommento">
    <w:name w:val="annotation reference"/>
    <w:basedOn w:val="Carpredefinitoparagrafo"/>
    <w:uiPriority w:val="98"/>
    <w:semiHidden/>
    <w:rsid w:val="00900B48"/>
    <w:rPr>
      <w:sz w:val="16"/>
      <w:szCs w:val="16"/>
    </w:rPr>
  </w:style>
  <w:style w:type="paragraph" w:styleId="Testocommento">
    <w:name w:val="annotation text"/>
    <w:basedOn w:val="Normale"/>
    <w:link w:val="TestocommentoCarattere"/>
    <w:uiPriority w:val="98"/>
    <w:semiHidden/>
    <w:rsid w:val="00900B48"/>
    <w:rPr>
      <w:sz w:val="20"/>
      <w:szCs w:val="20"/>
    </w:rPr>
  </w:style>
  <w:style w:type="character" w:customStyle="1" w:styleId="TestocommentoCarattere">
    <w:name w:val="Testo commento Carattere"/>
    <w:basedOn w:val="Carpredefinitoparagrafo"/>
    <w:link w:val="Testocommento"/>
    <w:uiPriority w:val="98"/>
    <w:semiHidden/>
    <w:rsid w:val="00900B48"/>
    <w:rPr>
      <w:sz w:val="20"/>
      <w:szCs w:val="20"/>
      <w:lang w:val="en-GB"/>
    </w:rPr>
  </w:style>
  <w:style w:type="paragraph" w:customStyle="1" w:styleId="DecHTitle">
    <w:name w:val="Dec_H_Title"/>
    <w:aliases w:val="_Title_1"/>
    <w:basedOn w:val="JuPara"/>
    <w:next w:val="JuPara"/>
    <w:uiPriority w:val="38"/>
    <w:qFormat/>
    <w:rsid w:val="00900B4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900B4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900B48"/>
    <w:pPr>
      <w:keepNext/>
      <w:keepLines/>
      <w:spacing w:before="1320" w:after="280"/>
      <w:contextualSpacing/>
      <w:jc w:val="center"/>
    </w:pPr>
    <w:rPr>
      <w:b/>
    </w:rPr>
  </w:style>
  <w:style w:type="paragraph" w:customStyle="1" w:styleId="JuHeader">
    <w:name w:val="Ju_Header"/>
    <w:aliases w:val="_Header"/>
    <w:basedOn w:val="Intestazione"/>
    <w:uiPriority w:val="29"/>
    <w:qFormat/>
    <w:rsid w:val="00900B48"/>
    <w:pPr>
      <w:tabs>
        <w:tab w:val="clear" w:pos="4536"/>
        <w:tab w:val="clear" w:pos="9072"/>
      </w:tabs>
      <w:jc w:val="center"/>
    </w:pPr>
    <w:rPr>
      <w:sz w:val="18"/>
    </w:rPr>
  </w:style>
  <w:style w:type="paragraph" w:styleId="Intestazione">
    <w:name w:val="header"/>
    <w:basedOn w:val="Normale"/>
    <w:link w:val="IntestazioneCarattere"/>
    <w:uiPriority w:val="98"/>
    <w:semiHidden/>
    <w:rsid w:val="00900B4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00B48"/>
    <w:rPr>
      <w:sz w:val="24"/>
      <w:szCs w:val="24"/>
      <w:lang w:val="en-GB"/>
    </w:rPr>
  </w:style>
  <w:style w:type="paragraph" w:styleId="Testofumetto">
    <w:name w:val="Balloon Text"/>
    <w:basedOn w:val="Normale"/>
    <w:link w:val="TestofumettoCarattere"/>
    <w:uiPriority w:val="98"/>
    <w:semiHidden/>
    <w:rsid w:val="00900B4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00B48"/>
    <w:rPr>
      <w:rFonts w:ascii="Tahoma" w:hAnsi="Tahoma" w:cs="Tahoma"/>
      <w:sz w:val="16"/>
      <w:szCs w:val="16"/>
      <w:lang w:val="en-GB"/>
    </w:rPr>
  </w:style>
  <w:style w:type="paragraph" w:customStyle="1" w:styleId="DummyStyle">
    <w:name w:val="Dummy_Style"/>
    <w:aliases w:val="_Dummy"/>
    <w:basedOn w:val="Normale"/>
    <w:semiHidden/>
    <w:qFormat/>
    <w:rsid w:val="00900B48"/>
    <w:rPr>
      <w:color w:val="00B050"/>
      <w:sz w:val="22"/>
    </w:rPr>
  </w:style>
  <w:style w:type="paragraph" w:customStyle="1" w:styleId="NormalJustified">
    <w:name w:val="Normal_Justified"/>
    <w:basedOn w:val="Normale"/>
    <w:semiHidden/>
    <w:rsid w:val="00900B48"/>
    <w:pPr>
      <w:jc w:val="both"/>
    </w:pPr>
  </w:style>
  <w:style w:type="paragraph" w:customStyle="1" w:styleId="JuQuot">
    <w:name w:val="Ju_Quot"/>
    <w:aliases w:val="_Quote"/>
    <w:basedOn w:val="NormalJustified"/>
    <w:uiPriority w:val="20"/>
    <w:qFormat/>
    <w:rsid w:val="00900B48"/>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900B48"/>
    <w:pPr>
      <w:keepNext/>
      <w:keepLines/>
      <w:tabs>
        <w:tab w:val="right" w:pos="7938"/>
      </w:tabs>
      <w:ind w:firstLine="0"/>
      <w:jc w:val="center"/>
    </w:pPr>
    <w:rPr>
      <w:i/>
    </w:rPr>
  </w:style>
  <w:style w:type="table" w:customStyle="1" w:styleId="ECHRDNTable">
    <w:name w:val="ECHR_DN_Table"/>
    <w:basedOn w:val="Tabellanormale"/>
    <w:uiPriority w:val="99"/>
    <w:rsid w:val="00900B4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900B48"/>
    <w:pPr>
      <w:numPr>
        <w:numId w:val="15"/>
      </w:numPr>
    </w:pPr>
  </w:style>
  <w:style w:type="numbering" w:customStyle="1" w:styleId="ECHRA1StyleList">
    <w:name w:val="ECHR_A1_Style_List"/>
    <w:basedOn w:val="Nessunelenco"/>
    <w:uiPriority w:val="99"/>
    <w:rsid w:val="00900B48"/>
    <w:pPr>
      <w:numPr>
        <w:numId w:val="16"/>
      </w:numPr>
    </w:pPr>
  </w:style>
  <w:style w:type="paragraph" w:customStyle="1" w:styleId="JuHArticle">
    <w:name w:val="Ju_H_Article"/>
    <w:aliases w:val="_Title_Quote"/>
    <w:basedOn w:val="Normale"/>
    <w:next w:val="JuQuot"/>
    <w:uiPriority w:val="19"/>
    <w:qFormat/>
    <w:rsid w:val="00900B48"/>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900B48"/>
    <w:pPr>
      <w:numPr>
        <w:numId w:val="17"/>
      </w:numPr>
    </w:pPr>
  </w:style>
  <w:style w:type="table" w:customStyle="1" w:styleId="ECHRHeaderTable">
    <w:name w:val="ECHR_Header_Table"/>
    <w:basedOn w:val="Tabellanormale"/>
    <w:uiPriority w:val="99"/>
    <w:rsid w:val="00900B4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900B48"/>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900B48"/>
    <w:pPr>
      <w:tabs>
        <w:tab w:val="center" w:pos="6407"/>
      </w:tabs>
      <w:spacing w:before="720"/>
      <w:jc w:val="right"/>
    </w:pPr>
  </w:style>
  <w:style w:type="table" w:customStyle="1" w:styleId="ECHRHeaderTableReduced">
    <w:name w:val="ECHR_Header_Table_Reduced"/>
    <w:basedOn w:val="Tabellanormale"/>
    <w:uiPriority w:val="99"/>
    <w:rsid w:val="00900B4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900B48"/>
    <w:rPr>
      <w:caps w:val="0"/>
      <w:smallCaps/>
    </w:rPr>
  </w:style>
  <w:style w:type="character" w:customStyle="1" w:styleId="JuITMark">
    <w:name w:val="Ju_ITMark"/>
    <w:aliases w:val="_ITMark"/>
    <w:basedOn w:val="Carpredefinitoparagrafo"/>
    <w:uiPriority w:val="54"/>
    <w:qFormat/>
    <w:rsid w:val="00900B48"/>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900B4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900B4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900B48"/>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900B4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900B48"/>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900B4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900B48"/>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900B4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900B48"/>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900B4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900B48"/>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900B4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900B48"/>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900B4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900B48"/>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900B4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900B48"/>
    <w:pPr>
      <w:keepNext/>
      <w:keepLines/>
      <w:spacing w:before="240" w:after="240"/>
      <w:ind w:firstLine="284"/>
    </w:pPr>
  </w:style>
  <w:style w:type="table" w:customStyle="1" w:styleId="ECHRTableBoxHeader">
    <w:name w:val="ECHR_Table_Box_Header"/>
    <w:basedOn w:val="Tabellanormale"/>
    <w:rsid w:val="00900B4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900B48"/>
    <w:pPr>
      <w:tabs>
        <w:tab w:val="left" w:pos="567"/>
        <w:tab w:val="left" w:pos="1134"/>
      </w:tabs>
    </w:pPr>
  </w:style>
  <w:style w:type="paragraph" w:customStyle="1" w:styleId="JuList">
    <w:name w:val="Ju_List"/>
    <w:aliases w:val="_List_1"/>
    <w:basedOn w:val="NormalJustified"/>
    <w:uiPriority w:val="23"/>
    <w:qFormat/>
    <w:rsid w:val="00900B48"/>
    <w:pPr>
      <w:numPr>
        <w:numId w:val="21"/>
      </w:numPr>
      <w:spacing w:before="280" w:after="60"/>
    </w:pPr>
  </w:style>
  <w:style w:type="paragraph" w:customStyle="1" w:styleId="JuLista">
    <w:name w:val="Ju_List_a"/>
    <w:aliases w:val="_List_2"/>
    <w:basedOn w:val="NormalJustified"/>
    <w:uiPriority w:val="23"/>
    <w:rsid w:val="00900B48"/>
    <w:pPr>
      <w:numPr>
        <w:ilvl w:val="1"/>
        <w:numId w:val="21"/>
      </w:numPr>
    </w:pPr>
  </w:style>
  <w:style w:type="paragraph" w:customStyle="1" w:styleId="JuListi">
    <w:name w:val="Ju_List_i"/>
    <w:aliases w:val="_List_3"/>
    <w:basedOn w:val="NormalJustified"/>
    <w:uiPriority w:val="23"/>
    <w:rsid w:val="00900B48"/>
    <w:pPr>
      <w:numPr>
        <w:ilvl w:val="2"/>
        <w:numId w:val="21"/>
      </w:numPr>
    </w:pPr>
  </w:style>
  <w:style w:type="table" w:customStyle="1" w:styleId="ECHRTableFax">
    <w:name w:val="ECHR_Table_Fax"/>
    <w:basedOn w:val="Tabellanormale"/>
    <w:uiPriority w:val="99"/>
    <w:rsid w:val="00900B4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900B4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900B4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900B4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900B4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900B4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00B4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900B4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00B4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900B48"/>
    <w:rPr>
      <w:b/>
      <w:bCs/>
    </w:rPr>
  </w:style>
  <w:style w:type="character" w:styleId="Enfasicorsivo">
    <w:name w:val="Emphasis"/>
    <w:uiPriority w:val="98"/>
    <w:semiHidden/>
    <w:qFormat/>
    <w:rsid w:val="00900B4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900B48"/>
  </w:style>
  <w:style w:type="character" w:customStyle="1" w:styleId="NessunaspaziaturaCarattere">
    <w:name w:val="Nessuna spaziatura Carattere"/>
    <w:basedOn w:val="Carpredefinitoparagrafo"/>
    <w:link w:val="Nessunaspaziatura"/>
    <w:uiPriority w:val="98"/>
    <w:semiHidden/>
    <w:rsid w:val="00900B48"/>
    <w:rPr>
      <w:sz w:val="24"/>
      <w:szCs w:val="24"/>
      <w:lang w:val="en-GB"/>
    </w:rPr>
  </w:style>
  <w:style w:type="paragraph" w:styleId="Paragrafoelenco">
    <w:name w:val="List Paragraph"/>
    <w:basedOn w:val="Normale"/>
    <w:uiPriority w:val="98"/>
    <w:semiHidden/>
    <w:qFormat/>
    <w:rsid w:val="00900B48"/>
    <w:pPr>
      <w:ind w:left="720"/>
      <w:contextualSpacing/>
    </w:pPr>
  </w:style>
  <w:style w:type="paragraph" w:styleId="Citazione">
    <w:name w:val="Quote"/>
    <w:basedOn w:val="Normale"/>
    <w:next w:val="Normale"/>
    <w:link w:val="CitazioneCarattere"/>
    <w:uiPriority w:val="98"/>
    <w:semiHidden/>
    <w:qFormat/>
    <w:rsid w:val="00900B4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00B48"/>
    <w:rPr>
      <w:i/>
      <w:iCs/>
      <w:sz w:val="24"/>
      <w:szCs w:val="24"/>
      <w:lang w:val="en-GB" w:bidi="en-US"/>
    </w:rPr>
  </w:style>
  <w:style w:type="paragraph" w:styleId="Citazioneintensa">
    <w:name w:val="Intense Quote"/>
    <w:basedOn w:val="Normale"/>
    <w:next w:val="Normale"/>
    <w:link w:val="CitazioneintensaCarattere"/>
    <w:uiPriority w:val="98"/>
    <w:semiHidden/>
    <w:qFormat/>
    <w:rsid w:val="00900B4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00B48"/>
    <w:rPr>
      <w:b/>
      <w:bCs/>
      <w:i/>
      <w:iCs/>
      <w:sz w:val="24"/>
      <w:szCs w:val="24"/>
      <w:lang w:val="en-GB" w:bidi="en-US"/>
    </w:rPr>
  </w:style>
  <w:style w:type="character" w:styleId="Enfasidelicata">
    <w:name w:val="Subtle Emphasis"/>
    <w:uiPriority w:val="98"/>
    <w:semiHidden/>
    <w:qFormat/>
    <w:rsid w:val="00900B48"/>
    <w:rPr>
      <w:i/>
      <w:iCs/>
    </w:rPr>
  </w:style>
  <w:style w:type="character" w:styleId="Enfasiintensa">
    <w:name w:val="Intense Emphasis"/>
    <w:uiPriority w:val="98"/>
    <w:semiHidden/>
    <w:qFormat/>
    <w:rsid w:val="00900B48"/>
    <w:rPr>
      <w:b/>
      <w:bCs/>
    </w:rPr>
  </w:style>
  <w:style w:type="character" w:styleId="Riferimentodelicato">
    <w:name w:val="Subtle Reference"/>
    <w:uiPriority w:val="98"/>
    <w:semiHidden/>
    <w:qFormat/>
    <w:rsid w:val="00900B48"/>
    <w:rPr>
      <w:smallCaps/>
    </w:rPr>
  </w:style>
  <w:style w:type="character" w:styleId="Riferimentointenso">
    <w:name w:val="Intense Reference"/>
    <w:uiPriority w:val="98"/>
    <w:semiHidden/>
    <w:qFormat/>
    <w:rsid w:val="00900B48"/>
    <w:rPr>
      <w:smallCaps/>
      <w:spacing w:val="5"/>
      <w:u w:val="single"/>
    </w:rPr>
  </w:style>
  <w:style w:type="character" w:styleId="Titolodellibro">
    <w:name w:val="Book Title"/>
    <w:uiPriority w:val="98"/>
    <w:semiHidden/>
    <w:qFormat/>
    <w:rsid w:val="00900B48"/>
    <w:rPr>
      <w:i/>
      <w:iCs/>
      <w:smallCaps/>
      <w:spacing w:val="5"/>
    </w:rPr>
  </w:style>
  <w:style w:type="paragraph" w:styleId="Titolosommario">
    <w:name w:val="TOC Heading"/>
    <w:basedOn w:val="Normale"/>
    <w:next w:val="Normale"/>
    <w:uiPriority w:val="98"/>
    <w:semiHidden/>
    <w:qFormat/>
    <w:rsid w:val="00900B4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900B48"/>
    <w:pPr>
      <w:numPr>
        <w:numId w:val="2"/>
      </w:numPr>
    </w:pPr>
  </w:style>
  <w:style w:type="numbering" w:styleId="1ai">
    <w:name w:val="Outline List 1"/>
    <w:basedOn w:val="Nessunelenco"/>
    <w:uiPriority w:val="99"/>
    <w:semiHidden/>
    <w:unhideWhenUsed/>
    <w:rsid w:val="00900B48"/>
    <w:pPr>
      <w:numPr>
        <w:numId w:val="3"/>
      </w:numPr>
    </w:pPr>
  </w:style>
  <w:style w:type="numbering" w:styleId="ArticoloSezione">
    <w:name w:val="Outline List 3"/>
    <w:basedOn w:val="Nessunelenco"/>
    <w:uiPriority w:val="99"/>
    <w:semiHidden/>
    <w:unhideWhenUsed/>
    <w:rsid w:val="00900B48"/>
    <w:pPr>
      <w:numPr>
        <w:numId w:val="4"/>
      </w:numPr>
    </w:pPr>
  </w:style>
  <w:style w:type="paragraph" w:styleId="Bibliografia">
    <w:name w:val="Bibliography"/>
    <w:basedOn w:val="Normale"/>
    <w:next w:val="Normale"/>
    <w:uiPriority w:val="98"/>
    <w:semiHidden/>
    <w:rsid w:val="00900B48"/>
  </w:style>
  <w:style w:type="paragraph" w:styleId="Testodelblocco">
    <w:name w:val="Block Text"/>
    <w:basedOn w:val="Normale"/>
    <w:uiPriority w:val="98"/>
    <w:semiHidden/>
    <w:rsid w:val="00900B4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900B48"/>
    <w:pPr>
      <w:spacing w:after="120"/>
    </w:pPr>
  </w:style>
  <w:style w:type="character" w:customStyle="1" w:styleId="CorpotestoCarattere">
    <w:name w:val="Corpo testo Carattere"/>
    <w:basedOn w:val="Carpredefinitoparagrafo"/>
    <w:link w:val="Corpotesto"/>
    <w:uiPriority w:val="98"/>
    <w:semiHidden/>
    <w:rsid w:val="00900B48"/>
    <w:rPr>
      <w:sz w:val="24"/>
      <w:szCs w:val="24"/>
      <w:lang w:val="en-GB"/>
    </w:rPr>
  </w:style>
  <w:style w:type="paragraph" w:styleId="Corpodeltesto2">
    <w:name w:val="Body Text 2"/>
    <w:basedOn w:val="Normale"/>
    <w:link w:val="Corpodeltesto2Carattere"/>
    <w:uiPriority w:val="98"/>
    <w:semiHidden/>
    <w:rsid w:val="00900B48"/>
    <w:pPr>
      <w:spacing w:after="120" w:line="480" w:lineRule="auto"/>
    </w:pPr>
  </w:style>
  <w:style w:type="character" w:customStyle="1" w:styleId="Corpodeltesto2Carattere">
    <w:name w:val="Corpo del testo 2 Carattere"/>
    <w:basedOn w:val="Carpredefinitoparagrafo"/>
    <w:link w:val="Corpodeltesto2"/>
    <w:uiPriority w:val="98"/>
    <w:semiHidden/>
    <w:rsid w:val="00900B48"/>
    <w:rPr>
      <w:sz w:val="24"/>
      <w:szCs w:val="24"/>
      <w:lang w:val="en-GB"/>
    </w:rPr>
  </w:style>
  <w:style w:type="paragraph" w:styleId="Corpodeltesto3">
    <w:name w:val="Body Text 3"/>
    <w:basedOn w:val="Normale"/>
    <w:link w:val="Corpodeltesto3Carattere"/>
    <w:uiPriority w:val="98"/>
    <w:semiHidden/>
    <w:rsid w:val="00900B4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00B48"/>
    <w:rPr>
      <w:sz w:val="16"/>
      <w:szCs w:val="16"/>
      <w:lang w:val="en-GB"/>
    </w:rPr>
  </w:style>
  <w:style w:type="paragraph" w:styleId="Primorientrocorpodeltesto">
    <w:name w:val="Body Text First Indent"/>
    <w:basedOn w:val="Corpotesto"/>
    <w:link w:val="PrimorientrocorpodeltestoCarattere"/>
    <w:uiPriority w:val="98"/>
    <w:semiHidden/>
    <w:rsid w:val="00900B4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00B48"/>
    <w:rPr>
      <w:sz w:val="24"/>
      <w:szCs w:val="24"/>
      <w:lang w:val="en-GB"/>
    </w:rPr>
  </w:style>
  <w:style w:type="paragraph" w:styleId="Rientrocorpodeltesto">
    <w:name w:val="Body Text Indent"/>
    <w:basedOn w:val="Normale"/>
    <w:link w:val="RientrocorpodeltestoCarattere"/>
    <w:uiPriority w:val="98"/>
    <w:semiHidden/>
    <w:rsid w:val="00900B4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00B48"/>
    <w:rPr>
      <w:sz w:val="24"/>
      <w:szCs w:val="24"/>
      <w:lang w:val="en-GB"/>
    </w:rPr>
  </w:style>
  <w:style w:type="paragraph" w:styleId="Primorientrocorpodeltesto2">
    <w:name w:val="Body Text First Indent 2"/>
    <w:basedOn w:val="Rientrocorpodeltesto"/>
    <w:link w:val="Primorientrocorpodeltesto2Carattere"/>
    <w:uiPriority w:val="98"/>
    <w:semiHidden/>
    <w:rsid w:val="00900B4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00B48"/>
    <w:rPr>
      <w:sz w:val="24"/>
      <w:szCs w:val="24"/>
      <w:lang w:val="en-GB"/>
    </w:rPr>
  </w:style>
  <w:style w:type="paragraph" w:styleId="Rientrocorpodeltesto2">
    <w:name w:val="Body Text Indent 2"/>
    <w:basedOn w:val="Normale"/>
    <w:link w:val="Rientrocorpodeltesto2Carattere"/>
    <w:uiPriority w:val="98"/>
    <w:semiHidden/>
    <w:rsid w:val="00900B4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00B48"/>
    <w:rPr>
      <w:sz w:val="24"/>
      <w:szCs w:val="24"/>
      <w:lang w:val="en-GB"/>
    </w:rPr>
  </w:style>
  <w:style w:type="paragraph" w:styleId="Rientrocorpodeltesto3">
    <w:name w:val="Body Text Indent 3"/>
    <w:basedOn w:val="Normale"/>
    <w:link w:val="Rientrocorpodeltesto3Carattere"/>
    <w:uiPriority w:val="98"/>
    <w:semiHidden/>
    <w:rsid w:val="00900B4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00B48"/>
    <w:rPr>
      <w:sz w:val="16"/>
      <w:szCs w:val="16"/>
      <w:lang w:val="en-GB"/>
    </w:rPr>
  </w:style>
  <w:style w:type="paragraph" w:styleId="Didascalia">
    <w:name w:val="caption"/>
    <w:basedOn w:val="Normale"/>
    <w:next w:val="Normale"/>
    <w:uiPriority w:val="98"/>
    <w:semiHidden/>
    <w:qFormat/>
    <w:rsid w:val="00900B4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00B48"/>
    <w:pPr>
      <w:ind w:left="4252"/>
    </w:pPr>
  </w:style>
  <w:style w:type="character" w:customStyle="1" w:styleId="FormuladichiusuraCarattere">
    <w:name w:val="Formula di chiusura Carattere"/>
    <w:basedOn w:val="Carpredefinitoparagrafo"/>
    <w:link w:val="Formuladichiusura"/>
    <w:uiPriority w:val="98"/>
    <w:semiHidden/>
    <w:rsid w:val="00900B48"/>
    <w:rPr>
      <w:sz w:val="24"/>
      <w:szCs w:val="24"/>
      <w:lang w:val="en-GB"/>
    </w:rPr>
  </w:style>
  <w:style w:type="table" w:styleId="Grigliaacolori">
    <w:name w:val="Colorful Grid"/>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00B4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00B4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00B4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00B4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00B4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00B4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00B4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00B4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00B4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00B4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00B4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00B4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00B4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00B4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00B4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900B48"/>
    <w:rPr>
      <w:b/>
      <w:bCs/>
    </w:rPr>
  </w:style>
  <w:style w:type="character" w:customStyle="1" w:styleId="SoggettocommentoCarattere">
    <w:name w:val="Soggetto commento Carattere"/>
    <w:basedOn w:val="TestocommentoCarattere"/>
    <w:link w:val="Soggettocommento"/>
    <w:uiPriority w:val="98"/>
    <w:semiHidden/>
    <w:rsid w:val="00900B48"/>
    <w:rPr>
      <w:b/>
      <w:bCs/>
      <w:sz w:val="20"/>
      <w:szCs w:val="20"/>
      <w:lang w:val="en-GB"/>
    </w:rPr>
  </w:style>
  <w:style w:type="table" w:styleId="Elencoscuro">
    <w:name w:val="Dark List"/>
    <w:basedOn w:val="Tabellanormale"/>
    <w:uiPriority w:val="70"/>
    <w:semiHidden/>
    <w:rsid w:val="00900B4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00B4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00B4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00B4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00B4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00B4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00B4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00B48"/>
  </w:style>
  <w:style w:type="character" w:customStyle="1" w:styleId="DataCarattere">
    <w:name w:val="Data Carattere"/>
    <w:basedOn w:val="Carpredefinitoparagrafo"/>
    <w:link w:val="Data"/>
    <w:uiPriority w:val="98"/>
    <w:semiHidden/>
    <w:rsid w:val="00900B48"/>
    <w:rPr>
      <w:sz w:val="24"/>
      <w:szCs w:val="24"/>
      <w:lang w:val="en-GB"/>
    </w:rPr>
  </w:style>
  <w:style w:type="paragraph" w:styleId="Mappadocumento">
    <w:name w:val="Document Map"/>
    <w:basedOn w:val="Normale"/>
    <w:link w:val="MappadocumentoCarattere"/>
    <w:uiPriority w:val="98"/>
    <w:semiHidden/>
    <w:rsid w:val="00900B4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00B4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900B48"/>
  </w:style>
  <w:style w:type="character" w:customStyle="1" w:styleId="FirmadipostaelettronicaCarattere">
    <w:name w:val="Firma di posta elettronica Carattere"/>
    <w:basedOn w:val="Carpredefinitoparagrafo"/>
    <w:link w:val="Firmadipostaelettronica"/>
    <w:uiPriority w:val="98"/>
    <w:semiHidden/>
    <w:rsid w:val="00900B48"/>
    <w:rPr>
      <w:sz w:val="24"/>
      <w:szCs w:val="24"/>
      <w:lang w:val="en-GB"/>
    </w:rPr>
  </w:style>
  <w:style w:type="character" w:styleId="Rimandonotadichiusura">
    <w:name w:val="endnote reference"/>
    <w:basedOn w:val="Carpredefinitoparagrafo"/>
    <w:uiPriority w:val="98"/>
    <w:semiHidden/>
    <w:rsid w:val="00900B48"/>
    <w:rPr>
      <w:vertAlign w:val="superscript"/>
    </w:rPr>
  </w:style>
  <w:style w:type="paragraph" w:styleId="Testonotadichiusura">
    <w:name w:val="endnote text"/>
    <w:basedOn w:val="Normale"/>
    <w:link w:val="TestonotadichiusuraCarattere"/>
    <w:uiPriority w:val="98"/>
    <w:semiHidden/>
    <w:rsid w:val="00900B48"/>
    <w:rPr>
      <w:sz w:val="20"/>
      <w:szCs w:val="20"/>
    </w:rPr>
  </w:style>
  <w:style w:type="character" w:customStyle="1" w:styleId="TestonotadichiusuraCarattere">
    <w:name w:val="Testo nota di chiusura Carattere"/>
    <w:basedOn w:val="Carpredefinitoparagrafo"/>
    <w:link w:val="Testonotadichiusura"/>
    <w:uiPriority w:val="98"/>
    <w:semiHidden/>
    <w:rsid w:val="00900B48"/>
    <w:rPr>
      <w:sz w:val="20"/>
      <w:szCs w:val="20"/>
      <w:lang w:val="en-GB"/>
    </w:rPr>
  </w:style>
  <w:style w:type="paragraph" w:styleId="Indirizzodestinatario">
    <w:name w:val="envelope address"/>
    <w:basedOn w:val="Normale"/>
    <w:uiPriority w:val="98"/>
    <w:semiHidden/>
    <w:rsid w:val="00900B4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00B4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00B48"/>
    <w:rPr>
      <w:color w:val="7030A0" w:themeColor="followedHyperlink"/>
      <w:u w:val="single"/>
    </w:rPr>
  </w:style>
  <w:style w:type="character" w:styleId="Rimandonotaapidipagina">
    <w:name w:val="footnote reference"/>
    <w:basedOn w:val="Carpredefinitoparagrafo"/>
    <w:uiPriority w:val="98"/>
    <w:semiHidden/>
    <w:rsid w:val="00900B48"/>
    <w:rPr>
      <w:vertAlign w:val="superscript"/>
    </w:rPr>
  </w:style>
  <w:style w:type="paragraph" w:styleId="Testonotaapidipagina">
    <w:name w:val="footnote text"/>
    <w:basedOn w:val="NormalJustified"/>
    <w:link w:val="TestonotaapidipaginaCarattere"/>
    <w:uiPriority w:val="98"/>
    <w:semiHidden/>
    <w:rsid w:val="00900B48"/>
    <w:rPr>
      <w:sz w:val="20"/>
      <w:szCs w:val="20"/>
    </w:rPr>
  </w:style>
  <w:style w:type="character" w:customStyle="1" w:styleId="TestonotaapidipaginaCarattere">
    <w:name w:val="Testo nota a piè di pagina Carattere"/>
    <w:basedOn w:val="Carpredefinitoparagrafo"/>
    <w:link w:val="Testonotaapidipagina"/>
    <w:uiPriority w:val="98"/>
    <w:semiHidden/>
    <w:rsid w:val="00900B48"/>
    <w:rPr>
      <w:sz w:val="20"/>
      <w:szCs w:val="20"/>
      <w:lang w:val="en-GB"/>
    </w:rPr>
  </w:style>
  <w:style w:type="character" w:styleId="AcronimoHTML">
    <w:name w:val="HTML Acronym"/>
    <w:basedOn w:val="Carpredefinitoparagrafo"/>
    <w:uiPriority w:val="98"/>
    <w:semiHidden/>
    <w:rsid w:val="00900B48"/>
  </w:style>
  <w:style w:type="paragraph" w:styleId="IndirizzoHTML">
    <w:name w:val="HTML Address"/>
    <w:basedOn w:val="Normale"/>
    <w:link w:val="IndirizzoHTMLCarattere"/>
    <w:uiPriority w:val="98"/>
    <w:semiHidden/>
    <w:rsid w:val="00900B48"/>
    <w:rPr>
      <w:i/>
      <w:iCs/>
    </w:rPr>
  </w:style>
  <w:style w:type="character" w:customStyle="1" w:styleId="IndirizzoHTMLCarattere">
    <w:name w:val="Indirizzo HTML Carattere"/>
    <w:basedOn w:val="Carpredefinitoparagrafo"/>
    <w:link w:val="IndirizzoHTML"/>
    <w:uiPriority w:val="98"/>
    <w:semiHidden/>
    <w:rsid w:val="00900B48"/>
    <w:rPr>
      <w:i/>
      <w:iCs/>
      <w:sz w:val="24"/>
      <w:szCs w:val="24"/>
      <w:lang w:val="en-GB"/>
    </w:rPr>
  </w:style>
  <w:style w:type="character" w:styleId="CitazioneHTML">
    <w:name w:val="HTML Cite"/>
    <w:basedOn w:val="Carpredefinitoparagrafo"/>
    <w:uiPriority w:val="98"/>
    <w:semiHidden/>
    <w:rsid w:val="00900B48"/>
    <w:rPr>
      <w:i/>
      <w:iCs/>
    </w:rPr>
  </w:style>
  <w:style w:type="character" w:styleId="CodiceHTML">
    <w:name w:val="HTML Code"/>
    <w:basedOn w:val="Carpredefinitoparagrafo"/>
    <w:uiPriority w:val="98"/>
    <w:semiHidden/>
    <w:rsid w:val="00900B48"/>
    <w:rPr>
      <w:rFonts w:ascii="Consolas" w:hAnsi="Consolas" w:cs="Consolas"/>
      <w:sz w:val="20"/>
      <w:szCs w:val="20"/>
    </w:rPr>
  </w:style>
  <w:style w:type="character" w:styleId="DefinizioneHTML">
    <w:name w:val="HTML Definition"/>
    <w:basedOn w:val="Carpredefinitoparagrafo"/>
    <w:uiPriority w:val="98"/>
    <w:semiHidden/>
    <w:rsid w:val="00900B48"/>
    <w:rPr>
      <w:i/>
      <w:iCs/>
    </w:rPr>
  </w:style>
  <w:style w:type="character" w:styleId="TastieraHTML">
    <w:name w:val="HTML Keyboard"/>
    <w:basedOn w:val="Carpredefinitoparagrafo"/>
    <w:uiPriority w:val="98"/>
    <w:semiHidden/>
    <w:rsid w:val="00900B48"/>
    <w:rPr>
      <w:rFonts w:ascii="Consolas" w:hAnsi="Consolas" w:cs="Consolas"/>
      <w:sz w:val="20"/>
      <w:szCs w:val="20"/>
    </w:rPr>
  </w:style>
  <w:style w:type="paragraph" w:styleId="PreformattatoHTML">
    <w:name w:val="HTML Preformatted"/>
    <w:basedOn w:val="Normale"/>
    <w:link w:val="PreformattatoHTMLCarattere"/>
    <w:uiPriority w:val="98"/>
    <w:semiHidden/>
    <w:rsid w:val="00900B4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00B48"/>
    <w:rPr>
      <w:rFonts w:ascii="Consolas" w:hAnsi="Consolas" w:cs="Consolas"/>
      <w:sz w:val="20"/>
      <w:szCs w:val="20"/>
      <w:lang w:val="en-GB"/>
    </w:rPr>
  </w:style>
  <w:style w:type="character" w:styleId="EsempioHTML">
    <w:name w:val="HTML Sample"/>
    <w:basedOn w:val="Carpredefinitoparagrafo"/>
    <w:uiPriority w:val="98"/>
    <w:semiHidden/>
    <w:rsid w:val="00900B48"/>
    <w:rPr>
      <w:rFonts w:ascii="Consolas" w:hAnsi="Consolas" w:cs="Consolas"/>
      <w:sz w:val="24"/>
      <w:szCs w:val="24"/>
    </w:rPr>
  </w:style>
  <w:style w:type="character" w:styleId="MacchinadascrivereHTML">
    <w:name w:val="HTML Typewriter"/>
    <w:basedOn w:val="Carpredefinitoparagrafo"/>
    <w:uiPriority w:val="98"/>
    <w:semiHidden/>
    <w:rsid w:val="00900B48"/>
    <w:rPr>
      <w:rFonts w:ascii="Consolas" w:hAnsi="Consolas" w:cs="Consolas"/>
      <w:sz w:val="20"/>
      <w:szCs w:val="20"/>
    </w:rPr>
  </w:style>
  <w:style w:type="character" w:styleId="VariabileHTML">
    <w:name w:val="HTML Variable"/>
    <w:basedOn w:val="Carpredefinitoparagrafo"/>
    <w:uiPriority w:val="98"/>
    <w:semiHidden/>
    <w:rsid w:val="00900B48"/>
    <w:rPr>
      <w:i/>
      <w:iCs/>
    </w:rPr>
  </w:style>
  <w:style w:type="character" w:styleId="Collegamentoipertestuale">
    <w:name w:val="Hyperlink"/>
    <w:basedOn w:val="Carpredefinitoparagrafo"/>
    <w:uiPriority w:val="98"/>
    <w:semiHidden/>
    <w:rsid w:val="00900B48"/>
    <w:rPr>
      <w:color w:val="0072BC" w:themeColor="hyperlink"/>
      <w:u w:val="single"/>
    </w:rPr>
  </w:style>
  <w:style w:type="paragraph" w:styleId="Indice1">
    <w:name w:val="index 1"/>
    <w:basedOn w:val="Normale"/>
    <w:next w:val="Normale"/>
    <w:autoRedefine/>
    <w:uiPriority w:val="98"/>
    <w:semiHidden/>
    <w:rsid w:val="00900B48"/>
    <w:pPr>
      <w:ind w:left="240" w:hanging="240"/>
    </w:pPr>
  </w:style>
  <w:style w:type="paragraph" w:styleId="Indice2">
    <w:name w:val="index 2"/>
    <w:basedOn w:val="Normale"/>
    <w:next w:val="Normale"/>
    <w:autoRedefine/>
    <w:uiPriority w:val="98"/>
    <w:semiHidden/>
    <w:rsid w:val="00900B48"/>
    <w:pPr>
      <w:ind w:left="480" w:hanging="240"/>
    </w:pPr>
  </w:style>
  <w:style w:type="paragraph" w:styleId="Indice3">
    <w:name w:val="index 3"/>
    <w:basedOn w:val="Normale"/>
    <w:next w:val="Normale"/>
    <w:autoRedefine/>
    <w:uiPriority w:val="98"/>
    <w:semiHidden/>
    <w:rsid w:val="00900B48"/>
    <w:pPr>
      <w:ind w:left="720" w:hanging="240"/>
    </w:pPr>
  </w:style>
  <w:style w:type="paragraph" w:styleId="Indice4">
    <w:name w:val="index 4"/>
    <w:basedOn w:val="Normale"/>
    <w:next w:val="Normale"/>
    <w:autoRedefine/>
    <w:uiPriority w:val="98"/>
    <w:semiHidden/>
    <w:rsid w:val="00900B48"/>
    <w:pPr>
      <w:ind w:left="960" w:hanging="240"/>
    </w:pPr>
  </w:style>
  <w:style w:type="paragraph" w:styleId="Indice5">
    <w:name w:val="index 5"/>
    <w:basedOn w:val="Normale"/>
    <w:next w:val="Normale"/>
    <w:autoRedefine/>
    <w:uiPriority w:val="98"/>
    <w:semiHidden/>
    <w:rsid w:val="00900B48"/>
    <w:pPr>
      <w:ind w:left="1200" w:hanging="240"/>
    </w:pPr>
  </w:style>
  <w:style w:type="paragraph" w:styleId="Indice6">
    <w:name w:val="index 6"/>
    <w:basedOn w:val="Normale"/>
    <w:next w:val="Normale"/>
    <w:autoRedefine/>
    <w:uiPriority w:val="98"/>
    <w:semiHidden/>
    <w:rsid w:val="00900B48"/>
    <w:pPr>
      <w:ind w:left="1440" w:hanging="240"/>
    </w:pPr>
  </w:style>
  <w:style w:type="paragraph" w:styleId="Indice7">
    <w:name w:val="index 7"/>
    <w:basedOn w:val="Normale"/>
    <w:next w:val="Normale"/>
    <w:autoRedefine/>
    <w:uiPriority w:val="98"/>
    <w:semiHidden/>
    <w:rsid w:val="00900B48"/>
    <w:pPr>
      <w:ind w:left="1680" w:hanging="240"/>
    </w:pPr>
  </w:style>
  <w:style w:type="paragraph" w:styleId="Indice8">
    <w:name w:val="index 8"/>
    <w:basedOn w:val="Normale"/>
    <w:next w:val="Normale"/>
    <w:autoRedefine/>
    <w:uiPriority w:val="98"/>
    <w:semiHidden/>
    <w:rsid w:val="00900B48"/>
    <w:pPr>
      <w:ind w:left="1920" w:hanging="240"/>
    </w:pPr>
  </w:style>
  <w:style w:type="paragraph" w:styleId="Indice9">
    <w:name w:val="index 9"/>
    <w:basedOn w:val="Normale"/>
    <w:next w:val="Normale"/>
    <w:autoRedefine/>
    <w:uiPriority w:val="98"/>
    <w:semiHidden/>
    <w:rsid w:val="00900B48"/>
    <w:pPr>
      <w:ind w:left="2160" w:hanging="240"/>
    </w:pPr>
  </w:style>
  <w:style w:type="paragraph" w:styleId="Titoloindice">
    <w:name w:val="index heading"/>
    <w:basedOn w:val="Normale"/>
    <w:next w:val="Indice1"/>
    <w:uiPriority w:val="98"/>
    <w:semiHidden/>
    <w:rsid w:val="00900B48"/>
    <w:rPr>
      <w:rFonts w:asciiTheme="majorHAnsi" w:eastAsiaTheme="majorEastAsia" w:hAnsiTheme="majorHAnsi" w:cstheme="majorBidi"/>
      <w:b/>
      <w:bCs/>
    </w:rPr>
  </w:style>
  <w:style w:type="table" w:styleId="Grigliachiara">
    <w:name w:val="Light Grid"/>
    <w:basedOn w:val="Tabellanormale"/>
    <w:uiPriority w:val="62"/>
    <w:semiHidden/>
    <w:rsid w:val="00900B4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00B4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00B4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00B4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00B4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00B4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00B4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00B4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00B4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00B4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00B4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00B4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00B4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00B4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00B4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00B4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00B4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00B4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00B4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00B4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00B4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00B48"/>
  </w:style>
  <w:style w:type="paragraph" w:styleId="Elenco">
    <w:name w:val="List"/>
    <w:basedOn w:val="Normale"/>
    <w:uiPriority w:val="98"/>
    <w:semiHidden/>
    <w:rsid w:val="00900B48"/>
    <w:pPr>
      <w:ind w:left="283" w:hanging="283"/>
      <w:contextualSpacing/>
    </w:pPr>
  </w:style>
  <w:style w:type="paragraph" w:styleId="Elenco2">
    <w:name w:val="List 2"/>
    <w:basedOn w:val="Normale"/>
    <w:uiPriority w:val="98"/>
    <w:semiHidden/>
    <w:rsid w:val="00900B48"/>
    <w:pPr>
      <w:ind w:left="566" w:hanging="283"/>
      <w:contextualSpacing/>
    </w:pPr>
  </w:style>
  <w:style w:type="paragraph" w:styleId="Elenco3">
    <w:name w:val="List 3"/>
    <w:basedOn w:val="Normale"/>
    <w:uiPriority w:val="98"/>
    <w:semiHidden/>
    <w:rsid w:val="00900B48"/>
    <w:pPr>
      <w:ind w:left="849" w:hanging="283"/>
      <w:contextualSpacing/>
    </w:pPr>
  </w:style>
  <w:style w:type="paragraph" w:styleId="Elenco4">
    <w:name w:val="List 4"/>
    <w:basedOn w:val="Normale"/>
    <w:uiPriority w:val="98"/>
    <w:semiHidden/>
    <w:rsid w:val="00900B48"/>
    <w:pPr>
      <w:ind w:left="1132" w:hanging="283"/>
      <w:contextualSpacing/>
    </w:pPr>
  </w:style>
  <w:style w:type="paragraph" w:styleId="Elenco5">
    <w:name w:val="List 5"/>
    <w:basedOn w:val="Normale"/>
    <w:uiPriority w:val="98"/>
    <w:semiHidden/>
    <w:rsid w:val="00900B48"/>
    <w:pPr>
      <w:ind w:left="1415" w:hanging="283"/>
      <w:contextualSpacing/>
    </w:pPr>
  </w:style>
  <w:style w:type="paragraph" w:styleId="Puntoelenco">
    <w:name w:val="List Bullet"/>
    <w:basedOn w:val="Normale"/>
    <w:uiPriority w:val="98"/>
    <w:semiHidden/>
    <w:rsid w:val="00900B48"/>
    <w:pPr>
      <w:numPr>
        <w:numId w:val="5"/>
      </w:numPr>
    </w:pPr>
  </w:style>
  <w:style w:type="paragraph" w:styleId="Puntoelenco2">
    <w:name w:val="List Bullet 2"/>
    <w:basedOn w:val="Normale"/>
    <w:uiPriority w:val="98"/>
    <w:semiHidden/>
    <w:rsid w:val="00900B48"/>
    <w:pPr>
      <w:numPr>
        <w:numId w:val="6"/>
      </w:numPr>
      <w:contextualSpacing/>
    </w:pPr>
  </w:style>
  <w:style w:type="paragraph" w:styleId="Puntoelenco3">
    <w:name w:val="List Bullet 3"/>
    <w:basedOn w:val="Normale"/>
    <w:uiPriority w:val="98"/>
    <w:semiHidden/>
    <w:rsid w:val="00900B48"/>
    <w:pPr>
      <w:numPr>
        <w:numId w:val="7"/>
      </w:numPr>
      <w:contextualSpacing/>
    </w:pPr>
  </w:style>
  <w:style w:type="paragraph" w:styleId="Puntoelenco4">
    <w:name w:val="List Bullet 4"/>
    <w:basedOn w:val="Normale"/>
    <w:uiPriority w:val="98"/>
    <w:semiHidden/>
    <w:rsid w:val="00900B48"/>
    <w:pPr>
      <w:numPr>
        <w:numId w:val="8"/>
      </w:numPr>
      <w:contextualSpacing/>
    </w:pPr>
  </w:style>
  <w:style w:type="paragraph" w:styleId="Puntoelenco5">
    <w:name w:val="List Bullet 5"/>
    <w:basedOn w:val="Normale"/>
    <w:uiPriority w:val="98"/>
    <w:semiHidden/>
    <w:rsid w:val="00900B48"/>
    <w:pPr>
      <w:numPr>
        <w:numId w:val="9"/>
      </w:numPr>
      <w:contextualSpacing/>
    </w:pPr>
  </w:style>
  <w:style w:type="paragraph" w:styleId="Elencocontinua">
    <w:name w:val="List Continue"/>
    <w:basedOn w:val="Normale"/>
    <w:uiPriority w:val="98"/>
    <w:semiHidden/>
    <w:rsid w:val="00900B48"/>
    <w:pPr>
      <w:spacing w:after="120"/>
      <w:ind w:left="283"/>
      <w:contextualSpacing/>
    </w:pPr>
  </w:style>
  <w:style w:type="paragraph" w:styleId="Elencocontinua2">
    <w:name w:val="List Continue 2"/>
    <w:basedOn w:val="Normale"/>
    <w:uiPriority w:val="98"/>
    <w:semiHidden/>
    <w:rsid w:val="00900B48"/>
    <w:pPr>
      <w:spacing w:after="120"/>
      <w:ind w:left="566"/>
      <w:contextualSpacing/>
    </w:pPr>
  </w:style>
  <w:style w:type="paragraph" w:styleId="Elencocontinua3">
    <w:name w:val="List Continue 3"/>
    <w:basedOn w:val="Normale"/>
    <w:uiPriority w:val="98"/>
    <w:semiHidden/>
    <w:rsid w:val="00900B48"/>
    <w:pPr>
      <w:spacing w:after="120"/>
      <w:ind w:left="849"/>
      <w:contextualSpacing/>
    </w:pPr>
  </w:style>
  <w:style w:type="paragraph" w:styleId="Elencocontinua4">
    <w:name w:val="List Continue 4"/>
    <w:basedOn w:val="Normale"/>
    <w:uiPriority w:val="98"/>
    <w:semiHidden/>
    <w:rsid w:val="00900B48"/>
    <w:pPr>
      <w:spacing w:after="120"/>
      <w:ind w:left="1132"/>
      <w:contextualSpacing/>
    </w:pPr>
  </w:style>
  <w:style w:type="paragraph" w:styleId="Elencocontinua5">
    <w:name w:val="List Continue 5"/>
    <w:basedOn w:val="Normale"/>
    <w:uiPriority w:val="98"/>
    <w:semiHidden/>
    <w:rsid w:val="00900B48"/>
    <w:pPr>
      <w:spacing w:after="120"/>
      <w:ind w:left="1415"/>
      <w:contextualSpacing/>
    </w:pPr>
  </w:style>
  <w:style w:type="paragraph" w:styleId="Numeroelenco">
    <w:name w:val="List Number"/>
    <w:basedOn w:val="Normale"/>
    <w:uiPriority w:val="98"/>
    <w:semiHidden/>
    <w:rsid w:val="00900B48"/>
    <w:pPr>
      <w:numPr>
        <w:numId w:val="10"/>
      </w:numPr>
      <w:contextualSpacing/>
    </w:pPr>
  </w:style>
  <w:style w:type="paragraph" w:styleId="Numeroelenco2">
    <w:name w:val="List Number 2"/>
    <w:basedOn w:val="Normale"/>
    <w:uiPriority w:val="98"/>
    <w:semiHidden/>
    <w:rsid w:val="00900B48"/>
    <w:pPr>
      <w:numPr>
        <w:numId w:val="11"/>
      </w:numPr>
      <w:contextualSpacing/>
    </w:pPr>
  </w:style>
  <w:style w:type="paragraph" w:styleId="Numeroelenco3">
    <w:name w:val="List Number 3"/>
    <w:basedOn w:val="Normale"/>
    <w:uiPriority w:val="98"/>
    <w:semiHidden/>
    <w:rsid w:val="00900B48"/>
    <w:pPr>
      <w:numPr>
        <w:numId w:val="12"/>
      </w:numPr>
      <w:contextualSpacing/>
    </w:pPr>
  </w:style>
  <w:style w:type="paragraph" w:styleId="Numeroelenco4">
    <w:name w:val="List Number 4"/>
    <w:basedOn w:val="Normale"/>
    <w:uiPriority w:val="98"/>
    <w:semiHidden/>
    <w:rsid w:val="00900B48"/>
    <w:pPr>
      <w:numPr>
        <w:numId w:val="13"/>
      </w:numPr>
      <w:contextualSpacing/>
    </w:pPr>
  </w:style>
  <w:style w:type="paragraph" w:styleId="Numeroelenco5">
    <w:name w:val="List Number 5"/>
    <w:basedOn w:val="Normale"/>
    <w:uiPriority w:val="98"/>
    <w:semiHidden/>
    <w:rsid w:val="00900B48"/>
    <w:pPr>
      <w:numPr>
        <w:numId w:val="14"/>
      </w:numPr>
      <w:contextualSpacing/>
    </w:pPr>
  </w:style>
  <w:style w:type="paragraph" w:styleId="Testomacro">
    <w:name w:val="macro"/>
    <w:link w:val="TestomacroCarattere"/>
    <w:uiPriority w:val="98"/>
    <w:semiHidden/>
    <w:rsid w:val="00900B4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00B48"/>
    <w:rPr>
      <w:rFonts w:ascii="Consolas" w:eastAsiaTheme="minorEastAsia" w:hAnsi="Consolas" w:cs="Consolas"/>
      <w:sz w:val="20"/>
      <w:szCs w:val="20"/>
    </w:rPr>
  </w:style>
  <w:style w:type="table" w:styleId="Grigliamedia1">
    <w:name w:val="Medium Grid 1"/>
    <w:basedOn w:val="Tabellanormale"/>
    <w:uiPriority w:val="67"/>
    <w:semiHidden/>
    <w:rsid w:val="00900B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00B4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00B4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00B4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00B4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00B4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00B4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00B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00B4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00B4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00B4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00B4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00B4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00B4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00B4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00B4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00B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00B4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00B4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00B4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00B4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00B4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00B4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00B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00B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00B4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900B48"/>
    <w:rPr>
      <w:rFonts w:ascii="Times New Roman" w:hAnsi="Times New Roman" w:cs="Times New Roman"/>
    </w:rPr>
  </w:style>
  <w:style w:type="paragraph" w:styleId="Rientronormale">
    <w:name w:val="Normal Indent"/>
    <w:basedOn w:val="Normale"/>
    <w:uiPriority w:val="98"/>
    <w:semiHidden/>
    <w:rsid w:val="00900B48"/>
    <w:pPr>
      <w:ind w:left="720"/>
    </w:pPr>
  </w:style>
  <w:style w:type="table" w:customStyle="1" w:styleId="ECHRTableNoLines">
    <w:name w:val="ECHR_Table_No_Lines"/>
    <w:basedOn w:val="Tabellanormale"/>
    <w:uiPriority w:val="99"/>
    <w:rsid w:val="00900B4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900B4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900B4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00B4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00B4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900B48"/>
  </w:style>
  <w:style w:type="character" w:customStyle="1" w:styleId="FormuladiaperturaCarattere">
    <w:name w:val="Formula di apertura Carattere"/>
    <w:basedOn w:val="Carpredefinitoparagrafo"/>
    <w:link w:val="Formuladiapertura"/>
    <w:uiPriority w:val="98"/>
    <w:semiHidden/>
    <w:rsid w:val="00900B48"/>
    <w:rPr>
      <w:sz w:val="24"/>
      <w:szCs w:val="24"/>
      <w:lang w:val="en-GB"/>
    </w:rPr>
  </w:style>
  <w:style w:type="paragraph" w:styleId="Firma">
    <w:name w:val="Signature"/>
    <w:basedOn w:val="Normale"/>
    <w:link w:val="FirmaCarattere"/>
    <w:uiPriority w:val="98"/>
    <w:semiHidden/>
    <w:rsid w:val="00900B48"/>
    <w:pPr>
      <w:ind w:left="4252"/>
    </w:pPr>
  </w:style>
  <w:style w:type="character" w:customStyle="1" w:styleId="FirmaCarattere">
    <w:name w:val="Firma Carattere"/>
    <w:basedOn w:val="Carpredefinitoparagrafo"/>
    <w:link w:val="Firma"/>
    <w:uiPriority w:val="98"/>
    <w:semiHidden/>
    <w:rsid w:val="00900B48"/>
    <w:rPr>
      <w:sz w:val="24"/>
      <w:szCs w:val="24"/>
      <w:lang w:val="en-GB"/>
    </w:rPr>
  </w:style>
  <w:style w:type="table" w:styleId="Tabellaeffetti3D1">
    <w:name w:val="Table 3D effects 1"/>
    <w:basedOn w:val="Tabellanormale"/>
    <w:uiPriority w:val="99"/>
    <w:semiHidden/>
    <w:unhideWhenUsed/>
    <w:rsid w:val="00900B4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00B4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00B4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00B4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00B4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00B4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00B4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00B4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00B4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00B4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00B4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00B4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00B4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00B4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00B4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00B4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00B4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00B4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00B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00B4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00B4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00B4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00B4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00B4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00B4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00B4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00B4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00B4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00B4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00B4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00B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00B4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00B4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00B4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00B48"/>
    <w:pPr>
      <w:ind w:left="240" w:hanging="240"/>
    </w:pPr>
  </w:style>
  <w:style w:type="paragraph" w:styleId="Indicedellefigure">
    <w:name w:val="table of figures"/>
    <w:basedOn w:val="Normale"/>
    <w:next w:val="Normale"/>
    <w:uiPriority w:val="98"/>
    <w:semiHidden/>
    <w:rsid w:val="00900B48"/>
  </w:style>
  <w:style w:type="table" w:styleId="Tabellaprofessionale">
    <w:name w:val="Table Professional"/>
    <w:basedOn w:val="Tabellanormale"/>
    <w:uiPriority w:val="99"/>
    <w:semiHidden/>
    <w:unhideWhenUsed/>
    <w:rsid w:val="00900B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00B4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00B4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00B4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00B4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00B4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00B4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00B4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00B4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00B4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900B4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900B4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00B4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00B4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00B4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00B4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900B4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00B4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00B48"/>
    <w:pPr>
      <w:spacing w:after="100"/>
      <w:ind w:left="1680"/>
    </w:pPr>
  </w:style>
  <w:style w:type="paragraph" w:styleId="Sommario9">
    <w:name w:val="toc 9"/>
    <w:basedOn w:val="Normale"/>
    <w:next w:val="Normale"/>
    <w:autoRedefine/>
    <w:uiPriority w:val="98"/>
    <w:semiHidden/>
    <w:rsid w:val="00900B48"/>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900B4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00B48"/>
    <w:rPr>
      <w:sz w:val="24"/>
      <w:szCs w:val="24"/>
      <w:lang w:val="en-GB"/>
    </w:rPr>
  </w:style>
  <w:style w:type="paragraph" w:customStyle="1" w:styleId="ECHRFooterLine">
    <w:name w:val="ECHR_Footer_Line"/>
    <w:aliases w:val="_Footer_Line"/>
    <w:basedOn w:val="Normale"/>
    <w:next w:val="Normale"/>
    <w:uiPriority w:val="30"/>
    <w:semiHidden/>
    <w:rsid w:val="00900B4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900B4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900B48"/>
    <w:pPr>
      <w:ind w:firstLine="284"/>
    </w:pPr>
    <w:rPr>
      <w:b/>
    </w:rPr>
  </w:style>
  <w:style w:type="paragraph" w:styleId="Intestazionenota">
    <w:name w:val="Note Heading"/>
    <w:basedOn w:val="Normale"/>
    <w:next w:val="Normale"/>
    <w:link w:val="IntestazionenotaCarattere"/>
    <w:uiPriority w:val="98"/>
    <w:semiHidden/>
    <w:rsid w:val="00900B48"/>
  </w:style>
  <w:style w:type="character" w:customStyle="1" w:styleId="IntestazionenotaCarattere">
    <w:name w:val="Intestazione nota Carattere"/>
    <w:basedOn w:val="Carpredefinitoparagrafo"/>
    <w:link w:val="Intestazionenota"/>
    <w:uiPriority w:val="98"/>
    <w:semiHidden/>
    <w:rsid w:val="00900B48"/>
    <w:rPr>
      <w:sz w:val="24"/>
      <w:szCs w:val="24"/>
      <w:lang w:val="en-GB"/>
    </w:rPr>
  </w:style>
  <w:style w:type="paragraph" w:customStyle="1" w:styleId="ECHRHeaderLandscape">
    <w:name w:val="ECHR_Header_Landscape"/>
    <w:aliases w:val="_Header_Landscape"/>
    <w:basedOn w:val="JuHeader"/>
    <w:uiPriority w:val="29"/>
    <w:semiHidden/>
    <w:rsid w:val="00900B4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00B48"/>
    <w:pPr>
      <w:numPr>
        <w:numId w:val="18"/>
      </w:numPr>
      <w:spacing w:before="60" w:after="60"/>
    </w:pPr>
  </w:style>
  <w:style w:type="paragraph" w:customStyle="1" w:styleId="ECHRBullet2">
    <w:name w:val="ECHR_Bullet_2"/>
    <w:aliases w:val="_Bul_2"/>
    <w:basedOn w:val="ECHRBullet1"/>
    <w:uiPriority w:val="23"/>
    <w:semiHidden/>
    <w:rsid w:val="00900B48"/>
    <w:pPr>
      <w:numPr>
        <w:ilvl w:val="1"/>
      </w:numPr>
    </w:pPr>
  </w:style>
  <w:style w:type="paragraph" w:customStyle="1" w:styleId="ECHRBullet3">
    <w:name w:val="ECHR_Bullet_3"/>
    <w:aliases w:val="_Bul_3"/>
    <w:basedOn w:val="ECHRBullet2"/>
    <w:uiPriority w:val="23"/>
    <w:semiHidden/>
    <w:rsid w:val="00900B48"/>
    <w:pPr>
      <w:numPr>
        <w:ilvl w:val="2"/>
      </w:numPr>
    </w:pPr>
  </w:style>
  <w:style w:type="paragraph" w:customStyle="1" w:styleId="ECHRBullet4">
    <w:name w:val="ECHR_Bullet_4"/>
    <w:aliases w:val="_Bul_4"/>
    <w:basedOn w:val="ECHRBullet3"/>
    <w:uiPriority w:val="23"/>
    <w:semiHidden/>
    <w:rsid w:val="00900B48"/>
    <w:pPr>
      <w:numPr>
        <w:ilvl w:val="3"/>
      </w:numPr>
    </w:pPr>
  </w:style>
  <w:style w:type="paragraph" w:customStyle="1" w:styleId="ECHRConfidential">
    <w:name w:val="ECHR_Confidential"/>
    <w:aliases w:val="_Confidential"/>
    <w:basedOn w:val="Normale"/>
    <w:next w:val="Normale"/>
    <w:uiPriority w:val="42"/>
    <w:semiHidden/>
    <w:qFormat/>
    <w:rsid w:val="00900B48"/>
    <w:pPr>
      <w:jc w:val="right"/>
    </w:pPr>
    <w:rPr>
      <w:color w:val="C00000"/>
      <w:sz w:val="20"/>
    </w:rPr>
  </w:style>
  <w:style w:type="paragraph" w:customStyle="1" w:styleId="ECHRDecisionBody">
    <w:name w:val="ECHR_Decision_Body"/>
    <w:aliases w:val="_Decision_Body"/>
    <w:basedOn w:val="NormalJustified"/>
    <w:uiPriority w:val="54"/>
    <w:semiHidden/>
    <w:rsid w:val="00900B4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00B4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00B48"/>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900B4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900B48"/>
    <w:pPr>
      <w:jc w:val="right"/>
    </w:pPr>
    <w:rPr>
      <w:sz w:val="20"/>
    </w:rPr>
  </w:style>
  <w:style w:type="paragraph" w:customStyle="1" w:styleId="ECHRHeaderRefIt">
    <w:name w:val="ECHR_Header_Ref_It"/>
    <w:aliases w:val="_Ref_Ital"/>
    <w:basedOn w:val="Normale"/>
    <w:next w:val="ECHRHeaderDate"/>
    <w:uiPriority w:val="43"/>
    <w:semiHidden/>
    <w:qFormat/>
    <w:rsid w:val="00900B48"/>
    <w:pPr>
      <w:jc w:val="right"/>
    </w:pPr>
    <w:rPr>
      <w:i/>
      <w:sz w:val="20"/>
    </w:rPr>
  </w:style>
  <w:style w:type="paragraph" w:customStyle="1" w:styleId="ECHRHeading9">
    <w:name w:val="ECHR_Heading_9"/>
    <w:aliases w:val="_Head_9"/>
    <w:basedOn w:val="Titolo9"/>
    <w:uiPriority w:val="17"/>
    <w:semiHidden/>
    <w:rsid w:val="00900B48"/>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900B4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00B48"/>
    <w:pPr>
      <w:numPr>
        <w:numId w:val="19"/>
      </w:numPr>
      <w:spacing w:before="60" w:after="60"/>
    </w:pPr>
  </w:style>
  <w:style w:type="paragraph" w:customStyle="1" w:styleId="ECHRNumberedList2">
    <w:name w:val="ECHR_Numbered_List_2"/>
    <w:aliases w:val="_Num_2"/>
    <w:basedOn w:val="ECHRNumberedList1"/>
    <w:uiPriority w:val="23"/>
    <w:semiHidden/>
    <w:rsid w:val="00900B48"/>
    <w:pPr>
      <w:numPr>
        <w:ilvl w:val="1"/>
      </w:numPr>
    </w:pPr>
  </w:style>
  <w:style w:type="paragraph" w:customStyle="1" w:styleId="ECHRNumberedList3">
    <w:name w:val="ECHR_Numbered_List_3"/>
    <w:aliases w:val="_Num_3"/>
    <w:basedOn w:val="ECHRNumberedList2"/>
    <w:uiPriority w:val="23"/>
    <w:semiHidden/>
    <w:rsid w:val="00900B48"/>
    <w:pPr>
      <w:numPr>
        <w:ilvl w:val="2"/>
      </w:numPr>
    </w:pPr>
  </w:style>
  <w:style w:type="paragraph" w:customStyle="1" w:styleId="ECHRParaHanging">
    <w:name w:val="ECHR_Para_Hanging"/>
    <w:aliases w:val="_Hanging"/>
    <w:basedOn w:val="NormalJustified"/>
    <w:uiPriority w:val="8"/>
    <w:semiHidden/>
    <w:qFormat/>
    <w:rsid w:val="00900B48"/>
    <w:pPr>
      <w:ind w:left="567" w:hanging="567"/>
    </w:pPr>
  </w:style>
  <w:style w:type="paragraph" w:customStyle="1" w:styleId="ECHRParaIndent">
    <w:name w:val="ECHR_Para_Indent"/>
    <w:aliases w:val="_Indent"/>
    <w:basedOn w:val="NormalJustified"/>
    <w:uiPriority w:val="7"/>
    <w:semiHidden/>
    <w:qFormat/>
    <w:rsid w:val="00900B48"/>
    <w:pPr>
      <w:spacing w:before="120" w:after="120"/>
      <w:ind w:left="284"/>
    </w:pPr>
  </w:style>
  <w:style w:type="character" w:customStyle="1" w:styleId="ECHRRed">
    <w:name w:val="ECHR_Red"/>
    <w:aliases w:val="_Red"/>
    <w:basedOn w:val="Carpredefinitoparagrafo"/>
    <w:uiPriority w:val="15"/>
    <w:semiHidden/>
    <w:qFormat/>
    <w:rsid w:val="00900B48"/>
    <w:rPr>
      <w:color w:val="C00000" w:themeColor="accent2"/>
    </w:rPr>
  </w:style>
  <w:style w:type="paragraph" w:customStyle="1" w:styleId="DecList">
    <w:name w:val="Dec_List"/>
    <w:aliases w:val="_List"/>
    <w:basedOn w:val="JuList"/>
    <w:uiPriority w:val="22"/>
    <w:rsid w:val="00900B48"/>
    <w:pPr>
      <w:numPr>
        <w:numId w:val="0"/>
      </w:numPr>
      <w:ind w:left="284"/>
    </w:pPr>
  </w:style>
  <w:style w:type="table" w:customStyle="1" w:styleId="ECHRTable">
    <w:name w:val="ECHR_Table"/>
    <w:basedOn w:val="Tabellanormale"/>
    <w:rsid w:val="00900B4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900B4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00B4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900B4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00B4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00B4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900B4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00B4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00B4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00B48"/>
    <w:pPr>
      <w:outlineLvl w:val="0"/>
    </w:pPr>
  </w:style>
  <w:style w:type="paragraph" w:customStyle="1" w:styleId="ECHRTitleTOC1">
    <w:name w:val="ECHR_Title_TOC_1"/>
    <w:aliases w:val="_Title_L_TOC"/>
    <w:basedOn w:val="ECHRTitle1"/>
    <w:next w:val="Normale"/>
    <w:uiPriority w:val="27"/>
    <w:semiHidden/>
    <w:qFormat/>
    <w:rsid w:val="00900B48"/>
    <w:pPr>
      <w:outlineLvl w:val="0"/>
    </w:pPr>
  </w:style>
  <w:style w:type="table" w:customStyle="1" w:styleId="LtrTableAddress">
    <w:name w:val="Ltr_Table_Address"/>
    <w:aliases w:val="ECHR_Ltr_Table_Address"/>
    <w:basedOn w:val="Tabellanormale"/>
    <w:uiPriority w:val="99"/>
    <w:rsid w:val="00900B48"/>
    <w:rPr>
      <w:sz w:val="24"/>
      <w:szCs w:val="24"/>
    </w:rPr>
    <w:tblPr>
      <w:tblInd w:w="5103" w:type="dxa"/>
    </w:tblPr>
  </w:style>
  <w:style w:type="table" w:customStyle="1" w:styleId="PCFTableStyle">
    <w:name w:val="PCF_Table_Style"/>
    <w:aliases w:val="ECHR_PCF_Table_Style"/>
    <w:basedOn w:val="Tabellanormale"/>
    <w:uiPriority w:val="99"/>
    <w:rsid w:val="00900B4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900B4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00B4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900B48"/>
    <w:rPr>
      <w:color w:val="FFFFFF"/>
    </w:rPr>
  </w:style>
  <w:style w:type="paragraph" w:customStyle="1" w:styleId="ECHRSpacer">
    <w:name w:val="ECHR_Spacer"/>
    <w:aliases w:val="_Spacer"/>
    <w:basedOn w:val="Normale"/>
    <w:uiPriority w:val="45"/>
    <w:semiHidden/>
    <w:rsid w:val="00900B48"/>
    <w:rPr>
      <w:sz w:val="4"/>
    </w:rPr>
  </w:style>
  <w:style w:type="table" w:customStyle="1" w:styleId="ECHRTableGrey">
    <w:name w:val="ECHR_Table_Grey"/>
    <w:basedOn w:val="Tabellanormale"/>
    <w:uiPriority w:val="99"/>
    <w:rsid w:val="00900B4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900B4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900B48"/>
    <w:rPr>
      <w:color w:val="605E5C"/>
      <w:shd w:val="clear" w:color="auto" w:fill="E1DFDD"/>
    </w:rPr>
  </w:style>
  <w:style w:type="character" w:customStyle="1" w:styleId="JuParaChar">
    <w:name w:val="Ju_Para Char"/>
    <w:aliases w:val="_Para Char"/>
    <w:link w:val="JuPara"/>
    <w:uiPriority w:val="4"/>
    <w:rsid w:val="00055792"/>
    <w:rPr>
      <w:sz w:val="24"/>
      <w:szCs w:val="24"/>
      <w:lang w:val="en-GB"/>
    </w:rPr>
  </w:style>
  <w:style w:type="table" w:styleId="Tabellagriglia1chiara">
    <w:name w:val="Grid Table 1 Light"/>
    <w:basedOn w:val="Tabellanormale"/>
    <w:uiPriority w:val="46"/>
    <w:semiHidden/>
    <w:rsid w:val="008B1A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B1A5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B1A5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B1A5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B1A5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B1A5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B1A5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B1A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B1A5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B1A5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B1A5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B1A5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B1A5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B1A5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B1A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B1A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B1A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B1A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B1A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B1A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B1A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B1A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B1A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B1A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B1A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B1A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B1A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B1A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B1A5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B1A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B1A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B1A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B1A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B1A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B1A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B1A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B1A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B1A5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B1A5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B1A5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B1A5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B1A5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B1A5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B1A53"/>
    <w:rPr>
      <w:color w:val="2B579A"/>
      <w:shd w:val="clear" w:color="auto" w:fill="E1DFDD"/>
    </w:rPr>
  </w:style>
  <w:style w:type="table" w:styleId="Tabellaelenco1chiara">
    <w:name w:val="List Table 1 Light"/>
    <w:basedOn w:val="Tabellanormale"/>
    <w:uiPriority w:val="46"/>
    <w:semiHidden/>
    <w:rsid w:val="008B1A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B1A5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B1A5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B1A5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B1A5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B1A5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B1A5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B1A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B1A5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B1A5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B1A5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B1A5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B1A5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B1A5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B1A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B1A5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B1A5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B1A5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B1A5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B1A5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B1A5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B1A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B1A5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B1A5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B1A5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B1A5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B1A5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B1A5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B1A5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B1A5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B1A5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B1A5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B1A5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B1A5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B1A5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B1A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B1A5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B1A5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B1A5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B1A5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B1A5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B1A5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B1A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B1A5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B1A5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B1A5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B1A5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B1A5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B1A5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B1A53"/>
    <w:rPr>
      <w:color w:val="2B579A"/>
      <w:shd w:val="clear" w:color="auto" w:fill="E1DFDD"/>
    </w:rPr>
  </w:style>
  <w:style w:type="table" w:styleId="Tabellasemplice-1">
    <w:name w:val="Plain Table 1"/>
    <w:basedOn w:val="Tabellanormale"/>
    <w:uiPriority w:val="41"/>
    <w:semiHidden/>
    <w:rsid w:val="008B1A5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B1A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B1A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B1A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B1A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B1A53"/>
    <w:rPr>
      <w:u w:val="dotted"/>
    </w:rPr>
  </w:style>
  <w:style w:type="character" w:styleId="SmartLink">
    <w:name w:val="Smart Link"/>
    <w:basedOn w:val="Carpredefinitoparagrafo"/>
    <w:uiPriority w:val="99"/>
    <w:semiHidden/>
    <w:unhideWhenUsed/>
    <w:rsid w:val="008B1A53"/>
    <w:rPr>
      <w:color w:val="0000FF"/>
      <w:u w:val="single"/>
      <w:shd w:val="clear" w:color="auto" w:fill="F3F2F1"/>
    </w:rPr>
  </w:style>
  <w:style w:type="table" w:styleId="Grigliatabellachiara">
    <w:name w:val="Grid Table Light"/>
    <w:basedOn w:val="Tabellanormale"/>
    <w:uiPriority w:val="40"/>
    <w:semiHidden/>
    <w:rsid w:val="008B1A5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2023-10-12T10:46:00Z</dcterms:created>
  <dcterms:modified xsi:type="dcterms:W3CDTF">2023-10-12T10:46:00Z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398643</vt:lpwstr>
  </property>
  <property fmtid="{D5CDD505-2E9C-101B-9397-08002B2CF9AE}" pid="3" name="cstLanguage">
    <vt:i4>2057</vt:i4>
  </property>
  <property fmtid="{D5CDD505-2E9C-101B-9397-08002B2CF9AE}" pid="4" name="RegisteredNo">
    <vt:lpwstr>22433/06</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2023-10-12T10:46:50Z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4569b825-699b-47f9-9113-edb77adbdac3</vt:lpwstr>
  </property>
  <property fmtid="{D5CDD505-2E9C-101B-9397-08002B2CF9AE}" pid="11" name="MSIP_Label_5097a60d-5525-435b-8989-8eb48ac0c8cd_ContentBits">
    <vt:lpwstr>0</vt:lpwstr>
  </property>
</Properties>
</file>