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B583" w14:textId="77777777" w:rsidR="00115035" w:rsidRPr="007439BD" w:rsidRDefault="00115035" w:rsidP="007439BD">
      <w:pPr>
        <w:jc w:val="center"/>
      </w:pPr>
    </w:p>
    <w:p w14:paraId="40463529" w14:textId="77777777" w:rsidR="00E93FC7" w:rsidRPr="007439BD" w:rsidRDefault="00000000" w:rsidP="007439BD">
      <w:pPr>
        <w:pStyle w:val="DecHTitle"/>
      </w:pPr>
      <w:r w:rsidRPr="007439BD">
        <w:t>FIRST SECTION</w:t>
      </w:r>
    </w:p>
    <w:p w14:paraId="6072462D" w14:textId="77777777" w:rsidR="00E93FC7" w:rsidRPr="007439BD" w:rsidRDefault="00000000" w:rsidP="007439BD">
      <w:pPr>
        <w:pStyle w:val="DecHTitle"/>
      </w:pPr>
      <w:r w:rsidRPr="007439BD">
        <w:t>DECISION</w:t>
      </w:r>
    </w:p>
    <w:p w14:paraId="1AFB15D9" w14:textId="77777777" w:rsidR="00EE3667" w:rsidRPr="007439BD" w:rsidRDefault="00000000" w:rsidP="007439BD">
      <w:pPr>
        <w:pStyle w:val="DecHCase"/>
        <w:rPr>
          <w:i/>
        </w:rPr>
      </w:pPr>
      <w:r w:rsidRPr="007439BD">
        <w:rPr>
          <w:noProof/>
        </w:rPr>
        <w:t>Application no.</w:t>
      </w:r>
      <w:r w:rsidR="006267D3" w:rsidRPr="007439BD">
        <w:t xml:space="preserve"> </w:t>
      </w:r>
      <w:r w:rsidRPr="007439BD">
        <w:t>43823/11</w:t>
      </w:r>
      <w:r w:rsidR="006267D3" w:rsidRPr="007439BD">
        <w:br/>
      </w:r>
      <w:r w:rsidRPr="007439BD">
        <w:rPr>
          <w:noProof/>
        </w:rPr>
        <w:t>Gianfranco MASCOLI and Laura MASCOLI</w:t>
      </w:r>
      <w:r w:rsidRPr="007439BD">
        <w:rPr>
          <w:noProof/>
        </w:rPr>
        <w:br/>
      </w:r>
      <w:r w:rsidR="006267D3" w:rsidRPr="007439BD">
        <w:t xml:space="preserve">against </w:t>
      </w:r>
      <w:r w:rsidRPr="007439BD">
        <w:t>Italy</w:t>
      </w:r>
    </w:p>
    <w:p w14:paraId="2D81F615" w14:textId="77777777" w:rsidR="00E93FC7" w:rsidRPr="007439BD" w:rsidRDefault="00E93FC7" w:rsidP="007439BD">
      <w:pPr>
        <w:rPr>
          <w:sz w:val="2"/>
          <w:szCs w:val="2"/>
        </w:rPr>
      </w:pPr>
    </w:p>
    <w:p w14:paraId="6DCA4BB5" w14:textId="77777777" w:rsidR="006A1DE5" w:rsidRPr="007439BD" w:rsidRDefault="00000000" w:rsidP="007439BD">
      <w:pPr>
        <w:pStyle w:val="JuPara"/>
      </w:pPr>
      <w:r w:rsidRPr="007439BD">
        <w:t xml:space="preserve">The European Court of Human Rights (First Section), sitting on </w:t>
      </w:r>
      <w:r w:rsidR="007400D1" w:rsidRPr="007439BD">
        <w:t>29 August 2023</w:t>
      </w:r>
      <w:r w:rsidRPr="007439BD">
        <w:t xml:space="preserve"> as a Committee composed of:</w:t>
      </w:r>
    </w:p>
    <w:p w14:paraId="04C754EB" w14:textId="77777777" w:rsidR="006A1DE5" w:rsidRPr="007439BD" w:rsidRDefault="00000000" w:rsidP="007439BD">
      <w:pPr>
        <w:pStyle w:val="JuJudges"/>
        <w:rPr>
          <w:iCs/>
        </w:rPr>
      </w:pPr>
      <w:r w:rsidRPr="007439BD">
        <w:tab/>
        <w:t>Péter Paczolay</w:t>
      </w:r>
      <w:r w:rsidRPr="007439BD">
        <w:rPr>
          <w:i/>
        </w:rPr>
        <w:t>, President</w:t>
      </w:r>
      <w:r w:rsidRPr="007439BD">
        <w:t>,</w:t>
      </w:r>
      <w:r w:rsidRPr="007439BD">
        <w:br/>
      </w:r>
      <w:r w:rsidRPr="007439BD">
        <w:tab/>
        <w:t>Gilberto Felici,</w:t>
      </w:r>
      <w:r w:rsidRPr="007439BD">
        <w:br/>
      </w:r>
      <w:r w:rsidRPr="007439BD">
        <w:tab/>
        <w:t>Raffaele Sabato</w:t>
      </w:r>
      <w:r w:rsidRPr="007439BD">
        <w:rPr>
          <w:i/>
        </w:rPr>
        <w:t>, judges</w:t>
      </w:r>
      <w:r w:rsidRPr="007439BD">
        <w:t>,</w:t>
      </w:r>
      <w:r w:rsidRPr="007439BD">
        <w:br/>
        <w:t xml:space="preserve">and Liv Tigerstedt, </w:t>
      </w:r>
      <w:r w:rsidRPr="007439BD">
        <w:rPr>
          <w:i/>
        </w:rPr>
        <w:t>Deputy</w:t>
      </w:r>
      <w:r w:rsidRPr="007439BD">
        <w:t xml:space="preserve"> </w:t>
      </w:r>
      <w:r w:rsidRPr="007439BD">
        <w:rPr>
          <w:i/>
          <w:iCs/>
        </w:rPr>
        <w:t>Section Registrar</w:t>
      </w:r>
      <w:r w:rsidRPr="007439BD">
        <w:rPr>
          <w:i/>
        </w:rPr>
        <w:t>,</w:t>
      </w:r>
    </w:p>
    <w:p w14:paraId="6E118014" w14:textId="77777777" w:rsidR="006A1DE5" w:rsidRPr="007439BD" w:rsidRDefault="00000000" w:rsidP="007439BD">
      <w:pPr>
        <w:pStyle w:val="JuPara"/>
      </w:pPr>
      <w:r w:rsidRPr="007439BD">
        <w:t>Having regard to:</w:t>
      </w:r>
    </w:p>
    <w:p w14:paraId="306B6EC3" w14:textId="77777777" w:rsidR="006A1DE5" w:rsidRPr="007439BD" w:rsidRDefault="00000000" w:rsidP="007439BD">
      <w:pPr>
        <w:pStyle w:val="JuPara"/>
      </w:pPr>
      <w:r w:rsidRPr="007439BD">
        <w:t>the application (no. 43823/11) against the Italian Republic lodged with the Court under Article 34 of the Convention for the Protection of Human Rights and Fundamental Freedoms (“the Convention”) on 13 July 2011 by Mr Salvatore Nappi, who acted as representative for Mr Gianfranco Mascoli and Ms Laura Mascoli, born in 1946 and 1945, respectively, and living in Naples and Massa Lubrense (“the applicants”), and represented by Mr</w:t>
      </w:r>
      <w:r w:rsidR="00D97EA8" w:rsidRPr="007439BD">
        <w:t> </w:t>
      </w:r>
      <w:bookmarkStart w:id="0" w:name="_Hlk145941590"/>
      <w:r w:rsidRPr="007439BD">
        <w:t>G.</w:t>
      </w:r>
      <w:r w:rsidR="00D97EA8" w:rsidRPr="007439BD">
        <w:t> </w:t>
      </w:r>
      <w:r w:rsidRPr="007439BD">
        <w:t>Romano</w:t>
      </w:r>
      <w:bookmarkEnd w:id="0"/>
      <w:r w:rsidRPr="007439BD">
        <w:t>, a lawyer practising in Rome;</w:t>
      </w:r>
    </w:p>
    <w:p w14:paraId="2484ED1B" w14:textId="77777777" w:rsidR="006A1DE5" w:rsidRPr="007439BD" w:rsidRDefault="00000000" w:rsidP="007439BD">
      <w:pPr>
        <w:pStyle w:val="JuPara"/>
      </w:pPr>
      <w:r w:rsidRPr="007439BD">
        <w:t>Having deliberated, decides as follows:</w:t>
      </w:r>
    </w:p>
    <w:p w14:paraId="1A88FC7A" w14:textId="77777777" w:rsidR="006A1DE5" w:rsidRPr="007439BD" w:rsidRDefault="00000000" w:rsidP="007439BD">
      <w:pPr>
        <w:pStyle w:val="JuHHead"/>
        <w:numPr>
          <w:ilvl w:val="0"/>
          <w:numId w:val="0"/>
        </w:numPr>
      </w:pPr>
      <w:r w:rsidRPr="007439BD">
        <w:t>SUBJECT MATTER OF THE CASE</w:t>
      </w:r>
    </w:p>
    <w:p w14:paraId="144A9BBB"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1</w:t>
      </w:r>
      <w:r w:rsidRPr="007439BD">
        <w:rPr>
          <w:noProof/>
        </w:rPr>
        <w:fldChar w:fldCharType="end"/>
      </w:r>
      <w:r w:rsidR="00000000" w:rsidRPr="007439BD">
        <w:t>.  The case concerns the expropriation of a plot of the applicants</w:t>
      </w:r>
      <w:r w:rsidR="00D94117" w:rsidRPr="007439BD">
        <w:t>’</w:t>
      </w:r>
      <w:r w:rsidR="00000000" w:rsidRPr="007439BD">
        <w:t xml:space="preserve"> land in the framework of reconstruction and development efforts following a major earthquake in 1980.</w:t>
      </w:r>
    </w:p>
    <w:p w14:paraId="0D450C62"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2</w:t>
      </w:r>
      <w:r w:rsidRPr="007439BD">
        <w:rPr>
          <w:noProof/>
        </w:rPr>
        <w:fldChar w:fldCharType="end"/>
      </w:r>
      <w:r w:rsidR="00000000" w:rsidRPr="007439BD">
        <w:t>.  Law No. 219 of 14 May 1981 launched a large-scale programme for the repair, reconstruction and renovation of buildings, roads and other infrastructure in the areas hit by the earthquake, mainly in the Campania Region.</w:t>
      </w:r>
    </w:p>
    <w:p w14:paraId="2CF8CEF7"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3</w:t>
      </w:r>
      <w:r w:rsidRPr="007439BD">
        <w:rPr>
          <w:noProof/>
        </w:rPr>
        <w:fldChar w:fldCharType="end"/>
      </w:r>
      <w:r w:rsidR="00000000" w:rsidRPr="007439BD">
        <w:t>.  In order to implement such a plan, a large-scale expropriation programme was also envisaged for the purpose of building new residential areas and infrastructure.</w:t>
      </w:r>
    </w:p>
    <w:p w14:paraId="60289885" w14:textId="77777777" w:rsidR="006A1DE5" w:rsidRPr="007439BD" w:rsidRDefault="007439BD" w:rsidP="007439BD">
      <w:pPr>
        <w:pStyle w:val="JuPara"/>
      </w:pPr>
      <w:r w:rsidRPr="007439BD">
        <w:lastRenderedPageBreak/>
        <w:fldChar w:fldCharType="begin"/>
      </w:r>
      <w:r w:rsidR="00000000">
        <w:instrText xml:space="preserve"> SEQ level0 \*arabic \* MERGEFORMAT </w:instrText>
      </w:r>
      <w:r w:rsidRPr="007439BD">
        <w:fldChar w:fldCharType="separate"/>
      </w:r>
      <w:r w:rsidRPr="007439BD">
        <w:rPr>
          <w:noProof/>
        </w:rPr>
        <w:t>4</w:t>
      </w:r>
      <w:r w:rsidRPr="007439BD">
        <w:rPr>
          <w:noProof/>
        </w:rPr>
        <w:fldChar w:fldCharType="end"/>
      </w:r>
      <w:r w:rsidR="00000000" w:rsidRPr="007439BD">
        <w:t>.  Under Law No. 219 of 14 May 1981, compensation for the expropriation of land concerned by the reconstruction plan had to be equal to approximately half of the market value of the land.</w:t>
      </w:r>
    </w:p>
    <w:p w14:paraId="10700867"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5</w:t>
      </w:r>
      <w:r w:rsidRPr="007439BD">
        <w:rPr>
          <w:noProof/>
        </w:rPr>
        <w:fldChar w:fldCharType="end"/>
      </w:r>
      <w:r w:rsidR="00000000" w:rsidRPr="007439BD">
        <w:t>.  In 1986, the applicants</w:t>
      </w:r>
      <w:r w:rsidR="00D94117" w:rsidRPr="007439BD">
        <w:t>’</w:t>
      </w:r>
      <w:r w:rsidR="00000000" w:rsidRPr="007439BD">
        <w:t xml:space="preserve"> land, which was classified as agricultural land according to the general land use plan, was occupied by the public authority, with a view to its expropriation, in order to build a road in the Municipality of Cercola, a town hit by the aforementioned earthquake. The land was formally expropriated in 2002.</w:t>
      </w:r>
    </w:p>
    <w:p w14:paraId="34FF01FA"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6</w:t>
      </w:r>
      <w:r w:rsidRPr="007439BD">
        <w:rPr>
          <w:noProof/>
        </w:rPr>
        <w:fldChar w:fldCharType="end"/>
      </w:r>
      <w:r w:rsidR="00000000" w:rsidRPr="007439BD">
        <w:t>.  Compensation in the amount of approximately 600 million Italian Lira (ITL) (equal to approximately 310,000 Euros (EUR)) was offered to the applicants by the Naples Province, the public authority in charge of the post-earthquake expropriation plan.</w:t>
      </w:r>
    </w:p>
    <w:p w14:paraId="35FBB441"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7</w:t>
      </w:r>
      <w:r w:rsidRPr="007439BD">
        <w:rPr>
          <w:noProof/>
        </w:rPr>
        <w:fldChar w:fldCharType="end"/>
      </w:r>
      <w:r w:rsidR="00000000" w:rsidRPr="007439BD">
        <w:t>.  The applicants challenged the offer before the domestic courts, claiming higher compensation on the grounds that the land</w:t>
      </w:r>
      <w:r w:rsidR="00D94117" w:rsidRPr="007439BD">
        <w:t>’</w:t>
      </w:r>
      <w:r w:rsidR="00000000" w:rsidRPr="007439BD">
        <w:t>s alleged building potential had to be taken into account in the calculation of compensation.</w:t>
      </w:r>
    </w:p>
    <w:p w14:paraId="143EF2B0"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8</w:t>
      </w:r>
      <w:r w:rsidRPr="007439BD">
        <w:rPr>
          <w:noProof/>
        </w:rPr>
        <w:fldChar w:fldCharType="end"/>
      </w:r>
      <w:r w:rsidR="00000000" w:rsidRPr="007439BD">
        <w:t>.  After having sought an expert valuation of the land, the Naples District Court decided the compensation for occupation and expropriation in the amount of EUR 1,228,722.06. The expert based his valuation on the land</w:t>
      </w:r>
      <w:r w:rsidR="00D94117" w:rsidRPr="007439BD">
        <w:t>’</w:t>
      </w:r>
      <w:r w:rsidR="00000000" w:rsidRPr="007439BD">
        <w:t>s agricultural nature and calculated the compensation due to the applicants pursuant to Law No. 219 of 14 May 1981.</w:t>
      </w:r>
    </w:p>
    <w:p w14:paraId="4DF111F1"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9</w:t>
      </w:r>
      <w:r w:rsidRPr="007439BD">
        <w:rPr>
          <w:noProof/>
        </w:rPr>
        <w:fldChar w:fldCharType="end"/>
      </w:r>
      <w:r w:rsidR="00000000" w:rsidRPr="007439BD">
        <w:t>.  The applicants and the Naples Province appealed against that decision to the Naples Court of Appeal. In particular, the applicants complained that the District Court had considered the expropriated land as agricultural land and had accordingly quantified its value without taking into account the land</w:t>
      </w:r>
      <w:r w:rsidR="00D94117" w:rsidRPr="007439BD">
        <w:t>’</w:t>
      </w:r>
      <w:r w:rsidR="00000000" w:rsidRPr="007439BD">
        <w:t>s building potential.</w:t>
      </w:r>
    </w:p>
    <w:p w14:paraId="344A39BF"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10</w:t>
      </w:r>
      <w:r w:rsidRPr="007439BD">
        <w:rPr>
          <w:noProof/>
        </w:rPr>
        <w:fldChar w:fldCharType="end"/>
      </w:r>
      <w:r w:rsidR="00000000" w:rsidRPr="007439BD">
        <w:t>.  The Court of Appeal, by a judgment issued on 22 June 2010, rejected the appeals submitted by the parties and upheld the decision of the District Court, reaffirming that the expropriation procedure at issue had been carried out under special legislation (Law No. 219 of 14 May 1981), pursuant to which the compensation for expropriation had to reflect approximately half of the market value of the land.</w:t>
      </w:r>
    </w:p>
    <w:p w14:paraId="1E961D25"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11</w:t>
      </w:r>
      <w:r w:rsidRPr="007439BD">
        <w:rPr>
          <w:noProof/>
        </w:rPr>
        <w:fldChar w:fldCharType="end"/>
      </w:r>
      <w:r w:rsidR="00000000" w:rsidRPr="007439BD">
        <w:t>.  The Court of Appeal also reiterated that the market value of the land had to be based on the legal classification of the land at the time of the expropriation. It noted that the 1999 general land use plan classified the land as agricultural in the context of a general designation concerning a large territory (</w:t>
      </w:r>
      <w:r w:rsidR="00000000" w:rsidRPr="007439BD">
        <w:rPr>
          <w:i/>
          <w:iCs/>
        </w:rPr>
        <w:t>vincolo conformativo</w:t>
      </w:r>
      <w:r w:rsidR="00000000" w:rsidRPr="007439BD">
        <w:t>) and thus the market value of the land should reflect the value of agricultural land.</w:t>
      </w:r>
    </w:p>
    <w:p w14:paraId="7FE8D63A"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12</w:t>
      </w:r>
      <w:r w:rsidRPr="007439BD">
        <w:rPr>
          <w:noProof/>
        </w:rPr>
        <w:fldChar w:fldCharType="end"/>
      </w:r>
      <w:r w:rsidR="00000000" w:rsidRPr="007439BD">
        <w:t>.  The Court of Appeal</w:t>
      </w:r>
      <w:r w:rsidR="00D94117" w:rsidRPr="007439BD">
        <w:t>’</w:t>
      </w:r>
      <w:r w:rsidR="00000000" w:rsidRPr="007439BD">
        <w:t>s judgment was not appealed against and became final in 2011.</w:t>
      </w:r>
    </w:p>
    <w:p w14:paraId="226F5B58"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13</w:t>
      </w:r>
      <w:r w:rsidRPr="007439BD">
        <w:rPr>
          <w:noProof/>
        </w:rPr>
        <w:fldChar w:fldCharType="end"/>
      </w:r>
      <w:r w:rsidR="00000000" w:rsidRPr="007439BD">
        <w:t>.  The applicants complained, under Article 1 of Protocol No. 1 to the Convention, of a disproportionate interference with their property rights on account of the amount of compensation received for the expropriation of their land, which they considered to be inadequate for two reasons.</w:t>
      </w:r>
    </w:p>
    <w:p w14:paraId="25100494" w14:textId="77777777" w:rsidR="006A1DE5" w:rsidRPr="007439BD" w:rsidRDefault="007439BD" w:rsidP="007439BD">
      <w:pPr>
        <w:pStyle w:val="JuPara"/>
      </w:pPr>
      <w:r w:rsidRPr="007439BD">
        <w:lastRenderedPageBreak/>
        <w:fldChar w:fldCharType="begin"/>
      </w:r>
      <w:r w:rsidR="00000000">
        <w:instrText xml:space="preserve"> SEQ level0 \*arabic \* MERGEFORMAT </w:instrText>
      </w:r>
      <w:r w:rsidRPr="007439BD">
        <w:fldChar w:fldCharType="separate"/>
      </w:r>
      <w:r w:rsidRPr="007439BD">
        <w:rPr>
          <w:noProof/>
        </w:rPr>
        <w:t>14</w:t>
      </w:r>
      <w:r w:rsidRPr="007439BD">
        <w:rPr>
          <w:noProof/>
        </w:rPr>
        <w:fldChar w:fldCharType="end"/>
      </w:r>
      <w:r w:rsidR="00000000" w:rsidRPr="007439BD">
        <w:t>.  First, they contested that the building potential of the land had not been duly considered, which would have led to a higher quantification of its value.</w:t>
      </w:r>
    </w:p>
    <w:p w14:paraId="728C71C9"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15</w:t>
      </w:r>
      <w:r w:rsidRPr="007439BD">
        <w:rPr>
          <w:noProof/>
        </w:rPr>
        <w:fldChar w:fldCharType="end"/>
      </w:r>
      <w:r w:rsidR="00000000" w:rsidRPr="007439BD">
        <w:t xml:space="preserve">.  Second, they highlighted that, following the decisions issued by the Italian Constitutional Court in 2007 and 2011 (see </w:t>
      </w:r>
      <w:r w:rsidR="00000000" w:rsidRPr="007439BD">
        <w:rPr>
          <w:i/>
          <w:iCs/>
        </w:rPr>
        <w:t>Messana v. Italy</w:t>
      </w:r>
      <w:r w:rsidR="00000000" w:rsidRPr="007439BD">
        <w:t>, no.</w:t>
      </w:r>
      <w:r w:rsidR="007400D1" w:rsidRPr="007439BD">
        <w:t> </w:t>
      </w:r>
      <w:r w:rsidR="00000000" w:rsidRPr="007439BD">
        <w:t xml:space="preserve">26128/04, §§ 18-20, 9 February 2017, and </w:t>
      </w:r>
      <w:r w:rsidR="00000000" w:rsidRPr="007439BD">
        <w:rPr>
          <w:i/>
          <w:iCs/>
        </w:rPr>
        <w:t>Preite v. Italy</w:t>
      </w:r>
      <w:r w:rsidR="00000000" w:rsidRPr="007439BD">
        <w:t>, no.</w:t>
      </w:r>
      <w:r w:rsidR="00D2722D" w:rsidRPr="007439BD">
        <w:t> </w:t>
      </w:r>
      <w:r w:rsidR="00000000" w:rsidRPr="007439BD">
        <w:t>28976/05, §</w:t>
      </w:r>
      <w:r w:rsidR="007400D1" w:rsidRPr="007439BD">
        <w:t> </w:t>
      </w:r>
      <w:r w:rsidR="00000000" w:rsidRPr="007439BD">
        <w:t>28, 17 November 2015, for an overview of the decisions), expropriation compensation had to reflect the market value of the land, not only half of it as in their case.</w:t>
      </w:r>
    </w:p>
    <w:p w14:paraId="10F62BED" w14:textId="77777777" w:rsidR="006A1DE5" w:rsidRPr="007439BD" w:rsidRDefault="00000000" w:rsidP="007439BD">
      <w:pPr>
        <w:pStyle w:val="JuHHead"/>
      </w:pPr>
      <w:r w:rsidRPr="007439BD">
        <w:t>THE COURT</w:t>
      </w:r>
      <w:r w:rsidR="00D94117" w:rsidRPr="007439BD">
        <w:t>’</w:t>
      </w:r>
      <w:r w:rsidRPr="007439BD">
        <w:t>S ASSESSMENT</w:t>
      </w:r>
    </w:p>
    <w:p w14:paraId="4EFFD8F8"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16</w:t>
      </w:r>
      <w:r w:rsidRPr="007439BD">
        <w:rPr>
          <w:noProof/>
        </w:rPr>
        <w:fldChar w:fldCharType="end"/>
      </w:r>
      <w:r w:rsidR="00000000" w:rsidRPr="007439BD">
        <w:t>.  The Court notes, at the outset, that the applicants have not contested that the expropriation of their land was in accordance with the law and that it pursued a legitimate aim in the public interest. The issue before the Court is therefore whether the interference with their property rights was proportionate.</w:t>
      </w:r>
    </w:p>
    <w:p w14:paraId="483392F0"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17</w:t>
      </w:r>
      <w:r w:rsidRPr="007439BD">
        <w:rPr>
          <w:noProof/>
        </w:rPr>
        <w:fldChar w:fldCharType="end"/>
      </w:r>
      <w:r w:rsidR="00000000" w:rsidRPr="007439BD">
        <w:t>.  In this regard, the Court notes that the applicants complained, firstly, about the fact that the domestic courts considered the land as agricultural land and did not take into account the building potential of the land for compensation purposes.</w:t>
      </w:r>
    </w:p>
    <w:p w14:paraId="7D98C9CA"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18</w:t>
      </w:r>
      <w:r w:rsidRPr="007439BD">
        <w:rPr>
          <w:noProof/>
        </w:rPr>
        <w:fldChar w:fldCharType="end"/>
      </w:r>
      <w:r w:rsidR="00000000" w:rsidRPr="007439BD">
        <w:t xml:space="preserve">.  In connection with this part of the complaint, the Court reiterates that it is not its task to resolve disputes over the legal classification of the land or the estimation of its value, unless it is shown that the compensation bears no reasonable relationship with the market value of the land (see </w:t>
      </w:r>
      <w:r w:rsidR="00000000" w:rsidRPr="007439BD">
        <w:rPr>
          <w:i/>
          <w:iCs/>
        </w:rPr>
        <w:t>Preite</w:t>
      </w:r>
      <w:r w:rsidR="00000000" w:rsidRPr="007439BD">
        <w:t>, cited above, § 50). In this respect, the Court considers that the calculation of the market value should take into account the legal designation of the land at the time of expropriation and before any modification of such designation which was directly linked to the expropriation. It further reiterates that compensation must be calculated on the basis of the property</w:t>
      </w:r>
      <w:r w:rsidR="00D94117" w:rsidRPr="007439BD">
        <w:t>’</w:t>
      </w:r>
      <w:r w:rsidR="00000000" w:rsidRPr="007439BD">
        <w:t>s value on the date on which ownership thereof was lost, which is intrinsically linked to the legal designation of the land at that time. Furthermore, the Court has already found that, in the absence of any concrete expectation of development prior to the expropriation, it is not appropriate to rely solely on the applicant</w:t>
      </w:r>
      <w:r w:rsidR="00D94117" w:rsidRPr="007439BD">
        <w:t>’</w:t>
      </w:r>
      <w:r w:rsidR="00000000" w:rsidRPr="007439BD">
        <w:t>s view that the land had potential for development (see</w:t>
      </w:r>
      <w:r w:rsidR="00D2722D" w:rsidRPr="007439BD">
        <w:t xml:space="preserve"> </w:t>
      </w:r>
      <w:r w:rsidR="00000000" w:rsidRPr="007439BD">
        <w:rPr>
          <w:i/>
          <w:iCs/>
        </w:rPr>
        <w:t>Maria Azzopardi v. Malta</w:t>
      </w:r>
      <w:r w:rsidR="00000000" w:rsidRPr="007439BD">
        <w:t>, no. </w:t>
      </w:r>
      <w:hyperlink r:id="rId8" w:anchor="{%22appno%22:[%2222008/20%22]}" w:tgtFrame="_blank" w:history="1">
        <w:r w:rsidR="00000000" w:rsidRPr="007439BD">
          <w:t>22008/20</w:t>
        </w:r>
      </w:hyperlink>
      <w:r w:rsidR="00000000" w:rsidRPr="007439BD">
        <w:t>, §§ 62-63, 9 June 2022).</w:t>
      </w:r>
    </w:p>
    <w:p w14:paraId="69824AF5"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19</w:t>
      </w:r>
      <w:r w:rsidRPr="007439BD">
        <w:rPr>
          <w:noProof/>
        </w:rPr>
        <w:fldChar w:fldCharType="end"/>
      </w:r>
      <w:r w:rsidR="00000000" w:rsidRPr="007439BD">
        <w:t>.  In the present case, before the expropriation proceedings began, the land was designated as agricultural by the general land use plan and, according to the domestic courts, such designation hinged on a general planning decision covering a large territory (see paragraph 11 above). The applicants therefore had no legitimate expectation that, in the absence of the expropriation proceedings, the land would have become constructible. Thus, in the Court</w:t>
      </w:r>
      <w:r w:rsidR="00D94117" w:rsidRPr="007439BD">
        <w:t>’</w:t>
      </w:r>
      <w:r w:rsidR="00000000" w:rsidRPr="007439BD">
        <w:t xml:space="preserve">s view, the valuation of the land as non-constructible had a </w:t>
      </w:r>
      <w:r w:rsidR="00000000" w:rsidRPr="007439BD">
        <w:lastRenderedPageBreak/>
        <w:t>reasonable foundation and was based on the legal classification established by the general land use plan for the whole area.</w:t>
      </w:r>
    </w:p>
    <w:p w14:paraId="46828D84"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20</w:t>
      </w:r>
      <w:r w:rsidRPr="007439BD">
        <w:rPr>
          <w:noProof/>
        </w:rPr>
        <w:fldChar w:fldCharType="end"/>
      </w:r>
      <w:r w:rsidR="00000000" w:rsidRPr="007439BD">
        <w:t>.  Secondly, the applicants complained about the fact that, even considering the land as agricultural, the compensation awarded was inadequate, as it corresponded to half of the market value assessed by the court-appointed expert.</w:t>
      </w:r>
    </w:p>
    <w:p w14:paraId="197BEC1A"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21</w:t>
      </w:r>
      <w:r w:rsidRPr="007439BD">
        <w:rPr>
          <w:noProof/>
        </w:rPr>
        <w:fldChar w:fldCharType="end"/>
      </w:r>
      <w:r w:rsidR="00000000" w:rsidRPr="007439BD">
        <w:t>.  As to this limb of the applicants</w:t>
      </w:r>
      <w:r w:rsidR="00D94117" w:rsidRPr="007439BD">
        <w:t>’</w:t>
      </w:r>
      <w:r w:rsidR="00000000" w:rsidRPr="007439BD">
        <w:t xml:space="preserve"> complaint, the Court notes that, while it is true that in many cases of lawful expropriation, such as the distinct expropriation of land with a view to building a road or for other purposes “in the public interest”, only full compensation can be regarded as reasonably related to the value of the property, that rule is not without exceptions. Legitimate objectives in the “public interest”, such as those pursued in measures of economic reforms or measures designed to achieve greater social justice, may call for reimbursement below the full market value (see </w:t>
      </w:r>
      <w:r w:rsidR="00000000" w:rsidRPr="007439BD">
        <w:rPr>
          <w:i/>
          <w:iCs/>
        </w:rPr>
        <w:t>Scordino v.</w:t>
      </w:r>
      <w:r w:rsidR="00D2722D" w:rsidRPr="007439BD">
        <w:rPr>
          <w:i/>
          <w:iCs/>
        </w:rPr>
        <w:t> </w:t>
      </w:r>
      <w:r w:rsidR="00000000" w:rsidRPr="007439BD">
        <w:rPr>
          <w:i/>
          <w:iCs/>
        </w:rPr>
        <w:t>Italy (no. 1)</w:t>
      </w:r>
      <w:r w:rsidR="00000000" w:rsidRPr="007439BD">
        <w:t xml:space="preserve"> [GC], no. 36813/97, §§ 96-97, ECHR 2006-V, and </w:t>
      </w:r>
      <w:bookmarkStart w:id="1" w:name="_cl25878"/>
      <w:r w:rsidR="00000000" w:rsidRPr="007439BD">
        <w:rPr>
          <w:i/>
          <w:iCs/>
        </w:rPr>
        <w:t>Former King of Greece and Others v. Greece</w:t>
      </w:r>
      <w:bookmarkEnd w:id="1"/>
      <w:r w:rsidR="00000000" w:rsidRPr="007439BD">
        <w:rPr>
          <w:i/>
          <w:iCs/>
        </w:rPr>
        <w:t xml:space="preserve"> </w:t>
      </w:r>
      <w:r w:rsidR="00000000" w:rsidRPr="007439BD">
        <w:t>(just satisfaction) [GC], no.</w:t>
      </w:r>
      <w:r w:rsidR="00D2722D" w:rsidRPr="007439BD">
        <w:t> </w:t>
      </w:r>
      <w:r w:rsidR="00000000" w:rsidRPr="007439BD">
        <w:t>25701/94, § 78, 28 November 2002).</w:t>
      </w:r>
    </w:p>
    <w:p w14:paraId="421D718B"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22</w:t>
      </w:r>
      <w:r w:rsidRPr="007439BD">
        <w:rPr>
          <w:noProof/>
        </w:rPr>
        <w:fldChar w:fldCharType="end"/>
      </w:r>
      <w:r w:rsidR="00000000" w:rsidRPr="007439BD">
        <w:t>.  On the facts of the present case, the Court notes that the earthquake, which hit the Campania Region in Southern Italy in 1980, devastated a large, densely populated territory. It caused a large number of deaths and the destruction of several towns and thousands of houses, in addition to causing extensive damage to residential and public buildings, businesses, and infrastructure.</w:t>
      </w:r>
    </w:p>
    <w:p w14:paraId="7E99C200"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23</w:t>
      </w:r>
      <w:r w:rsidRPr="007439BD">
        <w:rPr>
          <w:noProof/>
        </w:rPr>
        <w:fldChar w:fldCharType="end"/>
      </w:r>
      <w:r w:rsidR="00000000" w:rsidRPr="007439BD">
        <w:t>.  The reconstruction plan, which was financially backed by Law No.</w:t>
      </w:r>
      <w:r w:rsidR="007400D1" w:rsidRPr="007439BD">
        <w:t> </w:t>
      </w:r>
      <w:r w:rsidR="00000000" w:rsidRPr="007439BD">
        <w:t>219 of 14 May 1981, envisaged a wide range of measures and programmes aimed at restoring essential services, renovating and rebuilding infrastructure as well as residential and industrial areas in the affected region.</w:t>
      </w:r>
    </w:p>
    <w:p w14:paraId="6BB47867"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24</w:t>
      </w:r>
      <w:r w:rsidRPr="007439BD">
        <w:rPr>
          <w:noProof/>
        </w:rPr>
        <w:fldChar w:fldCharType="end"/>
      </w:r>
      <w:r w:rsidR="00000000" w:rsidRPr="007439BD">
        <w:t>.  As the earthquake deeply affected the life of a large part of the population of an entire region, with heavy repercussions on the latter</w:t>
      </w:r>
      <w:r w:rsidR="00D94117" w:rsidRPr="007439BD">
        <w:t>’</w:t>
      </w:r>
      <w:r w:rsidR="00000000" w:rsidRPr="007439BD">
        <w:t>s economy, the reconstruction plan also had a wide-ranging impact on its social and economic development.</w:t>
      </w:r>
    </w:p>
    <w:p w14:paraId="057BF1BF"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25</w:t>
      </w:r>
      <w:r w:rsidRPr="007439BD">
        <w:rPr>
          <w:noProof/>
        </w:rPr>
        <w:fldChar w:fldCharType="end"/>
      </w:r>
      <w:r w:rsidR="00000000" w:rsidRPr="007439BD">
        <w:t>.  In view of the above, the Court is prepared to accept that the large-scale expropriation plan was implemented as a part of the larger reconstruction plan in order to face the pressing need of reconstruction and development of the affected territory and that it may be qualified as a legitimate objective in the “public interest” of an exceptional nature, capable of justifying reimbursement of less than the full market value.</w:t>
      </w:r>
    </w:p>
    <w:p w14:paraId="7EF5D645"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26</w:t>
      </w:r>
      <w:r w:rsidRPr="007439BD">
        <w:rPr>
          <w:noProof/>
        </w:rPr>
        <w:fldChar w:fldCharType="end"/>
      </w:r>
      <w:r w:rsidR="00000000" w:rsidRPr="007439BD">
        <w:t>.  The Court further notes that, in the present case, the compensation awarded to the applicants was not negligible, as it corresponded to half of the market value of the property. In this regard, the Court further considers that, in the light of the social and economic impact of the aforementioned expropriation plan, the choice to award a sum lower than the property</w:t>
      </w:r>
      <w:r w:rsidR="00D94117" w:rsidRPr="007439BD">
        <w:t>’</w:t>
      </w:r>
      <w:r w:rsidR="00000000" w:rsidRPr="007439BD">
        <w:t xml:space="preserve">s market value would fall within the broad margin of appreciation accorded to the legislature in matters involving the implementation of social and </w:t>
      </w:r>
      <w:r w:rsidR="00000000" w:rsidRPr="007439BD">
        <w:lastRenderedPageBreak/>
        <w:t xml:space="preserve">economic policies (see, among many other authorities, </w:t>
      </w:r>
      <w:bookmarkStart w:id="2" w:name="_cl28273"/>
      <w:r w:rsidR="00000000" w:rsidRPr="007439BD">
        <w:rPr>
          <w:i/>
          <w:iCs/>
        </w:rPr>
        <w:t>James and Others v.</w:t>
      </w:r>
      <w:r w:rsidR="007400D1" w:rsidRPr="007439BD">
        <w:rPr>
          <w:i/>
          <w:iCs/>
        </w:rPr>
        <w:t> </w:t>
      </w:r>
      <w:r w:rsidR="00000000" w:rsidRPr="007439BD">
        <w:rPr>
          <w:i/>
          <w:iCs/>
        </w:rPr>
        <w:t>the United Kingdom</w:t>
      </w:r>
      <w:bookmarkEnd w:id="2"/>
      <w:r w:rsidR="00000000" w:rsidRPr="007439BD">
        <w:t>, 21 February 1986, § 46).</w:t>
      </w:r>
    </w:p>
    <w:p w14:paraId="382A0383" w14:textId="77777777" w:rsidR="006A1DE5" w:rsidRPr="007439BD" w:rsidRDefault="007439BD" w:rsidP="007439BD">
      <w:pPr>
        <w:pStyle w:val="JuPara"/>
      </w:pPr>
      <w:r w:rsidRPr="007439BD">
        <w:fldChar w:fldCharType="begin"/>
      </w:r>
      <w:r w:rsidR="00000000">
        <w:instrText xml:space="preserve"> SEQ level0 \*arabic \* MERGEFORMAT </w:instrText>
      </w:r>
      <w:r w:rsidRPr="007439BD">
        <w:fldChar w:fldCharType="separate"/>
      </w:r>
      <w:r w:rsidRPr="007439BD">
        <w:rPr>
          <w:noProof/>
        </w:rPr>
        <w:t>27</w:t>
      </w:r>
      <w:r w:rsidRPr="007439BD">
        <w:rPr>
          <w:noProof/>
        </w:rPr>
        <w:fldChar w:fldCharType="end"/>
      </w:r>
      <w:r w:rsidR="00000000" w:rsidRPr="007439BD">
        <w:t>.  In view of the above, the Court is satisfied that, in the exceptional circumstances of the present case, the interference with the applicants</w:t>
      </w:r>
      <w:r w:rsidR="00D94117" w:rsidRPr="007439BD">
        <w:t>’</w:t>
      </w:r>
      <w:r w:rsidR="00000000" w:rsidRPr="007439BD">
        <w:t xml:space="preserve"> property may be considered proportionate.</w:t>
      </w:r>
    </w:p>
    <w:p w14:paraId="3ED5888A" w14:textId="77777777" w:rsidR="006A1DE5" w:rsidRPr="007439BD" w:rsidRDefault="00000000" w:rsidP="007439BD">
      <w:pPr>
        <w:pStyle w:val="JuPara"/>
      </w:pPr>
      <w:r w:rsidRPr="007439BD">
        <w:rPr>
          <w:rFonts w:ascii="Times New Roman" w:hAnsi="Times New Roman" w:cs="Times New Roman"/>
          <w:color w:val="000000"/>
        </w:rPr>
        <w:fldChar w:fldCharType="begin"/>
      </w:r>
      <w:r w:rsidRPr="007439BD">
        <w:rPr>
          <w:rFonts w:ascii="Times New Roman" w:hAnsi="Times New Roman" w:cs="Times New Roman"/>
          <w:color w:val="000000"/>
        </w:rPr>
        <w:instrText xml:space="preserve"> SEQ level0 \*arabic \* MERGEFORMAT </w:instrText>
      </w:r>
      <w:r w:rsidRPr="007439BD">
        <w:rPr>
          <w:rFonts w:ascii="Times New Roman" w:hAnsi="Times New Roman" w:cs="Times New Roman"/>
          <w:color w:val="000000"/>
        </w:rPr>
        <w:fldChar w:fldCharType="separate"/>
      </w:r>
      <w:r w:rsidR="007439BD" w:rsidRPr="007439BD">
        <w:rPr>
          <w:rFonts w:ascii="Times New Roman" w:hAnsi="Times New Roman" w:cs="Times New Roman"/>
          <w:noProof/>
          <w:color w:val="000000"/>
        </w:rPr>
        <w:t>28</w:t>
      </w:r>
      <w:r w:rsidRPr="007439BD">
        <w:rPr>
          <w:rFonts w:ascii="Times New Roman" w:hAnsi="Times New Roman" w:cs="Times New Roman"/>
          <w:color w:val="000000"/>
        </w:rPr>
        <w:fldChar w:fldCharType="end"/>
      </w:r>
      <w:r w:rsidRPr="007439BD">
        <w:rPr>
          <w:rFonts w:ascii="Times New Roman" w:hAnsi="Times New Roman" w:cs="Times New Roman"/>
          <w:color w:val="000000"/>
        </w:rPr>
        <w:t>.  Accordingly, the application is manifestly ill-founded</w:t>
      </w:r>
      <w:r w:rsidR="00874DC8" w:rsidRPr="007439BD">
        <w:rPr>
          <w:rFonts w:ascii="Times New Roman" w:hAnsi="Times New Roman" w:cs="Times New Roman"/>
          <w:color w:val="000000"/>
        </w:rPr>
        <w:t xml:space="preserve"> </w:t>
      </w:r>
      <w:r w:rsidRPr="007439BD">
        <w:rPr>
          <w:rFonts w:ascii="Times New Roman" w:hAnsi="Times New Roman" w:cs="Times New Roman"/>
          <w:color w:val="000000"/>
        </w:rPr>
        <w:t>and must be rejected in accordance with Article 35 §§ 3 (a) and 4 of the Convention.</w:t>
      </w:r>
    </w:p>
    <w:p w14:paraId="20E3E8B5" w14:textId="77777777" w:rsidR="006A1DE5" w:rsidRPr="007439BD" w:rsidRDefault="00000000" w:rsidP="007439BD">
      <w:pPr>
        <w:pStyle w:val="JuParaLast"/>
      </w:pPr>
      <w:r w:rsidRPr="007439BD">
        <w:t>For these reasons, the Court, unanimously,</w:t>
      </w:r>
    </w:p>
    <w:p w14:paraId="626321AC" w14:textId="77777777" w:rsidR="006A1DE5" w:rsidRPr="007439BD" w:rsidRDefault="00000000" w:rsidP="007439BD">
      <w:pPr>
        <w:pStyle w:val="DecList"/>
      </w:pPr>
      <w:r w:rsidRPr="007439BD">
        <w:rPr>
          <w:i/>
        </w:rPr>
        <w:t>Declares</w:t>
      </w:r>
      <w:r w:rsidRPr="007439BD">
        <w:t xml:space="preserve"> the application inadmissible.</w:t>
      </w:r>
    </w:p>
    <w:p w14:paraId="100FACFD" w14:textId="77777777" w:rsidR="00BD1692" w:rsidRPr="007439BD" w:rsidRDefault="00000000" w:rsidP="007439BD">
      <w:pPr>
        <w:pStyle w:val="JuParaLast"/>
        <w:tabs>
          <w:tab w:val="right" w:pos="7358"/>
        </w:tabs>
        <w:rPr>
          <w:sz w:val="14"/>
        </w:rPr>
      </w:pPr>
      <w:r w:rsidRPr="007439BD">
        <w:t xml:space="preserve">Done in English and notified in writing on </w:t>
      </w:r>
      <w:r w:rsidR="006A1DE5" w:rsidRPr="007439BD">
        <w:rPr>
          <w:noProof/>
        </w:rPr>
        <w:t>21 September 2023</w:t>
      </w:r>
      <w:r w:rsidRPr="007439BD">
        <w:t>.</w:t>
      </w:r>
    </w:p>
    <w:p w14:paraId="446C0FCC" w14:textId="77777777" w:rsidR="00BD1692" w:rsidRPr="007439BD" w:rsidRDefault="00000000" w:rsidP="007439BD">
      <w:pPr>
        <w:pStyle w:val="ECHRPlaceholder"/>
      </w:pPr>
      <w:r w:rsidRPr="007439BD">
        <w:tab/>
      </w:r>
    </w:p>
    <w:p w14:paraId="00A6CD32" w14:textId="77777777" w:rsidR="006A1DE5" w:rsidRPr="007439BD" w:rsidRDefault="00000000" w:rsidP="007439BD">
      <w:pPr>
        <w:pStyle w:val="JuSigned"/>
      </w:pPr>
      <w:r w:rsidRPr="007439BD">
        <w:tab/>
      </w:r>
      <w:r w:rsidRPr="007439BD">
        <w:rPr>
          <w:rFonts w:eastAsia="PMingLiU"/>
          <w:noProof/>
        </w:rPr>
        <w:t>Liv Tigerstedt</w:t>
      </w:r>
      <w:r w:rsidR="001D1233" w:rsidRPr="007439BD">
        <w:tab/>
      </w:r>
      <w:r w:rsidRPr="007439BD">
        <w:rPr>
          <w:noProof/>
        </w:rPr>
        <w:t>Péter Paczolay</w:t>
      </w:r>
      <w:r w:rsidR="001D1233" w:rsidRPr="007439BD">
        <w:br/>
      </w:r>
      <w:r w:rsidR="001D1233" w:rsidRPr="007439BD">
        <w:tab/>
      </w:r>
      <w:r w:rsidRPr="007439BD">
        <w:rPr>
          <w:noProof/>
        </w:rPr>
        <w:t>Deputy Registrar</w:t>
      </w:r>
      <w:r w:rsidR="006267D3" w:rsidRPr="007439BD">
        <w:tab/>
        <w:t>President</w:t>
      </w:r>
    </w:p>
    <w:sectPr w:rsidR="006A1DE5" w:rsidRPr="007439BD" w:rsidSect="0076040F">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5AED" w14:textId="77777777" w:rsidR="007A7938" w:rsidRDefault="007A7938">
      <w:r>
        <w:separator/>
      </w:r>
    </w:p>
  </w:endnote>
  <w:endnote w:type="continuationSeparator" w:id="0">
    <w:p w14:paraId="2D7B02D8" w14:textId="77777777" w:rsidR="007A7938" w:rsidRDefault="007A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F329" w14:textId="77777777" w:rsidR="001818B5" w:rsidRPr="006A1DE5"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C0" w14:textId="77777777" w:rsidR="001818B5" w:rsidRPr="006A1DE5"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F2D9" w14:textId="77777777" w:rsidR="006A1DE5" w:rsidRPr="00150BFA" w:rsidRDefault="00000000" w:rsidP="0020718E">
    <w:pPr>
      <w:jc w:val="center"/>
    </w:pPr>
    <w:r w:rsidRPr="006A1DE5">
      <w:rPr>
        <w:noProof/>
      </w:rPr>
      <w:drawing>
        <wp:inline distT="0" distB="0" distL="0" distR="0" wp14:anchorId="19215347" wp14:editId="2E8499FE">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D6C2635" w14:textId="77777777" w:rsidR="00F05C7B" w:rsidRPr="006A1DE5" w:rsidRDefault="00F05C7B"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0A60" w14:textId="77777777" w:rsidR="007A7938" w:rsidRDefault="007A7938">
      <w:r>
        <w:separator/>
      </w:r>
    </w:p>
  </w:footnote>
  <w:footnote w:type="continuationSeparator" w:id="0">
    <w:p w14:paraId="277E2FCB" w14:textId="77777777" w:rsidR="007A7938" w:rsidRDefault="007A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F8AF" w14:textId="77777777" w:rsidR="00F05C7B" w:rsidRPr="006A1DE5" w:rsidRDefault="00000000" w:rsidP="0076040F">
    <w:pPr>
      <w:pStyle w:val="JuHeader"/>
    </w:pPr>
    <w:r>
      <w:t>MASCOLI v. ITALY</w:t>
    </w:r>
    <w:r w:rsidR="006267D3" w:rsidRPr="006A1DE5">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C72B" w14:textId="77777777" w:rsidR="00F05C7B" w:rsidRPr="006A1DE5" w:rsidRDefault="00000000" w:rsidP="000D61E7">
    <w:pPr>
      <w:pStyle w:val="JuHeader"/>
    </w:pPr>
    <w:r>
      <w:t>MASCOLI v. ITALY</w:t>
    </w:r>
    <w:r w:rsidR="006267D3" w:rsidRPr="006A1DE5">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E803" w14:textId="77777777" w:rsidR="006A1DE5" w:rsidRPr="00A45145" w:rsidRDefault="00000000" w:rsidP="00A45145">
    <w:pPr>
      <w:jc w:val="center"/>
    </w:pPr>
    <w:r>
      <w:rPr>
        <w:noProof/>
        <w:lang w:val="en-US"/>
      </w:rPr>
      <w:drawing>
        <wp:inline distT="0" distB="0" distL="0" distR="0" wp14:anchorId="0AB4E9B1" wp14:editId="5975D96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0E47A75D" w14:textId="77777777" w:rsidR="00F05C7B" w:rsidRPr="006A1DE5"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377A909E">
      <w:start w:val="1"/>
      <w:numFmt w:val="bullet"/>
      <w:pStyle w:val="Puntoelenco"/>
      <w:lvlText w:val=""/>
      <w:lvlJc w:val="left"/>
      <w:pPr>
        <w:tabs>
          <w:tab w:val="num" w:pos="851"/>
        </w:tabs>
        <w:ind w:left="568" w:firstLine="0"/>
      </w:pPr>
      <w:rPr>
        <w:rFonts w:ascii="Wingdings" w:hAnsi="Wingdings" w:hint="default"/>
        <w:color w:val="808080"/>
        <w:sz w:val="16"/>
      </w:rPr>
    </w:lvl>
    <w:lvl w:ilvl="1" w:tplc="7F22B8E6" w:tentative="1">
      <w:start w:val="1"/>
      <w:numFmt w:val="bullet"/>
      <w:lvlText w:val="o"/>
      <w:lvlJc w:val="left"/>
      <w:pPr>
        <w:tabs>
          <w:tab w:val="num" w:pos="1724"/>
        </w:tabs>
        <w:ind w:left="1724" w:hanging="360"/>
      </w:pPr>
      <w:rPr>
        <w:rFonts w:ascii="Courier New" w:hAnsi="Courier New" w:cs="Courier New" w:hint="default"/>
      </w:rPr>
    </w:lvl>
    <w:lvl w:ilvl="2" w:tplc="C0B8ED34" w:tentative="1">
      <w:start w:val="1"/>
      <w:numFmt w:val="bullet"/>
      <w:lvlText w:val=""/>
      <w:lvlJc w:val="left"/>
      <w:pPr>
        <w:tabs>
          <w:tab w:val="num" w:pos="2444"/>
        </w:tabs>
        <w:ind w:left="2444" w:hanging="360"/>
      </w:pPr>
      <w:rPr>
        <w:rFonts w:ascii="Wingdings" w:hAnsi="Wingdings" w:hint="default"/>
      </w:rPr>
    </w:lvl>
    <w:lvl w:ilvl="3" w:tplc="9D02D60E" w:tentative="1">
      <w:start w:val="1"/>
      <w:numFmt w:val="bullet"/>
      <w:lvlText w:val=""/>
      <w:lvlJc w:val="left"/>
      <w:pPr>
        <w:tabs>
          <w:tab w:val="num" w:pos="3164"/>
        </w:tabs>
        <w:ind w:left="3164" w:hanging="360"/>
      </w:pPr>
      <w:rPr>
        <w:rFonts w:ascii="Symbol" w:hAnsi="Symbol" w:hint="default"/>
      </w:rPr>
    </w:lvl>
    <w:lvl w:ilvl="4" w:tplc="8A04215E" w:tentative="1">
      <w:start w:val="1"/>
      <w:numFmt w:val="bullet"/>
      <w:lvlText w:val="o"/>
      <w:lvlJc w:val="left"/>
      <w:pPr>
        <w:tabs>
          <w:tab w:val="num" w:pos="3884"/>
        </w:tabs>
        <w:ind w:left="3884" w:hanging="360"/>
      </w:pPr>
      <w:rPr>
        <w:rFonts w:ascii="Courier New" w:hAnsi="Courier New" w:cs="Courier New" w:hint="default"/>
      </w:rPr>
    </w:lvl>
    <w:lvl w:ilvl="5" w:tplc="7FB01C88" w:tentative="1">
      <w:start w:val="1"/>
      <w:numFmt w:val="bullet"/>
      <w:lvlText w:val=""/>
      <w:lvlJc w:val="left"/>
      <w:pPr>
        <w:tabs>
          <w:tab w:val="num" w:pos="4604"/>
        </w:tabs>
        <w:ind w:left="4604" w:hanging="360"/>
      </w:pPr>
      <w:rPr>
        <w:rFonts w:ascii="Wingdings" w:hAnsi="Wingdings" w:hint="default"/>
      </w:rPr>
    </w:lvl>
    <w:lvl w:ilvl="6" w:tplc="D7C8B1CE" w:tentative="1">
      <w:start w:val="1"/>
      <w:numFmt w:val="bullet"/>
      <w:lvlText w:val=""/>
      <w:lvlJc w:val="left"/>
      <w:pPr>
        <w:tabs>
          <w:tab w:val="num" w:pos="5324"/>
        </w:tabs>
        <w:ind w:left="5324" w:hanging="360"/>
      </w:pPr>
      <w:rPr>
        <w:rFonts w:ascii="Symbol" w:hAnsi="Symbol" w:hint="default"/>
      </w:rPr>
    </w:lvl>
    <w:lvl w:ilvl="7" w:tplc="E388794E" w:tentative="1">
      <w:start w:val="1"/>
      <w:numFmt w:val="bullet"/>
      <w:lvlText w:val="o"/>
      <w:lvlJc w:val="left"/>
      <w:pPr>
        <w:tabs>
          <w:tab w:val="num" w:pos="6044"/>
        </w:tabs>
        <w:ind w:left="6044" w:hanging="360"/>
      </w:pPr>
      <w:rPr>
        <w:rFonts w:ascii="Courier New" w:hAnsi="Courier New" w:cs="Courier New" w:hint="default"/>
      </w:rPr>
    </w:lvl>
    <w:lvl w:ilvl="8" w:tplc="46D82658" w:tentative="1">
      <w:start w:val="1"/>
      <w:numFmt w:val="bullet"/>
      <w:lvlText w:val=""/>
      <w:lvlJc w:val="left"/>
      <w:pPr>
        <w:tabs>
          <w:tab w:val="num" w:pos="6764"/>
        </w:tabs>
        <w:ind w:left="6764" w:hanging="360"/>
      </w:pPr>
      <w:rPr>
        <w:rFonts w:ascii="Wingdings" w:hAnsi="Wingdings" w:hint="default"/>
      </w:rPr>
    </w:lvl>
  </w:abstractNum>
  <w:num w:numId="1" w16cid:durableId="1721859312">
    <w:abstractNumId w:val="14"/>
  </w:num>
  <w:num w:numId="2" w16cid:durableId="1919361885">
    <w:abstractNumId w:val="12"/>
  </w:num>
  <w:num w:numId="3" w16cid:durableId="1484007240">
    <w:abstractNumId w:val="11"/>
  </w:num>
  <w:num w:numId="4" w16cid:durableId="1825658579">
    <w:abstractNumId w:val="17"/>
  </w:num>
  <w:num w:numId="5" w16cid:durableId="1768576671">
    <w:abstractNumId w:val="7"/>
  </w:num>
  <w:num w:numId="6" w16cid:durableId="964851724">
    <w:abstractNumId w:val="6"/>
  </w:num>
  <w:num w:numId="7" w16cid:durableId="234822836">
    <w:abstractNumId w:val="5"/>
  </w:num>
  <w:num w:numId="8" w16cid:durableId="2015766223">
    <w:abstractNumId w:val="4"/>
  </w:num>
  <w:num w:numId="9" w16cid:durableId="683362006">
    <w:abstractNumId w:val="8"/>
  </w:num>
  <w:num w:numId="10" w16cid:durableId="173301296">
    <w:abstractNumId w:val="3"/>
  </w:num>
  <w:num w:numId="11" w16cid:durableId="385644157">
    <w:abstractNumId w:val="2"/>
  </w:num>
  <w:num w:numId="12" w16cid:durableId="1032533582">
    <w:abstractNumId w:val="1"/>
  </w:num>
  <w:num w:numId="13" w16cid:durableId="2111314669">
    <w:abstractNumId w:val="0"/>
  </w:num>
  <w:num w:numId="14" w16cid:durableId="527723268">
    <w:abstractNumId w:val="15"/>
  </w:num>
  <w:num w:numId="15" w16cid:durableId="969552267">
    <w:abstractNumId w:val="13"/>
  </w:num>
  <w:num w:numId="16" w16cid:durableId="1976257865">
    <w:abstractNumId w:val="16"/>
  </w:num>
  <w:num w:numId="17" w16cid:durableId="174660815">
    <w:abstractNumId w:val="15"/>
  </w:num>
  <w:num w:numId="18" w16cid:durableId="1797991225">
    <w:abstractNumId w:val="16"/>
  </w:num>
  <w:num w:numId="19" w16cid:durableId="1675179633">
    <w:abstractNumId w:val="10"/>
  </w:num>
  <w:num w:numId="20" w16cid:durableId="82505565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1"/>
    <w:docVar w:name="SignForeName" w:val="0"/>
    <w:docVar w:name="SndCaseNumber" w:val="Error!Nodocumentvariablesupplied."/>
  </w:docVars>
  <w:rsids>
    <w:rsidRoot w:val="006A1DE5"/>
    <w:rsid w:val="00095FD8"/>
    <w:rsid w:val="000B1FA9"/>
    <w:rsid w:val="000D61E7"/>
    <w:rsid w:val="000E302D"/>
    <w:rsid w:val="000E3A89"/>
    <w:rsid w:val="00115035"/>
    <w:rsid w:val="00132029"/>
    <w:rsid w:val="00144EBC"/>
    <w:rsid w:val="00150BFA"/>
    <w:rsid w:val="001818B5"/>
    <w:rsid w:val="001D1233"/>
    <w:rsid w:val="0020718E"/>
    <w:rsid w:val="00223591"/>
    <w:rsid w:val="002A7443"/>
    <w:rsid w:val="002E2C77"/>
    <w:rsid w:val="003B50D7"/>
    <w:rsid w:val="003E3C60"/>
    <w:rsid w:val="00452087"/>
    <w:rsid w:val="00464268"/>
    <w:rsid w:val="004A4C71"/>
    <w:rsid w:val="004B4E73"/>
    <w:rsid w:val="005E56C2"/>
    <w:rsid w:val="005F11CB"/>
    <w:rsid w:val="006262FA"/>
    <w:rsid w:val="006267D3"/>
    <w:rsid w:val="006300E9"/>
    <w:rsid w:val="00653EF4"/>
    <w:rsid w:val="00656B81"/>
    <w:rsid w:val="006A1DE5"/>
    <w:rsid w:val="006D4D63"/>
    <w:rsid w:val="006E123B"/>
    <w:rsid w:val="007400D1"/>
    <w:rsid w:val="007439BD"/>
    <w:rsid w:val="0076040F"/>
    <w:rsid w:val="007907C0"/>
    <w:rsid w:val="007A74FC"/>
    <w:rsid w:val="007A7938"/>
    <w:rsid w:val="007B2364"/>
    <w:rsid w:val="00812D10"/>
    <w:rsid w:val="00874DC8"/>
    <w:rsid w:val="008D10E4"/>
    <w:rsid w:val="008F0A92"/>
    <w:rsid w:val="008F7189"/>
    <w:rsid w:val="00956B2A"/>
    <w:rsid w:val="0096293E"/>
    <w:rsid w:val="009656DE"/>
    <w:rsid w:val="009B6F49"/>
    <w:rsid w:val="009C21E8"/>
    <w:rsid w:val="009E01FB"/>
    <w:rsid w:val="00A45145"/>
    <w:rsid w:val="00AA5AEE"/>
    <w:rsid w:val="00AC58E5"/>
    <w:rsid w:val="00B140D3"/>
    <w:rsid w:val="00BD1692"/>
    <w:rsid w:val="00BF560F"/>
    <w:rsid w:val="00C42C12"/>
    <w:rsid w:val="00C8038F"/>
    <w:rsid w:val="00CB3BD9"/>
    <w:rsid w:val="00D2722D"/>
    <w:rsid w:val="00D415D6"/>
    <w:rsid w:val="00D94117"/>
    <w:rsid w:val="00D97EA8"/>
    <w:rsid w:val="00DB6354"/>
    <w:rsid w:val="00E5464B"/>
    <w:rsid w:val="00E93FC7"/>
    <w:rsid w:val="00EA1004"/>
    <w:rsid w:val="00EE3667"/>
    <w:rsid w:val="00EE38CA"/>
    <w:rsid w:val="00F0534F"/>
    <w:rsid w:val="00F05C7B"/>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4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7439BD"/>
    <w:rPr>
      <w:sz w:val="24"/>
      <w:szCs w:val="24"/>
      <w:lang w:val="en-GB"/>
    </w:rPr>
  </w:style>
  <w:style w:type="paragraph" w:styleId="Titolo1">
    <w:name w:val="heading 1"/>
    <w:basedOn w:val="Normale"/>
    <w:next w:val="Normale"/>
    <w:link w:val="Titolo1Carattere"/>
    <w:uiPriority w:val="98"/>
    <w:semiHidden/>
    <w:rsid w:val="007439B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439B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439B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439B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439B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439B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439B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439B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439B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7439BD"/>
    <w:pPr>
      <w:tabs>
        <w:tab w:val="center" w:pos="1418"/>
        <w:tab w:val="center" w:pos="5954"/>
      </w:tabs>
      <w:spacing w:before="720"/>
    </w:pPr>
  </w:style>
  <w:style w:type="paragraph" w:customStyle="1" w:styleId="JuPara">
    <w:name w:val="Ju_Para"/>
    <w:aliases w:val="_Para"/>
    <w:basedOn w:val="NormalJustified"/>
    <w:link w:val="JuParaChar"/>
    <w:uiPriority w:val="4"/>
    <w:qFormat/>
    <w:rsid w:val="007439BD"/>
    <w:pPr>
      <w:ind w:firstLine="284"/>
    </w:pPr>
  </w:style>
  <w:style w:type="character" w:styleId="Numeropagina">
    <w:name w:val="page number"/>
    <w:uiPriority w:val="98"/>
    <w:semiHidden/>
    <w:rsid w:val="007439BD"/>
    <w:rPr>
      <w:sz w:val="18"/>
    </w:rPr>
  </w:style>
  <w:style w:type="character" w:styleId="Rimandocommento">
    <w:name w:val="annotation reference"/>
    <w:basedOn w:val="Carpredefinitoparagrafo"/>
    <w:uiPriority w:val="98"/>
    <w:semiHidden/>
    <w:rsid w:val="007439BD"/>
    <w:rPr>
      <w:sz w:val="16"/>
      <w:szCs w:val="16"/>
    </w:rPr>
  </w:style>
  <w:style w:type="paragraph" w:styleId="Testocommento">
    <w:name w:val="annotation text"/>
    <w:basedOn w:val="Normale"/>
    <w:link w:val="TestocommentoCarattere"/>
    <w:uiPriority w:val="98"/>
    <w:semiHidden/>
    <w:rsid w:val="007439BD"/>
    <w:rPr>
      <w:sz w:val="20"/>
      <w:szCs w:val="20"/>
    </w:rPr>
  </w:style>
  <w:style w:type="character" w:customStyle="1" w:styleId="TestocommentoCarattere">
    <w:name w:val="Testo commento Carattere"/>
    <w:basedOn w:val="Carpredefinitoparagrafo"/>
    <w:link w:val="Testocommento"/>
    <w:uiPriority w:val="98"/>
    <w:semiHidden/>
    <w:rsid w:val="007439BD"/>
    <w:rPr>
      <w:sz w:val="20"/>
      <w:szCs w:val="20"/>
      <w:lang w:val="en-GB"/>
    </w:rPr>
  </w:style>
  <w:style w:type="paragraph" w:customStyle="1" w:styleId="DecHTitle">
    <w:name w:val="Dec_H_Title"/>
    <w:aliases w:val="_Title_1"/>
    <w:basedOn w:val="JuPara"/>
    <w:next w:val="JuPara"/>
    <w:uiPriority w:val="38"/>
    <w:qFormat/>
    <w:rsid w:val="007439B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7439BD"/>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439BD"/>
    <w:pPr>
      <w:keepNext/>
      <w:keepLines/>
      <w:spacing w:before="1320" w:after="280"/>
      <w:contextualSpacing/>
      <w:jc w:val="center"/>
    </w:pPr>
    <w:rPr>
      <w:b/>
    </w:rPr>
  </w:style>
  <w:style w:type="paragraph" w:customStyle="1" w:styleId="JuHeader">
    <w:name w:val="Ju_Header"/>
    <w:aliases w:val="_Header"/>
    <w:basedOn w:val="Intestazione"/>
    <w:uiPriority w:val="29"/>
    <w:qFormat/>
    <w:rsid w:val="007439BD"/>
    <w:pPr>
      <w:tabs>
        <w:tab w:val="clear" w:pos="4536"/>
        <w:tab w:val="clear" w:pos="9072"/>
      </w:tabs>
      <w:jc w:val="center"/>
    </w:pPr>
    <w:rPr>
      <w:sz w:val="18"/>
    </w:rPr>
  </w:style>
  <w:style w:type="paragraph" w:styleId="Intestazione">
    <w:name w:val="header"/>
    <w:basedOn w:val="Normale"/>
    <w:link w:val="IntestazioneCarattere"/>
    <w:uiPriority w:val="98"/>
    <w:semiHidden/>
    <w:rsid w:val="007439B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439BD"/>
    <w:rPr>
      <w:sz w:val="24"/>
      <w:szCs w:val="24"/>
      <w:lang w:val="en-GB"/>
    </w:rPr>
  </w:style>
  <w:style w:type="paragraph" w:styleId="Testofumetto">
    <w:name w:val="Balloon Text"/>
    <w:basedOn w:val="Normale"/>
    <w:link w:val="TestofumettoCarattere"/>
    <w:uiPriority w:val="98"/>
    <w:semiHidden/>
    <w:rsid w:val="007439B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439BD"/>
    <w:rPr>
      <w:rFonts w:ascii="Tahoma" w:hAnsi="Tahoma" w:cs="Tahoma"/>
      <w:sz w:val="16"/>
      <w:szCs w:val="16"/>
      <w:lang w:val="en-GB"/>
    </w:rPr>
  </w:style>
  <w:style w:type="paragraph" w:customStyle="1" w:styleId="DummyStyle">
    <w:name w:val="Dummy_Style"/>
    <w:aliases w:val="_Dummy"/>
    <w:basedOn w:val="Normale"/>
    <w:semiHidden/>
    <w:qFormat/>
    <w:rsid w:val="007439BD"/>
    <w:rPr>
      <w:color w:val="00B050"/>
      <w:sz w:val="22"/>
    </w:rPr>
  </w:style>
  <w:style w:type="paragraph" w:customStyle="1" w:styleId="NormalJustified">
    <w:name w:val="Normal_Justified"/>
    <w:basedOn w:val="Normale"/>
    <w:semiHidden/>
    <w:rsid w:val="007439BD"/>
    <w:pPr>
      <w:jc w:val="both"/>
    </w:pPr>
  </w:style>
  <w:style w:type="paragraph" w:customStyle="1" w:styleId="JuQuot">
    <w:name w:val="Ju_Quot"/>
    <w:aliases w:val="_Quote"/>
    <w:basedOn w:val="NormalJustified"/>
    <w:uiPriority w:val="20"/>
    <w:qFormat/>
    <w:rsid w:val="007439B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7439BD"/>
    <w:pPr>
      <w:keepNext/>
      <w:keepLines/>
      <w:tabs>
        <w:tab w:val="right" w:pos="7938"/>
      </w:tabs>
      <w:ind w:firstLine="0"/>
      <w:jc w:val="center"/>
    </w:pPr>
    <w:rPr>
      <w:i/>
    </w:rPr>
  </w:style>
  <w:style w:type="table" w:customStyle="1" w:styleId="ECHRDNTable">
    <w:name w:val="ECHR_DN_Table"/>
    <w:basedOn w:val="Tabellanormale"/>
    <w:uiPriority w:val="99"/>
    <w:rsid w:val="007439B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7439BD"/>
    <w:pPr>
      <w:numPr>
        <w:numId w:val="14"/>
      </w:numPr>
    </w:pPr>
  </w:style>
  <w:style w:type="numbering" w:customStyle="1" w:styleId="ECHRA1StyleList">
    <w:name w:val="ECHR_A1_Style_List"/>
    <w:basedOn w:val="Nessunelenco"/>
    <w:uiPriority w:val="99"/>
    <w:rsid w:val="007439BD"/>
    <w:pPr>
      <w:numPr>
        <w:numId w:val="15"/>
      </w:numPr>
    </w:pPr>
  </w:style>
  <w:style w:type="paragraph" w:customStyle="1" w:styleId="JuHArticle">
    <w:name w:val="Ju_H_Article"/>
    <w:aliases w:val="_Title_Quote"/>
    <w:basedOn w:val="Normale"/>
    <w:next w:val="JuQuot"/>
    <w:uiPriority w:val="19"/>
    <w:qFormat/>
    <w:rsid w:val="007439BD"/>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7439BD"/>
    <w:pPr>
      <w:numPr>
        <w:numId w:val="16"/>
      </w:numPr>
    </w:pPr>
  </w:style>
  <w:style w:type="table" w:customStyle="1" w:styleId="ECHRHeaderTable">
    <w:name w:val="ECHR_Header_Table"/>
    <w:basedOn w:val="Tabellanormale"/>
    <w:uiPriority w:val="99"/>
    <w:rsid w:val="007439B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7439BD"/>
    <w:pPr>
      <w:keepNext/>
      <w:keepLines/>
      <w:numPr>
        <w:numId w:val="1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7439BD"/>
    <w:pPr>
      <w:tabs>
        <w:tab w:val="center" w:pos="6407"/>
      </w:tabs>
      <w:spacing w:before="720"/>
      <w:jc w:val="right"/>
    </w:pPr>
  </w:style>
  <w:style w:type="table" w:customStyle="1" w:styleId="ECHRHeaderTableReduced">
    <w:name w:val="ECHR_Header_Table_Reduced"/>
    <w:basedOn w:val="Tabellanormale"/>
    <w:uiPriority w:val="99"/>
    <w:rsid w:val="007439B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7439BD"/>
    <w:rPr>
      <w:caps w:val="0"/>
      <w:smallCaps/>
    </w:rPr>
  </w:style>
  <w:style w:type="character" w:customStyle="1" w:styleId="JuITMark">
    <w:name w:val="Ju_ITMark"/>
    <w:aliases w:val="_ITMark"/>
    <w:basedOn w:val="Carpredefinitoparagrafo"/>
    <w:uiPriority w:val="54"/>
    <w:qFormat/>
    <w:rsid w:val="007439BD"/>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7439B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7439B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439BD"/>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7439B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7439BD"/>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7439B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7439BD"/>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7439B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7439BD"/>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7439B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7439BD"/>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7439B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7439BD"/>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7439B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7439BD"/>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7439B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7439BD"/>
    <w:pPr>
      <w:keepNext/>
      <w:keepLines/>
      <w:spacing w:before="240" w:after="240"/>
      <w:ind w:firstLine="284"/>
    </w:pPr>
  </w:style>
  <w:style w:type="table" w:customStyle="1" w:styleId="ECHRTableBoxHeader">
    <w:name w:val="ECHR_Table_Box_Header"/>
    <w:basedOn w:val="Tabellanormale"/>
    <w:rsid w:val="007439B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7439BD"/>
    <w:pPr>
      <w:tabs>
        <w:tab w:val="left" w:pos="567"/>
        <w:tab w:val="left" w:pos="1134"/>
      </w:tabs>
    </w:pPr>
  </w:style>
  <w:style w:type="paragraph" w:customStyle="1" w:styleId="JuList">
    <w:name w:val="Ju_List"/>
    <w:aliases w:val="_List_1"/>
    <w:basedOn w:val="NormalJustified"/>
    <w:uiPriority w:val="23"/>
    <w:qFormat/>
    <w:rsid w:val="007439BD"/>
    <w:pPr>
      <w:numPr>
        <w:numId w:val="20"/>
      </w:numPr>
      <w:spacing w:before="280" w:after="60"/>
    </w:pPr>
  </w:style>
  <w:style w:type="paragraph" w:customStyle="1" w:styleId="JuLista">
    <w:name w:val="Ju_List_a"/>
    <w:aliases w:val="_List_2"/>
    <w:basedOn w:val="NormalJustified"/>
    <w:uiPriority w:val="23"/>
    <w:rsid w:val="007439BD"/>
    <w:pPr>
      <w:numPr>
        <w:ilvl w:val="1"/>
        <w:numId w:val="20"/>
      </w:numPr>
    </w:pPr>
  </w:style>
  <w:style w:type="paragraph" w:customStyle="1" w:styleId="JuListi">
    <w:name w:val="Ju_List_i"/>
    <w:aliases w:val="_List_3"/>
    <w:basedOn w:val="NormalJustified"/>
    <w:uiPriority w:val="23"/>
    <w:rsid w:val="007439BD"/>
    <w:pPr>
      <w:numPr>
        <w:ilvl w:val="2"/>
        <w:numId w:val="20"/>
      </w:numPr>
    </w:pPr>
  </w:style>
  <w:style w:type="table" w:customStyle="1" w:styleId="ECHRTableFax">
    <w:name w:val="ECHR_Table_Fax"/>
    <w:basedOn w:val="Tabellanormale"/>
    <w:uiPriority w:val="99"/>
    <w:rsid w:val="007439B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7439B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7439B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7439B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7439B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7439B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439B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7439B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439B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7439BD"/>
    <w:rPr>
      <w:b/>
      <w:bCs/>
    </w:rPr>
  </w:style>
  <w:style w:type="character" w:styleId="Enfasicorsivo">
    <w:name w:val="Emphasis"/>
    <w:uiPriority w:val="98"/>
    <w:semiHidden/>
    <w:qFormat/>
    <w:rsid w:val="007439B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7439BD"/>
  </w:style>
  <w:style w:type="character" w:customStyle="1" w:styleId="NessunaspaziaturaCarattere">
    <w:name w:val="Nessuna spaziatura Carattere"/>
    <w:basedOn w:val="Carpredefinitoparagrafo"/>
    <w:link w:val="Nessunaspaziatura"/>
    <w:uiPriority w:val="98"/>
    <w:semiHidden/>
    <w:rsid w:val="007439BD"/>
    <w:rPr>
      <w:sz w:val="24"/>
      <w:szCs w:val="24"/>
      <w:lang w:val="en-GB"/>
    </w:rPr>
  </w:style>
  <w:style w:type="paragraph" w:styleId="Paragrafoelenco">
    <w:name w:val="List Paragraph"/>
    <w:basedOn w:val="Normale"/>
    <w:uiPriority w:val="98"/>
    <w:semiHidden/>
    <w:qFormat/>
    <w:rsid w:val="007439BD"/>
    <w:pPr>
      <w:ind w:left="720"/>
      <w:contextualSpacing/>
    </w:pPr>
  </w:style>
  <w:style w:type="paragraph" w:styleId="Citazione">
    <w:name w:val="Quote"/>
    <w:basedOn w:val="Normale"/>
    <w:next w:val="Normale"/>
    <w:link w:val="CitazioneCarattere"/>
    <w:uiPriority w:val="98"/>
    <w:semiHidden/>
    <w:qFormat/>
    <w:rsid w:val="007439B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439BD"/>
    <w:rPr>
      <w:i/>
      <w:iCs/>
      <w:sz w:val="24"/>
      <w:szCs w:val="24"/>
      <w:lang w:val="en-GB" w:bidi="en-US"/>
    </w:rPr>
  </w:style>
  <w:style w:type="paragraph" w:styleId="Citazioneintensa">
    <w:name w:val="Intense Quote"/>
    <w:basedOn w:val="Normale"/>
    <w:next w:val="Normale"/>
    <w:link w:val="CitazioneintensaCarattere"/>
    <w:uiPriority w:val="98"/>
    <w:semiHidden/>
    <w:qFormat/>
    <w:rsid w:val="007439B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439BD"/>
    <w:rPr>
      <w:b/>
      <w:bCs/>
      <w:i/>
      <w:iCs/>
      <w:sz w:val="24"/>
      <w:szCs w:val="24"/>
      <w:lang w:val="en-GB" w:bidi="en-US"/>
    </w:rPr>
  </w:style>
  <w:style w:type="character" w:styleId="Enfasidelicata">
    <w:name w:val="Subtle Emphasis"/>
    <w:uiPriority w:val="98"/>
    <w:semiHidden/>
    <w:qFormat/>
    <w:rsid w:val="007439BD"/>
    <w:rPr>
      <w:i/>
      <w:iCs/>
    </w:rPr>
  </w:style>
  <w:style w:type="character" w:styleId="Enfasiintensa">
    <w:name w:val="Intense Emphasis"/>
    <w:uiPriority w:val="98"/>
    <w:semiHidden/>
    <w:qFormat/>
    <w:rsid w:val="007439BD"/>
    <w:rPr>
      <w:b/>
      <w:bCs/>
    </w:rPr>
  </w:style>
  <w:style w:type="character" w:styleId="Riferimentodelicato">
    <w:name w:val="Subtle Reference"/>
    <w:uiPriority w:val="98"/>
    <w:semiHidden/>
    <w:qFormat/>
    <w:rsid w:val="007439BD"/>
    <w:rPr>
      <w:smallCaps/>
    </w:rPr>
  </w:style>
  <w:style w:type="character" w:styleId="Riferimentointenso">
    <w:name w:val="Intense Reference"/>
    <w:uiPriority w:val="98"/>
    <w:semiHidden/>
    <w:qFormat/>
    <w:rsid w:val="007439BD"/>
    <w:rPr>
      <w:smallCaps/>
      <w:spacing w:val="5"/>
      <w:u w:val="single"/>
    </w:rPr>
  </w:style>
  <w:style w:type="character" w:styleId="Titolodellibro">
    <w:name w:val="Book Title"/>
    <w:uiPriority w:val="98"/>
    <w:semiHidden/>
    <w:qFormat/>
    <w:rsid w:val="007439BD"/>
    <w:rPr>
      <w:i/>
      <w:iCs/>
      <w:smallCaps/>
      <w:spacing w:val="5"/>
    </w:rPr>
  </w:style>
  <w:style w:type="paragraph" w:styleId="Titolosommario">
    <w:name w:val="TOC Heading"/>
    <w:basedOn w:val="Normale"/>
    <w:next w:val="Normale"/>
    <w:uiPriority w:val="98"/>
    <w:semiHidden/>
    <w:qFormat/>
    <w:rsid w:val="007439B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7439BD"/>
    <w:pPr>
      <w:numPr>
        <w:numId w:val="1"/>
      </w:numPr>
    </w:pPr>
  </w:style>
  <w:style w:type="numbering" w:styleId="1ai">
    <w:name w:val="Outline List 1"/>
    <w:basedOn w:val="Nessunelenco"/>
    <w:uiPriority w:val="99"/>
    <w:semiHidden/>
    <w:unhideWhenUsed/>
    <w:rsid w:val="007439BD"/>
    <w:pPr>
      <w:numPr>
        <w:numId w:val="2"/>
      </w:numPr>
    </w:pPr>
  </w:style>
  <w:style w:type="numbering" w:styleId="ArticoloSezione">
    <w:name w:val="Outline List 3"/>
    <w:basedOn w:val="Nessunelenco"/>
    <w:uiPriority w:val="99"/>
    <w:semiHidden/>
    <w:unhideWhenUsed/>
    <w:rsid w:val="007439BD"/>
    <w:pPr>
      <w:numPr>
        <w:numId w:val="3"/>
      </w:numPr>
    </w:pPr>
  </w:style>
  <w:style w:type="paragraph" w:styleId="Bibliografia">
    <w:name w:val="Bibliography"/>
    <w:basedOn w:val="Normale"/>
    <w:next w:val="Normale"/>
    <w:uiPriority w:val="98"/>
    <w:semiHidden/>
    <w:rsid w:val="007439BD"/>
  </w:style>
  <w:style w:type="paragraph" w:styleId="Testodelblocco">
    <w:name w:val="Block Text"/>
    <w:basedOn w:val="Normale"/>
    <w:uiPriority w:val="98"/>
    <w:semiHidden/>
    <w:rsid w:val="007439B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7439BD"/>
    <w:pPr>
      <w:spacing w:after="120"/>
    </w:pPr>
  </w:style>
  <w:style w:type="character" w:customStyle="1" w:styleId="CorpotestoCarattere">
    <w:name w:val="Corpo testo Carattere"/>
    <w:basedOn w:val="Carpredefinitoparagrafo"/>
    <w:link w:val="Corpotesto"/>
    <w:uiPriority w:val="98"/>
    <w:semiHidden/>
    <w:rsid w:val="007439BD"/>
    <w:rPr>
      <w:sz w:val="24"/>
      <w:szCs w:val="24"/>
      <w:lang w:val="en-GB"/>
    </w:rPr>
  </w:style>
  <w:style w:type="paragraph" w:styleId="Corpodeltesto2">
    <w:name w:val="Body Text 2"/>
    <w:basedOn w:val="Normale"/>
    <w:link w:val="Corpodeltesto2Carattere"/>
    <w:uiPriority w:val="98"/>
    <w:semiHidden/>
    <w:rsid w:val="007439BD"/>
    <w:pPr>
      <w:spacing w:after="120" w:line="480" w:lineRule="auto"/>
    </w:pPr>
  </w:style>
  <w:style w:type="character" w:customStyle="1" w:styleId="Corpodeltesto2Carattere">
    <w:name w:val="Corpo del testo 2 Carattere"/>
    <w:basedOn w:val="Carpredefinitoparagrafo"/>
    <w:link w:val="Corpodeltesto2"/>
    <w:uiPriority w:val="98"/>
    <w:semiHidden/>
    <w:rsid w:val="007439BD"/>
    <w:rPr>
      <w:sz w:val="24"/>
      <w:szCs w:val="24"/>
      <w:lang w:val="en-GB"/>
    </w:rPr>
  </w:style>
  <w:style w:type="paragraph" w:styleId="Corpodeltesto3">
    <w:name w:val="Body Text 3"/>
    <w:basedOn w:val="Normale"/>
    <w:link w:val="Corpodeltesto3Carattere"/>
    <w:uiPriority w:val="98"/>
    <w:semiHidden/>
    <w:rsid w:val="007439B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439BD"/>
    <w:rPr>
      <w:sz w:val="16"/>
      <w:szCs w:val="16"/>
      <w:lang w:val="en-GB"/>
    </w:rPr>
  </w:style>
  <w:style w:type="paragraph" w:styleId="Primorientrocorpodeltesto">
    <w:name w:val="Body Text First Indent"/>
    <w:basedOn w:val="Corpotesto"/>
    <w:link w:val="PrimorientrocorpodeltestoCarattere"/>
    <w:uiPriority w:val="98"/>
    <w:semiHidden/>
    <w:rsid w:val="007439B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439BD"/>
    <w:rPr>
      <w:sz w:val="24"/>
      <w:szCs w:val="24"/>
      <w:lang w:val="en-GB"/>
    </w:rPr>
  </w:style>
  <w:style w:type="paragraph" w:styleId="Rientrocorpodeltesto">
    <w:name w:val="Body Text Indent"/>
    <w:basedOn w:val="Normale"/>
    <w:link w:val="RientrocorpodeltestoCarattere"/>
    <w:uiPriority w:val="98"/>
    <w:semiHidden/>
    <w:rsid w:val="007439B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439BD"/>
    <w:rPr>
      <w:sz w:val="24"/>
      <w:szCs w:val="24"/>
      <w:lang w:val="en-GB"/>
    </w:rPr>
  </w:style>
  <w:style w:type="paragraph" w:styleId="Primorientrocorpodeltesto2">
    <w:name w:val="Body Text First Indent 2"/>
    <w:basedOn w:val="Rientrocorpodeltesto"/>
    <w:link w:val="Primorientrocorpodeltesto2Carattere"/>
    <w:uiPriority w:val="98"/>
    <w:semiHidden/>
    <w:rsid w:val="007439B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439BD"/>
    <w:rPr>
      <w:sz w:val="24"/>
      <w:szCs w:val="24"/>
      <w:lang w:val="en-GB"/>
    </w:rPr>
  </w:style>
  <w:style w:type="paragraph" w:styleId="Rientrocorpodeltesto2">
    <w:name w:val="Body Text Indent 2"/>
    <w:basedOn w:val="Normale"/>
    <w:link w:val="Rientrocorpodeltesto2Carattere"/>
    <w:uiPriority w:val="98"/>
    <w:semiHidden/>
    <w:rsid w:val="007439B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439BD"/>
    <w:rPr>
      <w:sz w:val="24"/>
      <w:szCs w:val="24"/>
      <w:lang w:val="en-GB"/>
    </w:rPr>
  </w:style>
  <w:style w:type="paragraph" w:styleId="Rientrocorpodeltesto3">
    <w:name w:val="Body Text Indent 3"/>
    <w:basedOn w:val="Normale"/>
    <w:link w:val="Rientrocorpodeltesto3Carattere"/>
    <w:uiPriority w:val="98"/>
    <w:semiHidden/>
    <w:rsid w:val="007439B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439BD"/>
    <w:rPr>
      <w:sz w:val="16"/>
      <w:szCs w:val="16"/>
      <w:lang w:val="en-GB"/>
    </w:rPr>
  </w:style>
  <w:style w:type="paragraph" w:styleId="Didascalia">
    <w:name w:val="caption"/>
    <w:basedOn w:val="Normale"/>
    <w:next w:val="Normale"/>
    <w:uiPriority w:val="98"/>
    <w:semiHidden/>
    <w:qFormat/>
    <w:rsid w:val="007439B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439BD"/>
    <w:pPr>
      <w:ind w:left="4252"/>
    </w:pPr>
  </w:style>
  <w:style w:type="character" w:customStyle="1" w:styleId="FormuladichiusuraCarattere">
    <w:name w:val="Formula di chiusura Carattere"/>
    <w:basedOn w:val="Carpredefinitoparagrafo"/>
    <w:link w:val="Formuladichiusura"/>
    <w:uiPriority w:val="98"/>
    <w:semiHidden/>
    <w:rsid w:val="007439BD"/>
    <w:rPr>
      <w:sz w:val="24"/>
      <w:szCs w:val="24"/>
      <w:lang w:val="en-GB"/>
    </w:rPr>
  </w:style>
  <w:style w:type="table" w:styleId="Grigliaacolori">
    <w:name w:val="Colorful Grid"/>
    <w:basedOn w:val="Tabellanormale"/>
    <w:uiPriority w:val="73"/>
    <w:semiHidden/>
    <w:rsid w:val="007439B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439B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439B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439B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439B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439B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439B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439B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439B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439B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439B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439B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439B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439B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439B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439B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439B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439B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439B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439B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439B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439BD"/>
    <w:rPr>
      <w:b/>
      <w:bCs/>
    </w:rPr>
  </w:style>
  <w:style w:type="character" w:customStyle="1" w:styleId="SoggettocommentoCarattere">
    <w:name w:val="Soggetto commento Carattere"/>
    <w:basedOn w:val="TestocommentoCarattere"/>
    <w:link w:val="Soggettocommento"/>
    <w:uiPriority w:val="98"/>
    <w:semiHidden/>
    <w:rsid w:val="007439BD"/>
    <w:rPr>
      <w:b/>
      <w:bCs/>
      <w:sz w:val="20"/>
      <w:szCs w:val="20"/>
      <w:lang w:val="en-GB"/>
    </w:rPr>
  </w:style>
  <w:style w:type="table" w:styleId="Elencoscuro">
    <w:name w:val="Dark List"/>
    <w:basedOn w:val="Tabellanormale"/>
    <w:uiPriority w:val="70"/>
    <w:semiHidden/>
    <w:rsid w:val="007439B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439B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439B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439B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439B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439B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439B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439BD"/>
  </w:style>
  <w:style w:type="character" w:customStyle="1" w:styleId="DataCarattere">
    <w:name w:val="Data Carattere"/>
    <w:basedOn w:val="Carpredefinitoparagrafo"/>
    <w:link w:val="Data"/>
    <w:uiPriority w:val="98"/>
    <w:semiHidden/>
    <w:rsid w:val="007439BD"/>
    <w:rPr>
      <w:sz w:val="24"/>
      <w:szCs w:val="24"/>
      <w:lang w:val="en-GB"/>
    </w:rPr>
  </w:style>
  <w:style w:type="paragraph" w:styleId="Mappadocumento">
    <w:name w:val="Document Map"/>
    <w:basedOn w:val="Normale"/>
    <w:link w:val="MappadocumentoCarattere"/>
    <w:uiPriority w:val="98"/>
    <w:semiHidden/>
    <w:rsid w:val="007439B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439B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7439BD"/>
  </w:style>
  <w:style w:type="character" w:customStyle="1" w:styleId="FirmadipostaelettronicaCarattere">
    <w:name w:val="Firma di posta elettronica Carattere"/>
    <w:basedOn w:val="Carpredefinitoparagrafo"/>
    <w:link w:val="Firmadipostaelettronica"/>
    <w:uiPriority w:val="98"/>
    <w:semiHidden/>
    <w:rsid w:val="007439BD"/>
    <w:rPr>
      <w:sz w:val="24"/>
      <w:szCs w:val="24"/>
      <w:lang w:val="en-GB"/>
    </w:rPr>
  </w:style>
  <w:style w:type="character" w:styleId="Rimandonotadichiusura">
    <w:name w:val="endnote reference"/>
    <w:basedOn w:val="Carpredefinitoparagrafo"/>
    <w:uiPriority w:val="98"/>
    <w:semiHidden/>
    <w:rsid w:val="007439BD"/>
    <w:rPr>
      <w:vertAlign w:val="superscript"/>
    </w:rPr>
  </w:style>
  <w:style w:type="paragraph" w:styleId="Testonotadichiusura">
    <w:name w:val="endnote text"/>
    <w:basedOn w:val="Normale"/>
    <w:link w:val="TestonotadichiusuraCarattere"/>
    <w:uiPriority w:val="98"/>
    <w:semiHidden/>
    <w:rsid w:val="007439BD"/>
    <w:rPr>
      <w:sz w:val="20"/>
      <w:szCs w:val="20"/>
    </w:rPr>
  </w:style>
  <w:style w:type="character" w:customStyle="1" w:styleId="TestonotadichiusuraCarattere">
    <w:name w:val="Testo nota di chiusura Carattere"/>
    <w:basedOn w:val="Carpredefinitoparagrafo"/>
    <w:link w:val="Testonotadichiusura"/>
    <w:uiPriority w:val="98"/>
    <w:semiHidden/>
    <w:rsid w:val="007439BD"/>
    <w:rPr>
      <w:sz w:val="20"/>
      <w:szCs w:val="20"/>
      <w:lang w:val="en-GB"/>
    </w:rPr>
  </w:style>
  <w:style w:type="paragraph" w:styleId="Indirizzodestinatario">
    <w:name w:val="envelope address"/>
    <w:basedOn w:val="Normale"/>
    <w:uiPriority w:val="98"/>
    <w:semiHidden/>
    <w:rsid w:val="007439B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439B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439BD"/>
    <w:rPr>
      <w:color w:val="7030A0" w:themeColor="followedHyperlink"/>
      <w:u w:val="single"/>
    </w:rPr>
  </w:style>
  <w:style w:type="character" w:styleId="Rimandonotaapidipagina">
    <w:name w:val="footnote reference"/>
    <w:basedOn w:val="Carpredefinitoparagrafo"/>
    <w:uiPriority w:val="98"/>
    <w:semiHidden/>
    <w:rsid w:val="007439BD"/>
    <w:rPr>
      <w:vertAlign w:val="superscript"/>
    </w:rPr>
  </w:style>
  <w:style w:type="paragraph" w:styleId="Testonotaapidipagina">
    <w:name w:val="footnote text"/>
    <w:basedOn w:val="NormalJustified"/>
    <w:link w:val="TestonotaapidipaginaCarattere"/>
    <w:uiPriority w:val="98"/>
    <w:semiHidden/>
    <w:rsid w:val="007439BD"/>
    <w:rPr>
      <w:sz w:val="20"/>
      <w:szCs w:val="20"/>
    </w:rPr>
  </w:style>
  <w:style w:type="character" w:customStyle="1" w:styleId="TestonotaapidipaginaCarattere">
    <w:name w:val="Testo nota a piè di pagina Carattere"/>
    <w:basedOn w:val="Carpredefinitoparagrafo"/>
    <w:link w:val="Testonotaapidipagina"/>
    <w:uiPriority w:val="98"/>
    <w:semiHidden/>
    <w:rsid w:val="007439BD"/>
    <w:rPr>
      <w:sz w:val="20"/>
      <w:szCs w:val="20"/>
      <w:lang w:val="en-GB"/>
    </w:rPr>
  </w:style>
  <w:style w:type="character" w:styleId="AcronimoHTML">
    <w:name w:val="HTML Acronym"/>
    <w:basedOn w:val="Carpredefinitoparagrafo"/>
    <w:uiPriority w:val="98"/>
    <w:semiHidden/>
    <w:rsid w:val="007439BD"/>
  </w:style>
  <w:style w:type="paragraph" w:styleId="IndirizzoHTML">
    <w:name w:val="HTML Address"/>
    <w:basedOn w:val="Normale"/>
    <w:link w:val="IndirizzoHTMLCarattere"/>
    <w:uiPriority w:val="98"/>
    <w:semiHidden/>
    <w:rsid w:val="007439BD"/>
    <w:rPr>
      <w:i/>
      <w:iCs/>
    </w:rPr>
  </w:style>
  <w:style w:type="character" w:customStyle="1" w:styleId="IndirizzoHTMLCarattere">
    <w:name w:val="Indirizzo HTML Carattere"/>
    <w:basedOn w:val="Carpredefinitoparagrafo"/>
    <w:link w:val="IndirizzoHTML"/>
    <w:uiPriority w:val="98"/>
    <w:semiHidden/>
    <w:rsid w:val="007439BD"/>
    <w:rPr>
      <w:i/>
      <w:iCs/>
      <w:sz w:val="24"/>
      <w:szCs w:val="24"/>
      <w:lang w:val="en-GB"/>
    </w:rPr>
  </w:style>
  <w:style w:type="character" w:styleId="CitazioneHTML">
    <w:name w:val="HTML Cite"/>
    <w:basedOn w:val="Carpredefinitoparagrafo"/>
    <w:uiPriority w:val="98"/>
    <w:semiHidden/>
    <w:rsid w:val="007439BD"/>
    <w:rPr>
      <w:i/>
      <w:iCs/>
    </w:rPr>
  </w:style>
  <w:style w:type="character" w:styleId="CodiceHTML">
    <w:name w:val="HTML Code"/>
    <w:basedOn w:val="Carpredefinitoparagrafo"/>
    <w:uiPriority w:val="98"/>
    <w:semiHidden/>
    <w:rsid w:val="007439BD"/>
    <w:rPr>
      <w:rFonts w:ascii="Consolas" w:hAnsi="Consolas" w:cs="Consolas"/>
      <w:sz w:val="20"/>
      <w:szCs w:val="20"/>
    </w:rPr>
  </w:style>
  <w:style w:type="character" w:styleId="DefinizioneHTML">
    <w:name w:val="HTML Definition"/>
    <w:basedOn w:val="Carpredefinitoparagrafo"/>
    <w:uiPriority w:val="98"/>
    <w:semiHidden/>
    <w:rsid w:val="007439BD"/>
    <w:rPr>
      <w:i/>
      <w:iCs/>
    </w:rPr>
  </w:style>
  <w:style w:type="character" w:styleId="TastieraHTML">
    <w:name w:val="HTML Keyboard"/>
    <w:basedOn w:val="Carpredefinitoparagrafo"/>
    <w:uiPriority w:val="98"/>
    <w:semiHidden/>
    <w:rsid w:val="007439BD"/>
    <w:rPr>
      <w:rFonts w:ascii="Consolas" w:hAnsi="Consolas" w:cs="Consolas"/>
      <w:sz w:val="20"/>
      <w:szCs w:val="20"/>
    </w:rPr>
  </w:style>
  <w:style w:type="paragraph" w:styleId="PreformattatoHTML">
    <w:name w:val="HTML Preformatted"/>
    <w:basedOn w:val="Normale"/>
    <w:link w:val="PreformattatoHTMLCarattere"/>
    <w:uiPriority w:val="98"/>
    <w:semiHidden/>
    <w:rsid w:val="007439B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439BD"/>
    <w:rPr>
      <w:rFonts w:ascii="Consolas" w:hAnsi="Consolas" w:cs="Consolas"/>
      <w:sz w:val="20"/>
      <w:szCs w:val="20"/>
      <w:lang w:val="en-GB"/>
    </w:rPr>
  </w:style>
  <w:style w:type="character" w:styleId="EsempioHTML">
    <w:name w:val="HTML Sample"/>
    <w:basedOn w:val="Carpredefinitoparagrafo"/>
    <w:uiPriority w:val="98"/>
    <w:semiHidden/>
    <w:rsid w:val="007439BD"/>
    <w:rPr>
      <w:rFonts w:ascii="Consolas" w:hAnsi="Consolas" w:cs="Consolas"/>
      <w:sz w:val="24"/>
      <w:szCs w:val="24"/>
    </w:rPr>
  </w:style>
  <w:style w:type="character" w:styleId="MacchinadascrivereHTML">
    <w:name w:val="HTML Typewriter"/>
    <w:basedOn w:val="Carpredefinitoparagrafo"/>
    <w:uiPriority w:val="98"/>
    <w:semiHidden/>
    <w:rsid w:val="007439BD"/>
    <w:rPr>
      <w:rFonts w:ascii="Consolas" w:hAnsi="Consolas" w:cs="Consolas"/>
      <w:sz w:val="20"/>
      <w:szCs w:val="20"/>
    </w:rPr>
  </w:style>
  <w:style w:type="character" w:styleId="VariabileHTML">
    <w:name w:val="HTML Variable"/>
    <w:basedOn w:val="Carpredefinitoparagrafo"/>
    <w:uiPriority w:val="98"/>
    <w:semiHidden/>
    <w:rsid w:val="007439BD"/>
    <w:rPr>
      <w:i/>
      <w:iCs/>
    </w:rPr>
  </w:style>
  <w:style w:type="character" w:styleId="Collegamentoipertestuale">
    <w:name w:val="Hyperlink"/>
    <w:basedOn w:val="Carpredefinitoparagrafo"/>
    <w:uiPriority w:val="98"/>
    <w:semiHidden/>
    <w:rsid w:val="007439BD"/>
    <w:rPr>
      <w:color w:val="0072BC" w:themeColor="hyperlink"/>
      <w:u w:val="single"/>
    </w:rPr>
  </w:style>
  <w:style w:type="paragraph" w:styleId="Indice1">
    <w:name w:val="index 1"/>
    <w:basedOn w:val="Normale"/>
    <w:next w:val="Normale"/>
    <w:autoRedefine/>
    <w:uiPriority w:val="98"/>
    <w:semiHidden/>
    <w:rsid w:val="007439BD"/>
    <w:pPr>
      <w:ind w:left="240" w:hanging="240"/>
    </w:pPr>
  </w:style>
  <w:style w:type="paragraph" w:styleId="Indice2">
    <w:name w:val="index 2"/>
    <w:basedOn w:val="Normale"/>
    <w:next w:val="Normale"/>
    <w:autoRedefine/>
    <w:uiPriority w:val="98"/>
    <w:semiHidden/>
    <w:rsid w:val="007439BD"/>
    <w:pPr>
      <w:ind w:left="480" w:hanging="240"/>
    </w:pPr>
  </w:style>
  <w:style w:type="paragraph" w:styleId="Indice3">
    <w:name w:val="index 3"/>
    <w:basedOn w:val="Normale"/>
    <w:next w:val="Normale"/>
    <w:autoRedefine/>
    <w:uiPriority w:val="98"/>
    <w:semiHidden/>
    <w:rsid w:val="007439BD"/>
    <w:pPr>
      <w:ind w:left="720" w:hanging="240"/>
    </w:pPr>
  </w:style>
  <w:style w:type="paragraph" w:styleId="Indice4">
    <w:name w:val="index 4"/>
    <w:basedOn w:val="Normale"/>
    <w:next w:val="Normale"/>
    <w:autoRedefine/>
    <w:uiPriority w:val="98"/>
    <w:semiHidden/>
    <w:rsid w:val="007439BD"/>
    <w:pPr>
      <w:ind w:left="960" w:hanging="240"/>
    </w:pPr>
  </w:style>
  <w:style w:type="paragraph" w:styleId="Indice5">
    <w:name w:val="index 5"/>
    <w:basedOn w:val="Normale"/>
    <w:next w:val="Normale"/>
    <w:autoRedefine/>
    <w:uiPriority w:val="98"/>
    <w:semiHidden/>
    <w:rsid w:val="007439BD"/>
    <w:pPr>
      <w:ind w:left="1200" w:hanging="240"/>
    </w:pPr>
  </w:style>
  <w:style w:type="paragraph" w:styleId="Indice6">
    <w:name w:val="index 6"/>
    <w:basedOn w:val="Normale"/>
    <w:next w:val="Normale"/>
    <w:autoRedefine/>
    <w:uiPriority w:val="98"/>
    <w:semiHidden/>
    <w:rsid w:val="007439BD"/>
    <w:pPr>
      <w:ind w:left="1440" w:hanging="240"/>
    </w:pPr>
  </w:style>
  <w:style w:type="paragraph" w:styleId="Indice7">
    <w:name w:val="index 7"/>
    <w:basedOn w:val="Normale"/>
    <w:next w:val="Normale"/>
    <w:autoRedefine/>
    <w:uiPriority w:val="98"/>
    <w:semiHidden/>
    <w:rsid w:val="007439BD"/>
    <w:pPr>
      <w:ind w:left="1680" w:hanging="240"/>
    </w:pPr>
  </w:style>
  <w:style w:type="paragraph" w:styleId="Indice8">
    <w:name w:val="index 8"/>
    <w:basedOn w:val="Normale"/>
    <w:next w:val="Normale"/>
    <w:autoRedefine/>
    <w:uiPriority w:val="98"/>
    <w:semiHidden/>
    <w:rsid w:val="007439BD"/>
    <w:pPr>
      <w:ind w:left="1920" w:hanging="240"/>
    </w:pPr>
  </w:style>
  <w:style w:type="paragraph" w:styleId="Indice9">
    <w:name w:val="index 9"/>
    <w:basedOn w:val="Normale"/>
    <w:next w:val="Normale"/>
    <w:autoRedefine/>
    <w:uiPriority w:val="98"/>
    <w:semiHidden/>
    <w:rsid w:val="007439BD"/>
    <w:pPr>
      <w:ind w:left="2160" w:hanging="240"/>
    </w:pPr>
  </w:style>
  <w:style w:type="paragraph" w:styleId="Titoloindice">
    <w:name w:val="index heading"/>
    <w:basedOn w:val="Normale"/>
    <w:next w:val="Indice1"/>
    <w:uiPriority w:val="98"/>
    <w:semiHidden/>
    <w:rsid w:val="007439BD"/>
    <w:rPr>
      <w:rFonts w:asciiTheme="majorHAnsi" w:eastAsiaTheme="majorEastAsia" w:hAnsiTheme="majorHAnsi" w:cstheme="majorBidi"/>
      <w:b/>
      <w:bCs/>
    </w:rPr>
  </w:style>
  <w:style w:type="table" w:styleId="Grigliachiara">
    <w:name w:val="Light Grid"/>
    <w:basedOn w:val="Tabellanormale"/>
    <w:uiPriority w:val="62"/>
    <w:semiHidden/>
    <w:rsid w:val="007439B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439B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439B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439B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439B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439B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439B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439B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439B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439B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439B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439B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439B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439B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439B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439B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439B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439B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439B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439B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439B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439BD"/>
  </w:style>
  <w:style w:type="paragraph" w:styleId="Elenco">
    <w:name w:val="List"/>
    <w:basedOn w:val="Normale"/>
    <w:uiPriority w:val="98"/>
    <w:semiHidden/>
    <w:rsid w:val="007439BD"/>
    <w:pPr>
      <w:ind w:left="283" w:hanging="283"/>
      <w:contextualSpacing/>
    </w:pPr>
  </w:style>
  <w:style w:type="paragraph" w:styleId="Elenco2">
    <w:name w:val="List 2"/>
    <w:basedOn w:val="Normale"/>
    <w:uiPriority w:val="98"/>
    <w:semiHidden/>
    <w:rsid w:val="007439BD"/>
    <w:pPr>
      <w:ind w:left="566" w:hanging="283"/>
      <w:contextualSpacing/>
    </w:pPr>
  </w:style>
  <w:style w:type="paragraph" w:styleId="Elenco3">
    <w:name w:val="List 3"/>
    <w:basedOn w:val="Normale"/>
    <w:uiPriority w:val="98"/>
    <w:semiHidden/>
    <w:rsid w:val="007439BD"/>
    <w:pPr>
      <w:ind w:left="849" w:hanging="283"/>
      <w:contextualSpacing/>
    </w:pPr>
  </w:style>
  <w:style w:type="paragraph" w:styleId="Elenco4">
    <w:name w:val="List 4"/>
    <w:basedOn w:val="Normale"/>
    <w:uiPriority w:val="98"/>
    <w:semiHidden/>
    <w:rsid w:val="007439BD"/>
    <w:pPr>
      <w:ind w:left="1132" w:hanging="283"/>
      <w:contextualSpacing/>
    </w:pPr>
  </w:style>
  <w:style w:type="paragraph" w:styleId="Elenco5">
    <w:name w:val="List 5"/>
    <w:basedOn w:val="Normale"/>
    <w:uiPriority w:val="98"/>
    <w:semiHidden/>
    <w:rsid w:val="007439BD"/>
    <w:pPr>
      <w:ind w:left="1415" w:hanging="283"/>
      <w:contextualSpacing/>
    </w:pPr>
  </w:style>
  <w:style w:type="paragraph" w:styleId="Puntoelenco">
    <w:name w:val="List Bullet"/>
    <w:basedOn w:val="Normale"/>
    <w:uiPriority w:val="98"/>
    <w:semiHidden/>
    <w:rsid w:val="007439BD"/>
    <w:pPr>
      <w:numPr>
        <w:numId w:val="4"/>
      </w:numPr>
    </w:pPr>
  </w:style>
  <w:style w:type="paragraph" w:styleId="Puntoelenco2">
    <w:name w:val="List Bullet 2"/>
    <w:basedOn w:val="Normale"/>
    <w:uiPriority w:val="98"/>
    <w:semiHidden/>
    <w:rsid w:val="007439BD"/>
    <w:pPr>
      <w:numPr>
        <w:numId w:val="5"/>
      </w:numPr>
      <w:contextualSpacing/>
    </w:pPr>
  </w:style>
  <w:style w:type="paragraph" w:styleId="Puntoelenco3">
    <w:name w:val="List Bullet 3"/>
    <w:basedOn w:val="Normale"/>
    <w:uiPriority w:val="98"/>
    <w:semiHidden/>
    <w:rsid w:val="007439BD"/>
    <w:pPr>
      <w:numPr>
        <w:numId w:val="6"/>
      </w:numPr>
      <w:contextualSpacing/>
    </w:pPr>
  </w:style>
  <w:style w:type="paragraph" w:styleId="Puntoelenco4">
    <w:name w:val="List Bullet 4"/>
    <w:basedOn w:val="Normale"/>
    <w:uiPriority w:val="98"/>
    <w:semiHidden/>
    <w:rsid w:val="007439BD"/>
    <w:pPr>
      <w:numPr>
        <w:numId w:val="7"/>
      </w:numPr>
      <w:contextualSpacing/>
    </w:pPr>
  </w:style>
  <w:style w:type="paragraph" w:styleId="Puntoelenco5">
    <w:name w:val="List Bullet 5"/>
    <w:basedOn w:val="Normale"/>
    <w:uiPriority w:val="98"/>
    <w:semiHidden/>
    <w:rsid w:val="007439BD"/>
    <w:pPr>
      <w:numPr>
        <w:numId w:val="8"/>
      </w:numPr>
      <w:contextualSpacing/>
    </w:pPr>
  </w:style>
  <w:style w:type="paragraph" w:styleId="Elencocontinua">
    <w:name w:val="List Continue"/>
    <w:basedOn w:val="Normale"/>
    <w:uiPriority w:val="98"/>
    <w:semiHidden/>
    <w:rsid w:val="007439BD"/>
    <w:pPr>
      <w:spacing w:after="120"/>
      <w:ind w:left="283"/>
      <w:contextualSpacing/>
    </w:pPr>
  </w:style>
  <w:style w:type="paragraph" w:styleId="Elencocontinua2">
    <w:name w:val="List Continue 2"/>
    <w:basedOn w:val="Normale"/>
    <w:uiPriority w:val="98"/>
    <w:semiHidden/>
    <w:rsid w:val="007439BD"/>
    <w:pPr>
      <w:spacing w:after="120"/>
      <w:ind w:left="566"/>
      <w:contextualSpacing/>
    </w:pPr>
  </w:style>
  <w:style w:type="paragraph" w:styleId="Elencocontinua3">
    <w:name w:val="List Continue 3"/>
    <w:basedOn w:val="Normale"/>
    <w:uiPriority w:val="98"/>
    <w:semiHidden/>
    <w:rsid w:val="007439BD"/>
    <w:pPr>
      <w:spacing w:after="120"/>
      <w:ind w:left="849"/>
      <w:contextualSpacing/>
    </w:pPr>
  </w:style>
  <w:style w:type="paragraph" w:styleId="Elencocontinua4">
    <w:name w:val="List Continue 4"/>
    <w:basedOn w:val="Normale"/>
    <w:uiPriority w:val="98"/>
    <w:semiHidden/>
    <w:rsid w:val="007439BD"/>
    <w:pPr>
      <w:spacing w:after="120"/>
      <w:ind w:left="1132"/>
      <w:contextualSpacing/>
    </w:pPr>
  </w:style>
  <w:style w:type="paragraph" w:styleId="Elencocontinua5">
    <w:name w:val="List Continue 5"/>
    <w:basedOn w:val="Normale"/>
    <w:uiPriority w:val="98"/>
    <w:semiHidden/>
    <w:rsid w:val="007439BD"/>
    <w:pPr>
      <w:spacing w:after="120"/>
      <w:ind w:left="1415"/>
      <w:contextualSpacing/>
    </w:pPr>
  </w:style>
  <w:style w:type="paragraph" w:styleId="Numeroelenco">
    <w:name w:val="List Number"/>
    <w:basedOn w:val="Normale"/>
    <w:uiPriority w:val="98"/>
    <w:semiHidden/>
    <w:rsid w:val="007439BD"/>
    <w:pPr>
      <w:numPr>
        <w:numId w:val="9"/>
      </w:numPr>
      <w:contextualSpacing/>
    </w:pPr>
  </w:style>
  <w:style w:type="paragraph" w:styleId="Numeroelenco2">
    <w:name w:val="List Number 2"/>
    <w:basedOn w:val="Normale"/>
    <w:uiPriority w:val="98"/>
    <w:semiHidden/>
    <w:rsid w:val="007439BD"/>
    <w:pPr>
      <w:numPr>
        <w:numId w:val="10"/>
      </w:numPr>
      <w:contextualSpacing/>
    </w:pPr>
  </w:style>
  <w:style w:type="paragraph" w:styleId="Numeroelenco3">
    <w:name w:val="List Number 3"/>
    <w:basedOn w:val="Normale"/>
    <w:uiPriority w:val="98"/>
    <w:semiHidden/>
    <w:rsid w:val="007439BD"/>
    <w:pPr>
      <w:numPr>
        <w:numId w:val="11"/>
      </w:numPr>
      <w:contextualSpacing/>
    </w:pPr>
  </w:style>
  <w:style w:type="paragraph" w:styleId="Numeroelenco4">
    <w:name w:val="List Number 4"/>
    <w:basedOn w:val="Normale"/>
    <w:uiPriority w:val="98"/>
    <w:semiHidden/>
    <w:rsid w:val="007439BD"/>
    <w:pPr>
      <w:numPr>
        <w:numId w:val="12"/>
      </w:numPr>
      <w:contextualSpacing/>
    </w:pPr>
  </w:style>
  <w:style w:type="paragraph" w:styleId="Numeroelenco5">
    <w:name w:val="List Number 5"/>
    <w:basedOn w:val="Normale"/>
    <w:uiPriority w:val="98"/>
    <w:semiHidden/>
    <w:rsid w:val="007439BD"/>
    <w:pPr>
      <w:numPr>
        <w:numId w:val="13"/>
      </w:numPr>
      <w:contextualSpacing/>
    </w:pPr>
  </w:style>
  <w:style w:type="paragraph" w:styleId="Testomacro">
    <w:name w:val="macro"/>
    <w:link w:val="TestomacroCarattere"/>
    <w:uiPriority w:val="98"/>
    <w:semiHidden/>
    <w:rsid w:val="007439B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439BD"/>
    <w:rPr>
      <w:rFonts w:ascii="Consolas" w:eastAsiaTheme="minorEastAsia" w:hAnsi="Consolas" w:cs="Consolas"/>
      <w:sz w:val="20"/>
      <w:szCs w:val="20"/>
    </w:rPr>
  </w:style>
  <w:style w:type="table" w:styleId="Grigliamedia1">
    <w:name w:val="Medium Grid 1"/>
    <w:basedOn w:val="Tabellanormale"/>
    <w:uiPriority w:val="67"/>
    <w:semiHidden/>
    <w:rsid w:val="007439B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439B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439B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439B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439B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439B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439B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439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439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439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439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439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439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439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439B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439B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439B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439B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439B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439B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439B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439B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439B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439B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439B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439B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439B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439B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439B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439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439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439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439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439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439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439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439B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439B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7439BD"/>
    <w:rPr>
      <w:rFonts w:ascii="Times New Roman" w:hAnsi="Times New Roman" w:cs="Times New Roman"/>
    </w:rPr>
  </w:style>
  <w:style w:type="paragraph" w:styleId="Rientronormale">
    <w:name w:val="Normal Indent"/>
    <w:basedOn w:val="Normale"/>
    <w:uiPriority w:val="98"/>
    <w:semiHidden/>
    <w:rsid w:val="007439BD"/>
    <w:pPr>
      <w:ind w:left="720"/>
    </w:pPr>
  </w:style>
  <w:style w:type="table" w:customStyle="1" w:styleId="ECHRTableNoLines">
    <w:name w:val="ECHR_Table_No_Lines"/>
    <w:basedOn w:val="Tabellanormale"/>
    <w:uiPriority w:val="99"/>
    <w:rsid w:val="007439B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7439B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7439B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439B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439B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7439BD"/>
  </w:style>
  <w:style w:type="character" w:customStyle="1" w:styleId="FormuladiaperturaCarattere">
    <w:name w:val="Formula di apertura Carattere"/>
    <w:basedOn w:val="Carpredefinitoparagrafo"/>
    <w:link w:val="Formuladiapertura"/>
    <w:uiPriority w:val="98"/>
    <w:semiHidden/>
    <w:rsid w:val="007439BD"/>
    <w:rPr>
      <w:sz w:val="24"/>
      <w:szCs w:val="24"/>
      <w:lang w:val="en-GB"/>
    </w:rPr>
  </w:style>
  <w:style w:type="paragraph" w:styleId="Firma">
    <w:name w:val="Signature"/>
    <w:basedOn w:val="Normale"/>
    <w:link w:val="FirmaCarattere"/>
    <w:uiPriority w:val="98"/>
    <w:semiHidden/>
    <w:rsid w:val="007439BD"/>
    <w:pPr>
      <w:ind w:left="4252"/>
    </w:pPr>
  </w:style>
  <w:style w:type="character" w:customStyle="1" w:styleId="FirmaCarattere">
    <w:name w:val="Firma Carattere"/>
    <w:basedOn w:val="Carpredefinitoparagrafo"/>
    <w:link w:val="Firma"/>
    <w:uiPriority w:val="98"/>
    <w:semiHidden/>
    <w:rsid w:val="007439BD"/>
    <w:rPr>
      <w:sz w:val="24"/>
      <w:szCs w:val="24"/>
      <w:lang w:val="en-GB"/>
    </w:rPr>
  </w:style>
  <w:style w:type="table" w:styleId="Tabellaeffetti3D1">
    <w:name w:val="Table 3D effects 1"/>
    <w:basedOn w:val="Tabellanormale"/>
    <w:uiPriority w:val="99"/>
    <w:semiHidden/>
    <w:unhideWhenUsed/>
    <w:rsid w:val="007439B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439B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439B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439B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439B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439B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439B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439B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439B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439B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439B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439B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439B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439B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439B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439B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439B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7439B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439B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439B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439B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439B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439B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439B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439B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439B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439B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439B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439B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439B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439B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439B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439B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439B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439BD"/>
    <w:pPr>
      <w:ind w:left="240" w:hanging="240"/>
    </w:pPr>
  </w:style>
  <w:style w:type="paragraph" w:styleId="Indicedellefigure">
    <w:name w:val="table of figures"/>
    <w:basedOn w:val="Normale"/>
    <w:next w:val="Normale"/>
    <w:uiPriority w:val="98"/>
    <w:semiHidden/>
    <w:rsid w:val="007439BD"/>
  </w:style>
  <w:style w:type="table" w:styleId="Tabellaprofessionale">
    <w:name w:val="Table Professional"/>
    <w:basedOn w:val="Tabellanormale"/>
    <w:uiPriority w:val="99"/>
    <w:semiHidden/>
    <w:unhideWhenUsed/>
    <w:rsid w:val="007439B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439B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439B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439B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439B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439B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439B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439B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439B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439B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7439B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7439B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439B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439B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439B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439B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7439B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439B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439BD"/>
    <w:pPr>
      <w:spacing w:after="100"/>
      <w:ind w:left="1680"/>
    </w:pPr>
  </w:style>
  <w:style w:type="paragraph" w:styleId="Sommario9">
    <w:name w:val="toc 9"/>
    <w:basedOn w:val="Normale"/>
    <w:next w:val="Normale"/>
    <w:autoRedefine/>
    <w:uiPriority w:val="98"/>
    <w:semiHidden/>
    <w:rsid w:val="007439BD"/>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7439B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439BD"/>
    <w:rPr>
      <w:sz w:val="24"/>
      <w:szCs w:val="24"/>
      <w:lang w:val="en-GB"/>
    </w:rPr>
  </w:style>
  <w:style w:type="paragraph" w:customStyle="1" w:styleId="ECHRFooterLine">
    <w:name w:val="ECHR_Footer_Line"/>
    <w:aliases w:val="_Footer_Line"/>
    <w:basedOn w:val="Normale"/>
    <w:next w:val="Normale"/>
    <w:uiPriority w:val="30"/>
    <w:semiHidden/>
    <w:rsid w:val="007439B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7439B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7439BD"/>
    <w:pPr>
      <w:ind w:firstLine="284"/>
    </w:pPr>
    <w:rPr>
      <w:b/>
    </w:rPr>
  </w:style>
  <w:style w:type="paragraph" w:styleId="Intestazionenota">
    <w:name w:val="Note Heading"/>
    <w:basedOn w:val="Normale"/>
    <w:next w:val="Normale"/>
    <w:link w:val="IntestazionenotaCarattere"/>
    <w:uiPriority w:val="98"/>
    <w:semiHidden/>
    <w:rsid w:val="007439BD"/>
  </w:style>
  <w:style w:type="character" w:customStyle="1" w:styleId="IntestazionenotaCarattere">
    <w:name w:val="Intestazione nota Carattere"/>
    <w:basedOn w:val="Carpredefinitoparagrafo"/>
    <w:link w:val="Intestazionenota"/>
    <w:uiPriority w:val="98"/>
    <w:semiHidden/>
    <w:rsid w:val="007439BD"/>
    <w:rPr>
      <w:sz w:val="24"/>
      <w:szCs w:val="24"/>
      <w:lang w:val="en-GB"/>
    </w:rPr>
  </w:style>
  <w:style w:type="paragraph" w:customStyle="1" w:styleId="ECHRHeaderLandscape">
    <w:name w:val="ECHR_Header_Landscape"/>
    <w:aliases w:val="_Header_Landscape"/>
    <w:basedOn w:val="JuHeader"/>
    <w:uiPriority w:val="29"/>
    <w:semiHidden/>
    <w:rsid w:val="007439B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439BD"/>
    <w:pPr>
      <w:numPr>
        <w:numId w:val="17"/>
      </w:numPr>
      <w:spacing w:before="60" w:after="60"/>
    </w:pPr>
  </w:style>
  <w:style w:type="paragraph" w:customStyle="1" w:styleId="ECHRBullet2">
    <w:name w:val="ECHR_Bullet_2"/>
    <w:aliases w:val="_Bul_2"/>
    <w:basedOn w:val="ECHRBullet1"/>
    <w:uiPriority w:val="23"/>
    <w:semiHidden/>
    <w:rsid w:val="007439BD"/>
    <w:pPr>
      <w:numPr>
        <w:ilvl w:val="1"/>
      </w:numPr>
    </w:pPr>
  </w:style>
  <w:style w:type="paragraph" w:customStyle="1" w:styleId="ECHRBullet3">
    <w:name w:val="ECHR_Bullet_3"/>
    <w:aliases w:val="_Bul_3"/>
    <w:basedOn w:val="ECHRBullet2"/>
    <w:uiPriority w:val="23"/>
    <w:semiHidden/>
    <w:rsid w:val="007439BD"/>
    <w:pPr>
      <w:numPr>
        <w:ilvl w:val="2"/>
      </w:numPr>
    </w:pPr>
  </w:style>
  <w:style w:type="paragraph" w:customStyle="1" w:styleId="ECHRBullet4">
    <w:name w:val="ECHR_Bullet_4"/>
    <w:aliases w:val="_Bul_4"/>
    <w:basedOn w:val="ECHRBullet3"/>
    <w:uiPriority w:val="23"/>
    <w:semiHidden/>
    <w:rsid w:val="007439BD"/>
    <w:pPr>
      <w:numPr>
        <w:ilvl w:val="3"/>
      </w:numPr>
    </w:pPr>
  </w:style>
  <w:style w:type="paragraph" w:customStyle="1" w:styleId="ECHRConfidential">
    <w:name w:val="ECHR_Confidential"/>
    <w:aliases w:val="_Confidential"/>
    <w:basedOn w:val="Normale"/>
    <w:next w:val="Normale"/>
    <w:uiPriority w:val="42"/>
    <w:semiHidden/>
    <w:qFormat/>
    <w:rsid w:val="007439BD"/>
    <w:pPr>
      <w:jc w:val="right"/>
    </w:pPr>
    <w:rPr>
      <w:color w:val="C00000"/>
      <w:sz w:val="20"/>
    </w:rPr>
  </w:style>
  <w:style w:type="paragraph" w:customStyle="1" w:styleId="ECHRDecisionBody">
    <w:name w:val="ECHR_Decision_Body"/>
    <w:aliases w:val="_Decision_Body"/>
    <w:basedOn w:val="NormalJustified"/>
    <w:uiPriority w:val="54"/>
    <w:semiHidden/>
    <w:rsid w:val="007439B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439B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439BD"/>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7439B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439BD"/>
    <w:pPr>
      <w:jc w:val="right"/>
    </w:pPr>
    <w:rPr>
      <w:sz w:val="20"/>
    </w:rPr>
  </w:style>
  <w:style w:type="paragraph" w:customStyle="1" w:styleId="ECHRHeaderRefIt">
    <w:name w:val="ECHR_Header_Ref_It"/>
    <w:aliases w:val="_Ref_Ital"/>
    <w:basedOn w:val="Normale"/>
    <w:next w:val="ECHRHeaderDate"/>
    <w:uiPriority w:val="43"/>
    <w:semiHidden/>
    <w:qFormat/>
    <w:rsid w:val="007439BD"/>
    <w:pPr>
      <w:jc w:val="right"/>
    </w:pPr>
    <w:rPr>
      <w:i/>
      <w:sz w:val="20"/>
    </w:rPr>
  </w:style>
  <w:style w:type="paragraph" w:customStyle="1" w:styleId="ECHRHeading9">
    <w:name w:val="ECHR_Heading_9"/>
    <w:aliases w:val="_Head_9"/>
    <w:basedOn w:val="Titolo9"/>
    <w:uiPriority w:val="17"/>
    <w:semiHidden/>
    <w:rsid w:val="007439BD"/>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7439B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7439BD"/>
    <w:pPr>
      <w:numPr>
        <w:numId w:val="18"/>
      </w:numPr>
      <w:spacing w:before="60" w:after="60"/>
    </w:pPr>
  </w:style>
  <w:style w:type="paragraph" w:customStyle="1" w:styleId="ECHRNumberedList2">
    <w:name w:val="ECHR_Numbered_List_2"/>
    <w:aliases w:val="_Num_2"/>
    <w:basedOn w:val="ECHRNumberedList1"/>
    <w:uiPriority w:val="23"/>
    <w:semiHidden/>
    <w:rsid w:val="007439BD"/>
    <w:pPr>
      <w:numPr>
        <w:ilvl w:val="1"/>
      </w:numPr>
    </w:pPr>
  </w:style>
  <w:style w:type="paragraph" w:customStyle="1" w:styleId="ECHRNumberedList3">
    <w:name w:val="ECHR_Numbered_List_3"/>
    <w:aliases w:val="_Num_3"/>
    <w:basedOn w:val="ECHRNumberedList2"/>
    <w:uiPriority w:val="23"/>
    <w:semiHidden/>
    <w:rsid w:val="007439BD"/>
    <w:pPr>
      <w:numPr>
        <w:ilvl w:val="2"/>
      </w:numPr>
    </w:pPr>
  </w:style>
  <w:style w:type="paragraph" w:customStyle="1" w:styleId="ECHRParaHanging">
    <w:name w:val="ECHR_Para_Hanging"/>
    <w:aliases w:val="_Hanging"/>
    <w:basedOn w:val="NormalJustified"/>
    <w:uiPriority w:val="8"/>
    <w:semiHidden/>
    <w:qFormat/>
    <w:rsid w:val="007439BD"/>
    <w:pPr>
      <w:ind w:left="567" w:hanging="567"/>
    </w:pPr>
  </w:style>
  <w:style w:type="paragraph" w:customStyle="1" w:styleId="ECHRParaIndent">
    <w:name w:val="ECHR_Para_Indent"/>
    <w:aliases w:val="_Indent"/>
    <w:basedOn w:val="NormalJustified"/>
    <w:uiPriority w:val="7"/>
    <w:semiHidden/>
    <w:qFormat/>
    <w:rsid w:val="007439BD"/>
    <w:pPr>
      <w:spacing w:before="120" w:after="120"/>
      <w:ind w:left="284"/>
    </w:pPr>
  </w:style>
  <w:style w:type="character" w:customStyle="1" w:styleId="ECHRRed">
    <w:name w:val="ECHR_Red"/>
    <w:aliases w:val="_Red"/>
    <w:basedOn w:val="Carpredefinitoparagrafo"/>
    <w:uiPriority w:val="15"/>
    <w:semiHidden/>
    <w:qFormat/>
    <w:rsid w:val="007439BD"/>
    <w:rPr>
      <w:color w:val="C00000" w:themeColor="accent2"/>
    </w:rPr>
  </w:style>
  <w:style w:type="paragraph" w:customStyle="1" w:styleId="DecList">
    <w:name w:val="Dec_List"/>
    <w:aliases w:val="_List"/>
    <w:basedOn w:val="JuList"/>
    <w:uiPriority w:val="22"/>
    <w:rsid w:val="007439BD"/>
    <w:pPr>
      <w:numPr>
        <w:numId w:val="0"/>
      </w:numPr>
      <w:ind w:left="284"/>
    </w:pPr>
  </w:style>
  <w:style w:type="table" w:customStyle="1" w:styleId="ECHRTable">
    <w:name w:val="ECHR_Table"/>
    <w:basedOn w:val="Tabellanormale"/>
    <w:rsid w:val="007439B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7439B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439B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439B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439B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439B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439B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439B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439B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439BD"/>
    <w:pPr>
      <w:outlineLvl w:val="0"/>
    </w:pPr>
  </w:style>
  <w:style w:type="paragraph" w:customStyle="1" w:styleId="ECHRTitleTOC1">
    <w:name w:val="ECHR_Title_TOC_1"/>
    <w:aliases w:val="_Title_L_TOC"/>
    <w:basedOn w:val="ECHRTitle1"/>
    <w:next w:val="Normale"/>
    <w:uiPriority w:val="27"/>
    <w:semiHidden/>
    <w:qFormat/>
    <w:rsid w:val="007439BD"/>
    <w:pPr>
      <w:outlineLvl w:val="0"/>
    </w:pPr>
  </w:style>
  <w:style w:type="table" w:customStyle="1" w:styleId="LtrTableAddress">
    <w:name w:val="Ltr_Table_Address"/>
    <w:aliases w:val="ECHR_Ltr_Table_Address"/>
    <w:basedOn w:val="Tabellanormale"/>
    <w:uiPriority w:val="99"/>
    <w:rsid w:val="007439BD"/>
    <w:rPr>
      <w:sz w:val="24"/>
      <w:szCs w:val="24"/>
    </w:rPr>
    <w:tblPr>
      <w:tblInd w:w="5103" w:type="dxa"/>
    </w:tblPr>
  </w:style>
  <w:style w:type="table" w:customStyle="1" w:styleId="PCFTableStyle">
    <w:name w:val="PCF_Table_Style"/>
    <w:aliases w:val="ECHR_PCF_Table_Style"/>
    <w:basedOn w:val="Tabellanormale"/>
    <w:uiPriority w:val="99"/>
    <w:rsid w:val="007439B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7439B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439B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7439BD"/>
    <w:rPr>
      <w:color w:val="FFFFFF"/>
    </w:rPr>
  </w:style>
  <w:style w:type="paragraph" w:customStyle="1" w:styleId="ECHRSpacer">
    <w:name w:val="ECHR_Spacer"/>
    <w:aliases w:val="_Spacer"/>
    <w:basedOn w:val="Normale"/>
    <w:uiPriority w:val="45"/>
    <w:semiHidden/>
    <w:rsid w:val="007439BD"/>
    <w:rPr>
      <w:sz w:val="4"/>
    </w:rPr>
  </w:style>
  <w:style w:type="table" w:customStyle="1" w:styleId="ECHRTableGrey">
    <w:name w:val="ECHR_Table_Grey"/>
    <w:basedOn w:val="Tabellanormale"/>
    <w:uiPriority w:val="99"/>
    <w:rsid w:val="007439B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7439B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7439BD"/>
    <w:rPr>
      <w:color w:val="605E5C"/>
      <w:shd w:val="clear" w:color="auto" w:fill="E1DFDD"/>
    </w:rPr>
  </w:style>
  <w:style w:type="character" w:customStyle="1" w:styleId="JuParaChar">
    <w:name w:val="Ju_Para Char"/>
    <w:aliases w:val="_Para Char"/>
    <w:link w:val="JuPara"/>
    <w:uiPriority w:val="4"/>
    <w:rsid w:val="006A1DE5"/>
    <w:rPr>
      <w:sz w:val="24"/>
      <w:szCs w:val="24"/>
      <w:lang w:val="en-GB"/>
    </w:rPr>
  </w:style>
  <w:style w:type="table" w:styleId="Tabellagriglia1chiara">
    <w:name w:val="Grid Table 1 Light"/>
    <w:basedOn w:val="Tabellanormale"/>
    <w:uiPriority w:val="46"/>
    <w:semiHidden/>
    <w:rsid w:val="00D941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D9411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D9411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D9411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D9411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D9411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D9411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D9411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D9411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D9411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D9411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D9411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D9411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D9411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D941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D9411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D9411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D9411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D9411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D9411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D9411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D941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D9411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D9411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D9411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D9411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D9411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D9411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D941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D941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D941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D941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D941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D941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D9411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D941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D9411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D9411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D9411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D9411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D9411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D9411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D941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D9411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D9411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D9411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D9411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D9411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D9411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D94117"/>
    <w:rPr>
      <w:color w:val="2B579A"/>
      <w:shd w:val="clear" w:color="auto" w:fill="E1DFDD"/>
    </w:rPr>
  </w:style>
  <w:style w:type="table" w:styleId="Tabellaelenco1chiara">
    <w:name w:val="List Table 1 Light"/>
    <w:basedOn w:val="Tabellanormale"/>
    <w:uiPriority w:val="46"/>
    <w:semiHidden/>
    <w:rsid w:val="00D9411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D9411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D9411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D9411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D9411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D9411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D9411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D9411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D9411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D9411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D9411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D9411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D9411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D9411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D9411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D9411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D9411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D9411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D9411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D9411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D9411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D941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D9411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D9411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D9411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D9411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D9411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D9411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D9411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D9411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D9411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D9411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D9411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D9411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D9411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D9411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D9411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D9411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D9411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D9411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D9411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D9411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D9411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D9411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D9411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D9411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D9411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D9411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D9411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D94117"/>
    <w:rPr>
      <w:color w:val="2B579A"/>
      <w:shd w:val="clear" w:color="auto" w:fill="E1DFDD"/>
    </w:rPr>
  </w:style>
  <w:style w:type="table" w:styleId="Tabellasemplice-1">
    <w:name w:val="Plain Table 1"/>
    <w:basedOn w:val="Tabellanormale"/>
    <w:uiPriority w:val="41"/>
    <w:semiHidden/>
    <w:rsid w:val="00D9411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D941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D941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D941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D941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D94117"/>
    <w:rPr>
      <w:u w:val="dotted"/>
    </w:rPr>
  </w:style>
  <w:style w:type="character" w:styleId="SmartLink">
    <w:name w:val="Smart Link"/>
    <w:basedOn w:val="Carpredefinitoparagrafo"/>
    <w:uiPriority w:val="99"/>
    <w:semiHidden/>
    <w:unhideWhenUsed/>
    <w:rsid w:val="00D94117"/>
    <w:rPr>
      <w:color w:val="0000FF"/>
      <w:u w:val="single"/>
      <w:shd w:val="clear" w:color="auto" w:fill="F3F2F1"/>
    </w:rPr>
  </w:style>
  <w:style w:type="table" w:styleId="Grigliatabellachiara">
    <w:name w:val="Grid Table Light"/>
    <w:basedOn w:val="Tabellanormale"/>
    <w:uiPriority w:val="40"/>
    <w:semiHidden/>
    <w:rsid w:val="00D9411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2023-10-12T11:19:00Z</dcterms:created>
  <dcterms:modified xsi:type="dcterms:W3CDTF">2023-10-12T11:19:00Z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733335</vt:lpwstr>
  </property>
  <property fmtid="{D5CDD505-2E9C-101B-9397-08002B2CF9AE}" pid="3" name="cstLanguage">
    <vt:i4>2057</vt:i4>
  </property>
  <property fmtid="{D5CDD505-2E9C-101B-9397-08002B2CF9AE}" pid="4" name="RegisteredNo">
    <vt:lpwstr>43823/11</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2023-10-12T11:19:03Z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2c54ce74-a2f4-4ad3-bf95-fedb24cb3251</vt:lpwstr>
  </property>
  <property fmtid="{D5CDD505-2E9C-101B-9397-08002B2CF9AE}" pid="11" name="MSIP_Label_5097a60d-5525-435b-8989-8eb48ac0c8cd_ContentBits">
    <vt:lpwstr>0</vt:lpwstr>
  </property>
</Properties>
</file>